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Autospacing="0" w:afterAutospacing="0" w:line="560" w:lineRule="exact"/>
        <w:jc w:val="center"/>
        <w:rPr>
          <w:rFonts w:hint="eastAsia" w:ascii="方正小标宋简体" w:hAnsi="Times New Roman" w:eastAsia="方正小标宋简体" w:cs="Times New Roman"/>
          <w:b w:val="0"/>
          <w:color w:val="000000"/>
          <w:kern w:val="32"/>
          <w:sz w:val="44"/>
          <w:szCs w:val="44"/>
          <w:lang w:val="en-US" w:eastAsia="zh-CN" w:bidi="ar-SA"/>
        </w:rPr>
      </w:pPr>
    </w:p>
    <w:p>
      <w:pPr>
        <w:pStyle w:val="3"/>
        <w:widowControl w:val="0"/>
        <w:spacing w:beforeAutospacing="0" w:afterAutospacing="0" w:line="560" w:lineRule="exact"/>
        <w:jc w:val="center"/>
        <w:rPr>
          <w:rFonts w:hint="eastAsia" w:ascii="方正小标宋简体" w:hAnsi="Times New Roman" w:eastAsia="方正小标宋简体" w:cs="Times New Roman"/>
          <w:b w:val="0"/>
          <w:color w:val="000000"/>
          <w:kern w:val="32"/>
          <w:sz w:val="44"/>
          <w:szCs w:val="44"/>
          <w:lang w:val="en-US" w:eastAsia="zh-CN" w:bidi="ar-SA"/>
        </w:rPr>
      </w:pPr>
      <w:r>
        <w:rPr>
          <w:rFonts w:hint="eastAsia" w:ascii="方正小标宋简体" w:hAnsi="Times New Roman" w:eastAsia="方正小标宋简体" w:cs="Times New Roman"/>
          <w:b w:val="0"/>
          <w:color w:val="000000"/>
          <w:kern w:val="32"/>
          <w:sz w:val="44"/>
          <w:szCs w:val="44"/>
          <w:lang w:val="en-US" w:eastAsia="zh-CN" w:bidi="ar-SA"/>
        </w:rPr>
        <w:t>上高县财政局2021年信息公开工作年度报告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ind w:right="0"/>
        <w:jc w:val="center"/>
        <w:textAlignment w:val="auto"/>
        <w:rPr>
          <w:rFonts w:hint="eastAsia" w:ascii="方正小标宋简体" w:hAnsi="方正小标宋简体" w:eastAsia="方正小标宋简体" w:cs="方正小标宋简体"/>
          <w:color w:val="000000"/>
          <w:kern w:val="0"/>
          <w:sz w:val="44"/>
          <w:szCs w:val="44"/>
          <w:shd w:val="clear" w:fill="FFFFFF"/>
          <w:lang w:val="en-US" w:eastAsia="zh-CN" w:bidi="ar"/>
        </w:rPr>
      </w:pP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本报告依据《中华人民共和国政府信息公开条例》（国务院令第711号，以下简称新《条例》）和《国务院办公厅政府信息与政务公开办公室关于政府信息公开工作年度报告有关事项的通知》（国办公开办函〔2019〕60号）要求，由上高县财政局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财政局联系（地址：上高县镜山大道13号，电话：0795-2508799，邮编：336400）。</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rPr>
          <w:rFonts w:hint="eastAsia" w:ascii="黑体" w:hAnsi="宋体" w:eastAsia="黑体" w:cs="黑体"/>
          <w:color w:val="333333"/>
          <w:kern w:val="0"/>
          <w:sz w:val="32"/>
          <w:szCs w:val="32"/>
          <w:shd w:val="clear" w:fill="FFFFFF"/>
          <w:lang w:val="en-US" w:eastAsia="zh-CN" w:bidi="ar"/>
        </w:rPr>
      </w:pPr>
      <w:r>
        <w:rPr>
          <w:rFonts w:hint="eastAsia" w:ascii="黑体" w:hAnsi="宋体" w:eastAsia="黑体" w:cs="黑体"/>
          <w:color w:val="333333"/>
          <w:kern w:val="0"/>
          <w:sz w:val="32"/>
          <w:szCs w:val="32"/>
          <w:shd w:val="clear" w:fill="FFFFFF"/>
          <w:lang w:val="en-US" w:eastAsia="zh-CN" w:bidi="ar"/>
        </w:rPr>
        <w:t xml:space="preserve">一、总体情况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jc w:val="left"/>
        <w:textAlignment w:val="auto"/>
        <w:rPr>
          <w:rFonts w:hint="eastAsia" w:ascii="Times New Roman" w:hAnsi="Times New Roman" w:eastAsia="仿宋_GB2312" w:cs="Times New Roman"/>
          <w:color w:val="000000"/>
          <w:kern w:val="32"/>
          <w:sz w:val="32"/>
          <w:szCs w:val="32"/>
          <w:lang w:val="en-US" w:eastAsia="zh-CN" w:bidi="ar-SA"/>
        </w:rPr>
      </w:pPr>
      <w:r>
        <w:rPr>
          <w:rFonts w:hint="eastAsia" w:ascii="仿宋_GB2312" w:hAnsi="仿宋_GB2312" w:eastAsia="仿宋_GB2312" w:cs="仿宋_GB2312"/>
          <w:b/>
          <w:bCs/>
          <w:color w:val="333333"/>
          <w:kern w:val="0"/>
          <w:sz w:val="32"/>
          <w:szCs w:val="32"/>
          <w:shd w:val="clear" w:fill="FFFFFF"/>
          <w:lang w:val="en-US" w:eastAsia="zh-CN" w:bidi="ar"/>
        </w:rPr>
        <w:t>    </w:t>
      </w:r>
      <w:r>
        <w:rPr>
          <w:rFonts w:hint="eastAsia" w:ascii="Times New Roman" w:hAnsi="Times New Roman" w:eastAsia="仿宋_GB2312" w:cs="Times New Roman"/>
          <w:color w:val="000000"/>
          <w:kern w:val="32"/>
          <w:sz w:val="32"/>
          <w:szCs w:val="32"/>
          <w:lang w:val="en-US" w:eastAsia="zh-CN" w:bidi="ar-SA"/>
        </w:rPr>
        <w:t>2021年，我局认真贯彻落实《中华人民共和国政府信息公开条例》（以下简称新条例）和县委、县政府对政务公开工作的相关要求，不断健全完善政务信息公开制度，规范公开内容。通过县政府网站强化政策解读，积极回应社会关切，为打造阳光财政创造了良好环境，切实保障人民群众的知情权、参与权和监督权。现将政府信息公开工作报告如下：</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ind w:left="480" w:leftChars="0" w:right="0" w:rightChars="0"/>
        <w:jc w:val="left"/>
        <w:textAlignment w:val="auto"/>
        <w:rPr>
          <w:rFonts w:hint="eastAsia" w:ascii="黑体" w:hAnsi="宋体" w:eastAsia="黑体" w:cs="黑体"/>
          <w:b w:val="0"/>
          <w:bCs w:val="0"/>
          <w:color w:val="333333"/>
          <w:kern w:val="0"/>
          <w:sz w:val="30"/>
          <w:szCs w:val="30"/>
          <w:shd w:val="clear" w:fill="FFFFFF"/>
          <w:lang w:val="en-US" w:eastAsia="zh-CN" w:bidi="ar"/>
        </w:rPr>
      </w:pPr>
      <w:r>
        <w:rPr>
          <w:rFonts w:hint="eastAsia" w:ascii="黑体" w:hAnsi="宋体" w:eastAsia="黑体" w:cs="黑体"/>
          <w:b w:val="0"/>
          <w:bCs w:val="0"/>
          <w:color w:val="333333"/>
          <w:kern w:val="0"/>
          <w:sz w:val="30"/>
          <w:szCs w:val="30"/>
          <w:shd w:val="clear" w:fill="FFFFFF"/>
          <w:lang w:val="en-US" w:eastAsia="zh-CN" w:bidi="ar"/>
        </w:rPr>
        <w:t xml:space="preserve">（一）加强组织领导，健全政务信息公开工作制度 </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一是及时调整充实政务信息公开工作领导小组，充分发挥领导小组职能，形成主要领导亲自抓、分管领导具体抓的工作局面，并指派专人负责相关工作。二是按照《中华人民共和国政府信息公开条例》要求，健全信息审核制度，对要求拟对外公开的信息，形成科室负责人、分管领导、单位一把手三级审核把关机制，严防发生失泄密事故。加强信息发布管理。三是按照“合法、全面、准确、及时”和“公开为原则、不公开为例外”的要求，对按照规定应该公开的信息及时主动予以公开，对依申请公开的信息按程序及时进行公开。四是积极配合县政府推动落实政务公开标准化、规范化工作，完善保障“财政预决算”等政务公开标准目录，确保政务信息及时，准确得以公开。</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300" w:firstLineChars="100"/>
        <w:jc w:val="left"/>
        <w:textAlignment w:val="auto"/>
        <w:rPr>
          <w:rFonts w:hint="eastAsia" w:ascii="仿宋_GB2312" w:hAnsi="仿宋_GB2312" w:eastAsia="仿宋_GB2312" w:cs="仿宋_GB2312"/>
          <w:sz w:val="32"/>
          <w:szCs w:val="32"/>
        </w:rPr>
      </w:pPr>
      <w:r>
        <w:rPr>
          <w:rFonts w:hint="eastAsia" w:ascii="黑体" w:hAnsi="宋体" w:eastAsia="黑体" w:cs="黑体"/>
          <w:b w:val="0"/>
          <w:bCs w:val="0"/>
          <w:color w:val="333333"/>
          <w:kern w:val="0"/>
          <w:sz w:val="30"/>
          <w:szCs w:val="30"/>
          <w:shd w:val="clear" w:fill="FFFFFF"/>
          <w:lang w:val="en-US" w:eastAsia="zh-CN" w:bidi="ar"/>
        </w:rPr>
        <w:t xml:space="preserve">（二）突出抓好财政预决算公开 </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1.主动公开财政预算、决算。在上高县政府门户网站政府预决算公开专栏公开了2021年政府预算和2020年政府决算，预算单位的预决算信息公开率达100%，做到了及时、完整、真实、细化。</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2.完善预算机制。根据2020年10月1日施行的《预算法实施条例》，进一步健全完善了预算管理体制机制，严格遵循“非涉密，全公开”的原则，全面推进除涉密单位和涉密事项外全面公开，稳妥推进财政信息公开工作。</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3.强化部门预决算公开的督导。为了按照省市财政部门要求全面落实预决算信息公开，我县财政部门采取了设立咨询热线、上门指导、微信等多种渠道指导、规范预算部门单位的财政信息公开工作。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ind w:left="480" w:leftChars="0" w:right="0" w:rightChars="0"/>
        <w:jc w:val="left"/>
        <w:textAlignment w:val="auto"/>
        <w:rPr>
          <w:rFonts w:hint="eastAsia" w:ascii="黑体" w:hAnsi="宋体" w:eastAsia="黑体" w:cs="黑体"/>
          <w:b w:val="0"/>
          <w:bCs w:val="0"/>
          <w:color w:val="333333"/>
          <w:kern w:val="0"/>
          <w:sz w:val="30"/>
          <w:szCs w:val="30"/>
          <w:shd w:val="clear" w:fill="FFFFFF"/>
          <w:lang w:val="en-US" w:eastAsia="zh-CN" w:bidi="ar"/>
        </w:rPr>
      </w:pPr>
      <w:r>
        <w:rPr>
          <w:rFonts w:hint="eastAsia" w:ascii="黑体" w:hAnsi="宋体" w:eastAsia="黑体" w:cs="黑体"/>
          <w:b w:val="0"/>
          <w:bCs w:val="0"/>
          <w:color w:val="333333"/>
          <w:kern w:val="0"/>
          <w:sz w:val="30"/>
          <w:szCs w:val="30"/>
          <w:shd w:val="clear" w:fill="FFFFFF"/>
          <w:lang w:val="en-US" w:eastAsia="zh-CN" w:bidi="ar"/>
        </w:rPr>
        <w:t>（三）政务信息公开情况</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1.主动公开政务信息情况。截止2021年12月31日，我局通过各媒体各平台产生政务信息106条。信息公开未产生任何支出，也未收取任何信息公开费用。</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2.依申请公开政务信息办理情况。我局依申请公开政务信息2条，已全部办结。</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3.主动公开政府信息的形式。政务信息主要通过门户网站、新闻媒体、两馆查阅场所、公告栏等便民渠道公开。</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rPr>
          <w:rFonts w:hint="eastAsia" w:ascii="黑体" w:hAnsi="宋体" w:eastAsia="黑体" w:cs="黑体"/>
          <w:color w:val="333333"/>
          <w:kern w:val="0"/>
          <w:sz w:val="32"/>
          <w:szCs w:val="32"/>
          <w:shd w:val="clear" w:fill="FFFFFF"/>
          <w:lang w:val="en-US" w:eastAsia="zh-CN" w:bidi="ar"/>
        </w:rPr>
      </w:pPr>
      <w:r>
        <w:rPr>
          <w:rFonts w:hint="eastAsia" w:ascii="黑体" w:hAnsi="宋体" w:eastAsia="黑体" w:cs="黑体"/>
          <w:color w:val="333333"/>
          <w:kern w:val="0"/>
          <w:sz w:val="32"/>
          <w:szCs w:val="32"/>
          <w:shd w:val="clear" w:fill="FFFFFF"/>
          <w:lang w:val="en-US" w:eastAsia="zh-CN" w:bidi="ar"/>
        </w:rPr>
        <w:t>二、主动公开政府信息情况</w:t>
      </w:r>
    </w:p>
    <w:tbl>
      <w:tblPr>
        <w:tblStyle w:val="5"/>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1</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right="0"/>
        <w:jc w:val="left"/>
        <w:textAlignment w:val="auto"/>
        <w:rPr>
          <w:rFonts w:hint="eastAsia" w:ascii="黑体" w:hAnsi="宋体" w:eastAsia="黑体" w:cs="黑体"/>
          <w:color w:val="333333"/>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rPr>
          <w:sz w:val="32"/>
          <w:szCs w:val="32"/>
        </w:rPr>
      </w:pPr>
      <w:r>
        <w:rPr>
          <w:rFonts w:hint="eastAsia" w:ascii="黑体" w:hAnsi="宋体" w:eastAsia="黑体" w:cs="黑体"/>
          <w:color w:val="333333"/>
          <w:kern w:val="0"/>
          <w:sz w:val="32"/>
          <w:szCs w:val="32"/>
          <w:shd w:val="clear" w:fill="FFFFFF"/>
          <w:lang w:val="en-US" w:eastAsia="zh-CN" w:bidi="ar"/>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6"/>
        <w:gridCol w:w="954"/>
        <w:gridCol w:w="3207"/>
        <w:gridCol w:w="687"/>
        <w:gridCol w:w="687"/>
        <w:gridCol w:w="687"/>
        <w:gridCol w:w="687"/>
        <w:gridCol w:w="687"/>
        <w:gridCol w:w="687"/>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1" w:hRule="atLeast"/>
          <w:jc w:val="center"/>
        </w:trPr>
        <w:tc>
          <w:tcPr>
            <w:tcW w:w="4927"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（本列数据的勾稽关系为：第一项加第二项之和，等于第三项加第四项之和） </w:t>
            </w:r>
          </w:p>
        </w:tc>
        <w:tc>
          <w:tcPr>
            <w:tcW w:w="4821"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申请人情况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1" w:hRule="atLeast"/>
          <w:jc w:val="center"/>
        </w:trPr>
        <w:tc>
          <w:tcPr>
            <w:tcW w:w="492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8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自然人 </w:t>
            </w:r>
          </w:p>
        </w:tc>
        <w:tc>
          <w:tcPr>
            <w:tcW w:w="343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法人或其他组织 </w:t>
            </w:r>
          </w:p>
        </w:tc>
        <w:tc>
          <w:tcPr>
            <w:tcW w:w="69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总计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2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87"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商业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企业 </w:t>
            </w:r>
          </w:p>
        </w:tc>
        <w:tc>
          <w:tcPr>
            <w:tcW w:w="687"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科研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机构 </w:t>
            </w:r>
          </w:p>
        </w:tc>
        <w:tc>
          <w:tcPr>
            <w:tcW w:w="687"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社会公益组织 </w:t>
            </w:r>
          </w:p>
        </w:tc>
        <w:tc>
          <w:tcPr>
            <w:tcW w:w="687"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法律服务机构 </w:t>
            </w:r>
          </w:p>
        </w:tc>
        <w:tc>
          <w:tcPr>
            <w:tcW w:w="687"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其他 </w:t>
            </w:r>
          </w:p>
        </w:tc>
        <w:tc>
          <w:tcPr>
            <w:tcW w:w="69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4927"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一、本年新收政府信息公开申请数量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4927"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二、上年结转政府信息公开申请数量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三、本年度办理结果 </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（一）予以公开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（二）部分公开（区分处理的，只计这一情形，不计其他情形）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（三）不予公开 </w:t>
            </w: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1.属于国家秘密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0"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2.其他法律行政法规禁止公开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3.危及“三安全一稳定”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4.保护第三方合法权益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5.属于三类内部事务信息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  </w:t>
            </w: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6.属于四类过程性信息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  </w:t>
            </w: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7.属于行政执法案卷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8.属于行政查询事项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（四）无法提供 </w:t>
            </w: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1.本机关不掌握相关政府信息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5"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2.没有现成信息需要另行制作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3.补正后申请内容仍不明确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（五）不予处理 </w:t>
            </w: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1.信访举报投诉类申请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2.重复申请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3.要求提供公开出版物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5"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4.无正当理由大量反复申请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5.要求行政机关确认或重新出具已获取信息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（六）其他处理 </w:t>
            </w: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1.申请人无正当理由逾期不补正、行政机关不再处理其政府信息公开申请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2.申请人逾期未按收费通知要求缴纳费用、行政机关不再处理其政府信息公开申请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954"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320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both"/>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3.其他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stheme="minorEastAsia"/>
                <w:color w:val="000000"/>
                <w:kern w:val="0"/>
                <w:sz w:val="28"/>
                <w:szCs w:val="28"/>
                <w:lang w:val="en-US" w:eastAsia="zh-CN" w:bidi="ar"/>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jc w:val="center"/>
        </w:trPr>
        <w:tc>
          <w:tcPr>
            <w:tcW w:w="766"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（七）总计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927"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四、结转下年度继续办理 </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 0</w:t>
            </w:r>
          </w:p>
        </w:tc>
        <w:tc>
          <w:tcPr>
            <w:tcW w:w="68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rPr>
            </w:pPr>
            <w:r>
              <w:rPr>
                <w:rFonts w:hint="default" w:ascii="Times New Roman" w:hAnsi="Times New Roman" w:eastAsia="仿宋_GB2312"/>
                <w:color w:val="000000"/>
                <w:sz w:val="28"/>
                <w:szCs w:val="28"/>
                <w:lang w:val="en-US" w:eastAsia="zh-CN"/>
              </w:rPr>
              <w:t>0 </w:t>
            </w:r>
          </w:p>
        </w:tc>
        <w:tc>
          <w:tcPr>
            <w:tcW w:w="6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  0</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jc w:val="center"/>
        <w:textAlignment w:val="auto"/>
        <w:rPr>
          <w:rFonts w:hint="eastAsia" w:ascii="黑体" w:hAnsi="宋体" w:eastAsia="黑体" w:cs="黑体"/>
          <w:color w:val="333333"/>
          <w:kern w:val="0"/>
          <w:sz w:val="32"/>
          <w:szCs w:val="32"/>
          <w:shd w:val="clear" w:fill="FFFFFF"/>
          <w:lang w:val="en-US" w:eastAsia="zh-CN" w:bidi="ar"/>
        </w:rPr>
      </w:pPr>
      <w:r>
        <w:rPr>
          <w:rFonts w:hint="eastAsia" w:ascii="宋体" w:hAnsi="宋体" w:eastAsia="宋体" w:cs="宋体"/>
          <w:color w:val="333333"/>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rPr>
          <w:sz w:val="32"/>
          <w:szCs w:val="32"/>
        </w:rPr>
      </w:pPr>
      <w:r>
        <w:rPr>
          <w:rFonts w:hint="eastAsia" w:ascii="黑体" w:hAnsi="宋体" w:eastAsia="黑体" w:cs="黑体"/>
          <w:color w:val="333333"/>
          <w:kern w:val="0"/>
          <w:sz w:val="32"/>
          <w:szCs w:val="32"/>
          <w:shd w:val="clear" w:fill="FFFFFF"/>
          <w:lang w:val="en-US" w:eastAsia="zh-CN" w:bidi="ar"/>
        </w:rPr>
        <w:t>四、政府信息公开行政复议、行政诉讼情况</w:t>
      </w:r>
      <w:r>
        <w:rPr>
          <w:rFonts w:asciiTheme="minorEastAsia" w:hAnsiTheme="minorEastAsia" w:eastAsiaTheme="minorEastAsia" w:cstheme="minorEastAsia"/>
          <w:color w:val="333333"/>
          <w:kern w:val="0"/>
          <w:sz w:val="32"/>
          <w:szCs w:val="32"/>
          <w:shd w:val="clear" w:fill="FFFFFF"/>
          <w:lang w:val="en-US" w:eastAsia="zh-CN" w:bidi="ar"/>
        </w:rPr>
        <w:t> </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行政复议 </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行政诉讼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结果维持 </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纠正 </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其他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尚未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审结 </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总计 </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未经复议直接起诉 </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复议后起诉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维持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纠正 </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其他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尚未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审结 </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总计 </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维持 </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纠正 </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其他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结果 </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尚未 </w:t>
            </w:r>
          </w:p>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审结 </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总计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 0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 xml:space="preserve">0 </w:t>
            </w:r>
          </w:p>
        </w:tc>
      </w:tr>
    </w:tbl>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rPr>
          <w:rFonts w:hint="eastAsia" w:ascii="宋体" w:hAnsi="宋体" w:eastAsia="宋体" w:cs="宋体"/>
          <w:b w:val="0"/>
          <w:bCs w:val="0"/>
          <w:color w:val="333333"/>
          <w:kern w:val="0"/>
          <w:sz w:val="32"/>
          <w:szCs w:val="32"/>
          <w:shd w:val="clear" w:fill="FFFFFF"/>
          <w:lang w:val="en-US" w:eastAsia="zh-CN" w:bidi="ar"/>
        </w:rPr>
      </w:pPr>
      <w:r>
        <w:rPr>
          <w:rFonts w:hint="eastAsia" w:ascii="黑体" w:hAnsi="宋体" w:eastAsia="黑体" w:cs="黑体"/>
          <w:b w:val="0"/>
          <w:bCs w:val="0"/>
          <w:color w:val="333333"/>
          <w:kern w:val="0"/>
          <w:sz w:val="32"/>
          <w:szCs w:val="32"/>
          <w:shd w:val="clear" w:fill="FFFFFF"/>
          <w:lang w:val="en-US" w:eastAsia="zh-CN" w:bidi="ar"/>
        </w:rPr>
        <w:t>存在的主要问题及改进情况</w:t>
      </w:r>
      <w:r>
        <w:rPr>
          <w:rFonts w:hint="eastAsia" w:ascii="宋体" w:hAnsi="宋体" w:eastAsia="宋体" w:cs="宋体"/>
          <w:b w:val="0"/>
          <w:bCs w:val="0"/>
          <w:color w:val="333333"/>
          <w:kern w:val="0"/>
          <w:sz w:val="32"/>
          <w:szCs w:val="32"/>
          <w:shd w:val="clear" w:fill="FFFFFF"/>
          <w:lang w:val="en-US" w:eastAsia="zh-CN" w:bidi="ar"/>
        </w:rPr>
        <w:t xml:space="preserve"> </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Autospacing="0" w:afterAutospacing="0"/>
        <w:ind w:left="480" w:leftChars="0" w:right="0" w:rightChars="0"/>
        <w:jc w:val="left"/>
        <w:textAlignment w:val="auto"/>
        <w:rPr>
          <w:b w:val="0"/>
          <w:bCs w:val="0"/>
          <w:sz w:val="30"/>
          <w:szCs w:val="30"/>
        </w:rPr>
      </w:pPr>
      <w:r>
        <w:rPr>
          <w:rFonts w:hint="eastAsia" w:ascii="黑体" w:hAnsi="宋体" w:eastAsia="黑体" w:cs="黑体"/>
          <w:b w:val="0"/>
          <w:bCs w:val="0"/>
          <w:color w:val="333333"/>
          <w:kern w:val="0"/>
          <w:sz w:val="30"/>
          <w:szCs w:val="30"/>
          <w:shd w:val="clear" w:fill="FFFFFF"/>
          <w:lang w:val="en-US" w:eastAsia="zh-CN" w:bidi="ar"/>
        </w:rPr>
        <w:t>（一）工作中存在的主要问题</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2021年我局信息公开工作虽取得一些成绩，但还存在一些不足，如：信息公开的形式较为单一、政策解读数量较少重点领域公开范围不够广、信息公开工作还需进一步规范。</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right="0" w:firstLine="480"/>
        <w:jc w:val="left"/>
        <w:textAlignment w:val="auto"/>
      </w:pPr>
      <w:r>
        <w:rPr>
          <w:rFonts w:hint="eastAsia" w:ascii="黑体" w:hAnsi="宋体" w:eastAsia="黑体" w:cs="黑体"/>
          <w:b w:val="0"/>
          <w:bCs w:val="0"/>
          <w:color w:val="333333"/>
          <w:kern w:val="0"/>
          <w:sz w:val="30"/>
          <w:szCs w:val="30"/>
          <w:shd w:val="clear" w:fill="FFFFFF"/>
          <w:lang w:val="en-US" w:eastAsia="zh-CN" w:bidi="ar"/>
        </w:rPr>
        <w:t>（二）具体的解决方法和改进情况</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一积极探索多种形式信息公开渠道，不断丰富信息公开内容；二是继续推进重点领域政府信息公开工作，及时对公众关注的财政领域热点问题进行解读。</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ind w:left="0" w:right="0" w:firstLine="640" w:firstLineChars="200"/>
        <w:jc w:val="left"/>
        <w:textAlignment w:val="auto"/>
        <w:rPr>
          <w:b w:val="0"/>
          <w:bCs w:val="0"/>
          <w:sz w:val="32"/>
          <w:szCs w:val="32"/>
        </w:rPr>
      </w:pPr>
      <w:r>
        <w:rPr>
          <w:rFonts w:hint="eastAsia" w:ascii="黑体" w:hAnsi="宋体" w:eastAsia="黑体" w:cs="黑体"/>
          <w:b w:val="0"/>
          <w:bCs w:val="0"/>
          <w:color w:val="333333"/>
          <w:kern w:val="0"/>
          <w:sz w:val="32"/>
          <w:szCs w:val="32"/>
          <w:shd w:val="clear" w:fill="FFFFFF"/>
          <w:lang w:val="en-US" w:eastAsia="zh-CN" w:bidi="ar"/>
        </w:rPr>
        <w:t>六、其他需要报告的事项</w:t>
      </w:r>
      <w:r>
        <w:rPr>
          <w:rFonts w:hint="eastAsia" w:ascii="宋体" w:hAnsi="宋体" w:eastAsia="宋体" w:cs="宋体"/>
          <w:b w:val="0"/>
          <w:bCs w:val="0"/>
          <w:color w:val="333333"/>
          <w:kern w:val="0"/>
          <w:sz w:val="32"/>
          <w:szCs w:val="32"/>
          <w:shd w:val="clear" w:fill="FFFFFF"/>
          <w:lang w:val="en-US" w:eastAsia="zh-CN" w:bidi="ar"/>
        </w:rPr>
        <w:t xml:space="preserve"> </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r>
        <w:rPr>
          <w:rFonts w:hint="eastAsia" w:ascii="Times New Roman" w:hAnsi="Times New Roman" w:eastAsia="仿宋_GB2312" w:cs="Times New Roman"/>
          <w:color w:val="000000"/>
          <w:kern w:val="32"/>
          <w:sz w:val="32"/>
          <w:szCs w:val="32"/>
          <w:lang w:val="en-US" w:eastAsia="zh-CN" w:bidi="ar-SA"/>
        </w:rPr>
        <w:t xml:space="preserve">本年度依申请公开政府信息未收取任何费用。 </w:t>
      </w:r>
    </w:p>
    <w:p>
      <w:pPr>
        <w:pStyle w:val="4"/>
        <w:widowControl w:val="0"/>
        <w:shd w:val="clear" w:color="auto" w:fill="FFFFFF"/>
        <w:spacing w:before="0" w:beforeAutospacing="0" w:after="0" w:afterAutospacing="0" w:line="560" w:lineRule="exact"/>
        <w:ind w:left="0" w:right="0" w:firstLine="640" w:firstLineChars="200"/>
        <w:jc w:val="both"/>
        <w:rPr>
          <w:rFonts w:hint="eastAsia" w:ascii="Times New Roman" w:hAnsi="Times New Roman" w:eastAsia="仿宋_GB2312" w:cs="Times New Roman"/>
          <w:color w:val="000000"/>
          <w:kern w:val="32"/>
          <w:sz w:val="32"/>
          <w:szCs w:val="32"/>
          <w:lang w:val="en-US" w:eastAsia="zh-CN" w:bidi="ar-SA"/>
        </w:rPr>
      </w:pPr>
      <w:bookmarkStart w:id="0" w:name="_GoBack"/>
      <w:bookmarkEnd w:id="0"/>
      <w:r>
        <w:rPr>
          <w:rFonts w:hint="eastAsia" w:ascii="Times New Roman" w:hAnsi="Times New Roman" w:eastAsia="仿宋_GB2312" w:cs="Times New Roman"/>
          <w:color w:val="000000"/>
          <w:kern w:val="32"/>
          <w:sz w:val="32"/>
          <w:szCs w:val="32"/>
          <w:lang w:val="en-US" w:eastAsia="zh-CN" w:bidi="ar-SA"/>
        </w:rPr>
        <w:t>如需了解更多政府信息，请登录上高县人民政府网（http://www.shanggao.gov.cn）查询。</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963D84"/>
    <w:multiLevelType w:val="singleLevel"/>
    <w:tmpl w:val="EE963D8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Y2E4NWNmZTY2OWVhODJkMWFjNDRkOGFlNTM3ZjIifQ=="/>
  </w:docVars>
  <w:rsids>
    <w:rsidRoot w:val="34274DC5"/>
    <w:rsid w:val="0C427BF3"/>
    <w:rsid w:val="1AAA24C7"/>
    <w:rsid w:val="301D7787"/>
    <w:rsid w:val="34274DC5"/>
    <w:rsid w:val="38E662DC"/>
    <w:rsid w:val="3D907B14"/>
    <w:rsid w:val="3FC6128D"/>
    <w:rsid w:val="48F312EE"/>
    <w:rsid w:val="609F20C9"/>
    <w:rsid w:val="613C04DA"/>
    <w:rsid w:val="62C353DF"/>
    <w:rsid w:val="6EEC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99"/>
    <w:pPr>
      <w:spacing w:beforeAutospacing="1" w:afterAutospacing="1"/>
      <w:jc w:val="left"/>
      <w:outlineLvl w:val="2"/>
    </w:pPr>
    <w:rPr>
      <w:rFonts w:ascii="宋体" w:hAnsi="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2358</Words>
  <Characters>2685</Characters>
  <Lines>0</Lines>
  <Paragraphs>0</Paragraphs>
  <TotalTime>8</TotalTime>
  <ScaleCrop>false</ScaleCrop>
  <LinksUpToDate>false</LinksUpToDate>
  <CharactersWithSpaces>2783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冰糖葫芦不加榶</cp:lastModifiedBy>
  <dcterms:modified xsi:type="dcterms:W3CDTF">2023-01-05T08:27:58Z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8741D40C5F17483FA5EADE4D5F305BCD</vt:lpwstr>
  </property>
</Properties>
</file>