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outlineLvl w:val="9"/>
        <w:rPr>
          <w:rFonts w:hint="eastAsia" w:ascii="Times New Roman" w:hAnsi="Times New Roman" w:eastAsia="方正小标宋简体" w:cs="方正小标宋简体"/>
          <w:b w:val="0"/>
          <w:bCs w:val="0"/>
          <w:i w:val="0"/>
          <w:iCs w:val="0"/>
          <w:caps w:val="0"/>
          <w:color w:val="000000" w:themeColor="text1"/>
          <w:spacing w:val="0"/>
          <w:sz w:val="44"/>
          <w:szCs w:val="44"/>
          <w:shd w:val="clear" w:fill="FFFFFF"/>
          <w:lang w:bidi="ar"/>
          <w14:textFill>
            <w14:solidFill>
              <w14:schemeClr w14:val="tx1"/>
            </w14:solidFill>
          </w14:textFill>
        </w:rPr>
      </w:pPr>
      <w:bookmarkStart w:id="0" w:name="OLE_LINK1"/>
      <w:r>
        <w:rPr>
          <w:rFonts w:hint="eastAsia" w:ascii="Times New Roman" w:hAnsi="Times New Roman" w:eastAsia="方正小标宋简体" w:cs="方正小标宋简体"/>
          <w:b w:val="0"/>
          <w:bCs w:val="0"/>
          <w:i w:val="0"/>
          <w:iCs w:val="0"/>
          <w:caps w:val="0"/>
          <w:color w:val="000000" w:themeColor="text1"/>
          <w:spacing w:val="0"/>
          <w:sz w:val="44"/>
          <w:szCs w:val="44"/>
          <w:shd w:val="clear" w:fill="FFFFFF"/>
          <w:lang w:bidi="ar"/>
          <w14:textFill>
            <w14:solidFill>
              <w14:schemeClr w14:val="tx1"/>
            </w14:solidFill>
          </w14:textFill>
        </w:rPr>
        <w:t>宜春市上高生态环境局</w:t>
      </w:r>
      <w:r>
        <w:rPr>
          <w:rFonts w:hint="eastAsia" w:ascii="Times New Roman" w:hAnsi="Times New Roman" w:eastAsia="方正小标宋简体" w:cs="方正小标宋简体"/>
          <w:b w:val="0"/>
          <w:bCs w:val="0"/>
          <w:i w:val="0"/>
          <w:iCs w:val="0"/>
          <w:caps w:val="0"/>
          <w:color w:val="000000" w:themeColor="text1"/>
          <w:spacing w:val="0"/>
          <w:sz w:val="44"/>
          <w:szCs w:val="44"/>
          <w:shd w:val="clear" w:fill="FFFFFF"/>
          <w:lang w:val="en-US" w:eastAsia="zh-CN" w:bidi="ar"/>
          <w14:textFill>
            <w14:solidFill>
              <w14:schemeClr w14:val="tx1"/>
            </w14:solidFill>
          </w14:textFill>
        </w:rPr>
        <w:t>2023</w:t>
      </w:r>
      <w:r>
        <w:rPr>
          <w:rFonts w:hint="eastAsia" w:ascii="Times New Roman" w:hAnsi="Times New Roman" w:eastAsia="方正小标宋简体" w:cs="方正小标宋简体"/>
          <w:b w:val="0"/>
          <w:bCs w:val="0"/>
          <w:i w:val="0"/>
          <w:iCs w:val="0"/>
          <w:caps w:val="0"/>
          <w:color w:val="000000" w:themeColor="text1"/>
          <w:spacing w:val="0"/>
          <w:sz w:val="44"/>
          <w:szCs w:val="44"/>
          <w:shd w:val="clear" w:fill="FFFFFF"/>
          <w:lang w:bidi="ar"/>
          <w14:textFill>
            <w14:solidFill>
              <w14:schemeClr w14:val="tx1"/>
            </w14:solidFill>
          </w14:textFill>
        </w:rPr>
        <w:t>年政府信息公开工作年度报告</w:t>
      </w:r>
    </w:p>
    <w:p>
      <w:pPr>
        <w:rPr>
          <w:rFonts w:hint="default" w:ascii="仿宋_GB2312" w:hAnsi="仿宋_GB2312" w:eastAsia="仿宋_GB2312" w:cs="仿宋_GB2312"/>
          <w:b w:val="0"/>
          <w:bCs w:val="0"/>
          <w:color w:val="126CB7"/>
          <w:sz w:val="48"/>
          <w:szCs w:val="48"/>
        </w:rPr>
      </w:pPr>
    </w:p>
    <w:p>
      <w:pPr>
        <w:pStyle w:val="3"/>
        <w:widowControl/>
        <w:shd w:val="clear" w:color="auto" w:fill="FFFFFF"/>
        <w:spacing w:beforeAutospacing="0" w:afterAutospacing="0" w:line="450" w:lineRule="atLeast"/>
        <w:ind w:firstLine="640"/>
        <w:jc w:val="both"/>
        <w:rPr>
          <w:rFonts w:ascii="仿宋_GB2312" w:hAnsi="仿宋_GB2312" w:eastAsia="仿宋_GB2312" w:cs="仿宋_GB2312"/>
          <w:color w:val="333333"/>
          <w:sz w:val="21"/>
          <w:szCs w:val="21"/>
        </w:rPr>
      </w:pPr>
      <w:r>
        <w:rPr>
          <w:rFonts w:hint="eastAsia" w:ascii="仿宋_GB2312" w:hAnsi="仿宋_GB2312" w:eastAsia="仿宋_GB2312" w:cs="仿宋_GB2312"/>
          <w:color w:val="333333"/>
          <w:sz w:val="32"/>
          <w:szCs w:val="32"/>
          <w:shd w:val="clear" w:color="auto" w:fill="FFFFFF"/>
        </w:rPr>
        <w:t>本报告依据《中华人民共和国政府信息公开条例》（以下简称《条例》）和《国务院办公厅关于印发政府网站发展指引的通知》、国务院办公厅政府信息与政务公开办公室国办公开办函〔2021〕30号等文件要求编制本报告。本年度报告中所列数据的统计期限自202</w:t>
      </w:r>
      <w:r>
        <w:rPr>
          <w:rFonts w:hint="eastAsia" w:ascii="仿宋_GB2312" w:hAnsi="仿宋_GB2312" w:eastAsia="仿宋_GB2312" w:cs="仿宋_GB2312"/>
          <w:color w:val="333333"/>
          <w:sz w:val="32"/>
          <w:szCs w:val="32"/>
          <w:shd w:val="clear" w:color="auto" w:fill="FFFFFF"/>
          <w:lang w:val="en-US" w:eastAsia="zh-CN"/>
        </w:rPr>
        <w:t>3</w:t>
      </w:r>
      <w:r>
        <w:rPr>
          <w:rFonts w:hint="eastAsia" w:ascii="仿宋_GB2312" w:hAnsi="仿宋_GB2312" w:eastAsia="仿宋_GB2312" w:cs="仿宋_GB2312"/>
          <w:color w:val="333333"/>
          <w:sz w:val="32"/>
          <w:szCs w:val="32"/>
          <w:shd w:val="clear" w:color="auto" w:fill="FFFFFF"/>
        </w:rPr>
        <w:t>年1月1日起至202</w:t>
      </w:r>
      <w:r>
        <w:rPr>
          <w:rFonts w:hint="eastAsia" w:ascii="仿宋_GB2312" w:hAnsi="仿宋_GB2312" w:eastAsia="仿宋_GB2312" w:cs="仿宋_GB2312"/>
          <w:color w:val="333333"/>
          <w:sz w:val="32"/>
          <w:szCs w:val="32"/>
          <w:shd w:val="clear" w:color="auto" w:fill="FFFFFF"/>
          <w:lang w:val="en-US" w:eastAsia="zh-CN"/>
        </w:rPr>
        <w:t>3</w:t>
      </w:r>
      <w:r>
        <w:rPr>
          <w:rFonts w:hint="eastAsia" w:ascii="仿宋_GB2312" w:hAnsi="仿宋_GB2312" w:eastAsia="仿宋_GB2312" w:cs="仿宋_GB2312"/>
          <w:color w:val="333333"/>
          <w:sz w:val="32"/>
          <w:szCs w:val="32"/>
          <w:shd w:val="clear" w:color="auto" w:fill="FFFFFF"/>
        </w:rPr>
        <w:t>年12月31日止。</w:t>
      </w:r>
    </w:p>
    <w:p>
      <w:pPr>
        <w:pStyle w:val="3"/>
        <w:widowControl/>
        <w:shd w:val="clear" w:color="auto" w:fill="FFFFFF"/>
        <w:spacing w:before="300" w:beforeAutospacing="0" w:afterAutospacing="0" w:line="450" w:lineRule="atLeast"/>
        <w:ind w:firstLine="420"/>
        <w:jc w:val="both"/>
        <w:rPr>
          <w:rFonts w:ascii="仿宋_GB2312" w:hAnsi="仿宋_GB2312" w:eastAsia="仿宋_GB2312" w:cs="仿宋_GB2312"/>
          <w:color w:val="333333"/>
        </w:rPr>
      </w:pPr>
      <w:r>
        <w:rPr>
          <w:rFonts w:hint="eastAsia" w:ascii="仿宋_GB2312" w:hAnsi="仿宋_GB2312" w:eastAsia="仿宋_GB2312" w:cs="仿宋_GB2312"/>
          <w:b/>
          <w:bCs/>
          <w:color w:val="333333"/>
          <w:sz w:val="32"/>
          <w:szCs w:val="32"/>
          <w:shd w:val="clear" w:color="auto" w:fill="FFFFFF"/>
        </w:rPr>
        <w:t>一、总体情况</w:t>
      </w:r>
    </w:p>
    <w:p>
      <w:pPr>
        <w:pStyle w:val="3"/>
        <w:widowControl/>
        <w:shd w:val="clear" w:color="auto" w:fill="FFFFFF"/>
        <w:spacing w:before="300" w:beforeAutospacing="0" w:afterAutospacing="0" w:line="450" w:lineRule="atLeast"/>
        <w:ind w:firstLine="64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202</w:t>
      </w:r>
      <w:r>
        <w:rPr>
          <w:rFonts w:hint="eastAsia" w:ascii="仿宋_GB2312" w:hAnsi="仿宋_GB2312" w:eastAsia="仿宋_GB2312" w:cs="仿宋_GB2312"/>
          <w:color w:val="333333"/>
          <w:sz w:val="32"/>
          <w:szCs w:val="32"/>
          <w:shd w:val="clear" w:color="auto" w:fill="FFFFFF"/>
          <w:lang w:val="en-US" w:eastAsia="zh-CN"/>
        </w:rPr>
        <w:t>3</w:t>
      </w:r>
      <w:r>
        <w:rPr>
          <w:rFonts w:hint="eastAsia" w:ascii="仿宋_GB2312" w:hAnsi="仿宋_GB2312" w:eastAsia="仿宋_GB2312" w:cs="仿宋_GB2312"/>
          <w:color w:val="333333"/>
          <w:sz w:val="32"/>
          <w:szCs w:val="32"/>
          <w:shd w:val="clear" w:color="auto" w:fill="FFFFFF"/>
        </w:rPr>
        <w:t>年</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上高生态环境局</w:t>
      </w:r>
      <w:r>
        <w:rPr>
          <w:rFonts w:hint="eastAsia" w:ascii="仿宋_GB2312" w:hAnsi="仿宋_GB2312" w:eastAsia="仿宋_GB2312" w:cs="仿宋_GB2312"/>
          <w:color w:val="333333"/>
          <w:sz w:val="32"/>
          <w:szCs w:val="32"/>
          <w:shd w:val="clear" w:color="auto" w:fill="FFFFFF"/>
          <w:lang w:val="en-US" w:eastAsia="zh-CN"/>
        </w:rPr>
        <w:t>深入贯彻落实党的二十大和习近平总书记考察江西重要讲话精神</w:t>
      </w:r>
      <w:r>
        <w:rPr>
          <w:rFonts w:hint="eastAsia" w:ascii="仿宋_GB2312" w:hAnsi="仿宋_GB2312" w:eastAsia="仿宋_GB2312" w:cs="仿宋_GB2312"/>
          <w:color w:val="333333"/>
          <w:sz w:val="32"/>
          <w:szCs w:val="32"/>
          <w:shd w:val="clear" w:color="auto" w:fill="FFFFFF"/>
        </w:rPr>
        <w:t>，围绕县委、县政府和局党组的重大决策部署</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lang w:val="en-US" w:eastAsia="zh-CN"/>
        </w:rPr>
        <w:t>按照政府信息</w:t>
      </w:r>
      <w:r>
        <w:rPr>
          <w:rFonts w:hint="eastAsia" w:ascii="仿宋_GB2312" w:hAnsi="仿宋_GB2312" w:eastAsia="仿宋_GB2312" w:cs="仿宋_GB2312"/>
          <w:color w:val="333333"/>
          <w:sz w:val="32"/>
          <w:szCs w:val="32"/>
          <w:shd w:val="clear" w:color="auto" w:fill="FFFFFF"/>
        </w:rPr>
        <w:t>公开工作要求,</w:t>
      </w:r>
      <w:r>
        <w:rPr>
          <w:rFonts w:hint="eastAsia" w:ascii="仿宋_GB2312" w:hAnsi="仿宋_GB2312" w:eastAsia="仿宋_GB2312" w:cs="仿宋_GB2312"/>
          <w:color w:val="333333"/>
          <w:sz w:val="32"/>
          <w:szCs w:val="32"/>
          <w:shd w:val="clear" w:color="auto" w:fill="FFFFFF"/>
          <w:lang w:val="en-US" w:eastAsia="zh-CN"/>
        </w:rPr>
        <w:t>进一步</w:t>
      </w:r>
      <w:r>
        <w:rPr>
          <w:rFonts w:hint="eastAsia" w:ascii="仿宋_GB2312" w:hAnsi="仿宋_GB2312" w:eastAsia="仿宋_GB2312" w:cs="仿宋_GB2312"/>
          <w:color w:val="333333"/>
          <w:sz w:val="32"/>
          <w:szCs w:val="32"/>
          <w:shd w:val="clear" w:color="auto" w:fill="FFFFFF"/>
        </w:rPr>
        <w:t>健全完善政务公开制度,持续加大主动公开力度,努力畅通公开渠道,积极回应社会关切,</w:t>
      </w:r>
      <w:r>
        <w:rPr>
          <w:rFonts w:hint="eastAsia" w:ascii="仿宋_GB2312" w:hAnsi="仿宋_GB2312" w:eastAsia="仿宋_GB2312" w:cs="仿宋_GB2312"/>
          <w:color w:val="333333"/>
          <w:sz w:val="32"/>
          <w:szCs w:val="32"/>
          <w:shd w:val="clear" w:color="auto" w:fill="FFFFFF"/>
          <w:lang w:val="en-US" w:eastAsia="zh-CN"/>
        </w:rPr>
        <w:t>平稳推进</w:t>
      </w:r>
      <w:r>
        <w:rPr>
          <w:rFonts w:hint="eastAsia" w:ascii="仿宋_GB2312" w:hAnsi="仿宋_GB2312" w:eastAsia="仿宋_GB2312" w:cs="仿宋_GB2312"/>
          <w:color w:val="333333"/>
          <w:sz w:val="32"/>
          <w:szCs w:val="32"/>
          <w:shd w:val="clear" w:color="auto" w:fill="FFFFFF"/>
        </w:rPr>
        <w:t>政府信息公开</w:t>
      </w:r>
      <w:r>
        <w:rPr>
          <w:rFonts w:hint="eastAsia" w:ascii="仿宋_GB2312" w:hAnsi="仿宋_GB2312" w:eastAsia="仿宋_GB2312" w:cs="仿宋_GB2312"/>
          <w:color w:val="333333"/>
          <w:sz w:val="32"/>
          <w:szCs w:val="32"/>
          <w:shd w:val="clear" w:color="auto" w:fill="FFFFFF"/>
          <w:lang w:val="en-US" w:eastAsia="zh-CN"/>
        </w:rPr>
        <w:t>工作取得成效</w:t>
      </w:r>
      <w:r>
        <w:rPr>
          <w:rFonts w:hint="eastAsia" w:ascii="仿宋_GB2312" w:hAnsi="仿宋_GB2312" w:eastAsia="仿宋_GB2312" w:cs="仿宋_GB2312"/>
          <w:color w:val="333333"/>
          <w:sz w:val="32"/>
          <w:szCs w:val="32"/>
          <w:shd w:val="clear" w:color="auto" w:fill="FFFFFF"/>
        </w:rPr>
        <w:t>。</w:t>
      </w:r>
    </w:p>
    <w:p>
      <w:pPr>
        <w:pStyle w:val="3"/>
        <w:widowControl/>
        <w:shd w:val="clear" w:color="auto" w:fill="FFFFFF"/>
        <w:spacing w:before="300" w:beforeAutospacing="0" w:afterAutospacing="0" w:line="450" w:lineRule="atLeast"/>
        <w:ind w:firstLine="640"/>
        <w:jc w:val="both"/>
        <w:rPr>
          <w:rFonts w:hint="default"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b/>
          <w:bCs/>
          <w:color w:val="333333"/>
          <w:sz w:val="32"/>
          <w:szCs w:val="32"/>
          <w:shd w:val="clear" w:color="auto" w:fill="FFFFFF"/>
          <w:lang w:val="en-US" w:eastAsia="zh-CN"/>
        </w:rPr>
        <w:t>（一）主动公开。</w:t>
      </w:r>
      <w:r>
        <w:rPr>
          <w:rFonts w:hint="eastAsia" w:ascii="仿宋_GB2312" w:hAnsi="仿宋_GB2312" w:eastAsia="仿宋_GB2312" w:cs="仿宋_GB2312"/>
          <w:color w:val="333333"/>
          <w:sz w:val="32"/>
          <w:szCs w:val="32"/>
          <w:shd w:val="clear" w:color="auto" w:fill="FFFFFF"/>
          <w:lang w:val="en-US" w:eastAsia="zh-CN"/>
        </w:rPr>
        <w:t>2023年，我局主动公开信息共478条，涉及决策公开</w:t>
      </w:r>
      <w:r>
        <w:rPr>
          <w:rFonts w:hint="default" w:ascii="仿宋_GB2312" w:hAnsi="仿宋_GB2312" w:eastAsia="仿宋_GB2312" w:cs="仿宋_GB2312"/>
          <w:color w:val="333333"/>
          <w:sz w:val="32"/>
          <w:szCs w:val="32"/>
          <w:shd w:val="clear" w:color="auto" w:fill="FFFFFF"/>
          <w:lang w:val="en-US" w:eastAsia="zh-CN"/>
        </w:rPr>
        <w:t>、执行公开、管理公开、服务公开、结果公开、重点领域信息公开</w:t>
      </w:r>
      <w:r>
        <w:rPr>
          <w:rFonts w:hint="eastAsia" w:ascii="仿宋_GB2312" w:hAnsi="仿宋_GB2312" w:eastAsia="仿宋_GB2312" w:cs="仿宋_GB2312"/>
          <w:color w:val="333333"/>
          <w:sz w:val="32"/>
          <w:szCs w:val="32"/>
          <w:shd w:val="clear" w:color="auto" w:fill="FFFFFF"/>
          <w:lang w:val="en-US" w:eastAsia="zh-CN"/>
        </w:rPr>
        <w:t>、重大建设项目批准和实施公开等七个方面的信息，召开新闻发布会一次</w:t>
      </w:r>
      <w:r>
        <w:rPr>
          <w:rFonts w:hint="default" w:ascii="仿宋_GB2312" w:hAnsi="仿宋_GB2312" w:eastAsia="仿宋_GB2312" w:cs="仿宋_GB2312"/>
          <w:color w:val="333333"/>
          <w:sz w:val="32"/>
          <w:szCs w:val="32"/>
          <w:shd w:val="clear" w:color="auto" w:fill="FFFFFF"/>
          <w:lang w:val="en-US" w:eastAsia="zh-CN"/>
        </w:rPr>
        <w:t>。</w:t>
      </w:r>
    </w:p>
    <w:p>
      <w:pPr>
        <w:pStyle w:val="3"/>
        <w:widowControl/>
        <w:shd w:val="clear" w:color="auto" w:fill="FFFFFF"/>
        <w:spacing w:before="300" w:beforeAutospacing="0" w:afterAutospacing="0" w:line="450" w:lineRule="atLeast"/>
        <w:ind w:firstLine="640"/>
        <w:jc w:val="both"/>
        <w:rPr>
          <w:rFonts w:hint="default"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b/>
          <w:bCs/>
          <w:color w:val="333333"/>
          <w:sz w:val="32"/>
          <w:szCs w:val="32"/>
          <w:shd w:val="clear" w:color="auto" w:fill="FFFFFF"/>
          <w:lang w:val="en-US" w:eastAsia="zh-CN"/>
        </w:rPr>
        <w:t>（二）依申请公开。</w:t>
      </w:r>
      <w:r>
        <w:rPr>
          <w:rFonts w:hint="eastAsia" w:ascii="仿宋_GB2312" w:hAnsi="仿宋_GB2312" w:eastAsia="仿宋_GB2312" w:cs="仿宋_GB2312"/>
          <w:b w:val="0"/>
          <w:bCs w:val="0"/>
          <w:color w:val="333333"/>
          <w:kern w:val="0"/>
          <w:sz w:val="32"/>
          <w:szCs w:val="32"/>
          <w:shd w:val="clear" w:color="auto" w:fill="FFFFFF"/>
          <w:lang w:val="en-US" w:eastAsia="zh-CN" w:bidi="ar-SA"/>
        </w:rPr>
        <w:t>2023年，我局收到社会公众提出的政府信息公开申请1件，已办理完结</w:t>
      </w:r>
      <w:r>
        <w:rPr>
          <w:rFonts w:hint="eastAsia" w:ascii="仿宋_GB2312" w:hAnsi="Calibri" w:eastAsia="仿宋_GB2312" w:cs="仿宋_GB2312"/>
          <w:i w:val="0"/>
          <w:iCs w:val="0"/>
          <w:caps w:val="0"/>
          <w:color w:val="000000"/>
          <w:spacing w:val="0"/>
          <w:sz w:val="32"/>
          <w:szCs w:val="32"/>
          <w:shd w:val="clear" w:fill="FFFFFF"/>
          <w:lang w:eastAsia="zh-CN"/>
        </w:rPr>
        <w:t>。</w:t>
      </w:r>
      <w:r>
        <w:rPr>
          <w:rFonts w:hint="default" w:ascii="仿宋_GB2312" w:hAnsi="Calibri" w:eastAsia="仿宋_GB2312" w:cs="仿宋_GB2312"/>
          <w:i w:val="0"/>
          <w:iCs w:val="0"/>
          <w:caps w:val="0"/>
          <w:color w:val="000000"/>
          <w:spacing w:val="0"/>
          <w:sz w:val="32"/>
          <w:szCs w:val="32"/>
          <w:shd w:val="clear" w:fill="FFFFFF"/>
        </w:rPr>
        <w:t>没有被申请行政复议、提起行政诉讼的情况。</w:t>
      </w:r>
    </w:p>
    <w:p>
      <w:pPr>
        <w:pStyle w:val="3"/>
        <w:widowControl/>
        <w:shd w:val="clear" w:color="auto" w:fill="FFFFFF"/>
        <w:spacing w:before="300" w:beforeAutospacing="0" w:afterAutospacing="0" w:line="450" w:lineRule="atLeast"/>
        <w:ind w:firstLine="64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lang w:val="en-US" w:eastAsia="zh-CN"/>
        </w:rPr>
        <w:t>（三）政府信息管理。</w:t>
      </w:r>
      <w:r>
        <w:rPr>
          <w:rFonts w:hint="eastAsia" w:ascii="仿宋_GB2312" w:hAnsi="仿宋_GB2312" w:eastAsia="仿宋_GB2312" w:cs="仿宋_GB2312"/>
          <w:b w:val="0"/>
          <w:bCs w:val="0"/>
          <w:color w:val="333333"/>
          <w:sz w:val="32"/>
          <w:szCs w:val="32"/>
          <w:shd w:val="clear" w:color="auto" w:fill="FFFFFF"/>
          <w:lang w:val="en-US" w:eastAsia="zh-CN"/>
        </w:rPr>
        <w:t>严格按照《条例》和政务公开相关规定制度等有关要求，编制政务公开事项标准目录，公开相关信息；加强信息资源的规范化、标准化、信息化管理；加强相关平台建设，提高政府信息公开的质量和效率；加强政府信息公开工作组</w:t>
      </w:r>
      <w:r>
        <w:rPr>
          <w:rFonts w:hint="eastAsia" w:ascii="仿宋_GB2312" w:hAnsi="仿宋_GB2312" w:eastAsia="仿宋_GB2312" w:cs="仿宋_GB2312"/>
          <w:color w:val="333333"/>
          <w:sz w:val="32"/>
          <w:szCs w:val="32"/>
          <w:shd w:val="clear" w:color="auto" w:fill="FFFFFF"/>
          <w:lang w:val="en-US" w:eastAsia="zh-CN"/>
        </w:rPr>
        <w:t>织领导，落实办公室专人负责信息公开工作，确保重要信息不漏报、不迟报、不误报。</w:t>
      </w:r>
    </w:p>
    <w:p>
      <w:pPr>
        <w:pStyle w:val="3"/>
        <w:widowControl/>
        <w:shd w:val="clear" w:color="auto" w:fill="FFFFFF"/>
        <w:spacing w:before="300" w:beforeAutospacing="0" w:afterAutospacing="0" w:line="450" w:lineRule="atLeast"/>
        <w:ind w:firstLine="64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lang w:val="en-US" w:eastAsia="zh-CN"/>
        </w:rPr>
        <w:t>（四）政府信息公开平台建设。</w:t>
      </w:r>
      <w:r>
        <w:rPr>
          <w:rFonts w:hint="eastAsia" w:ascii="仿宋_GB2312" w:hAnsi="仿宋_GB2312" w:eastAsia="仿宋_GB2312" w:cs="仿宋_GB2312"/>
          <w:color w:val="333333"/>
          <w:sz w:val="32"/>
          <w:szCs w:val="32"/>
          <w:shd w:val="clear" w:color="auto" w:fill="FFFFFF"/>
        </w:rPr>
        <w:t>充分利用、发挥</w:t>
      </w:r>
      <w:r>
        <w:rPr>
          <w:rFonts w:hint="eastAsia" w:ascii="仿宋_GB2312" w:hAnsi="仿宋_GB2312" w:eastAsia="仿宋_GB2312" w:cs="仿宋_GB2312"/>
          <w:color w:val="333333"/>
          <w:sz w:val="32"/>
          <w:szCs w:val="32"/>
          <w:shd w:val="clear" w:color="auto" w:fill="FFFFFF"/>
          <w:lang w:val="en-US" w:eastAsia="zh-CN"/>
        </w:rPr>
        <w:t>单位微信公众号、微博</w:t>
      </w:r>
      <w:r>
        <w:rPr>
          <w:rFonts w:hint="eastAsia" w:ascii="仿宋_GB2312" w:hAnsi="仿宋_GB2312" w:eastAsia="仿宋_GB2312" w:cs="仿宋_GB2312"/>
          <w:color w:val="333333"/>
          <w:sz w:val="32"/>
          <w:szCs w:val="32"/>
          <w:shd w:val="clear" w:color="auto" w:fill="FFFFFF"/>
        </w:rPr>
        <w:t>平台作用，</w:t>
      </w:r>
      <w:r>
        <w:rPr>
          <w:rFonts w:hint="eastAsia" w:ascii="仿宋_GB2312" w:hAnsi="仿宋_GB2312" w:eastAsia="仿宋_GB2312" w:cs="仿宋_GB2312"/>
          <w:color w:val="333333"/>
          <w:sz w:val="32"/>
          <w:szCs w:val="32"/>
          <w:shd w:val="clear" w:color="auto" w:fill="FFFFFF"/>
          <w:lang w:val="en-US" w:eastAsia="zh-CN"/>
        </w:rPr>
        <w:t>及时发布生态环境保护相关信息</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提供优质社会服务，努力提高工作的透明度和管理服务效能，不断增进</w:t>
      </w:r>
      <w:r>
        <w:rPr>
          <w:rFonts w:hint="eastAsia" w:ascii="仿宋_GB2312" w:hAnsi="仿宋_GB2312" w:eastAsia="仿宋_GB2312" w:cs="仿宋_GB2312"/>
          <w:color w:val="333333"/>
          <w:sz w:val="32"/>
          <w:szCs w:val="32"/>
          <w:shd w:val="clear" w:color="auto" w:fill="FFFFFF"/>
          <w:lang w:val="en-US" w:eastAsia="zh-CN"/>
        </w:rPr>
        <w:t>政府信息</w:t>
      </w:r>
      <w:r>
        <w:rPr>
          <w:rFonts w:hint="eastAsia" w:ascii="仿宋_GB2312" w:hAnsi="仿宋_GB2312" w:eastAsia="仿宋_GB2312" w:cs="仿宋_GB2312"/>
          <w:color w:val="333333"/>
          <w:sz w:val="32"/>
          <w:szCs w:val="32"/>
          <w:shd w:val="clear" w:color="auto" w:fill="FFFFFF"/>
        </w:rPr>
        <w:t>公开、增强政务服务能力。</w:t>
      </w:r>
    </w:p>
    <w:p>
      <w:pPr>
        <w:pStyle w:val="3"/>
        <w:widowControl/>
        <w:shd w:val="clear" w:color="auto" w:fill="FFFFFF"/>
        <w:spacing w:before="300" w:beforeAutospacing="0" w:afterAutospacing="0" w:line="450" w:lineRule="atLeast"/>
        <w:ind w:firstLine="640"/>
        <w:jc w:val="both"/>
        <w:rPr>
          <w:rFonts w:hint="eastAsia" w:ascii="仿宋_GB2312" w:hAnsi="仿宋_GB2312" w:eastAsia="仿宋_GB2312" w:cs="仿宋_GB2312"/>
          <w:b/>
          <w:bCs/>
          <w:color w:val="333333"/>
          <w:sz w:val="32"/>
          <w:szCs w:val="32"/>
          <w:shd w:val="clear" w:color="auto" w:fill="FFFFFF"/>
          <w:lang w:eastAsia="zh-CN"/>
        </w:rPr>
      </w:pPr>
      <w:r>
        <w:rPr>
          <w:rFonts w:hint="eastAsia" w:ascii="仿宋_GB2312" w:hAnsi="仿宋_GB2312" w:eastAsia="仿宋_GB2312" w:cs="仿宋_GB2312"/>
          <w:b/>
          <w:bCs/>
          <w:color w:val="333333"/>
          <w:sz w:val="32"/>
          <w:szCs w:val="32"/>
          <w:shd w:val="clear" w:color="auto" w:fill="FFFFFF"/>
          <w:lang w:val="en-US" w:eastAsia="zh-CN"/>
        </w:rPr>
        <w:t>（五）监督保障。</w:t>
      </w: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lang w:val="en-US" w:eastAsia="zh-CN"/>
        </w:rPr>
        <w:t>一是</w:t>
      </w:r>
      <w:r>
        <w:rPr>
          <w:rFonts w:hint="eastAsia" w:ascii="仿宋_GB2312" w:hAnsi="仿宋_GB2312" w:eastAsia="仿宋_GB2312" w:cs="仿宋_GB2312"/>
          <w:color w:val="333333"/>
          <w:sz w:val="32"/>
          <w:szCs w:val="32"/>
          <w:shd w:val="clear" w:color="auto" w:fill="FFFFFF"/>
        </w:rPr>
        <w:t>建立健全政府信息公开发布审查机制，落实监督责任内容和程序审核。</w:t>
      </w:r>
      <w:r>
        <w:rPr>
          <w:rFonts w:hint="eastAsia" w:ascii="仿宋_GB2312" w:hAnsi="仿宋_GB2312" w:eastAsia="仿宋_GB2312" w:cs="仿宋_GB2312"/>
          <w:color w:val="333333"/>
          <w:sz w:val="32"/>
          <w:szCs w:val="32"/>
          <w:shd w:val="clear" w:color="auto" w:fill="FFFFFF"/>
          <w:lang w:val="en-US" w:eastAsia="zh-CN"/>
        </w:rPr>
        <w:t>二是加强日常工作</w:t>
      </w:r>
      <w:r>
        <w:rPr>
          <w:rFonts w:hint="eastAsia" w:ascii="仿宋_GB2312" w:hAnsi="仿宋_GB2312" w:eastAsia="仿宋_GB2312" w:cs="仿宋_GB2312"/>
          <w:color w:val="333333"/>
          <w:sz w:val="32"/>
          <w:szCs w:val="32"/>
          <w:shd w:val="clear" w:color="auto" w:fill="FFFFFF"/>
        </w:rPr>
        <w:t>考核，将政府信息公开工作纳入各部门目标考核内容，</w:t>
      </w:r>
      <w:r>
        <w:rPr>
          <w:rFonts w:hint="eastAsia" w:ascii="仿宋_GB2312" w:hAnsi="仿宋_GB2312" w:eastAsia="仿宋_GB2312" w:cs="仿宋_GB2312"/>
          <w:color w:val="333333"/>
          <w:sz w:val="32"/>
          <w:szCs w:val="32"/>
          <w:shd w:val="clear" w:color="auto" w:fill="FFFFFF"/>
          <w:lang w:val="en-US" w:eastAsia="zh-CN"/>
        </w:rPr>
        <w:t>组织人员参加县政府办举办的政府信息公开业务培训和政务新媒体知识培训</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lang w:val="en-US" w:eastAsia="zh-CN"/>
        </w:rPr>
        <w:t>三是</w:t>
      </w:r>
      <w:r>
        <w:rPr>
          <w:rFonts w:hint="eastAsia" w:ascii="仿宋_GB2312" w:hAnsi="仿宋_GB2312" w:eastAsia="仿宋_GB2312" w:cs="仿宋_GB2312"/>
          <w:color w:val="333333"/>
          <w:sz w:val="32"/>
          <w:szCs w:val="32"/>
          <w:shd w:val="clear" w:color="auto" w:fill="FFFFFF"/>
        </w:rPr>
        <w:t>充分发挥人民群众对政务公开工作的</w:t>
      </w:r>
      <w:r>
        <w:rPr>
          <w:rFonts w:hint="eastAsia" w:ascii="仿宋_GB2312" w:hAnsi="仿宋_GB2312" w:eastAsia="仿宋_GB2312" w:cs="仿宋_GB2312"/>
          <w:color w:val="333333"/>
          <w:sz w:val="32"/>
          <w:szCs w:val="32"/>
          <w:shd w:val="clear" w:color="auto" w:fill="FFFFFF"/>
          <w:lang w:val="en-US" w:eastAsia="zh-CN"/>
        </w:rPr>
        <w:t>社会评议和</w:t>
      </w:r>
      <w:r>
        <w:rPr>
          <w:rFonts w:hint="eastAsia" w:ascii="仿宋_GB2312" w:hAnsi="仿宋_GB2312" w:eastAsia="仿宋_GB2312" w:cs="仿宋_GB2312"/>
          <w:color w:val="333333"/>
          <w:sz w:val="32"/>
          <w:szCs w:val="32"/>
          <w:shd w:val="clear" w:color="auto" w:fill="FFFFFF"/>
        </w:rPr>
        <w:t>监督作用,进一步加大社会监督力度，切实保障公民、法人和其他组织的知情权、参与权、表达权、监督权，确保政务公开工作规范有序开展</w:t>
      </w:r>
      <w:r>
        <w:rPr>
          <w:rFonts w:hint="eastAsia" w:ascii="仿宋_GB2312" w:hAnsi="仿宋_GB2312" w:eastAsia="仿宋_GB2312" w:cs="仿宋_GB2312"/>
          <w:color w:val="333333"/>
          <w:sz w:val="32"/>
          <w:szCs w:val="32"/>
          <w:shd w:val="clear" w:color="auto" w:fill="FFFFFF"/>
          <w:lang w:eastAsia="zh-CN"/>
        </w:rPr>
        <w:t>。202</w:t>
      </w:r>
      <w:r>
        <w:rPr>
          <w:rFonts w:hint="eastAsia" w:ascii="仿宋_GB2312" w:hAnsi="仿宋_GB2312" w:eastAsia="仿宋_GB2312" w:cs="仿宋_GB2312"/>
          <w:color w:val="333333"/>
          <w:sz w:val="32"/>
          <w:szCs w:val="32"/>
          <w:shd w:val="clear" w:color="auto" w:fill="FFFFFF"/>
          <w:lang w:val="en-US" w:eastAsia="zh-CN"/>
        </w:rPr>
        <w:t>3</w:t>
      </w:r>
      <w:r>
        <w:rPr>
          <w:rFonts w:hint="eastAsia" w:ascii="仿宋_GB2312" w:hAnsi="仿宋_GB2312" w:eastAsia="仿宋_GB2312" w:cs="仿宋_GB2312"/>
          <w:color w:val="333333"/>
          <w:sz w:val="32"/>
          <w:szCs w:val="32"/>
          <w:shd w:val="clear" w:color="auto" w:fill="FFFFFF"/>
          <w:lang w:eastAsia="zh-CN"/>
        </w:rPr>
        <w:t>年我</w:t>
      </w:r>
      <w:r>
        <w:rPr>
          <w:rFonts w:hint="eastAsia" w:ascii="仿宋_GB2312" w:hAnsi="仿宋_GB2312" w:eastAsia="仿宋_GB2312" w:cs="仿宋_GB2312"/>
          <w:color w:val="333333"/>
          <w:sz w:val="32"/>
          <w:szCs w:val="32"/>
          <w:shd w:val="clear" w:color="auto" w:fill="FFFFFF"/>
          <w:lang w:val="en-US" w:eastAsia="zh-CN"/>
        </w:rPr>
        <w:t>局</w:t>
      </w:r>
      <w:r>
        <w:rPr>
          <w:rFonts w:hint="eastAsia" w:ascii="仿宋_GB2312" w:hAnsi="仿宋_GB2312" w:eastAsia="仿宋_GB2312" w:cs="仿宋_GB2312"/>
          <w:color w:val="333333"/>
          <w:sz w:val="32"/>
          <w:szCs w:val="32"/>
          <w:shd w:val="clear" w:color="auto" w:fill="FFFFFF"/>
          <w:lang w:eastAsia="zh-CN"/>
        </w:rPr>
        <w:t>未出现因信息公开不到位需要进行责任追究的情况。</w:t>
      </w:r>
    </w:p>
    <w:p>
      <w:pPr>
        <w:pStyle w:val="3"/>
        <w:widowControl/>
        <w:shd w:val="clear" w:color="auto" w:fill="FFFFFF"/>
        <w:spacing w:before="300" w:beforeAutospacing="0" w:afterAutospacing="0" w:line="450" w:lineRule="atLeast"/>
        <w:ind w:firstLine="420"/>
        <w:jc w:val="both"/>
        <w:rPr>
          <w:rFonts w:hint="eastAsia"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二、主动公开政府信息情况</w:t>
      </w:r>
    </w:p>
    <w:tbl>
      <w:tblPr>
        <w:tblStyle w:val="4"/>
        <w:tblW w:w="9127" w:type="dxa"/>
        <w:jc w:val="center"/>
        <w:tblLayout w:type="fixed"/>
        <w:tblCellMar>
          <w:top w:w="0" w:type="dxa"/>
          <w:left w:w="0" w:type="dxa"/>
          <w:bottom w:w="0" w:type="dxa"/>
          <w:right w:w="0" w:type="dxa"/>
        </w:tblCellMar>
      </w:tblPr>
      <w:tblGrid>
        <w:gridCol w:w="2435"/>
        <w:gridCol w:w="2156"/>
        <w:gridCol w:w="2410"/>
        <w:gridCol w:w="2126"/>
      </w:tblGrid>
      <w:tr>
        <w:tblPrEx>
          <w:tblCellMar>
            <w:top w:w="0" w:type="dxa"/>
            <w:left w:w="0" w:type="dxa"/>
            <w:bottom w:w="0" w:type="dxa"/>
            <w:right w:w="0" w:type="dxa"/>
          </w:tblCellMar>
        </w:tblPrEx>
        <w:trPr>
          <w:trHeight w:val="340" w:hRule="atLeast"/>
          <w:jc w:val="center"/>
        </w:trPr>
        <w:tc>
          <w:tcPr>
            <w:tcW w:w="9127"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21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本年制发件数</w:t>
            </w:r>
          </w:p>
        </w:tc>
        <w:tc>
          <w:tcPr>
            <w:tcW w:w="241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本年废止件数</w:t>
            </w:r>
          </w:p>
        </w:tc>
        <w:tc>
          <w:tcPr>
            <w:tcW w:w="212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规章</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行政规范性文件</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 xml:space="preserve">0 </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第二十条第（五）项</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行政许可</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57</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19</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 xml:space="preserve">0 </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第二十条第（八）项</w:t>
            </w:r>
          </w:p>
        </w:tc>
      </w:tr>
      <w:tr>
        <w:tblPrEx>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4"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4" w:space="0"/>
              <w:right w:val="single" w:color="000000"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本年收费金额（单位：万元）</w:t>
            </w:r>
          </w:p>
        </w:tc>
      </w:tr>
      <w:tr>
        <w:tblPrEx>
          <w:tblCellMar>
            <w:top w:w="0" w:type="dxa"/>
            <w:left w:w="0" w:type="dxa"/>
            <w:bottom w:w="0" w:type="dxa"/>
            <w:right w:w="0" w:type="dxa"/>
          </w:tblCellMar>
        </w:tblPrEx>
        <w:trPr>
          <w:trHeight w:val="60" w:hRule="atLeast"/>
          <w:jc w:val="center"/>
        </w:trPr>
        <w:tc>
          <w:tcPr>
            <w:tcW w:w="243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行政事业性收费</w:t>
            </w:r>
          </w:p>
        </w:tc>
        <w:tc>
          <w:tcPr>
            <w:tcW w:w="6692"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 xml:space="preserve">0 </w:t>
            </w:r>
          </w:p>
        </w:tc>
      </w:tr>
    </w:tbl>
    <w:p>
      <w:pPr>
        <w:pStyle w:val="3"/>
        <w:widowControl/>
        <w:shd w:val="clear" w:color="auto" w:fill="FFFFFF"/>
        <w:spacing w:before="300" w:beforeAutospacing="0" w:afterAutospacing="0" w:line="450" w:lineRule="atLeast"/>
        <w:ind w:firstLine="321" w:firstLineChars="100"/>
        <w:jc w:val="both"/>
        <w:rPr>
          <w:rFonts w:hint="eastAsia"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三、收到和处理政府信息公开申请情况</w:t>
      </w:r>
    </w:p>
    <w:tbl>
      <w:tblPr>
        <w:tblStyle w:val="4"/>
        <w:tblW w:w="8741" w:type="dxa"/>
        <w:jc w:val="center"/>
        <w:tblLayout w:type="fixed"/>
        <w:tblCellMar>
          <w:top w:w="0" w:type="dxa"/>
          <w:left w:w="0" w:type="dxa"/>
          <w:bottom w:w="0" w:type="dxa"/>
          <w:right w:w="0" w:type="dxa"/>
        </w:tblCellMar>
      </w:tblPr>
      <w:tblGrid>
        <w:gridCol w:w="969"/>
        <w:gridCol w:w="954"/>
        <w:gridCol w:w="3200"/>
        <w:gridCol w:w="489"/>
        <w:gridCol w:w="394"/>
        <w:gridCol w:w="414"/>
        <w:gridCol w:w="697"/>
        <w:gridCol w:w="706"/>
        <w:gridCol w:w="394"/>
        <w:gridCol w:w="524"/>
      </w:tblGrid>
      <w:tr>
        <w:tblPrEx>
          <w:tblCellMar>
            <w:top w:w="0" w:type="dxa"/>
            <w:left w:w="0" w:type="dxa"/>
            <w:bottom w:w="0" w:type="dxa"/>
            <w:right w:w="0" w:type="dxa"/>
          </w:tblCellMar>
        </w:tblPrEx>
        <w:trPr>
          <w:trHeight w:val="318" w:hRule="atLeast"/>
          <w:jc w:val="center"/>
        </w:trPr>
        <w:tc>
          <w:tcPr>
            <w:tcW w:w="5123"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（本列数据的勾稽关系为：第一项加第二项之和，等于第三项加第四项之和）</w:t>
            </w:r>
          </w:p>
        </w:tc>
        <w:tc>
          <w:tcPr>
            <w:tcW w:w="361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申请人情况</w:t>
            </w:r>
          </w:p>
        </w:tc>
      </w:tr>
      <w:tr>
        <w:tblPrEx>
          <w:tblCellMar>
            <w:top w:w="0" w:type="dxa"/>
            <w:left w:w="0" w:type="dxa"/>
            <w:bottom w:w="0" w:type="dxa"/>
            <w:right w:w="0" w:type="dxa"/>
          </w:tblCellMar>
        </w:tblPrEx>
        <w:trPr>
          <w:trHeight w:val="145" w:hRule="atLeast"/>
          <w:jc w:val="center"/>
        </w:trPr>
        <w:tc>
          <w:tcPr>
            <w:tcW w:w="5123"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89" w:type="dxa"/>
            <w:vMerge w:val="restar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自然人</w:t>
            </w:r>
          </w:p>
        </w:tc>
        <w:tc>
          <w:tcPr>
            <w:tcW w:w="2605" w:type="dxa"/>
            <w:gridSpan w:val="5"/>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法人或其他组织</w:t>
            </w:r>
          </w:p>
        </w:tc>
        <w:tc>
          <w:tcPr>
            <w:tcW w:w="524" w:type="dxa"/>
            <w:vMerge w:val="restart"/>
            <w:tcBorders>
              <w:top w:val="single"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总计</w:t>
            </w:r>
          </w:p>
        </w:tc>
      </w:tr>
      <w:tr>
        <w:tblPrEx>
          <w:tblCellMar>
            <w:top w:w="0" w:type="dxa"/>
            <w:left w:w="0" w:type="dxa"/>
            <w:bottom w:w="0" w:type="dxa"/>
            <w:right w:w="0" w:type="dxa"/>
          </w:tblCellMar>
        </w:tblPrEx>
        <w:trPr>
          <w:trHeight w:val="145" w:hRule="atLeast"/>
          <w:jc w:val="center"/>
        </w:trPr>
        <w:tc>
          <w:tcPr>
            <w:tcW w:w="5123"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89" w:type="dxa"/>
            <w:vMerge w:val="continue"/>
            <w:tcBorders>
              <w:top w:val="single" w:color="auto" w:sz="6" w:space="0"/>
              <w:left w:val="single" w:color="auto" w:sz="6" w:space="0"/>
              <w:bottom w:val="single" w:color="auto" w:sz="8" w:space="0"/>
              <w:right w:val="single" w:color="auto" w:sz="8" w:space="0"/>
            </w:tcBorders>
            <w:vAlign w:val="center"/>
          </w:tcPr>
          <w:p>
            <w:pPr>
              <w:widowControl/>
              <w:spacing w:line="440" w:lineRule="exact"/>
              <w:jc w:val="center"/>
              <w:rPr>
                <w:rFonts w:ascii="Times New Roman" w:hAnsi="Times New Roman" w:eastAsia="仿宋_GB2312"/>
                <w:color w:val="000000"/>
                <w:sz w:val="28"/>
                <w:szCs w:val="28"/>
              </w:rPr>
            </w:pPr>
          </w:p>
        </w:tc>
        <w:tc>
          <w:tcPr>
            <w:tcW w:w="394" w:type="dxa"/>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商业</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企业</w:t>
            </w:r>
          </w:p>
        </w:tc>
        <w:tc>
          <w:tcPr>
            <w:tcW w:w="414" w:type="dxa"/>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科研</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机构</w:t>
            </w:r>
          </w:p>
        </w:tc>
        <w:tc>
          <w:tcPr>
            <w:tcW w:w="697"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社会公益组织</w:t>
            </w:r>
          </w:p>
        </w:tc>
        <w:tc>
          <w:tcPr>
            <w:tcW w:w="706"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法律服务机构</w:t>
            </w:r>
          </w:p>
        </w:tc>
        <w:tc>
          <w:tcPr>
            <w:tcW w:w="394"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其他</w:t>
            </w:r>
          </w:p>
        </w:tc>
        <w:tc>
          <w:tcPr>
            <w:tcW w:w="524" w:type="dxa"/>
            <w:vMerge w:val="continue"/>
            <w:tcBorders>
              <w:top w:val="single" w:color="auto" w:sz="8" w:space="0"/>
              <w:left w:val="single" w:color="auto" w:sz="6" w:space="0"/>
              <w:bottom w:val="inset" w:color="auto" w:sz="8" w:space="0"/>
              <w:right w:val="single" w:color="auto" w:sz="8" w:space="0"/>
            </w:tcBorders>
            <w:vAlign w:val="center"/>
          </w:tcPr>
          <w:p>
            <w:pPr>
              <w:widowControl/>
              <w:spacing w:line="460" w:lineRule="exact"/>
              <w:jc w:val="center"/>
              <w:rPr>
                <w:rFonts w:ascii="Times New Roman" w:hAnsi="Times New Roman" w:eastAsia="仿宋_GB2312"/>
                <w:color w:val="000000"/>
                <w:sz w:val="28"/>
                <w:szCs w:val="28"/>
              </w:rPr>
            </w:pP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一、本年新收政府信息公开申请数量</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w:t>
            </w: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二、上年结转政府信息公开申请数量</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33" w:hRule="atLeast"/>
          <w:jc w:val="center"/>
        </w:trPr>
        <w:tc>
          <w:tcPr>
            <w:tcW w:w="969" w:type="dxa"/>
            <w:vMerge w:val="restart"/>
            <w:tcBorders>
              <w:top w:val="single" w:color="auto" w:sz="6" w:space="0"/>
              <w:left w:val="single" w:color="auto" w:sz="8"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三、本年度办理结果</w:t>
            </w: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（一）予以公开</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w:t>
            </w:r>
          </w:p>
        </w:tc>
      </w:tr>
      <w:tr>
        <w:tblPrEx>
          <w:tblCellMar>
            <w:top w:w="0" w:type="dxa"/>
            <w:left w:w="0" w:type="dxa"/>
            <w:bottom w:w="0" w:type="dxa"/>
            <w:right w:w="0" w:type="dxa"/>
          </w:tblCellMar>
        </w:tblPrEx>
        <w:trPr>
          <w:trHeight w:val="569"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（二）部分公开（区分处理的，只计这一情形，不计其他情形）</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tabs>
                <w:tab w:val="center" w:pos="205"/>
              </w:tabs>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284"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（三）不予公开</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属于国家秘密</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其他法律行政法规禁止公开</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60"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危及</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三安全一稳定</w:t>
            </w:r>
            <w:r>
              <w:rPr>
                <w:rFonts w:ascii="Times New Roman" w:hAnsi="Times New Roman" w:eastAsia="仿宋_GB2312"/>
                <w:color w:val="000000"/>
                <w:sz w:val="28"/>
                <w:szCs w:val="28"/>
              </w:rPr>
              <w:t>”</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保护第三方合法权益</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属于三类内部事务信息</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属于四类过程性信息</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7.</w:t>
            </w:r>
            <w:r>
              <w:rPr>
                <w:rFonts w:hint="eastAsia" w:ascii="Times New Roman" w:hAnsi="Times New Roman" w:eastAsia="仿宋_GB2312"/>
                <w:color w:val="000000"/>
                <w:sz w:val="28"/>
                <w:szCs w:val="28"/>
              </w:rPr>
              <w:t>属于行政执法案卷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8.</w:t>
            </w:r>
            <w:r>
              <w:rPr>
                <w:rFonts w:hint="eastAsia" w:ascii="Times New Roman" w:hAnsi="Times New Roman" w:eastAsia="仿宋_GB2312"/>
                <w:color w:val="000000"/>
                <w:sz w:val="28"/>
                <w:szCs w:val="28"/>
              </w:rPr>
              <w:t>属于行政查询事项</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831"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（四）无法提供</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本机关不掌握相关政府信息</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没有现成信息需要另行制作</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补正后申请内容仍不明确</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（五）不予处理</w:t>
            </w:r>
          </w:p>
        </w:tc>
        <w:tc>
          <w:tcPr>
            <w:tcW w:w="3200"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信访举报投诉类申请</w:t>
            </w:r>
          </w:p>
        </w:tc>
        <w:tc>
          <w:tcPr>
            <w:tcW w:w="489"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重复申请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要求提供公开出版物</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无正当理由大量反复申请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78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要求行政机关确认或重新出具已获取信息</w:t>
            </w:r>
          </w:p>
        </w:tc>
        <w:tc>
          <w:tcPr>
            <w:tcW w:w="489"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inset"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（六）其他处理</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申请人无正当理由逾期不补正、行政机关不再处理其政府信息公开申请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申请人逾期未按收费通知要求缴纳费用、行政机关不再处理其政府信息公开申请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其他</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（七）总计</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w:t>
            </w: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四、结转下年度继续办理</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bl>
    <w:p>
      <w:pPr>
        <w:pStyle w:val="3"/>
        <w:widowControl/>
        <w:shd w:val="clear" w:color="auto" w:fill="FFFFFF"/>
        <w:spacing w:before="300" w:beforeAutospacing="0" w:afterAutospacing="0" w:line="450" w:lineRule="atLeast"/>
        <w:ind w:firstLine="420"/>
        <w:jc w:val="both"/>
        <w:rPr>
          <w:rFonts w:hint="eastAsia"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四、政府信息公开行政复议、行政诉讼情况</w:t>
      </w:r>
    </w:p>
    <w:tbl>
      <w:tblPr>
        <w:tblStyle w:val="4"/>
        <w:tblW w:w="8741" w:type="dxa"/>
        <w:jc w:val="center"/>
        <w:tblLayout w:type="fixed"/>
        <w:tblCellMar>
          <w:top w:w="0" w:type="dxa"/>
          <w:left w:w="0" w:type="dxa"/>
          <w:bottom w:w="0" w:type="dxa"/>
          <w:right w:w="0" w:type="dxa"/>
        </w:tblCellMar>
      </w:tblPr>
      <w:tblGrid>
        <w:gridCol w:w="582"/>
        <w:gridCol w:w="582"/>
        <w:gridCol w:w="582"/>
        <w:gridCol w:w="582"/>
        <w:gridCol w:w="582"/>
        <w:gridCol w:w="582"/>
        <w:gridCol w:w="582"/>
        <w:gridCol w:w="582"/>
        <w:gridCol w:w="582"/>
        <w:gridCol w:w="587"/>
        <w:gridCol w:w="582"/>
        <w:gridCol w:w="582"/>
        <w:gridCol w:w="582"/>
        <w:gridCol w:w="583"/>
        <w:gridCol w:w="587"/>
      </w:tblGrid>
      <w:tr>
        <w:tblPrEx>
          <w:tblCellMar>
            <w:top w:w="0" w:type="dxa"/>
            <w:left w:w="0" w:type="dxa"/>
            <w:bottom w:w="0" w:type="dxa"/>
            <w:right w:w="0" w:type="dxa"/>
          </w:tblCellMar>
        </w:tblPrEx>
        <w:trPr>
          <w:trHeight w:val="317" w:hRule="atLeast"/>
          <w:jc w:val="center"/>
        </w:trPr>
        <w:tc>
          <w:tcPr>
            <w:tcW w:w="29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行政复议</w:t>
            </w:r>
          </w:p>
        </w:tc>
        <w:tc>
          <w:tcPr>
            <w:tcW w:w="5831"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行政诉讼</w:t>
            </w:r>
          </w:p>
        </w:tc>
      </w:tr>
      <w:tr>
        <w:tblPrEx>
          <w:tblCellMar>
            <w:top w:w="0" w:type="dxa"/>
            <w:left w:w="0" w:type="dxa"/>
            <w:bottom w:w="0" w:type="dxa"/>
            <w:right w:w="0" w:type="dxa"/>
          </w:tblCellMar>
        </w:tblPrEx>
        <w:trPr>
          <w:trHeight w:val="317" w:hRule="atLeast"/>
          <w:jc w:val="center"/>
        </w:trPr>
        <w:tc>
          <w:tcPr>
            <w:tcW w:w="58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结果维持</w:t>
            </w:r>
          </w:p>
        </w:tc>
        <w:tc>
          <w:tcPr>
            <w:tcW w:w="58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29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未经复议直接起诉</w:t>
            </w:r>
          </w:p>
        </w:tc>
        <w:tc>
          <w:tcPr>
            <w:tcW w:w="2916"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复议后起诉</w:t>
            </w:r>
          </w:p>
        </w:tc>
      </w:tr>
      <w:tr>
        <w:tblPrEx>
          <w:tblCellMar>
            <w:top w:w="0" w:type="dxa"/>
            <w:left w:w="0" w:type="dxa"/>
            <w:bottom w:w="0" w:type="dxa"/>
            <w:right w:w="0" w:type="dxa"/>
          </w:tblCellMar>
        </w:tblPrEx>
        <w:trPr>
          <w:trHeight w:val="145" w:hRule="atLeast"/>
          <w:jc w:val="center"/>
        </w:trPr>
        <w:tc>
          <w:tcPr>
            <w:tcW w:w="582" w:type="dxa"/>
            <w:vMerge w:val="continue"/>
            <w:tcBorders>
              <w:top w:val="nil"/>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nil"/>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维持</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5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维持</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58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5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r>
      <w:tr>
        <w:tblPrEx>
          <w:tblCellMar>
            <w:top w:w="0" w:type="dxa"/>
            <w:left w:w="0" w:type="dxa"/>
            <w:bottom w:w="0" w:type="dxa"/>
            <w:right w:w="0" w:type="dxa"/>
          </w:tblCellMar>
        </w:tblPrEx>
        <w:trPr>
          <w:trHeight w:val="676" w:hRule="atLeast"/>
          <w:jc w:val="center"/>
        </w:trPr>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r>
    </w:tbl>
    <w:p>
      <w:pPr>
        <w:pStyle w:val="3"/>
        <w:widowControl/>
        <w:shd w:val="clear" w:color="auto" w:fill="FFFFFF"/>
        <w:spacing w:before="300" w:beforeAutospacing="0" w:afterAutospacing="0" w:line="450" w:lineRule="atLeast"/>
        <w:ind w:firstLine="643" w:firstLineChars="200"/>
        <w:jc w:val="both"/>
        <w:rPr>
          <w:rFonts w:ascii="仿宋_GB2312" w:hAnsi="仿宋_GB2312" w:eastAsia="仿宋_GB2312" w:cs="仿宋_GB2312"/>
          <w:b/>
          <w:bCs/>
          <w:color w:val="333333"/>
        </w:rPr>
      </w:pPr>
      <w:r>
        <w:rPr>
          <w:rFonts w:hint="eastAsia" w:ascii="仿宋_GB2312" w:hAnsi="仿宋_GB2312" w:eastAsia="仿宋_GB2312" w:cs="仿宋_GB2312"/>
          <w:b/>
          <w:bCs/>
          <w:color w:val="333333"/>
          <w:sz w:val="32"/>
          <w:szCs w:val="32"/>
          <w:shd w:val="clear" w:color="auto" w:fill="FFFFFF"/>
        </w:rPr>
        <w:t>五、存在的</w:t>
      </w:r>
      <w:bookmarkStart w:id="1" w:name="_GoBack"/>
      <w:r>
        <w:rPr>
          <w:rFonts w:hint="eastAsia" w:ascii="仿宋_GB2312" w:hAnsi="仿宋_GB2312" w:eastAsia="仿宋_GB2312" w:cs="仿宋_GB2312"/>
          <w:b/>
          <w:bCs/>
          <w:color w:val="333333"/>
          <w:sz w:val="32"/>
          <w:szCs w:val="32"/>
          <w:shd w:val="clear" w:color="auto" w:fill="FFFFFF"/>
        </w:rPr>
        <w:t>主要问题</w:t>
      </w:r>
      <w:bookmarkEnd w:id="1"/>
      <w:r>
        <w:rPr>
          <w:rFonts w:hint="eastAsia" w:ascii="仿宋_GB2312" w:hAnsi="仿宋_GB2312" w:eastAsia="仿宋_GB2312" w:cs="仿宋_GB2312"/>
          <w:b/>
          <w:bCs/>
          <w:color w:val="333333"/>
          <w:sz w:val="32"/>
          <w:szCs w:val="32"/>
          <w:shd w:val="clear" w:color="auto" w:fill="FFFFFF"/>
        </w:rPr>
        <w:t>及改进情况</w:t>
      </w:r>
    </w:p>
    <w:p>
      <w:pPr>
        <w:pStyle w:val="3"/>
        <w:widowControl/>
        <w:shd w:val="clear" w:color="auto" w:fill="FFFFFF"/>
        <w:spacing w:beforeAutospacing="0" w:afterAutospacing="0" w:line="540" w:lineRule="atLeast"/>
        <w:ind w:firstLine="645"/>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lang w:val="en-US" w:eastAsia="zh-CN"/>
        </w:rPr>
        <w:t>（一）存在得主要问题：</w:t>
      </w:r>
      <w:r>
        <w:rPr>
          <w:rFonts w:hint="eastAsia" w:ascii="仿宋_GB2312" w:hAnsi="仿宋_GB2312" w:eastAsia="仿宋_GB2312" w:cs="仿宋_GB2312"/>
          <w:color w:val="333333"/>
          <w:sz w:val="32"/>
          <w:szCs w:val="32"/>
          <w:shd w:val="clear" w:color="auto" w:fill="FFFFFF"/>
        </w:rPr>
        <w:t>一是</w:t>
      </w:r>
      <w:r>
        <w:rPr>
          <w:rFonts w:hint="eastAsia" w:ascii="仿宋_GB2312" w:hAnsi="仿宋_GB2312" w:eastAsia="仿宋_GB2312" w:cs="仿宋_GB2312"/>
          <w:color w:val="333333"/>
          <w:sz w:val="32"/>
          <w:szCs w:val="32"/>
          <w:shd w:val="clear" w:color="auto" w:fill="FFFFFF"/>
          <w:lang w:val="en-US" w:eastAsia="zh-CN"/>
        </w:rPr>
        <w:t>公开内容需要进一步深化，公开信息及时性有待进一步加强</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二是政策解读能力有待提升。政策解读形式不</w:t>
      </w:r>
      <w:r>
        <w:rPr>
          <w:rFonts w:hint="eastAsia" w:ascii="仿宋_GB2312" w:hAnsi="仿宋_GB2312" w:eastAsia="仿宋_GB2312" w:cs="仿宋_GB2312"/>
          <w:color w:val="333333"/>
          <w:sz w:val="32"/>
          <w:szCs w:val="32"/>
          <w:shd w:val="clear" w:color="auto" w:fill="FFFFFF"/>
          <w:lang w:val="en-US" w:eastAsia="zh-CN"/>
        </w:rPr>
        <w:t>够</w:t>
      </w:r>
      <w:r>
        <w:rPr>
          <w:rFonts w:hint="eastAsia" w:ascii="仿宋_GB2312" w:hAnsi="仿宋_GB2312" w:eastAsia="仿宋_GB2312" w:cs="仿宋_GB2312"/>
          <w:color w:val="333333"/>
          <w:sz w:val="32"/>
          <w:szCs w:val="32"/>
          <w:shd w:val="clear" w:color="auto" w:fill="FFFFFF"/>
        </w:rPr>
        <w:t>丰富，无数字化、问答式、音频视频等方式解读。</w:t>
      </w:r>
    </w:p>
    <w:p>
      <w:pPr>
        <w:pStyle w:val="3"/>
        <w:widowControl/>
        <w:shd w:val="clear" w:color="auto" w:fill="FFFFFF"/>
        <w:spacing w:beforeAutospacing="0" w:afterAutospacing="0" w:line="540" w:lineRule="atLeast"/>
        <w:ind w:firstLine="645"/>
        <w:jc w:val="both"/>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（二）改进情况：</w:t>
      </w:r>
      <w:r>
        <w:rPr>
          <w:rFonts w:hint="eastAsia" w:ascii="仿宋_GB2312" w:hAnsi="仿宋_GB2312" w:eastAsia="仿宋_GB2312" w:cs="仿宋_GB2312"/>
          <w:color w:val="333333"/>
          <w:sz w:val="32"/>
          <w:szCs w:val="32"/>
          <w:shd w:val="clear" w:color="auto" w:fill="FFFFFF"/>
        </w:rPr>
        <w:t>一是</w:t>
      </w:r>
      <w:r>
        <w:rPr>
          <w:rFonts w:hint="eastAsia" w:ascii="仿宋_GB2312" w:hAnsi="仿宋_GB2312" w:eastAsia="仿宋_GB2312" w:cs="仿宋_GB2312"/>
          <w:color w:val="333333"/>
          <w:sz w:val="32"/>
          <w:szCs w:val="32"/>
          <w:shd w:val="clear" w:color="auto" w:fill="FFFFFF"/>
          <w:lang w:val="en-US" w:eastAsia="zh-CN"/>
        </w:rPr>
        <w:t>建立健全</w:t>
      </w:r>
      <w:r>
        <w:rPr>
          <w:rFonts w:hint="eastAsia" w:ascii="仿宋_GB2312" w:hAnsi="仿宋_GB2312" w:eastAsia="仿宋_GB2312" w:cs="仿宋_GB2312"/>
          <w:color w:val="333333"/>
          <w:sz w:val="32"/>
          <w:szCs w:val="32"/>
          <w:shd w:val="clear" w:color="auto" w:fill="FFFFFF"/>
        </w:rPr>
        <w:t>工作机制。抓好平台维护管理制度的贯彻执行和健全完善，进一步理顺工作机制，提高工作质</w:t>
      </w:r>
      <w:r>
        <w:rPr>
          <w:rFonts w:hint="eastAsia" w:ascii="仿宋_GB2312" w:hAnsi="仿宋_GB2312" w:eastAsia="仿宋_GB2312" w:cs="仿宋_GB2312"/>
          <w:color w:val="333333"/>
          <w:sz w:val="32"/>
          <w:szCs w:val="32"/>
          <w:shd w:val="clear" w:color="auto" w:fill="FFFFFF"/>
          <w:lang w:val="en-US" w:eastAsia="zh-CN"/>
        </w:rPr>
        <w:t>量和时效</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二是进一步</w:t>
      </w:r>
      <w:r>
        <w:rPr>
          <w:rFonts w:hint="eastAsia" w:ascii="仿宋_GB2312" w:hAnsi="仿宋_GB2312" w:eastAsia="仿宋_GB2312" w:cs="仿宋_GB2312"/>
          <w:color w:val="333333"/>
          <w:sz w:val="32"/>
          <w:szCs w:val="32"/>
          <w:shd w:val="clear" w:color="auto" w:fill="FFFFFF"/>
          <w:lang w:val="en-US" w:eastAsia="zh-CN"/>
        </w:rPr>
        <w:t>提升政策解读能力</w:t>
      </w:r>
      <w:r>
        <w:rPr>
          <w:rFonts w:hint="eastAsia" w:ascii="仿宋_GB2312" w:hAnsi="仿宋_GB2312" w:eastAsia="仿宋_GB2312" w:cs="仿宋_GB2312"/>
          <w:color w:val="333333"/>
          <w:sz w:val="32"/>
          <w:szCs w:val="32"/>
          <w:shd w:val="clear" w:color="auto" w:fill="FFFFFF"/>
        </w:rPr>
        <w:t>。在文字解读外向图片解读、视频解读等多种解读模式延伸，</w:t>
      </w:r>
      <w:r>
        <w:rPr>
          <w:rFonts w:hint="eastAsia" w:ascii="仿宋_GB2312" w:hAnsi="仿宋_GB2312" w:eastAsia="仿宋_GB2312" w:cs="仿宋_GB2312"/>
          <w:color w:val="333333"/>
          <w:sz w:val="32"/>
          <w:szCs w:val="32"/>
          <w:shd w:val="clear" w:color="auto" w:fill="FFFFFF"/>
          <w:lang w:val="en-US" w:eastAsia="zh-CN"/>
        </w:rPr>
        <w:t>丰富政策解读形式，</w:t>
      </w:r>
      <w:r>
        <w:rPr>
          <w:rFonts w:hint="eastAsia" w:ascii="仿宋_GB2312" w:hAnsi="仿宋_GB2312" w:eastAsia="仿宋_GB2312" w:cs="仿宋_GB2312"/>
          <w:color w:val="333333"/>
          <w:sz w:val="32"/>
          <w:szCs w:val="32"/>
          <w:shd w:val="clear" w:color="auto" w:fill="FFFFFF"/>
        </w:rPr>
        <w:t>努力提升解读质量。三是</w:t>
      </w:r>
      <w:r>
        <w:rPr>
          <w:rFonts w:hint="eastAsia" w:ascii="仿宋_GB2312" w:hAnsi="仿宋_GB2312" w:eastAsia="仿宋_GB2312" w:cs="仿宋_GB2312"/>
          <w:color w:val="333333"/>
          <w:sz w:val="32"/>
          <w:szCs w:val="32"/>
          <w:shd w:val="clear" w:color="auto" w:fill="FFFFFF"/>
          <w:lang w:val="en-US" w:eastAsia="zh-CN"/>
        </w:rPr>
        <w:t>建设长效工作机制。进一步健全政府信息公开内容审查和更新维护、考核评估、监督检查评议、培训宣传等工作制度，建立和完善信息公开审查制度，确保政府信息公开的各项工作落到实处。</w:t>
      </w:r>
    </w:p>
    <w:p>
      <w:pPr>
        <w:pStyle w:val="3"/>
        <w:widowControl/>
        <w:shd w:val="clear" w:color="auto" w:fill="FFFFFF"/>
        <w:spacing w:before="300" w:beforeAutospacing="0" w:afterAutospacing="0" w:line="450" w:lineRule="atLeast"/>
        <w:ind w:firstLine="643" w:firstLineChars="200"/>
        <w:jc w:val="both"/>
        <w:rPr>
          <w:rFonts w:hint="eastAsia" w:ascii="仿宋" w:hAnsi="仿宋" w:eastAsia="仿宋" w:cs="仿宋"/>
          <w:i w:val="0"/>
          <w:iCs w:val="0"/>
          <w:caps w:val="0"/>
          <w:color w:val="000000"/>
          <w:spacing w:val="0"/>
          <w:sz w:val="32"/>
          <w:szCs w:val="32"/>
          <w:shd w:val="clear" w:fill="FFFFFF"/>
        </w:rPr>
      </w:pPr>
      <w:r>
        <w:rPr>
          <w:rFonts w:hint="eastAsia" w:ascii="仿宋_GB2312" w:hAnsi="仿宋_GB2312" w:eastAsia="仿宋_GB2312" w:cs="仿宋_GB2312"/>
          <w:b/>
          <w:bCs/>
          <w:color w:val="333333"/>
          <w:sz w:val="32"/>
          <w:szCs w:val="32"/>
          <w:shd w:val="clear" w:color="auto" w:fill="FFFFFF"/>
        </w:rPr>
        <w:t>六、其他需要报告的事项</w:t>
      </w:r>
    </w:p>
    <w:p>
      <w:pPr>
        <w:pStyle w:val="3"/>
        <w:widowControl/>
        <w:shd w:val="clear" w:color="auto" w:fill="FFFFFF"/>
        <w:spacing w:beforeAutospacing="0" w:afterAutospacing="0" w:line="540" w:lineRule="atLeast"/>
        <w:ind w:firstLine="645"/>
        <w:jc w:val="both"/>
        <w:rPr>
          <w:rFonts w:hint="default"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b/>
          <w:bCs/>
          <w:color w:val="333333"/>
          <w:sz w:val="32"/>
          <w:szCs w:val="32"/>
          <w:shd w:val="clear" w:color="auto" w:fill="FFFFFF"/>
          <w:lang w:val="en-US" w:eastAsia="zh-CN"/>
        </w:rPr>
        <w:t>2023年政务公开要点落实情况：一是深化重点领域信息公开。</w:t>
      </w:r>
      <w:r>
        <w:rPr>
          <w:rFonts w:hint="eastAsia" w:ascii="仿宋_GB2312" w:hAnsi="仿宋_GB2312" w:eastAsia="仿宋_GB2312" w:cs="仿宋_GB2312"/>
          <w:color w:val="333333"/>
          <w:sz w:val="32"/>
          <w:szCs w:val="32"/>
          <w:shd w:val="clear" w:color="auto" w:fill="FFFFFF"/>
          <w:lang w:val="en-US" w:eastAsia="zh-CN"/>
        </w:rPr>
        <w:t>及时发布生态环境领域关于污染综合防治、环境执法检查、建设项目环境影响评价、生态环境质量、生态环境保护督查、污染源信息、举报投诉处理等信息。</w:t>
      </w:r>
      <w:r>
        <w:rPr>
          <w:rFonts w:hint="eastAsia" w:ascii="仿宋_GB2312" w:hAnsi="仿宋_GB2312" w:eastAsia="仿宋_GB2312" w:cs="仿宋_GB2312"/>
          <w:b/>
          <w:bCs/>
          <w:color w:val="333333"/>
          <w:sz w:val="32"/>
          <w:szCs w:val="32"/>
          <w:shd w:val="clear" w:color="auto" w:fill="FFFFFF"/>
          <w:lang w:val="en-US" w:eastAsia="zh-CN"/>
        </w:rPr>
        <w:t>二是强化政策解读质效。</w:t>
      </w:r>
      <w:r>
        <w:rPr>
          <w:rFonts w:hint="eastAsia" w:ascii="仿宋_GB2312" w:hAnsi="仿宋_GB2312" w:eastAsia="仿宋_GB2312" w:cs="仿宋_GB2312"/>
          <w:color w:val="333333"/>
          <w:sz w:val="32"/>
          <w:szCs w:val="32"/>
          <w:shd w:val="clear" w:color="auto" w:fill="FFFFFF"/>
          <w:lang w:val="en-US" w:eastAsia="zh-CN"/>
        </w:rPr>
        <w:t>发布《上高县“十四五”生态环境保护规划》，并对规划进行文字、图片解读，让群众更加直观和接受。</w:t>
      </w:r>
      <w:r>
        <w:rPr>
          <w:rFonts w:hint="eastAsia" w:ascii="仿宋_GB2312" w:hAnsi="仿宋_GB2312" w:eastAsia="仿宋_GB2312" w:cs="仿宋_GB2312"/>
          <w:b/>
          <w:bCs/>
          <w:color w:val="333333"/>
          <w:sz w:val="32"/>
          <w:szCs w:val="32"/>
          <w:shd w:val="clear" w:color="auto" w:fill="FFFFFF"/>
          <w:lang w:val="en-US" w:eastAsia="zh-CN"/>
        </w:rPr>
        <w:t>三是狠抓政府网站与政务新媒体规范管理。</w:t>
      </w:r>
      <w:r>
        <w:rPr>
          <w:rFonts w:hint="eastAsia" w:ascii="仿宋_GB2312" w:hAnsi="仿宋_GB2312" w:eastAsia="仿宋_GB2312" w:cs="仿宋_GB2312"/>
          <w:color w:val="333333"/>
          <w:sz w:val="32"/>
          <w:szCs w:val="32"/>
          <w:shd w:val="clear" w:color="auto" w:fill="FFFFFF"/>
          <w:lang w:val="en-US" w:eastAsia="zh-CN"/>
        </w:rPr>
        <w:t>充分利用、发挥现有平台作用，提供优质社会服务，同时还利用广播、电视、新闻网站、微信微博公众号等公众媒体，方便群众了解生态环境相关信息。对发布的信息严格“三审三校”，及时对问题清单进行整改落实。</w:t>
      </w:r>
      <w:r>
        <w:rPr>
          <w:rFonts w:hint="eastAsia" w:ascii="仿宋_GB2312" w:hAnsi="仿宋_GB2312" w:eastAsia="仿宋_GB2312" w:cs="仿宋_GB2312"/>
          <w:b/>
          <w:bCs/>
          <w:i w:val="0"/>
          <w:iCs w:val="0"/>
          <w:color w:val="333333"/>
          <w:sz w:val="32"/>
          <w:szCs w:val="32"/>
          <w:shd w:val="clear" w:color="auto" w:fill="FFFFFF"/>
          <w:lang w:val="en-US" w:eastAsia="zh-CN"/>
        </w:rPr>
        <w:t>四是着力拓宽政民互动渠道。</w:t>
      </w:r>
      <w:r>
        <w:rPr>
          <w:rFonts w:hint="eastAsia" w:ascii="仿宋_GB2312" w:hAnsi="仿宋_GB2312" w:eastAsia="仿宋_GB2312" w:cs="仿宋_GB2312"/>
          <w:color w:val="333333"/>
          <w:sz w:val="32"/>
          <w:szCs w:val="32"/>
          <w:shd w:val="clear" w:color="auto" w:fill="FFFFFF"/>
          <w:lang w:val="en-US" w:eastAsia="zh-CN"/>
        </w:rPr>
        <w:t>微信公众号开设“政民互动”，及时回复处理群众关心关注的生态环境问题，增进群众对生态环境工作的支持与理解；结合生态环境保护宣传日等重要节点，开展2次环保设施公众开放主题的“固定开放月”活动，宣传生态文明理念、提高公众生态环保意识。</w:t>
      </w:r>
    </w:p>
    <w:p>
      <w:pPr>
        <w:widowControl/>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SA"/>
        </w:rPr>
      </w:pPr>
    </w:p>
    <w:p>
      <w:pPr>
        <w:widowControl/>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SA"/>
        </w:rPr>
      </w:pPr>
      <w:r>
        <w:rPr>
          <w:rFonts w:hint="eastAsia" w:ascii="仿宋_GB2312" w:hAnsi="仿宋_GB2312" w:eastAsia="仿宋_GB2312" w:cs="仿宋_GB2312"/>
          <w:color w:val="333333"/>
          <w:kern w:val="0"/>
          <w:sz w:val="32"/>
          <w:szCs w:val="32"/>
          <w:shd w:val="clear" w:color="auto" w:fill="FFFFFF"/>
          <w:lang w:val="en-US" w:eastAsia="zh-CN" w:bidi="ar-SA"/>
        </w:rPr>
        <w:t>上高县人民政府网站网址为</w:t>
      </w:r>
      <w:r>
        <w:rPr>
          <w:rFonts w:hint="eastAsia" w:ascii="仿宋_GB2312" w:hAnsi="仿宋_GB2312" w:eastAsia="仿宋_GB2312" w:cs="仿宋_GB2312"/>
          <w:color w:val="333333"/>
          <w:kern w:val="0"/>
          <w:sz w:val="28"/>
          <w:szCs w:val="28"/>
          <w:shd w:val="clear" w:color="auto" w:fill="FFFFFF"/>
          <w:lang w:val="en-US" w:eastAsia="zh-CN" w:bidi="ar-SA"/>
        </w:rPr>
        <w:t>http://www.shanggao.gov.cn。</w:t>
      </w:r>
      <w:r>
        <w:rPr>
          <w:rFonts w:hint="eastAsia" w:ascii="仿宋_GB2312" w:hAnsi="仿宋_GB2312" w:eastAsia="仿宋_GB2312" w:cs="仿宋_GB2312"/>
          <w:color w:val="333333"/>
          <w:kern w:val="0"/>
          <w:sz w:val="32"/>
          <w:szCs w:val="32"/>
          <w:shd w:val="clear" w:color="auto" w:fill="FFFFFF"/>
          <w:lang w:val="en-US" w:eastAsia="zh-CN" w:bidi="ar-SA"/>
        </w:rPr>
        <w:t>如需了解更多政府信息，请登录查询。</w:t>
      </w:r>
    </w:p>
    <w:p>
      <w:pPr>
        <w:widowControl/>
        <w:ind w:firstLine="640" w:firstLineChars="200"/>
        <w:jc w:val="left"/>
        <w:rPr>
          <w:rFonts w:ascii="仿宋_GB2312" w:hAnsi="仿宋_GB2312" w:eastAsia="仿宋_GB2312" w:cs="仿宋_GB2312"/>
        </w:rPr>
      </w:pPr>
      <w:r>
        <w:rPr>
          <w:rFonts w:hint="eastAsia" w:ascii="仿宋_GB2312" w:hAnsi="仿宋_GB2312" w:eastAsia="仿宋_GB2312" w:cs="仿宋_GB2312"/>
          <w:color w:val="333333"/>
          <w:kern w:val="0"/>
          <w:sz w:val="32"/>
          <w:szCs w:val="32"/>
          <w:shd w:val="clear" w:color="auto" w:fill="FFFFFF"/>
          <w:lang w:val="en-US" w:eastAsia="zh-CN" w:bidi="ar-SA"/>
        </w:rPr>
        <w:t>2023年，本机关无收取信息处理费情况。</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MTU3OWY0MDFkYzZkNzkxMjQ2YTEzYWNiMzY2ZjUifQ=="/>
  </w:docVars>
  <w:rsids>
    <w:rsidRoot w:val="003975B2"/>
    <w:rsid w:val="000F0996"/>
    <w:rsid w:val="003975B2"/>
    <w:rsid w:val="008373BF"/>
    <w:rsid w:val="00914E2B"/>
    <w:rsid w:val="05E01F5E"/>
    <w:rsid w:val="06F061D0"/>
    <w:rsid w:val="0B3768D7"/>
    <w:rsid w:val="0C505B6B"/>
    <w:rsid w:val="14D963B7"/>
    <w:rsid w:val="166B4894"/>
    <w:rsid w:val="185809BE"/>
    <w:rsid w:val="1EF87EC0"/>
    <w:rsid w:val="1FE25010"/>
    <w:rsid w:val="20E511F7"/>
    <w:rsid w:val="21A10D23"/>
    <w:rsid w:val="227D7FCC"/>
    <w:rsid w:val="23BC326A"/>
    <w:rsid w:val="2A1E5720"/>
    <w:rsid w:val="2C324546"/>
    <w:rsid w:val="2C9748FF"/>
    <w:rsid w:val="2E304F81"/>
    <w:rsid w:val="309317F7"/>
    <w:rsid w:val="31432DDB"/>
    <w:rsid w:val="3251323D"/>
    <w:rsid w:val="3307027A"/>
    <w:rsid w:val="368D6CE8"/>
    <w:rsid w:val="37B00EE0"/>
    <w:rsid w:val="39D52E80"/>
    <w:rsid w:val="3BEB23CB"/>
    <w:rsid w:val="3D2106A9"/>
    <w:rsid w:val="3D497761"/>
    <w:rsid w:val="3DAA0180"/>
    <w:rsid w:val="3F270021"/>
    <w:rsid w:val="43FA42DF"/>
    <w:rsid w:val="44343A44"/>
    <w:rsid w:val="444B7A53"/>
    <w:rsid w:val="4AE12C01"/>
    <w:rsid w:val="51082E03"/>
    <w:rsid w:val="51EE0B2B"/>
    <w:rsid w:val="548337AD"/>
    <w:rsid w:val="54A9641F"/>
    <w:rsid w:val="551B39E5"/>
    <w:rsid w:val="562C45EF"/>
    <w:rsid w:val="5ADD14BD"/>
    <w:rsid w:val="5B201C2D"/>
    <w:rsid w:val="5B455E20"/>
    <w:rsid w:val="5B7E49D9"/>
    <w:rsid w:val="6031230F"/>
    <w:rsid w:val="60FF240D"/>
    <w:rsid w:val="6107104B"/>
    <w:rsid w:val="61C80A51"/>
    <w:rsid w:val="630B32EB"/>
    <w:rsid w:val="638162AC"/>
    <w:rsid w:val="64B957DA"/>
    <w:rsid w:val="6809591F"/>
    <w:rsid w:val="6A3A710B"/>
    <w:rsid w:val="6CE10A45"/>
    <w:rsid w:val="6DE035C6"/>
    <w:rsid w:val="700417EE"/>
    <w:rsid w:val="70C15F93"/>
    <w:rsid w:val="718C28F0"/>
    <w:rsid w:val="71AB7A47"/>
    <w:rsid w:val="71B36A17"/>
    <w:rsid w:val="73974727"/>
    <w:rsid w:val="742E1A1D"/>
    <w:rsid w:val="75163ED7"/>
    <w:rsid w:val="759A22AD"/>
    <w:rsid w:val="780125F3"/>
    <w:rsid w:val="796C735E"/>
    <w:rsid w:val="7CD61CB4"/>
    <w:rsid w:val="7D19251B"/>
    <w:rsid w:val="7DAC5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2435</Words>
  <Characters>2524</Characters>
  <Lines>526</Lines>
  <Paragraphs>344</Paragraphs>
  <TotalTime>67</TotalTime>
  <ScaleCrop>false</ScaleCrop>
  <LinksUpToDate>false</LinksUpToDate>
  <CharactersWithSpaces>2609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2021-04-29T04:16:00Z</dcterms:created>
  <dc:creator>Administrator</dc:creator>
  <cp:lastModifiedBy>邹鹏</cp:lastModifiedBy>
  <dcterms:modified xsi:type="dcterms:W3CDTF">2024-01-12T06:59:54Z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62C957A35F4E40BDAE3EEBE84E2D43D9</vt:lpwstr>
  </property>
</Properties>
</file>