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p>
    <w:p>
      <w:pPr>
        <w:pStyle w:val="2"/>
        <w:bidi w:val="0"/>
        <w:rPr>
          <w:rFonts w:hint="eastAsia"/>
        </w:rPr>
      </w:pPr>
      <w:r>
        <w:rPr>
          <w:rFonts w:hint="eastAsia"/>
          <w:lang w:val="en-US" w:eastAsia="zh-CN"/>
        </w:rPr>
        <w:t>上高县农业农村局</w:t>
      </w:r>
      <w:r>
        <w:rPr>
          <w:rFonts w:hint="eastAsia"/>
        </w:rPr>
        <w:t>202</w:t>
      </w:r>
      <w:r>
        <w:rPr>
          <w:rFonts w:hint="eastAsia"/>
          <w:lang w:val="en-US" w:eastAsia="zh-CN"/>
        </w:rPr>
        <w:t>3</w:t>
      </w:r>
      <w:r>
        <w:rPr>
          <w:rFonts w:hint="eastAsia"/>
        </w:rPr>
        <w:t>年政府信息公开工作年度报告</w:t>
      </w:r>
    </w:p>
    <w:p>
      <w:pPr>
        <w:pStyle w:val="3"/>
        <w:bidi w:val="0"/>
        <w:rPr>
          <w:rFonts w:hint="eastAsia"/>
        </w:rPr>
      </w:pPr>
    </w:p>
    <w:p>
      <w:pPr>
        <w:ind w:firstLine="0" w:firstLineChars="0"/>
        <w:rPr>
          <w:rFonts w:hint="eastAsia"/>
        </w:rPr>
      </w:pPr>
      <w:r>
        <w:rPr>
          <w:rFonts w:hint="eastAsia"/>
          <w:lang w:eastAsia="zh-CN"/>
        </w:rPr>
        <w:t>　　</w:t>
      </w:r>
      <w:r>
        <w:rPr>
          <w:rFonts w:hint="eastAsia"/>
        </w:rPr>
        <w:t>根据《中华人民共和国政府信息公开条例》（以下简称《条例》）和《国务院办公厅关于印发政府网站发展指引的通知》、国务院办公厅政府信息与政务公开办公室国办公开办函〔2021〕30号等文件要求编制本报告。报告中所列数据统计期限从202</w:t>
      </w:r>
      <w:r>
        <w:rPr>
          <w:rFonts w:hint="eastAsia"/>
          <w:lang w:val="en-US" w:eastAsia="zh-CN"/>
        </w:rPr>
        <w:t>3</w:t>
      </w:r>
      <w:r>
        <w:rPr>
          <w:rFonts w:hint="eastAsia"/>
        </w:rPr>
        <w:t>年1月1日到202</w:t>
      </w:r>
      <w:r>
        <w:rPr>
          <w:rFonts w:hint="eastAsia"/>
          <w:lang w:val="en-US" w:eastAsia="zh-CN"/>
        </w:rPr>
        <w:t>3</w:t>
      </w:r>
      <w:r>
        <w:rPr>
          <w:rFonts w:hint="eastAsia"/>
        </w:rPr>
        <w:t>年12月31日止。</w:t>
      </w:r>
    </w:p>
    <w:p>
      <w:pPr>
        <w:pStyle w:val="3"/>
        <w:bidi w:val="0"/>
        <w:ind w:firstLine="0" w:firstLineChars="0"/>
        <w:rPr>
          <w:rFonts w:hint="eastAsia"/>
        </w:rPr>
      </w:pPr>
      <w:r>
        <w:rPr>
          <w:rFonts w:hint="eastAsia"/>
          <w:lang w:eastAsia="zh-CN"/>
        </w:rPr>
        <w:t>　　</w:t>
      </w:r>
      <w:r>
        <w:rPr>
          <w:rFonts w:hint="eastAsia"/>
        </w:rPr>
        <w:t>一、总体情况</w:t>
      </w:r>
    </w:p>
    <w:p>
      <w:pPr>
        <w:ind w:firstLine="0" w:firstLineChars="0"/>
        <w:rPr>
          <w:rFonts w:hint="eastAsia"/>
        </w:rPr>
      </w:pPr>
      <w:r>
        <w:rPr>
          <w:rFonts w:hint="eastAsia"/>
          <w:lang w:eastAsia="zh-CN"/>
        </w:rPr>
        <w:t>　　</w:t>
      </w:r>
      <w:r>
        <w:rPr>
          <w:rFonts w:hint="eastAsia"/>
        </w:rPr>
        <w:t>202</w:t>
      </w:r>
      <w:r>
        <w:rPr>
          <w:rFonts w:hint="eastAsia"/>
          <w:lang w:val="en-US" w:eastAsia="zh-CN"/>
        </w:rPr>
        <w:t>3</w:t>
      </w:r>
      <w:r>
        <w:rPr>
          <w:rFonts w:hint="eastAsia"/>
        </w:rPr>
        <w:t>年上高县农业农村局坚持以习近平新时代中国特色社会主义思想为指导，全面贯彻党的二十大精神，深入落实习近平总书记关于实施乡村振兴战略重要讲话精神，</w:t>
      </w:r>
      <w:r>
        <w:rPr>
          <w:rFonts w:hint="eastAsia"/>
          <w:lang w:val="en-US" w:eastAsia="zh-CN"/>
        </w:rPr>
        <w:t>全面推进乡村振兴重点工作，聚焦人民群众关切问题，做好各项政府信息公开工作</w:t>
      </w:r>
      <w:r>
        <w:rPr>
          <w:rFonts w:hint="eastAsia"/>
        </w:rPr>
        <w:t>。</w:t>
      </w:r>
    </w:p>
    <w:p>
      <w:pPr>
        <w:pStyle w:val="4"/>
        <w:bidi w:val="0"/>
        <w:ind w:firstLine="0" w:firstLineChars="0"/>
        <w:rPr>
          <w:rFonts w:hint="eastAsia"/>
        </w:rPr>
      </w:pPr>
      <w:r>
        <w:rPr>
          <w:rFonts w:hint="eastAsia"/>
          <w:lang w:eastAsia="zh-CN"/>
        </w:rPr>
        <w:t>　　</w:t>
      </w:r>
      <w:r>
        <w:rPr>
          <w:rFonts w:hint="eastAsia"/>
        </w:rPr>
        <w:t>（一）主动公开情况</w:t>
      </w:r>
    </w:p>
    <w:p>
      <w:pPr>
        <w:ind w:firstLine="0" w:firstLineChars="0"/>
        <w:rPr>
          <w:rFonts w:hint="eastAsia"/>
        </w:rPr>
      </w:pPr>
      <w:r>
        <w:rPr>
          <w:rFonts w:hint="eastAsia"/>
          <w:lang w:eastAsia="zh-CN"/>
        </w:rPr>
        <w:t>　　</w:t>
      </w:r>
      <w:r>
        <w:rPr>
          <w:rFonts w:hint="eastAsia"/>
        </w:rPr>
        <w:t>202</w:t>
      </w:r>
      <w:r>
        <w:rPr>
          <w:rFonts w:hint="eastAsia"/>
          <w:lang w:val="en-US" w:eastAsia="zh-CN"/>
        </w:rPr>
        <w:t>3</w:t>
      </w:r>
      <w:r>
        <w:rPr>
          <w:rFonts w:hint="eastAsia"/>
        </w:rPr>
        <w:t>年，上高县农业农村局</w:t>
      </w:r>
      <w:r>
        <w:rPr>
          <w:rFonts w:hint="eastAsia"/>
          <w:lang w:val="en-US" w:eastAsia="zh-CN"/>
        </w:rPr>
        <w:t>通过</w:t>
      </w:r>
      <w:r>
        <w:rPr>
          <w:rFonts w:hint="eastAsia"/>
        </w:rPr>
        <w:t>政务公开网站，主动公开政府信息</w:t>
      </w:r>
      <w:r>
        <w:rPr>
          <w:rFonts w:hint="eastAsia"/>
          <w:lang w:val="en-US" w:eastAsia="zh-CN"/>
        </w:rPr>
        <w:t>233</w:t>
      </w:r>
      <w:r>
        <w:rPr>
          <w:rFonts w:hint="eastAsia"/>
        </w:rPr>
        <w:t>条，其中：主动公开规范性文件</w:t>
      </w:r>
      <w:r>
        <w:rPr>
          <w:rFonts w:hint="eastAsia"/>
          <w:lang w:val="en-US" w:eastAsia="zh-CN"/>
        </w:rPr>
        <w:t>0</w:t>
      </w:r>
      <w:r>
        <w:rPr>
          <w:rFonts w:hint="eastAsia"/>
        </w:rPr>
        <w:t>件，行政处罚公开</w:t>
      </w:r>
      <w:r>
        <w:rPr>
          <w:rFonts w:hint="eastAsia"/>
          <w:lang w:val="en-US" w:eastAsia="zh-CN"/>
        </w:rPr>
        <w:t>0</w:t>
      </w:r>
      <w:r>
        <w:rPr>
          <w:rFonts w:hint="eastAsia"/>
        </w:rPr>
        <w:t>件。主动公开政府信息重点聚焦优化营商环境、扩大有效投资、</w:t>
      </w:r>
      <w:r>
        <w:rPr>
          <w:rFonts w:hint="eastAsia"/>
          <w:lang w:val="en-US" w:eastAsia="zh-CN"/>
        </w:rPr>
        <w:t>公开招投标信息</w:t>
      </w:r>
      <w:r>
        <w:rPr>
          <w:rFonts w:hint="eastAsia"/>
        </w:rPr>
        <w:t>等领域。</w:t>
      </w:r>
    </w:p>
    <w:p>
      <w:pPr>
        <w:pStyle w:val="4"/>
        <w:bidi w:val="0"/>
        <w:ind w:firstLine="0" w:firstLineChars="0"/>
        <w:rPr>
          <w:rFonts w:hint="eastAsia"/>
        </w:rPr>
      </w:pPr>
      <w:r>
        <w:rPr>
          <w:rFonts w:hint="eastAsia"/>
          <w:lang w:eastAsia="zh-CN"/>
        </w:rPr>
        <w:t>　　</w:t>
      </w:r>
      <w:r>
        <w:rPr>
          <w:rFonts w:hint="eastAsia"/>
        </w:rPr>
        <w:t>（二）依申请公开情况</w:t>
      </w:r>
    </w:p>
    <w:p>
      <w:pPr>
        <w:ind w:firstLine="0" w:firstLineChars="0"/>
        <w:rPr>
          <w:rFonts w:hint="eastAsia"/>
        </w:rPr>
      </w:pPr>
      <w:r>
        <w:rPr>
          <w:rFonts w:hint="eastAsia"/>
          <w:lang w:val="en-US" w:eastAsia="zh-CN"/>
        </w:rPr>
        <w:t>　　按照</w:t>
      </w:r>
      <w:r>
        <w:rPr>
          <w:rFonts w:hint="eastAsia"/>
        </w:rPr>
        <w:t>《条例》规定，202</w:t>
      </w:r>
      <w:r>
        <w:rPr>
          <w:rFonts w:hint="eastAsia"/>
          <w:lang w:val="en-US" w:eastAsia="zh-CN"/>
        </w:rPr>
        <w:t>3</w:t>
      </w:r>
      <w:r>
        <w:rPr>
          <w:rFonts w:hint="eastAsia"/>
        </w:rPr>
        <w:t>年，我局各站室开展了依申请公开受理工作，共收到自然人、法人或其他组织的依申请件</w:t>
      </w:r>
      <w:r>
        <w:rPr>
          <w:rFonts w:hint="eastAsia"/>
          <w:lang w:val="en-US" w:eastAsia="zh-CN"/>
        </w:rPr>
        <w:t>0</w:t>
      </w:r>
      <w:r>
        <w:rPr>
          <w:rFonts w:hint="eastAsia"/>
        </w:rPr>
        <w:t>件（网络申请</w:t>
      </w:r>
      <w:r>
        <w:rPr>
          <w:rFonts w:hint="eastAsia"/>
          <w:lang w:val="en-US" w:eastAsia="zh-CN"/>
        </w:rPr>
        <w:t>0</w:t>
      </w:r>
      <w:r>
        <w:rPr>
          <w:rFonts w:hint="eastAsia"/>
        </w:rPr>
        <w:t>件），其中自然人</w:t>
      </w:r>
      <w:r>
        <w:rPr>
          <w:rFonts w:hint="eastAsia"/>
          <w:lang w:val="en-US" w:eastAsia="zh-CN"/>
        </w:rPr>
        <w:t>0</w:t>
      </w:r>
      <w:r>
        <w:rPr>
          <w:rFonts w:hint="eastAsia"/>
        </w:rPr>
        <w:t>件，商业企业</w:t>
      </w:r>
      <w:r>
        <w:rPr>
          <w:rFonts w:hint="eastAsia"/>
          <w:lang w:val="en-US" w:eastAsia="zh-CN"/>
        </w:rPr>
        <w:t>0</w:t>
      </w:r>
      <w:r>
        <w:rPr>
          <w:rFonts w:hint="eastAsia"/>
        </w:rPr>
        <w:t>件。全年未发生信息公开类行政复议、行政诉讼案件。</w:t>
      </w:r>
    </w:p>
    <w:p>
      <w:pPr>
        <w:pStyle w:val="4"/>
        <w:bidi w:val="0"/>
        <w:ind w:firstLine="0" w:firstLineChars="0"/>
        <w:rPr>
          <w:rFonts w:hint="eastAsia"/>
        </w:rPr>
      </w:pPr>
      <w:r>
        <w:rPr>
          <w:rFonts w:hint="eastAsia"/>
          <w:lang w:eastAsia="zh-CN"/>
        </w:rPr>
        <w:t>　　</w:t>
      </w:r>
      <w:r>
        <w:rPr>
          <w:rFonts w:hint="eastAsia"/>
        </w:rPr>
        <w:t>（三）政府信息管理</w:t>
      </w:r>
    </w:p>
    <w:p>
      <w:pPr>
        <w:ind w:firstLine="0" w:firstLineChars="0"/>
        <w:rPr>
          <w:rFonts w:ascii="仿宋_GB2312" w:hAnsi="宋体" w:eastAsia="仿宋_GB2312" w:cs="仿宋_GB2312"/>
          <w:kern w:val="2"/>
          <w:sz w:val="32"/>
          <w:szCs w:val="32"/>
        </w:rPr>
      </w:pPr>
      <w:r>
        <w:rPr>
          <w:rFonts w:hint="eastAsia" w:hAnsi="宋体" w:cs="仿宋_GB2312"/>
          <w:kern w:val="2"/>
          <w:sz w:val="32"/>
          <w:szCs w:val="32"/>
          <w:lang w:eastAsia="zh-CN"/>
        </w:rPr>
        <w:t>　　</w:t>
      </w:r>
      <w:r>
        <w:rPr>
          <w:rFonts w:hint="eastAsia" w:ascii="仿宋_GB2312" w:hAnsi="宋体" w:eastAsia="仿宋_GB2312" w:cs="仿宋_GB2312"/>
          <w:kern w:val="2"/>
          <w:sz w:val="32"/>
          <w:szCs w:val="32"/>
        </w:rPr>
        <w:t>我局积极修改完善政府信息保密检查制度和审查程序，明确责任股室具体负责政府信息公开保密检查工作，所有公开发布的信息严格按程序审核发布，</w:t>
      </w:r>
      <w:r>
        <w:rPr>
          <w:rFonts w:hint="eastAsia" w:hAnsi="宋体" w:cs="仿宋_GB2312"/>
          <w:kern w:val="2"/>
          <w:sz w:val="32"/>
          <w:szCs w:val="32"/>
          <w:lang w:val="en-US" w:eastAsia="zh-CN"/>
        </w:rPr>
        <w:t>确保</w:t>
      </w:r>
      <w:r>
        <w:rPr>
          <w:rFonts w:hint="eastAsia" w:ascii="仿宋_GB2312" w:hAnsi="宋体" w:eastAsia="仿宋_GB2312" w:cs="仿宋_GB2312"/>
          <w:kern w:val="2"/>
          <w:sz w:val="32"/>
          <w:szCs w:val="32"/>
        </w:rPr>
        <w:t>无泄密现象发生。在规范性文件清理方面，经审查，全年无失效、废止的规范性文件。</w:t>
      </w:r>
    </w:p>
    <w:p>
      <w:pPr>
        <w:pStyle w:val="4"/>
        <w:bidi w:val="0"/>
        <w:ind w:firstLine="0" w:firstLineChars="0"/>
        <w:rPr>
          <w:rFonts w:hint="eastAsia"/>
        </w:rPr>
      </w:pPr>
      <w:r>
        <w:rPr>
          <w:rFonts w:hint="eastAsia"/>
          <w:lang w:eastAsia="zh-CN"/>
        </w:rPr>
        <w:t>　　</w:t>
      </w:r>
      <w:r>
        <w:rPr>
          <w:rFonts w:hint="eastAsia"/>
        </w:rPr>
        <w:t>（四）公开平台建设</w:t>
      </w:r>
    </w:p>
    <w:p>
      <w:pPr>
        <w:ind w:firstLine="0" w:firstLineChars="0"/>
        <w:rPr>
          <w:rFonts w:hint="default" w:eastAsia="仿宋_GB2312"/>
          <w:lang w:val="en-US" w:eastAsia="zh-CN"/>
        </w:rPr>
      </w:pPr>
      <w:r>
        <w:rPr>
          <w:rFonts w:hint="eastAsia"/>
          <w:lang w:val="en-US" w:eastAsia="zh-CN"/>
        </w:rPr>
        <w:t>　　持续完善政务信息公开平台，</w:t>
      </w:r>
      <w:r>
        <w:rPr>
          <w:rFonts w:hint="eastAsia"/>
        </w:rPr>
        <w:t>进一步扩大对外宣传力度，提高工作透明度，所有的信息公开均层层把关，定期更新工作动态。</w:t>
      </w:r>
      <w:r>
        <w:rPr>
          <w:rFonts w:hint="eastAsia"/>
          <w:lang w:val="en-US" w:eastAsia="zh-CN"/>
        </w:rPr>
        <w:t>我局未运营微博、公众号等</w:t>
      </w:r>
      <w:r>
        <w:rPr>
          <w:rFonts w:hint="eastAsia" w:ascii="仿宋_GB2312" w:hAnsi="仿宋_GB2312" w:eastAsia="仿宋_GB2312" w:cs="仿宋_GB2312"/>
          <w:color w:val="000000"/>
          <w:kern w:val="32"/>
          <w:sz w:val="32"/>
          <w:szCs w:val="32"/>
          <w:lang w:val="en-US" w:eastAsia="zh-CN"/>
        </w:rPr>
        <w:t>政务新媒体</w:t>
      </w:r>
      <w:r>
        <w:rPr>
          <w:rFonts w:hint="eastAsia" w:cs="仿宋_GB2312"/>
          <w:color w:val="000000"/>
          <w:kern w:val="32"/>
          <w:sz w:val="32"/>
          <w:szCs w:val="32"/>
          <w:lang w:val="en-US" w:eastAsia="zh-CN"/>
        </w:rPr>
        <w:t>。</w:t>
      </w:r>
    </w:p>
    <w:p>
      <w:pPr>
        <w:pStyle w:val="4"/>
        <w:bidi w:val="0"/>
        <w:ind w:firstLine="0" w:firstLineChars="0"/>
        <w:rPr>
          <w:rFonts w:hint="eastAsia"/>
        </w:rPr>
      </w:pPr>
      <w:r>
        <w:rPr>
          <w:rFonts w:hint="eastAsia"/>
          <w:lang w:eastAsia="zh-CN"/>
        </w:rPr>
        <w:t>　　</w:t>
      </w:r>
      <w:r>
        <w:rPr>
          <w:rFonts w:hint="eastAsia"/>
        </w:rPr>
        <w:t>（五）监督保障</w:t>
      </w:r>
    </w:p>
    <w:p>
      <w:pPr>
        <w:ind w:firstLine="0" w:firstLineChars="0"/>
        <w:rPr>
          <w:rFonts w:hint="eastAsia"/>
        </w:rPr>
      </w:pPr>
      <w:r>
        <w:rPr>
          <w:rFonts w:hint="eastAsia"/>
          <w:lang w:eastAsia="zh-CN"/>
        </w:rPr>
        <w:t>　　</w:t>
      </w:r>
      <w:r>
        <w:rPr>
          <w:rFonts w:hint="eastAsia"/>
        </w:rPr>
        <w:t>一是积极落实各项工作责任制</w:t>
      </w:r>
      <w:r>
        <w:rPr>
          <w:rFonts w:hint="eastAsia"/>
          <w:lang w:eastAsia="zh-CN"/>
        </w:rPr>
        <w:t>，</w:t>
      </w:r>
      <w:r>
        <w:rPr>
          <w:rFonts w:hint="eastAsia"/>
        </w:rPr>
        <w:t>建立健全政府信息公开发布审查机制，落实监督责任内容和程序审核。二是加强日常工作考核，将政府信息公开工作纳入各</w:t>
      </w:r>
      <w:r>
        <w:rPr>
          <w:rFonts w:hint="eastAsia"/>
          <w:lang w:val="en-US" w:eastAsia="zh-CN"/>
        </w:rPr>
        <w:t>站室办</w:t>
      </w:r>
      <w:r>
        <w:rPr>
          <w:rFonts w:hint="eastAsia"/>
        </w:rPr>
        <w:t>目标考核内容，组织人员参加县政府办举办的政府信息公开业务培训和政务新媒体知识培训。三是充分发挥人民群众对政务公开工作的社会评议和监督作用,进一步加大社会监督力度，切实保障公民、法人和其他组织的知情权、参与权、表达权、监督权，确保政务公开工作规范有序开展。2023年我局未出现因信息公开不到位需要进行责任追究的情况。</w:t>
      </w:r>
    </w:p>
    <w:p>
      <w:pPr>
        <w:pStyle w:val="3"/>
        <w:bidi w:val="0"/>
        <w:ind w:firstLine="0" w:firstLineChars="0"/>
        <w:rPr>
          <w:rFonts w:hint="eastAsia"/>
          <w:lang w:eastAsia="zh-CN"/>
        </w:rPr>
      </w:pPr>
      <w:r>
        <w:rPr>
          <w:rFonts w:hint="eastAsia"/>
          <w:lang w:eastAsia="zh-CN"/>
        </w:rPr>
        <w:t>　　</w:t>
      </w:r>
      <w:r>
        <w:rPr>
          <w:rFonts w:hint="eastAsia"/>
        </w:rPr>
        <w:t>二、主动公开政府信息情况</w:t>
      </w:r>
    </w:p>
    <w:tbl>
      <w:tblPr>
        <w:tblStyle w:val="7"/>
        <w:tblW w:w="9127" w:type="dxa"/>
        <w:jc w:val="center"/>
        <w:tblLayout w:type="autofit"/>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10"/>
              <w:bidi w:val="0"/>
            </w:pPr>
            <w:r>
              <w:rPr>
                <w:rFonts w:hint="eastAsia"/>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10"/>
              <w:bidi w:val="0"/>
            </w:pPr>
            <w:r>
              <w:rPr>
                <w:rFonts w:hint="eastAsia"/>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98</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10"/>
              <w:bidi w:val="0"/>
            </w:pPr>
            <w:r>
              <w:rPr>
                <w:rFonts w:hint="eastAsia"/>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37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10"/>
              <w:bidi w:val="0"/>
            </w:pPr>
            <w:r>
              <w:rPr>
                <w:rFonts w:hint="eastAsia"/>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pStyle w:val="10"/>
              <w:bidi w:val="0"/>
            </w:pPr>
            <w:r>
              <w:rPr>
                <w:rFonts w:hint="eastAsia"/>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pStyle w:val="10"/>
              <w:bidi w:val="0"/>
            </w:pPr>
            <w:r>
              <w:rPr>
                <w:rFonts w:hint="eastAsia"/>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10"/>
              <w:bidi w:val="0"/>
              <w:rPr>
                <w:rFonts w:hint="eastAsia"/>
                <w:lang w:eastAsia="zh-CN"/>
              </w:rPr>
            </w:pPr>
            <w:r>
              <w:rPr>
                <w:rFonts w:hint="eastAsia"/>
                <w:lang w:val="en-US" w:eastAsia="zh-CN"/>
              </w:rPr>
              <w:t>0</w:t>
            </w:r>
          </w:p>
        </w:tc>
      </w:tr>
    </w:tbl>
    <w:p>
      <w:pPr>
        <w:shd w:val="clear" w:color="auto" w:fill="FFFFFF"/>
        <w:spacing w:beforeAutospacing="0" w:afterAutospacing="0" w:line="560" w:lineRule="exact"/>
        <w:ind w:firstLine="0" w:firstLineChars="0"/>
        <w:jc w:val="both"/>
        <w:rPr>
          <w:rFonts w:hint="eastAsia" w:ascii="黑体" w:hAnsi="黑体" w:eastAsia="黑体"/>
          <w:bCs/>
          <w:color w:val="000000"/>
          <w:kern w:val="32"/>
          <w:sz w:val="32"/>
          <w:szCs w:val="32"/>
          <w:shd w:val="clear" w:color="auto" w:fill="FFFFFF"/>
          <w:lang w:eastAsia="zh-CN"/>
        </w:rPr>
      </w:pPr>
      <w:r>
        <w:rPr>
          <w:rFonts w:hint="eastAsia" w:ascii="黑体" w:hAnsi="黑体" w:eastAsia="黑体"/>
          <w:bCs/>
          <w:color w:val="000000"/>
          <w:kern w:val="32"/>
          <w:sz w:val="32"/>
          <w:szCs w:val="32"/>
          <w:shd w:val="clear" w:color="auto" w:fill="FFFFFF"/>
          <w:lang w:eastAsia="zh-CN"/>
        </w:rPr>
        <w:t>　　</w:t>
      </w:r>
    </w:p>
    <w:p>
      <w:pPr>
        <w:pStyle w:val="3"/>
        <w:bidi w:val="0"/>
        <w:ind w:firstLine="0" w:firstLineChars="0"/>
      </w:pPr>
      <w:r>
        <w:rPr>
          <w:rFonts w:hint="eastAsia"/>
          <w:lang w:eastAsia="zh-CN"/>
        </w:rPr>
        <w:t>　　</w:t>
      </w:r>
      <w:r>
        <w:rPr>
          <w:rFonts w:hint="eastAsia"/>
        </w:rPr>
        <w:t>三、收到和处理政府信息公开申请情况</w:t>
      </w:r>
    </w:p>
    <w:tbl>
      <w:tblPr>
        <w:tblStyle w:val="7"/>
        <w:tblW w:w="4795" w:type="pct"/>
        <w:jc w:val="center"/>
        <w:tblLayout w:type="autofit"/>
        <w:tblCellMar>
          <w:top w:w="0" w:type="dxa"/>
          <w:left w:w="0" w:type="dxa"/>
          <w:bottom w:w="0" w:type="dxa"/>
          <w:right w:w="0" w:type="dxa"/>
        </w:tblCellMar>
      </w:tblPr>
      <w:tblGrid>
        <w:gridCol w:w="940"/>
        <w:gridCol w:w="954"/>
        <w:gridCol w:w="3150"/>
        <w:gridCol w:w="529"/>
        <w:gridCol w:w="394"/>
        <w:gridCol w:w="394"/>
        <w:gridCol w:w="672"/>
        <w:gridCol w:w="681"/>
        <w:gridCol w:w="394"/>
        <w:gridCol w:w="533"/>
      </w:tblGrid>
      <w:tr>
        <w:tblPrEx>
          <w:tblCellMar>
            <w:top w:w="0" w:type="dxa"/>
            <w:left w:w="0" w:type="dxa"/>
            <w:bottom w:w="0" w:type="dxa"/>
            <w:right w:w="0" w:type="dxa"/>
          </w:tblCellMar>
        </w:tblPrEx>
        <w:trPr>
          <w:trHeight w:val="318" w:hRule="atLeast"/>
          <w:jc w:val="center"/>
        </w:trPr>
        <w:tc>
          <w:tcPr>
            <w:tcW w:w="2917"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pStyle w:val="10"/>
              <w:bidi w:val="0"/>
              <w:jc w:val="both"/>
            </w:pPr>
            <w:r>
              <w:rPr>
                <w:rFonts w:hint="eastAsia"/>
              </w:rPr>
              <w:t>（本列数据的勾稽关系为：第一项加第二项之和，等于第三项加第四项之和）</w:t>
            </w:r>
          </w:p>
        </w:tc>
        <w:tc>
          <w:tcPr>
            <w:tcW w:w="2082"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申请人情况</w:t>
            </w:r>
          </w:p>
        </w:tc>
      </w:tr>
      <w:tr>
        <w:tblPrEx>
          <w:tblCellMar>
            <w:top w:w="0" w:type="dxa"/>
            <w:left w:w="0" w:type="dxa"/>
            <w:bottom w:w="0" w:type="dxa"/>
            <w:right w:w="0" w:type="dxa"/>
          </w:tblCellMar>
        </w:tblPrEx>
        <w:trPr>
          <w:trHeight w:val="145" w:hRule="atLeast"/>
          <w:jc w:val="center"/>
        </w:trPr>
        <w:tc>
          <w:tcPr>
            <w:tcW w:w="2917" w:type="pct"/>
            <w:gridSpan w:val="3"/>
            <w:vMerge w:val="continue"/>
            <w:tcBorders>
              <w:top w:val="single" w:color="auto" w:sz="8" w:space="0"/>
              <w:left w:val="single" w:color="auto" w:sz="8" w:space="0"/>
              <w:bottom w:val="inset" w:color="auto" w:sz="8" w:space="0"/>
              <w:right w:val="single" w:color="auto" w:sz="8" w:space="0"/>
            </w:tcBorders>
            <w:vAlign w:val="center"/>
          </w:tcPr>
          <w:p>
            <w:pPr>
              <w:pStyle w:val="10"/>
              <w:bidi w:val="0"/>
              <w:jc w:val="both"/>
            </w:pPr>
          </w:p>
        </w:tc>
        <w:tc>
          <w:tcPr>
            <w:tcW w:w="307"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自然人</w:t>
            </w:r>
          </w:p>
        </w:tc>
        <w:tc>
          <w:tcPr>
            <w:tcW w:w="1467"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法人或其他组织</w:t>
            </w:r>
          </w:p>
        </w:tc>
        <w:tc>
          <w:tcPr>
            <w:tcW w:w="307"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pPr>
            <w:r>
              <w:rPr>
                <w:rFonts w:hint="eastAsia"/>
              </w:rPr>
              <w:t>总计</w:t>
            </w:r>
          </w:p>
        </w:tc>
      </w:tr>
      <w:tr>
        <w:tblPrEx>
          <w:tblCellMar>
            <w:top w:w="0" w:type="dxa"/>
            <w:left w:w="0" w:type="dxa"/>
            <w:bottom w:w="0" w:type="dxa"/>
            <w:right w:w="0" w:type="dxa"/>
          </w:tblCellMar>
        </w:tblPrEx>
        <w:trPr>
          <w:trHeight w:val="145" w:hRule="atLeast"/>
          <w:jc w:val="center"/>
        </w:trPr>
        <w:tc>
          <w:tcPr>
            <w:tcW w:w="2917" w:type="pct"/>
            <w:gridSpan w:val="3"/>
            <w:vMerge w:val="continue"/>
            <w:tcBorders>
              <w:top w:val="single" w:color="auto" w:sz="8" w:space="0"/>
              <w:left w:val="single" w:color="auto" w:sz="8" w:space="0"/>
              <w:bottom w:val="inset" w:color="auto" w:sz="8" w:space="0"/>
              <w:right w:val="single" w:color="auto" w:sz="8" w:space="0"/>
            </w:tcBorders>
            <w:vAlign w:val="center"/>
          </w:tcPr>
          <w:p>
            <w:pPr>
              <w:pStyle w:val="10"/>
              <w:bidi w:val="0"/>
              <w:jc w:val="both"/>
            </w:pPr>
          </w:p>
        </w:tc>
        <w:tc>
          <w:tcPr>
            <w:tcW w:w="307" w:type="pct"/>
            <w:vMerge w:val="continue"/>
            <w:tcBorders>
              <w:top w:val="single" w:color="auto" w:sz="6" w:space="0"/>
              <w:left w:val="single" w:color="auto" w:sz="6" w:space="0"/>
              <w:bottom w:val="single" w:color="auto" w:sz="8" w:space="0"/>
              <w:right w:val="single" w:color="auto" w:sz="8" w:space="0"/>
            </w:tcBorders>
            <w:vAlign w:val="center"/>
          </w:tcPr>
          <w:p>
            <w:pPr>
              <w:pStyle w:val="10"/>
              <w:bidi w:val="0"/>
            </w:pPr>
          </w:p>
        </w:tc>
        <w:tc>
          <w:tcPr>
            <w:tcW w:w="226"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商业</w:t>
            </w:r>
          </w:p>
          <w:p>
            <w:pPr>
              <w:pStyle w:val="10"/>
              <w:bidi w:val="0"/>
            </w:pPr>
            <w:r>
              <w:rPr>
                <w:rFonts w:hint="eastAsia"/>
              </w:rPr>
              <w:t>企业</w:t>
            </w:r>
          </w:p>
        </w:tc>
        <w:tc>
          <w:tcPr>
            <w:tcW w:w="228"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科研</w:t>
            </w:r>
          </w:p>
          <w:p>
            <w:pPr>
              <w:pStyle w:val="10"/>
              <w:bidi w:val="0"/>
            </w:pPr>
            <w:r>
              <w:rPr>
                <w:rFonts w:hint="eastAsia"/>
              </w:rPr>
              <w:t>机构</w:t>
            </w:r>
          </w:p>
        </w:tc>
        <w:tc>
          <w:tcPr>
            <w:tcW w:w="390"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社会公益组织</w:t>
            </w:r>
          </w:p>
        </w:tc>
        <w:tc>
          <w:tcPr>
            <w:tcW w:w="395"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法律服务机构</w:t>
            </w:r>
          </w:p>
        </w:tc>
        <w:tc>
          <w:tcPr>
            <w:tcW w:w="226"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rPr>
              <w:t>其他</w:t>
            </w:r>
          </w:p>
        </w:tc>
        <w:tc>
          <w:tcPr>
            <w:tcW w:w="307" w:type="pct"/>
            <w:vMerge w:val="continue"/>
            <w:tcBorders>
              <w:top w:val="single" w:color="auto" w:sz="8" w:space="0"/>
              <w:left w:val="single" w:color="auto" w:sz="6" w:space="0"/>
              <w:bottom w:val="inset" w:color="auto" w:sz="8" w:space="0"/>
              <w:right w:val="single" w:color="auto" w:sz="8" w:space="0"/>
            </w:tcBorders>
            <w:vAlign w:val="center"/>
          </w:tcPr>
          <w:p>
            <w:pPr>
              <w:pStyle w:val="10"/>
              <w:bidi w:val="0"/>
            </w:pPr>
          </w:p>
        </w:tc>
      </w:tr>
      <w:tr>
        <w:tblPrEx>
          <w:tblCellMar>
            <w:top w:w="0" w:type="dxa"/>
            <w:left w:w="0" w:type="dxa"/>
            <w:bottom w:w="0" w:type="dxa"/>
            <w:right w:w="0" w:type="dxa"/>
          </w:tblCellMar>
        </w:tblPrEx>
        <w:trPr>
          <w:trHeight w:val="318" w:hRule="atLeast"/>
          <w:jc w:val="center"/>
        </w:trPr>
        <w:tc>
          <w:tcPr>
            <w:tcW w:w="291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jc w:val="both"/>
            </w:pPr>
            <w:r>
              <w:rPr>
                <w:rFonts w:hint="eastAsia"/>
              </w:rPr>
              <w:t>一、本年新收政府信息公开申请数量</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r>
      <w:tr>
        <w:tblPrEx>
          <w:tblCellMar>
            <w:top w:w="0" w:type="dxa"/>
            <w:left w:w="0" w:type="dxa"/>
            <w:bottom w:w="0" w:type="dxa"/>
            <w:right w:w="0" w:type="dxa"/>
          </w:tblCellMar>
        </w:tblPrEx>
        <w:trPr>
          <w:trHeight w:val="318" w:hRule="atLeast"/>
          <w:jc w:val="center"/>
        </w:trPr>
        <w:tc>
          <w:tcPr>
            <w:tcW w:w="291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jc w:val="both"/>
            </w:pPr>
            <w:r>
              <w:rPr>
                <w:rFonts w:hint="eastAsia"/>
              </w:rPr>
              <w:t>二、上年结转政府信息公开申请数量</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r>
      <w:tr>
        <w:tblPrEx>
          <w:tblCellMar>
            <w:top w:w="0" w:type="dxa"/>
            <w:left w:w="0" w:type="dxa"/>
            <w:bottom w:w="0" w:type="dxa"/>
            <w:right w:w="0" w:type="dxa"/>
          </w:tblCellMar>
        </w:tblPrEx>
        <w:trPr>
          <w:trHeight w:val="333" w:hRule="atLeast"/>
          <w:jc w:val="center"/>
        </w:trPr>
        <w:tc>
          <w:tcPr>
            <w:tcW w:w="545"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pStyle w:val="10"/>
              <w:bidi w:val="0"/>
              <w:jc w:val="both"/>
            </w:pPr>
            <w:r>
              <w:rPr>
                <w:rFonts w:hint="eastAsia"/>
              </w:rPr>
              <w:t>三、本年度办理结果</w:t>
            </w:r>
          </w:p>
        </w:tc>
        <w:tc>
          <w:tcPr>
            <w:tcW w:w="410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rPr>
                <w:rFonts w:hint="eastAsia"/>
              </w:rPr>
              <w:t>（一）予以公开</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07"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10</w:t>
            </w:r>
          </w:p>
        </w:tc>
      </w:tr>
      <w:tr>
        <w:tblPrEx>
          <w:tblCellMar>
            <w:top w:w="0" w:type="dxa"/>
            <w:left w:w="0" w:type="dxa"/>
            <w:bottom w:w="0" w:type="dxa"/>
            <w:right w:w="0" w:type="dxa"/>
          </w:tblCellMar>
        </w:tblPrEx>
        <w:trPr>
          <w:trHeight w:val="569"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410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rPr>
                <w:rFonts w:hint="eastAsia"/>
              </w:rPr>
              <w:t>（二）部分公开（区分处理的，只计这一情形，不计其他情形）</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3</w:t>
            </w:r>
          </w:p>
        </w:tc>
      </w:tr>
      <w:tr>
        <w:tblPrEx>
          <w:tblCellMar>
            <w:top w:w="0" w:type="dxa"/>
            <w:left w:w="0" w:type="dxa"/>
            <w:bottom w:w="0" w:type="dxa"/>
            <w:right w:w="0" w:type="dxa"/>
          </w:tblCellMar>
        </w:tblPrEx>
        <w:trPr>
          <w:trHeight w:val="284"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jc w:val="both"/>
              <w:rPr>
                <w:rFonts w:hint="eastAsia"/>
                <w:lang w:val="en-US" w:eastAsia="zh-CN"/>
              </w:rPr>
            </w:pPr>
            <w:r>
              <w:rPr>
                <w:rFonts w:hint="eastAsia"/>
              </w:rPr>
              <w:t>（三）不予公开</w:t>
            </w:r>
          </w:p>
        </w:tc>
        <w:tc>
          <w:tcPr>
            <w:tcW w:w="315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1.</w:t>
            </w:r>
            <w:r>
              <w:rPr>
                <w:rFonts w:hint="eastAsia"/>
              </w:rPr>
              <w:t>属于国家秘密</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07"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315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2.</w:t>
            </w:r>
            <w:r>
              <w:rPr>
                <w:rFonts w:hint="eastAsia"/>
              </w:rPr>
              <w:t>其他法律行政法规禁止公开</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r>
      <w:tr>
        <w:tblPrEx>
          <w:tblCellMar>
            <w:top w:w="0" w:type="dxa"/>
            <w:left w:w="0" w:type="dxa"/>
            <w:bottom w:w="0" w:type="dxa"/>
            <w:right w:w="0" w:type="dxa"/>
          </w:tblCellMar>
        </w:tblPrEx>
        <w:trPr>
          <w:trHeight w:val="60"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315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3.</w:t>
            </w:r>
            <w:r>
              <w:rPr>
                <w:rFonts w:hint="eastAsia"/>
              </w:rPr>
              <w:t>危及</w:t>
            </w:r>
            <w:r>
              <w:t>“</w:t>
            </w:r>
            <w:r>
              <w:rPr>
                <w:rFonts w:hint="eastAsia"/>
              </w:rPr>
              <w:t>三安全一稳定</w:t>
            </w:r>
            <w:r>
              <w:t>”</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315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4.</w:t>
            </w:r>
            <w:r>
              <w:rPr>
                <w:rFonts w:hint="eastAsia"/>
              </w:rPr>
              <w:t>保护第三方合法权益</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2</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315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5.</w:t>
            </w:r>
            <w:r>
              <w:rPr>
                <w:rFonts w:hint="eastAsia"/>
              </w:rPr>
              <w:t>属于三类内部事务信息</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315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6.</w:t>
            </w:r>
            <w:r>
              <w:rPr>
                <w:rFonts w:hint="eastAsia"/>
              </w:rPr>
              <w:t>属于四类过程性信息</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315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7.</w:t>
            </w:r>
            <w:r>
              <w:rPr>
                <w:rFonts w:hint="eastAsia"/>
              </w:rPr>
              <w:t>属于行政执法案卷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rPr>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rPr>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315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8.</w:t>
            </w:r>
            <w:r>
              <w:rPr>
                <w:rFonts w:hint="eastAsia"/>
              </w:rPr>
              <w:t>属于行政查询事项</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r>
      <w:tr>
        <w:tblPrEx>
          <w:tblCellMar>
            <w:top w:w="0" w:type="dxa"/>
            <w:left w:w="0" w:type="dxa"/>
            <w:bottom w:w="0" w:type="dxa"/>
            <w:right w:w="0" w:type="dxa"/>
          </w:tblCellMar>
        </w:tblPrEx>
        <w:trPr>
          <w:trHeight w:val="831"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jc w:val="both"/>
            </w:pPr>
            <w:r>
              <w:rPr>
                <w:rFonts w:hint="eastAsia"/>
              </w:rPr>
              <w:t>（四）无法提供</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1.</w:t>
            </w:r>
            <w:r>
              <w:rPr>
                <w:rFonts w:hint="eastAsia"/>
              </w:rPr>
              <w:t>本机关不掌握相关政府信息</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2.</w:t>
            </w:r>
            <w:r>
              <w:rPr>
                <w:rFonts w:hint="eastAsia"/>
              </w:rPr>
              <w:t>没有现成信息需要另行制作</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3.</w:t>
            </w:r>
            <w:r>
              <w:rPr>
                <w:rFonts w:hint="eastAsia"/>
              </w:rPr>
              <w:t>补正后申请内容仍不明确</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jc w:val="both"/>
            </w:pPr>
            <w:r>
              <w:rPr>
                <w:rFonts w:hint="eastAsia"/>
              </w:rPr>
              <w:t>（五）不予处理</w:t>
            </w:r>
          </w:p>
        </w:tc>
        <w:tc>
          <w:tcPr>
            <w:tcW w:w="1823"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1.</w:t>
            </w:r>
            <w:r>
              <w:rPr>
                <w:rFonts w:hint="eastAsia"/>
              </w:rPr>
              <w:t>信访举报投诉类申请</w:t>
            </w:r>
          </w:p>
        </w:tc>
        <w:tc>
          <w:tcPr>
            <w:tcW w:w="307"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2.</w:t>
            </w:r>
            <w:r>
              <w:rPr>
                <w:rFonts w:hint="eastAsia"/>
              </w:rPr>
              <w:t>重复申请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eastAsia"/>
                <w:lang w:val="en-US" w:eastAsia="zh-CN"/>
              </w:rPr>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3.</w:t>
            </w:r>
            <w:r>
              <w:rPr>
                <w:rFonts w:hint="eastAsia"/>
              </w:rPr>
              <w:t>要求提供公开出版物</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4.</w:t>
            </w:r>
            <w:r>
              <w:rPr>
                <w:rFonts w:hint="eastAsia"/>
              </w:rPr>
              <w:t>无正当理由大量反复申请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78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pStyle w:val="10"/>
              <w:bidi w:val="0"/>
              <w:jc w:val="both"/>
            </w:pPr>
          </w:p>
        </w:tc>
        <w:tc>
          <w:tcPr>
            <w:tcW w:w="1823"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jc w:val="both"/>
            </w:pPr>
            <w:r>
              <w:t>5.</w:t>
            </w:r>
            <w:r>
              <w:rPr>
                <w:rFonts w:hint="eastAsia"/>
              </w:rPr>
              <w:t>要求行政机关确认或重新出具已获取信息</w:t>
            </w:r>
          </w:p>
        </w:tc>
        <w:tc>
          <w:tcPr>
            <w:tcW w:w="307"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0"/>
              <w:bidi w:val="0"/>
              <w:jc w:val="both"/>
            </w:pPr>
            <w:r>
              <w:rPr>
                <w:rFonts w:hint="eastAsia"/>
              </w:rPr>
              <w:t>（六）其他处理</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1.</w:t>
            </w:r>
            <w:r>
              <w:rPr>
                <w:rFonts w:hint="eastAsia"/>
              </w:rPr>
              <w:t>申请人无正当理由逾期不补正、行政机关不再处理其政府信息公开申请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inset" w:color="auto" w:sz="8" w:space="0"/>
              <w:left w:val="single" w:color="auto" w:sz="6" w:space="0"/>
              <w:bottom w:val="inset" w:color="auto" w:sz="8" w:space="0"/>
              <w:right w:val="single" w:color="auto" w:sz="8" w:space="0"/>
            </w:tcBorders>
            <w:vAlign w:val="center"/>
          </w:tcPr>
          <w:p>
            <w:pPr>
              <w:pStyle w:val="10"/>
              <w:bidi w:val="0"/>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2.</w:t>
            </w:r>
            <w:r>
              <w:rPr>
                <w:rFonts w:hint="eastAsia"/>
              </w:rPr>
              <w:t>申请人逾期未按收费通知要求缴纳费用、行政机关不再处理其政府信息公开申请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pPr>
          </w:p>
        </w:tc>
        <w:tc>
          <w:tcPr>
            <w:tcW w:w="548" w:type="pct"/>
            <w:vMerge w:val="continue"/>
            <w:tcBorders>
              <w:top w:val="inset" w:color="auto" w:sz="8" w:space="0"/>
              <w:left w:val="single" w:color="auto" w:sz="6" w:space="0"/>
              <w:bottom w:val="inset" w:color="auto" w:sz="8" w:space="0"/>
              <w:right w:val="single" w:color="auto" w:sz="8" w:space="0"/>
            </w:tcBorders>
            <w:vAlign w:val="center"/>
          </w:tcPr>
          <w:p>
            <w:pPr>
              <w:pStyle w:val="10"/>
              <w:bidi w:val="0"/>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t>3.</w:t>
            </w:r>
            <w:r>
              <w:rPr>
                <w:rFonts w:hint="eastAsia"/>
              </w:rPr>
              <w:t>其他</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pStyle w:val="10"/>
              <w:bidi w:val="0"/>
              <w:jc w:val="both"/>
            </w:pPr>
          </w:p>
        </w:tc>
        <w:tc>
          <w:tcPr>
            <w:tcW w:w="2372"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jc w:val="both"/>
            </w:pPr>
            <w:r>
              <w:rPr>
                <w:rFonts w:hint="eastAsia"/>
              </w:rPr>
              <w:t>（七）总计</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bookmarkStart w:id="0" w:name="_GoBack"/>
            <w:bookmarkEnd w:id="0"/>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rPr>
                <w:rFonts w:hint="default"/>
                <w:lang w:val="en-US" w:eastAsia="zh-CN"/>
              </w:rPr>
            </w:pPr>
            <w:r>
              <w:rPr>
                <w:rFonts w:hint="eastAsia"/>
                <w:lang w:val="en-US" w:eastAsia="zh-CN"/>
              </w:rPr>
              <w:t>0</w:t>
            </w:r>
          </w:p>
        </w:tc>
      </w:tr>
      <w:tr>
        <w:tblPrEx>
          <w:tblCellMar>
            <w:top w:w="0" w:type="dxa"/>
            <w:left w:w="0" w:type="dxa"/>
            <w:bottom w:w="0" w:type="dxa"/>
            <w:right w:w="0" w:type="dxa"/>
          </w:tblCellMar>
        </w:tblPrEx>
        <w:trPr>
          <w:trHeight w:val="318" w:hRule="atLeast"/>
          <w:jc w:val="center"/>
        </w:trPr>
        <w:tc>
          <w:tcPr>
            <w:tcW w:w="291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0"/>
              <w:bidi w:val="0"/>
              <w:jc w:val="both"/>
            </w:pPr>
            <w:r>
              <w:rPr>
                <w:rFonts w:hint="eastAsia"/>
              </w:rPr>
              <w:t>四、结转下年度继续办理</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pStyle w:val="10"/>
              <w:bidi w:val="0"/>
            </w:pPr>
            <w:r>
              <w:rPr>
                <w:rFonts w:hint="eastAsia"/>
                <w:lang w:val="en-US" w:eastAsia="zh-CN"/>
              </w:rPr>
              <w:t>0</w:t>
            </w:r>
          </w:p>
        </w:tc>
      </w:tr>
    </w:tbl>
    <w:p>
      <w:pPr>
        <w:shd w:val="clear" w:color="auto" w:fill="FFFFFF"/>
        <w:spacing w:beforeAutospacing="0" w:afterAutospacing="0" w:line="560" w:lineRule="exact"/>
        <w:ind w:firstLine="0" w:firstLineChars="0"/>
        <w:jc w:val="both"/>
        <w:rPr>
          <w:rFonts w:hint="eastAsia" w:ascii="黑体" w:hAnsi="黑体" w:eastAsia="黑体"/>
          <w:bCs/>
          <w:color w:val="000000"/>
          <w:kern w:val="32"/>
          <w:sz w:val="32"/>
          <w:szCs w:val="32"/>
          <w:shd w:val="clear" w:color="auto" w:fill="FFFFFF"/>
          <w:lang w:eastAsia="zh-CN"/>
        </w:rPr>
      </w:pPr>
      <w:r>
        <w:rPr>
          <w:rFonts w:hint="eastAsia" w:ascii="黑体" w:hAnsi="黑体" w:eastAsia="黑体"/>
          <w:bCs/>
          <w:color w:val="000000"/>
          <w:kern w:val="32"/>
          <w:sz w:val="32"/>
          <w:szCs w:val="32"/>
          <w:shd w:val="clear" w:color="auto" w:fill="FFFFFF"/>
          <w:lang w:eastAsia="zh-CN"/>
        </w:rPr>
        <w:t>　　</w:t>
      </w:r>
    </w:p>
    <w:p>
      <w:pPr>
        <w:pStyle w:val="3"/>
        <w:bidi w:val="0"/>
        <w:ind w:firstLine="0" w:firstLineChars="0"/>
      </w:pPr>
      <w:r>
        <w:rPr>
          <w:rFonts w:hint="eastAsia"/>
          <w:lang w:eastAsia="zh-CN"/>
        </w:rPr>
        <w:t>　　</w:t>
      </w:r>
      <w:r>
        <w:rPr>
          <w:rFonts w:hint="eastAsia"/>
        </w:rPr>
        <w:t>四、政府信息公开行政复议、行政诉讼情况</w:t>
      </w:r>
    </w:p>
    <w:tbl>
      <w:tblPr>
        <w:tblStyle w:val="7"/>
        <w:tblW w:w="4824" w:type="pct"/>
        <w:jc w:val="center"/>
        <w:tblLayout w:type="autofit"/>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3"/>
        <w:gridCol w:w="583"/>
        <w:gridCol w:w="587"/>
      </w:tblGrid>
      <w:tr>
        <w:tblPrEx>
          <w:tblCellMar>
            <w:top w:w="0" w:type="dxa"/>
            <w:left w:w="0" w:type="dxa"/>
            <w:bottom w:w="0" w:type="dxa"/>
            <w:right w:w="0" w:type="dxa"/>
          </w:tblCellMar>
        </w:tblPrEx>
        <w:trPr>
          <w:trHeight w:val="317" w:hRule="atLeast"/>
          <w:jc w:val="center"/>
        </w:trPr>
        <w:tc>
          <w:tcPr>
            <w:tcW w:w="1664"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行政复议</w:t>
            </w:r>
          </w:p>
        </w:tc>
        <w:tc>
          <w:tcPr>
            <w:tcW w:w="3336" w:type="pct"/>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行政诉讼</w:t>
            </w:r>
          </w:p>
        </w:tc>
      </w:tr>
      <w:tr>
        <w:tblPrEx>
          <w:tblCellMar>
            <w:top w:w="0" w:type="dxa"/>
            <w:left w:w="0" w:type="dxa"/>
            <w:bottom w:w="0" w:type="dxa"/>
            <w:right w:w="0" w:type="dxa"/>
          </w:tblCellMar>
        </w:tblPrEx>
        <w:trPr>
          <w:trHeight w:val="317" w:hRule="atLeast"/>
          <w:jc w:val="center"/>
        </w:trPr>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结果维持</w:t>
            </w:r>
          </w:p>
        </w:tc>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结果</w:t>
            </w:r>
            <w:r>
              <w:br w:type="textWrapping"/>
            </w:r>
            <w:r>
              <w:rPr>
                <w:rFonts w:hint="eastAsia"/>
              </w:rPr>
              <w:t>纠正</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其他</w:t>
            </w:r>
            <w:r>
              <w:br w:type="textWrapping"/>
            </w:r>
            <w:r>
              <w:rPr>
                <w:rFonts w:hint="eastAsia"/>
              </w:rPr>
              <w:t>结果</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尚未</w:t>
            </w:r>
            <w:r>
              <w:br w:type="textWrapping"/>
            </w:r>
            <w:r>
              <w:rPr>
                <w:rFonts w:hint="eastAsia"/>
              </w:rPr>
              <w:t>审结</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总计</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未经复议直接起诉</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复议后起诉</w:t>
            </w:r>
          </w:p>
        </w:tc>
      </w:tr>
      <w:tr>
        <w:tblPrEx>
          <w:tblCellMar>
            <w:top w:w="0" w:type="dxa"/>
            <w:left w:w="0" w:type="dxa"/>
            <w:bottom w:w="0" w:type="dxa"/>
            <w:right w:w="0" w:type="dxa"/>
          </w:tblCellMar>
        </w:tblPrEx>
        <w:trPr>
          <w:trHeight w:val="145" w:hRule="atLeast"/>
          <w:jc w:val="center"/>
        </w:trPr>
        <w:tc>
          <w:tcPr>
            <w:tcW w:w="333" w:type="pct"/>
            <w:vMerge w:val="continue"/>
            <w:tcBorders>
              <w:top w:val="nil"/>
              <w:left w:val="single" w:color="auto" w:sz="8" w:space="0"/>
              <w:bottom w:val="single" w:color="auto" w:sz="8" w:space="0"/>
              <w:right w:val="single" w:color="auto" w:sz="8" w:space="0"/>
            </w:tcBorders>
            <w:vAlign w:val="center"/>
          </w:tcPr>
          <w:p>
            <w:pPr>
              <w:pStyle w:val="10"/>
              <w:bidi w:val="0"/>
            </w:pPr>
          </w:p>
        </w:tc>
        <w:tc>
          <w:tcPr>
            <w:tcW w:w="333" w:type="pct"/>
            <w:vMerge w:val="continue"/>
            <w:tcBorders>
              <w:top w:val="nil"/>
              <w:left w:val="single" w:color="auto" w:sz="8" w:space="0"/>
              <w:bottom w:val="single" w:color="auto" w:sz="8" w:space="0"/>
              <w:right w:val="single" w:color="auto" w:sz="8" w:space="0"/>
            </w:tcBorders>
            <w:vAlign w:val="center"/>
          </w:tcPr>
          <w:p>
            <w:pPr>
              <w:pStyle w:val="10"/>
              <w:bidi w:val="0"/>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pStyle w:val="10"/>
              <w:bidi w:val="0"/>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pStyle w:val="10"/>
              <w:bidi w:val="0"/>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pStyle w:val="10"/>
              <w:bidi w:val="0"/>
            </w:pP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结果</w:t>
            </w:r>
            <w:r>
              <w:br w:type="textWrapping"/>
            </w:r>
            <w:r>
              <w:rPr>
                <w:rFonts w:hint="eastAsia"/>
              </w:rPr>
              <w:t>维持</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结果</w:t>
            </w:r>
            <w:r>
              <w:br w:type="textWrapping"/>
            </w:r>
            <w:r>
              <w:rPr>
                <w:rFonts w:hint="eastAsia"/>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其他</w:t>
            </w:r>
            <w:r>
              <w:br w:type="textWrapping"/>
            </w:r>
            <w:r>
              <w:rPr>
                <w:rFonts w:hint="eastAsia"/>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尚未</w:t>
            </w:r>
            <w:r>
              <w:br w:type="textWrapping"/>
            </w:r>
            <w:r>
              <w:rPr>
                <w:rFonts w:hint="eastAsia"/>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总计</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结果</w:t>
            </w:r>
            <w:r>
              <w:br w:type="textWrapping"/>
            </w:r>
            <w:r>
              <w:rPr>
                <w:rFonts w:hint="eastAsia"/>
              </w:rPr>
              <w:t>维持</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结果</w:t>
            </w:r>
            <w:r>
              <w:br w:type="textWrapping"/>
            </w:r>
            <w:r>
              <w:rPr>
                <w:rFonts w:hint="eastAsia"/>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其他</w:t>
            </w:r>
            <w:r>
              <w:br w:type="textWrapping"/>
            </w:r>
            <w:r>
              <w:rPr>
                <w:rFonts w:hint="eastAsia"/>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尚未</w:t>
            </w:r>
            <w:r>
              <w:br w:type="textWrapping"/>
            </w:r>
            <w:r>
              <w:rPr>
                <w:rFonts w:hint="eastAsia"/>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rPr>
              <w:t>总计</w:t>
            </w:r>
          </w:p>
        </w:tc>
      </w:tr>
      <w:tr>
        <w:tblPrEx>
          <w:tblCellMar>
            <w:top w:w="0" w:type="dxa"/>
            <w:left w:w="0" w:type="dxa"/>
            <w:bottom w:w="0" w:type="dxa"/>
            <w:right w:w="0" w:type="dxa"/>
          </w:tblCellMar>
        </w:tblPrEx>
        <w:trPr>
          <w:trHeight w:val="676" w:hRule="atLeast"/>
          <w:jc w:val="center"/>
        </w:trPr>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
              <w:bidi w:val="0"/>
            </w:pPr>
            <w:r>
              <w:rPr>
                <w:rFonts w:hint="eastAsia"/>
                <w:lang w:val="en-US" w:eastAsia="zh-CN"/>
              </w:rPr>
              <w:t>0</w:t>
            </w:r>
          </w:p>
        </w:tc>
      </w:tr>
    </w:tbl>
    <w:p>
      <w:pPr>
        <w:ind w:firstLine="0" w:firstLineChars="0"/>
        <w:rPr>
          <w:rFonts w:hint="eastAsia" w:eastAsia="仿宋_GB2312"/>
          <w:lang w:eastAsia="zh-CN"/>
        </w:rPr>
      </w:pPr>
      <w:r>
        <w:rPr>
          <w:rFonts w:hint="eastAsia"/>
          <w:lang w:eastAsia="zh-CN"/>
        </w:rPr>
        <w:t>　　</w:t>
      </w:r>
    </w:p>
    <w:p>
      <w:pPr>
        <w:pStyle w:val="3"/>
        <w:bidi w:val="0"/>
        <w:ind w:firstLine="0" w:firstLineChars="0"/>
        <w:rPr>
          <w:rFonts w:hint="eastAsia"/>
          <w:lang w:val="en-US" w:eastAsia="zh-CN"/>
        </w:rPr>
      </w:pPr>
      <w:r>
        <w:rPr>
          <w:rFonts w:hint="eastAsia"/>
          <w:lang w:val="en-US" w:eastAsia="zh-CN"/>
        </w:rPr>
        <w:t>　　五、存在的主要问题及改进情况</w:t>
      </w:r>
    </w:p>
    <w:p>
      <w:pPr>
        <w:ind w:firstLine="0" w:firstLineChars="0"/>
        <w:rPr>
          <w:rFonts w:hint="eastAsia"/>
          <w:lang w:val="en-US" w:eastAsia="zh-CN"/>
        </w:rPr>
      </w:pPr>
      <w:r>
        <w:rPr>
          <w:rFonts w:hint="eastAsia"/>
          <w:lang w:val="en-US" w:eastAsia="zh-CN"/>
        </w:rPr>
        <w:t>　　1、主要问题：跟进学习省市最新标准指引方面，研究得还不够深入，把握新标准、落实新要求的主动性上存在欠缺。</w:t>
      </w:r>
    </w:p>
    <w:p>
      <w:pPr>
        <w:ind w:firstLine="0" w:firstLineChars="0"/>
        <w:rPr>
          <w:rFonts w:hint="eastAsia"/>
          <w:lang w:val="en-US" w:eastAsia="zh-CN"/>
        </w:rPr>
      </w:pPr>
      <w:r>
        <w:rPr>
          <w:rFonts w:hint="eastAsia"/>
          <w:lang w:val="en-US" w:eastAsia="zh-CN"/>
        </w:rPr>
        <w:t>　　2、改进打算：开展业务培训，通过线上、线下会议及时传达解读省市最新会议精神及相关文件要求，积极提升工作水平。</w:t>
      </w:r>
    </w:p>
    <w:p>
      <w:pPr>
        <w:pStyle w:val="3"/>
        <w:bidi w:val="0"/>
        <w:ind w:firstLine="0" w:firstLineChars="0"/>
        <w:rPr>
          <w:rFonts w:hint="eastAsia"/>
        </w:rPr>
      </w:pPr>
      <w:r>
        <w:rPr>
          <w:rFonts w:hint="eastAsia"/>
          <w:lang w:eastAsia="zh-CN"/>
        </w:rPr>
        <w:t>　　</w:t>
      </w:r>
      <w:r>
        <w:rPr>
          <w:rFonts w:hint="eastAsia"/>
        </w:rPr>
        <w:t>六、其他需要报告的事项</w:t>
      </w:r>
    </w:p>
    <w:p>
      <w:pPr>
        <w:bidi w:val="0"/>
        <w:ind w:firstLine="0" w:firstLineChars="0"/>
        <w:rPr>
          <w:rFonts w:hint="eastAsia" w:ascii="Times New Roman" w:hAnsi="黑体" w:eastAsia="黑体"/>
          <w:bCs/>
          <w:color w:val="000000"/>
          <w:kern w:val="32"/>
          <w:sz w:val="32"/>
          <w:szCs w:val="32"/>
          <w:shd w:val="clear" w:color="auto" w:fill="FFFFFF"/>
        </w:rPr>
      </w:pPr>
      <w:r>
        <w:rPr>
          <w:rFonts w:hint="eastAsia"/>
          <w:lang w:eastAsia="zh-CN"/>
        </w:rPr>
        <w:t>　　</w:t>
      </w:r>
      <w:r>
        <w:rPr>
          <w:rFonts w:hint="eastAsia"/>
        </w:rPr>
        <w:t>2023年政务公开要点落实情况：一是深化重点领域信息公开。及时发布招标投标信息</w:t>
      </w:r>
      <w:r>
        <w:rPr>
          <w:rFonts w:hint="eastAsia"/>
          <w:lang w:eastAsia="zh-CN"/>
        </w:rPr>
        <w:t>、</w:t>
      </w:r>
      <w:r>
        <w:rPr>
          <w:rFonts w:hint="eastAsia"/>
        </w:rPr>
        <w:t>涉农补贴</w:t>
      </w:r>
      <w:r>
        <w:rPr>
          <w:rFonts w:hint="eastAsia"/>
          <w:lang w:eastAsia="zh-CN"/>
        </w:rPr>
        <w:t>、</w:t>
      </w:r>
      <w:r>
        <w:rPr>
          <w:rFonts w:hint="eastAsia"/>
        </w:rPr>
        <w:t>乡村振兴领域</w:t>
      </w:r>
      <w:r>
        <w:rPr>
          <w:rFonts w:hint="eastAsia"/>
          <w:lang w:eastAsia="zh-CN"/>
        </w:rPr>
        <w:t>、</w:t>
      </w:r>
      <w:r>
        <w:rPr>
          <w:rFonts w:hint="eastAsia"/>
        </w:rPr>
        <w:t>农村宅基地制度改革试点</w:t>
      </w:r>
      <w:r>
        <w:rPr>
          <w:rFonts w:hint="eastAsia"/>
          <w:lang w:val="en-US" w:eastAsia="zh-CN"/>
        </w:rPr>
        <w:t>等重点信息</w:t>
      </w:r>
      <w:r>
        <w:rPr>
          <w:rFonts w:hint="eastAsia"/>
        </w:rPr>
        <w:t>。二是强化政策解读质效。</w:t>
      </w:r>
      <w:r>
        <w:rPr>
          <w:rFonts w:hint="eastAsia"/>
          <w:lang w:val="en-US" w:eastAsia="zh-CN"/>
        </w:rPr>
        <w:t>对发布的各种政策信息尽力进行解读，</w:t>
      </w:r>
      <w:r>
        <w:rPr>
          <w:rFonts w:hint="eastAsia"/>
        </w:rPr>
        <w:t>让群众更加直观和接受。三是狠抓政府网站与政务新媒体规范管理。充分利用、发挥现有平台作用，提供优质社会服务，方便群众了解</w:t>
      </w:r>
      <w:r>
        <w:rPr>
          <w:rFonts w:hint="eastAsia"/>
          <w:lang w:eastAsia="zh-CN"/>
        </w:rPr>
        <w:t>“</w:t>
      </w:r>
      <w:r>
        <w:rPr>
          <w:rFonts w:hint="eastAsia"/>
          <w:lang w:val="en-US" w:eastAsia="zh-CN"/>
        </w:rPr>
        <w:t>三农”</w:t>
      </w:r>
      <w:r>
        <w:rPr>
          <w:rFonts w:hint="eastAsia"/>
        </w:rPr>
        <w:t>相关信息。对发布的信息严格“三审三校”，及时对问题清单进行整改落实。四是着力拓宽政民互动渠道。</w:t>
      </w:r>
      <w:r>
        <w:rPr>
          <w:rFonts w:hint="eastAsia"/>
          <w:lang w:val="en-US" w:eastAsia="zh-CN"/>
        </w:rPr>
        <w:t>2023年开展了二次以“服务农业农村 促进乡村振兴”为主题的</w:t>
      </w:r>
      <w:r>
        <w:rPr>
          <w:rFonts w:hint="eastAsia"/>
        </w:rPr>
        <w:t>“固定开放月”活动</w:t>
      </w:r>
      <w:r>
        <w:rPr>
          <w:rFonts w:hint="eastAsia"/>
          <w:lang w:eastAsia="zh-CN"/>
        </w:rPr>
        <w:t>，</w:t>
      </w:r>
      <w:r>
        <w:rPr>
          <w:rFonts w:hint="eastAsia"/>
        </w:rPr>
        <w:t>，</w:t>
      </w:r>
      <w:r>
        <w:rPr>
          <w:rFonts w:hint="default"/>
          <w:lang w:val="en-US" w:eastAsia="zh-CN"/>
        </w:rPr>
        <w:t>搭建农业农村局与广大群众之间的沟通桥梁，</w:t>
      </w:r>
      <w:r>
        <w:rPr>
          <w:rFonts w:hint="eastAsia" w:cstheme="minorBidi"/>
          <w:kern w:val="2"/>
          <w:sz w:val="32"/>
        </w:rPr>
        <w:t>充分保障群众对农业农村局政务工作的知情权、表达权、参与权和监督权</w:t>
      </w:r>
      <w:r>
        <w:rPr>
          <w:rFonts w:hint="eastAsia"/>
        </w:rPr>
        <w:t>。</w:t>
      </w:r>
    </w:p>
    <w:p>
      <w:pPr>
        <w:keepNext w:val="0"/>
        <w:keepLines w:val="0"/>
        <w:pageBreakBefore w:val="0"/>
        <w:widowControl/>
        <w:kinsoku/>
        <w:wordWrap w:val="0"/>
        <w:overflowPunct/>
        <w:topLinePunct w:val="0"/>
        <w:autoSpaceDE/>
        <w:autoSpaceDN w:val="0"/>
        <w:bidi w:val="0"/>
        <w:adjustRightInd/>
        <w:snapToGrid/>
        <w:spacing w:line="560" w:lineRule="exact"/>
        <w:ind w:firstLine="0" w:firstLineChars="0"/>
        <w:textAlignment w:val="auto"/>
        <w:rPr>
          <w:rFonts w:hint="eastAsia" w:ascii="仿宋_GB2312" w:eastAsia="仿宋_GB2312"/>
          <w:color w:val="171A1D"/>
          <w:sz w:val="32"/>
          <w:szCs w:val="32"/>
          <w:shd w:val="clear" w:color="auto" w:fill="FFFFFF"/>
        </w:rPr>
      </w:pPr>
      <w:r>
        <w:rPr>
          <w:rFonts w:hint="eastAsia"/>
          <w:color w:val="171A1D"/>
          <w:sz w:val="32"/>
          <w:szCs w:val="32"/>
          <w:shd w:val="clear" w:color="auto" w:fill="FFFFFF"/>
          <w:lang w:eastAsia="zh-CN"/>
        </w:rPr>
        <w:t>　　</w:t>
      </w:r>
      <w:r>
        <w:rPr>
          <w:rFonts w:hint="eastAsia" w:ascii="仿宋_GB2312" w:eastAsia="仿宋_GB2312"/>
          <w:color w:val="171A1D"/>
          <w:sz w:val="32"/>
          <w:szCs w:val="32"/>
          <w:shd w:val="clear" w:color="auto" w:fill="FFFFFF"/>
        </w:rPr>
        <w:t>202</w:t>
      </w:r>
      <w:r>
        <w:rPr>
          <w:rFonts w:hint="eastAsia"/>
          <w:color w:val="171A1D"/>
          <w:sz w:val="32"/>
          <w:szCs w:val="32"/>
          <w:shd w:val="clear" w:color="auto" w:fill="FFFFFF"/>
          <w:lang w:val="en-US" w:eastAsia="zh-CN"/>
        </w:rPr>
        <w:t>3</w:t>
      </w:r>
      <w:r>
        <w:rPr>
          <w:rFonts w:hint="eastAsia" w:ascii="仿宋_GB2312" w:eastAsia="仿宋_GB2312"/>
          <w:color w:val="171A1D"/>
          <w:sz w:val="32"/>
          <w:szCs w:val="32"/>
          <w:shd w:val="clear" w:color="auto" w:fill="FFFFFF"/>
        </w:rPr>
        <w:t>年，本机关无收取信息处理费情况。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napToGrid/>
        <w:spacing w:before="0" w:beforeAutospacing="0" w:afterAutospacing="0" w:line="560" w:lineRule="exact"/>
        <w:ind w:left="0" w:right="0" w:firstLine="0" w:firstLineChars="0"/>
        <w:jc w:val="left"/>
        <w:textAlignment w:val="auto"/>
        <w:rPr>
          <w:rFonts w:hint="eastAsia" w:ascii="Times New Roman" w:hAnsi="Times New Roman" w:eastAsia="仿宋_GB2312"/>
          <w:color w:val="000000"/>
          <w:kern w:val="32"/>
          <w:sz w:val="32"/>
          <w:szCs w:val="32"/>
        </w:rPr>
      </w:pPr>
      <w:r>
        <w:rPr>
          <w:rFonts w:hint="eastAsia" w:ascii="Times New Roman" w:hAnsi="Times New Roman"/>
          <w:color w:val="000000"/>
          <w:kern w:val="32"/>
          <w:sz w:val="32"/>
          <w:szCs w:val="32"/>
          <w:lang w:eastAsia="zh-CN"/>
        </w:rPr>
        <w:t>　　</w:t>
      </w:r>
      <w:r>
        <w:rPr>
          <w:rFonts w:hint="eastAsia" w:ascii="Times New Roman" w:hAnsi="Times New Roman" w:eastAsia="仿宋_GB2312"/>
          <w:color w:val="000000"/>
          <w:kern w:val="32"/>
          <w:sz w:val="32"/>
          <w:szCs w:val="32"/>
        </w:rPr>
        <w:t>上高县人民政府网（http://www.shanggao.gov.cn）</w:t>
      </w:r>
      <w:r>
        <w:rPr>
          <w:rFonts w:hint="eastAsia" w:ascii="Times New Roman" w:hAnsi="Times New Roman" w:eastAsia="仿宋_GB2312"/>
          <w:color w:val="000000"/>
          <w:kern w:val="32"/>
          <w:sz w:val="32"/>
          <w:szCs w:val="32"/>
          <w:lang w:eastAsia="zh-CN"/>
        </w:rPr>
        <w:t>，</w:t>
      </w:r>
      <w:r>
        <w:rPr>
          <w:rFonts w:hint="eastAsia" w:ascii="Times New Roman" w:hAnsi="Times New Roman" w:eastAsia="仿宋_GB2312"/>
          <w:color w:val="000000"/>
          <w:kern w:val="32"/>
          <w:sz w:val="32"/>
          <w:szCs w:val="32"/>
        </w:rPr>
        <w:t>如需了解更多政府信息，请登录查询。</w:t>
      </w:r>
    </w:p>
    <w:p>
      <w:pPr>
        <w:keepNext w:val="0"/>
        <w:keepLines w:val="0"/>
        <w:pageBreakBefore w:val="0"/>
        <w:kinsoku/>
        <w:overflowPunct/>
        <w:topLinePunct w:val="0"/>
        <w:autoSpaceDE/>
        <w:bidi w:val="0"/>
        <w:adjustRightInd/>
        <w:snapToGrid/>
        <w:spacing w:line="560" w:lineRule="exact"/>
        <w:textAlignment w:val="auto"/>
        <w:rPr>
          <w:rFonts w:hint="default"/>
          <w:lang w:val="en-US" w:eastAsia="zh-CN"/>
        </w:rPr>
      </w:pPr>
    </w:p>
    <w:p>
      <w:pPr>
        <w:keepNext w:val="0"/>
        <w:keepLines w:val="0"/>
        <w:pageBreakBefore w:val="0"/>
        <w:kinsoku/>
        <w:overflowPunct/>
        <w:topLinePunct w:val="0"/>
        <w:autoSpaceDE/>
        <w:bidi w:val="0"/>
        <w:adjustRightInd/>
        <w:snapToGrid/>
        <w:spacing w:line="560" w:lineRule="exact"/>
        <w:textAlignment w:val="auto"/>
        <w:rPr>
          <w:rFonts w:hint="default"/>
          <w:lang w:val="en-US" w:eastAsia="zh-CN"/>
        </w:rPr>
      </w:pPr>
    </w:p>
    <w:p>
      <w:pPr>
        <w:keepNext w:val="0"/>
        <w:keepLines w:val="0"/>
        <w:pageBreakBefore w:val="0"/>
        <w:kinsoku/>
        <w:overflowPunct/>
        <w:topLinePunct w:val="0"/>
        <w:autoSpaceDE/>
        <w:bidi w:val="0"/>
        <w:adjustRightInd/>
        <w:snapToGrid/>
        <w:spacing w:line="560" w:lineRule="exact"/>
        <w:textAlignment w:val="auto"/>
        <w:rPr>
          <w:rFonts w:hint="default"/>
          <w:lang w:val="en-US" w:eastAsia="zh-CN"/>
        </w:rPr>
      </w:pPr>
    </w:p>
    <w:sectPr>
      <w:pgSz w:w="11906" w:h="16838"/>
      <w:pgMar w:top="2098" w:right="1474" w:bottom="1984" w:left="1587" w:header="851" w:footer="992" w:gutter="0"/>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NDE3YjMzYThmYmY1NDg2YzEyNmQ1N2Q2ZmEyOWMifQ=="/>
  </w:docVars>
  <w:rsids>
    <w:rsidRoot w:val="00000000"/>
    <w:rsid w:val="010E3A48"/>
    <w:rsid w:val="050E48D6"/>
    <w:rsid w:val="08C741FB"/>
    <w:rsid w:val="0DCD1C78"/>
    <w:rsid w:val="0E147D1E"/>
    <w:rsid w:val="0E4B6382"/>
    <w:rsid w:val="10A5142C"/>
    <w:rsid w:val="1CE56A4A"/>
    <w:rsid w:val="23B91F26"/>
    <w:rsid w:val="27274AE7"/>
    <w:rsid w:val="28CA06CD"/>
    <w:rsid w:val="2CF56F85"/>
    <w:rsid w:val="2CFF4E45"/>
    <w:rsid w:val="31071224"/>
    <w:rsid w:val="313F43E5"/>
    <w:rsid w:val="32EA6692"/>
    <w:rsid w:val="43526C13"/>
    <w:rsid w:val="44FF1222"/>
    <w:rsid w:val="4D3B1FBF"/>
    <w:rsid w:val="54CE7E2D"/>
    <w:rsid w:val="550A4AD7"/>
    <w:rsid w:val="573875C7"/>
    <w:rsid w:val="5CF90EC6"/>
    <w:rsid w:val="5E4C4F59"/>
    <w:rsid w:val="5F3D2F50"/>
    <w:rsid w:val="61E424F3"/>
    <w:rsid w:val="625D62D9"/>
    <w:rsid w:val="655C4C37"/>
    <w:rsid w:val="6B2341CF"/>
    <w:rsid w:val="71351B02"/>
    <w:rsid w:val="739629B5"/>
    <w:rsid w:val="74D559D7"/>
    <w:rsid w:val="76976432"/>
    <w:rsid w:val="77C91BCD"/>
    <w:rsid w:val="7A0A2617"/>
    <w:rsid w:val="7D617CFF"/>
    <w:rsid w:val="7E99615C"/>
    <w:rsid w:val="7F6F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42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autoRedefine/>
    <w:qFormat/>
    <w:uiPriority w:val="0"/>
    <w:pPr>
      <w:keepNext w:val="0"/>
      <w:keepLines w:val="0"/>
      <w:spacing w:beforeLines="0" w:beforeAutospacing="0" w:afterLines="0" w:afterAutospacing="0" w:line="560" w:lineRule="exact"/>
      <w:ind w:firstLine="0" w:firstLineChars="0"/>
      <w:jc w:val="center"/>
      <w:outlineLvl w:val="0"/>
    </w:pPr>
    <w:rPr>
      <w:rFonts w:ascii="方正小标宋简体" w:hAnsi="方正小标宋简体" w:eastAsia="方正小标宋简体"/>
      <w:kern w:val="44"/>
      <w:sz w:val="44"/>
    </w:rPr>
  </w:style>
  <w:style w:type="paragraph" w:styleId="3">
    <w:name w:val="heading 2"/>
    <w:basedOn w:val="1"/>
    <w:next w:val="1"/>
    <w:autoRedefine/>
    <w:unhideWhenUsed/>
    <w:qFormat/>
    <w:uiPriority w:val="0"/>
    <w:pPr>
      <w:keepNext w:val="0"/>
      <w:keepLines w:val="0"/>
      <w:spacing w:beforeLines="0" w:beforeAutospacing="0" w:afterLines="0" w:afterAutospacing="0" w:line="560" w:lineRule="exact"/>
      <w:outlineLvl w:val="1"/>
    </w:pPr>
    <w:rPr>
      <w:rFonts w:ascii="黑体" w:hAnsi="黑体" w:eastAsia="黑体"/>
    </w:rPr>
  </w:style>
  <w:style w:type="paragraph" w:styleId="4">
    <w:name w:val="heading 3"/>
    <w:basedOn w:val="1"/>
    <w:next w:val="1"/>
    <w:autoRedefine/>
    <w:unhideWhenUsed/>
    <w:qFormat/>
    <w:uiPriority w:val="0"/>
    <w:pPr>
      <w:spacing w:before="0" w:beforeAutospacing="0" w:after="0" w:afterAutospacing="0"/>
      <w:jc w:val="left"/>
      <w:outlineLvl w:val="2"/>
    </w:pPr>
    <w:rPr>
      <w:rFonts w:hint="eastAsia" w:ascii="宋体" w:hAnsi="宋体" w:eastAsia="楷体_GB2312" w:cs="宋体"/>
      <w:b/>
      <w:bCs/>
      <w:kern w:val="0"/>
      <w:szCs w:val="27"/>
      <w:lang w:bidi="ar"/>
    </w:rPr>
  </w:style>
  <w:style w:type="paragraph" w:styleId="5">
    <w:name w:val="heading 4"/>
    <w:basedOn w:val="1"/>
    <w:next w:val="1"/>
    <w:link w:val="11"/>
    <w:autoRedefine/>
    <w:unhideWhenUsed/>
    <w:qFormat/>
    <w:uiPriority w:val="0"/>
    <w:pPr>
      <w:keepNext w:val="0"/>
      <w:keepLines w:val="0"/>
      <w:spacing w:beforeLines="0" w:beforeAutospacing="0" w:afterLines="0" w:afterAutospacing="0" w:line="560" w:lineRule="exact"/>
      <w:outlineLvl w:val="3"/>
    </w:pPr>
    <w:rPr>
      <w:rFonts w:ascii="仿宋_GB2312" w:hAnsi="仿宋_GB2312"/>
      <w:b/>
    </w:rPr>
  </w:style>
  <w:style w:type="character" w:default="1" w:styleId="8">
    <w:name w:val="Default Paragraph Font"/>
    <w:autoRedefine/>
    <w:semiHidden/>
    <w:qFormat/>
    <w:uiPriority w:val="0"/>
    <w:rPr>
      <w:rFonts w:ascii="仿宋_GB2312" w:hAnsi="仿宋_GB2312" w:eastAsia="仿宋_GB2312"/>
      <w:sz w:val="32"/>
      <w:szCs w:val="32"/>
    </w:rPr>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footer"/>
    <w:basedOn w:val="1"/>
    <w:autoRedefine/>
    <w:qFormat/>
    <w:uiPriority w:val="0"/>
    <w:pPr>
      <w:tabs>
        <w:tab w:val="center" w:pos="4153"/>
        <w:tab w:val="right" w:pos="8306"/>
      </w:tabs>
      <w:snapToGrid w:val="0"/>
      <w:ind w:firstLine="0" w:firstLineChars="0"/>
      <w:jc w:val="center"/>
    </w:pPr>
    <w:rPr>
      <w:rFonts w:cs="Times New Roman"/>
      <w:sz w:val="28"/>
    </w:rPr>
  </w:style>
  <w:style w:type="character" w:styleId="9">
    <w:name w:val="Hyperlink"/>
    <w:basedOn w:val="8"/>
    <w:autoRedefine/>
    <w:qFormat/>
    <w:uiPriority w:val="0"/>
    <w:rPr>
      <w:color w:val="0000FF"/>
      <w:u w:val="single"/>
    </w:rPr>
  </w:style>
  <w:style w:type="paragraph" w:customStyle="1" w:styleId="10">
    <w:name w:val="表格"/>
    <w:basedOn w:val="1"/>
    <w:autoRedefine/>
    <w:qFormat/>
    <w:uiPriority w:val="0"/>
    <w:pPr>
      <w:spacing w:line="240" w:lineRule="auto"/>
      <w:ind w:firstLine="0" w:firstLineChars="0"/>
      <w:jc w:val="center"/>
    </w:pPr>
    <w:rPr>
      <w:rFonts w:hint="eastAsia" w:eastAsia="微软雅黑"/>
      <w:sz w:val="28"/>
    </w:rPr>
  </w:style>
  <w:style w:type="character" w:customStyle="1" w:styleId="11">
    <w:name w:val="标题 4 Char"/>
    <w:link w:val="5"/>
    <w:autoRedefine/>
    <w:qFormat/>
    <w:uiPriority w:val="0"/>
    <w:rPr>
      <w:rFonts w:ascii="仿宋_GB2312" w:hAnsi="仿宋_GB2312" w:eastAsia="仿宋_GB2312"/>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2022-06-11T09:10:00Z</dcterms:created>
  <dc:creator>Lenovo</dc:creator>
  <cp:lastModifiedBy>清风</cp:lastModifiedBy>
  <dcterms:modified xsi:type="dcterms:W3CDTF">2024-01-12T10:51:37Z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27A8C726F1FF4563AB7D4071EDCA2445</vt:lpwstr>
  </property>
</Properties>
</file>