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上高县农业农村局202</w:t>
      </w:r>
      <w:r>
        <w:rPr>
          <w:rFonts w:hint="eastAsia"/>
          <w:lang w:val="en-US" w:eastAsia="zh-CN"/>
        </w:rPr>
        <w:t>2</w:t>
      </w:r>
      <w:r>
        <w:rPr>
          <w:rFonts w:hint="eastAsia"/>
        </w:rPr>
        <w:t>年度政府信息公开工作年度报告</w:t>
      </w:r>
    </w:p>
    <w:p>
      <w:pPr>
        <w:rPr>
          <w:rFonts w:hint="eastAsia"/>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本报告依据《中华人民共和国政府信息公开条例》（国务院令第711号，以下简称新《条例》）和《国务院办公厅政府信息与政务公开办公室关于印发〈中华人民共和国政府信息公开工作年度报告格式〉的通知》要求，由上高县农业农村局结合有关统计数据编制。本年度报告中所列数据的统计期限自202</w:t>
      </w:r>
      <w:r>
        <w:rPr>
          <w:rFonts w:hint="eastAsia" w:ascii="微软雅黑" w:hAnsi="微软雅黑" w:eastAsia="微软雅黑" w:cs="微软雅黑"/>
          <w:i w:val="0"/>
          <w:iCs w:val="0"/>
          <w:caps w:val="0"/>
          <w:color w:val="000000"/>
          <w:spacing w:val="0"/>
          <w:sz w:val="32"/>
          <w:szCs w:val="32"/>
          <w:shd w:val="clear" w:fill="FFFFFF"/>
          <w:lang w:val="en-US" w:eastAsia="zh-CN"/>
        </w:rPr>
        <w:t>2</w:t>
      </w:r>
      <w:r>
        <w:rPr>
          <w:rFonts w:hint="eastAsia" w:ascii="微软雅黑" w:hAnsi="微软雅黑" w:eastAsia="微软雅黑" w:cs="微软雅黑"/>
          <w:i w:val="0"/>
          <w:iCs w:val="0"/>
          <w:caps w:val="0"/>
          <w:color w:val="000000"/>
          <w:spacing w:val="0"/>
          <w:sz w:val="32"/>
          <w:szCs w:val="32"/>
          <w:shd w:val="clear" w:fill="FFFFFF"/>
        </w:rPr>
        <w:t>年1月1日起至202</w:t>
      </w:r>
      <w:r>
        <w:rPr>
          <w:rFonts w:hint="eastAsia" w:ascii="微软雅黑" w:hAnsi="微软雅黑" w:eastAsia="微软雅黑" w:cs="微软雅黑"/>
          <w:i w:val="0"/>
          <w:iCs w:val="0"/>
          <w:caps w:val="0"/>
          <w:color w:val="000000"/>
          <w:spacing w:val="0"/>
          <w:sz w:val="32"/>
          <w:szCs w:val="32"/>
          <w:shd w:val="clear" w:fill="FFFFFF"/>
          <w:lang w:val="en-US" w:eastAsia="zh-CN"/>
        </w:rPr>
        <w:t>2</w:t>
      </w:r>
      <w:r>
        <w:rPr>
          <w:rFonts w:hint="eastAsia" w:ascii="微软雅黑" w:hAnsi="微软雅黑" w:eastAsia="微软雅黑" w:cs="微软雅黑"/>
          <w:i w:val="0"/>
          <w:iCs w:val="0"/>
          <w:caps w:val="0"/>
          <w:color w:val="000000"/>
          <w:spacing w:val="0"/>
          <w:sz w:val="32"/>
          <w:szCs w:val="32"/>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农业农村局联系（地址：上高县清莲路9号，电话：0795-2511849，邮编：336400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Style w:val="10"/>
          <w:rFonts w:hint="eastAsia" w:ascii="微软雅黑" w:hAnsi="微软雅黑" w:eastAsia="微软雅黑" w:cs="微软雅黑"/>
          <w:i w:val="0"/>
          <w:iCs w:val="0"/>
          <w:caps w:val="0"/>
          <w:color w:val="000000"/>
          <w:spacing w:val="0"/>
          <w:sz w:val="32"/>
          <w:szCs w:val="32"/>
          <w:shd w:val="clear" w:fill="FFFFFF"/>
        </w:rPr>
        <w:t>一、总体情况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202</w:t>
      </w:r>
      <w:r>
        <w:rPr>
          <w:rFonts w:hint="eastAsia" w:ascii="微软雅黑" w:hAnsi="微软雅黑" w:eastAsia="微软雅黑" w:cs="微软雅黑"/>
          <w:i w:val="0"/>
          <w:iCs w:val="0"/>
          <w:caps w:val="0"/>
          <w:color w:val="000000"/>
          <w:spacing w:val="0"/>
          <w:sz w:val="32"/>
          <w:szCs w:val="32"/>
          <w:shd w:val="clear" w:fill="FFFFFF"/>
          <w:lang w:val="en-US" w:eastAsia="zh-CN"/>
        </w:rPr>
        <w:t>2</w:t>
      </w:r>
      <w:r>
        <w:rPr>
          <w:rFonts w:hint="eastAsia" w:ascii="微软雅黑" w:hAnsi="微软雅黑" w:eastAsia="微软雅黑" w:cs="微软雅黑"/>
          <w:i w:val="0"/>
          <w:iCs w:val="0"/>
          <w:caps w:val="0"/>
          <w:color w:val="000000"/>
          <w:spacing w:val="0"/>
          <w:sz w:val="32"/>
          <w:szCs w:val="32"/>
          <w:shd w:val="clear" w:fill="FFFFFF"/>
        </w:rPr>
        <w:t>年上高县农业农村局坚持以习近平新时代中国特色社会主义思想为指导，全面贯彻党的</w:t>
      </w:r>
      <w:r>
        <w:rPr>
          <w:rFonts w:hint="eastAsia" w:ascii="微软雅黑" w:hAnsi="微软雅黑" w:eastAsia="微软雅黑" w:cs="微软雅黑"/>
          <w:i w:val="0"/>
          <w:iCs w:val="0"/>
          <w:caps w:val="0"/>
          <w:color w:val="000000"/>
          <w:spacing w:val="0"/>
          <w:sz w:val="32"/>
          <w:szCs w:val="32"/>
          <w:shd w:val="clear" w:fill="FFFFFF"/>
          <w:lang w:val="en-US" w:eastAsia="zh-CN"/>
        </w:rPr>
        <w:t>二十大</w:t>
      </w:r>
      <w:r>
        <w:rPr>
          <w:rFonts w:hint="eastAsia" w:ascii="微软雅黑" w:hAnsi="微软雅黑" w:eastAsia="微软雅黑" w:cs="微软雅黑"/>
          <w:i w:val="0"/>
          <w:iCs w:val="0"/>
          <w:caps w:val="0"/>
          <w:color w:val="000000"/>
          <w:spacing w:val="0"/>
          <w:sz w:val="32"/>
          <w:szCs w:val="32"/>
          <w:shd w:val="clear" w:fill="FFFFFF"/>
        </w:rPr>
        <w:t>以及中央经济工作会议、中央农村工作会议精神，深入落实习近平总书记视察江西重要讲话精神，严格落实《国务院办公厅印发〈关于全面推进政务公开工作的意见〉实施细则的通知》（国办发〔2016〕80号）的要求，明确目标任务，紧紧围绕省委、省政府中心工作及社会群众关注关切，着力提升政府信息公开质量，推进拓宽政府信息公开渠道，不断增强政府信息公开实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（一）主动公开情况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202</w:t>
      </w:r>
      <w:r>
        <w:rPr>
          <w:rFonts w:hint="eastAsia" w:ascii="微软雅黑" w:hAnsi="微软雅黑" w:eastAsia="微软雅黑" w:cs="微软雅黑"/>
          <w:i w:val="0"/>
          <w:iCs w:val="0"/>
          <w:caps w:val="0"/>
          <w:color w:val="000000"/>
          <w:spacing w:val="0"/>
          <w:sz w:val="32"/>
          <w:szCs w:val="32"/>
          <w:shd w:val="clear" w:fill="FFFFFF"/>
          <w:lang w:val="en-US" w:eastAsia="zh-CN"/>
        </w:rPr>
        <w:t>2</w:t>
      </w:r>
      <w:r>
        <w:rPr>
          <w:rFonts w:hint="eastAsia" w:ascii="微软雅黑" w:hAnsi="微软雅黑" w:eastAsia="微软雅黑" w:cs="微软雅黑"/>
          <w:i w:val="0"/>
          <w:iCs w:val="0"/>
          <w:caps w:val="0"/>
          <w:color w:val="000000"/>
          <w:spacing w:val="0"/>
          <w:sz w:val="32"/>
          <w:szCs w:val="32"/>
          <w:shd w:val="clear" w:fill="FFFFFF"/>
        </w:rPr>
        <w:t>年，上高县农业农村局以政务公开网站为平台，充分利用政务新媒体平台优势，全方位、多渠道的推进主动公开政府信息工作。不断强化网站安全管理、信息采编审核、网站集约化建设等工作，不断优化、完善政府信息公开目录，为群众提供政府信息的查询等服务。202</w:t>
      </w:r>
      <w:r>
        <w:rPr>
          <w:rFonts w:hint="eastAsia" w:ascii="微软雅黑" w:hAnsi="微软雅黑" w:eastAsia="微软雅黑" w:cs="微软雅黑"/>
          <w:i w:val="0"/>
          <w:iCs w:val="0"/>
          <w:caps w:val="0"/>
          <w:color w:val="000000"/>
          <w:spacing w:val="0"/>
          <w:sz w:val="32"/>
          <w:szCs w:val="32"/>
          <w:shd w:val="clear" w:fill="FFFFFF"/>
          <w:lang w:val="en-US" w:eastAsia="zh-CN"/>
        </w:rPr>
        <w:t>2</w:t>
      </w:r>
      <w:r>
        <w:rPr>
          <w:rFonts w:hint="eastAsia" w:ascii="微软雅黑" w:hAnsi="微软雅黑" w:eastAsia="微软雅黑" w:cs="微软雅黑"/>
          <w:i w:val="0"/>
          <w:iCs w:val="0"/>
          <w:caps w:val="0"/>
          <w:color w:val="000000"/>
          <w:spacing w:val="0"/>
          <w:sz w:val="32"/>
          <w:szCs w:val="32"/>
          <w:shd w:val="clear" w:fill="FFFFFF"/>
        </w:rPr>
        <w:t>年主动公开政府信息</w:t>
      </w:r>
      <w:r>
        <w:rPr>
          <w:rFonts w:hint="eastAsia" w:ascii="微软雅黑" w:hAnsi="微软雅黑" w:eastAsia="微软雅黑" w:cs="微软雅黑"/>
          <w:i w:val="0"/>
          <w:iCs w:val="0"/>
          <w:caps w:val="0"/>
          <w:color w:val="000000"/>
          <w:spacing w:val="0"/>
          <w:sz w:val="32"/>
          <w:szCs w:val="32"/>
          <w:shd w:val="clear" w:fill="FFFFFF"/>
          <w:lang w:val="en-US" w:eastAsia="zh-CN"/>
        </w:rPr>
        <w:t>133</w:t>
      </w:r>
      <w:r>
        <w:rPr>
          <w:rFonts w:hint="eastAsia" w:ascii="微软雅黑" w:hAnsi="微软雅黑" w:eastAsia="微软雅黑" w:cs="微软雅黑"/>
          <w:i w:val="0"/>
          <w:iCs w:val="0"/>
          <w:caps w:val="0"/>
          <w:color w:val="000000"/>
          <w:spacing w:val="0"/>
          <w:sz w:val="32"/>
          <w:szCs w:val="32"/>
          <w:shd w:val="clear" w:fill="FFFFFF"/>
        </w:rPr>
        <w:t>条，其中：主动公开规范性文件</w:t>
      </w:r>
      <w:r>
        <w:rPr>
          <w:rFonts w:hint="eastAsia" w:ascii="微软雅黑" w:hAnsi="微软雅黑" w:eastAsia="微软雅黑" w:cs="微软雅黑"/>
          <w:i w:val="0"/>
          <w:iCs w:val="0"/>
          <w:caps w:val="0"/>
          <w:color w:val="000000"/>
          <w:spacing w:val="0"/>
          <w:sz w:val="32"/>
          <w:szCs w:val="32"/>
          <w:shd w:val="clear" w:fill="FFFFFF"/>
          <w:lang w:val="en-US" w:eastAsia="zh-CN"/>
        </w:rPr>
        <w:t>1</w:t>
      </w:r>
      <w:r>
        <w:rPr>
          <w:rFonts w:hint="eastAsia" w:ascii="微软雅黑" w:hAnsi="微软雅黑" w:eastAsia="微软雅黑" w:cs="微软雅黑"/>
          <w:i w:val="0"/>
          <w:iCs w:val="0"/>
          <w:caps w:val="0"/>
          <w:color w:val="000000"/>
          <w:spacing w:val="0"/>
          <w:sz w:val="32"/>
          <w:szCs w:val="32"/>
          <w:shd w:val="clear" w:fill="FFFFFF"/>
        </w:rPr>
        <w:t>件，行政处罚公开</w:t>
      </w:r>
      <w:r>
        <w:rPr>
          <w:rFonts w:hint="eastAsia" w:ascii="微软雅黑" w:hAnsi="微软雅黑" w:eastAsia="微软雅黑" w:cs="微软雅黑"/>
          <w:i w:val="0"/>
          <w:iCs w:val="0"/>
          <w:caps w:val="0"/>
          <w:color w:val="000000"/>
          <w:spacing w:val="0"/>
          <w:sz w:val="32"/>
          <w:szCs w:val="32"/>
          <w:shd w:val="clear" w:fill="FFFFFF"/>
          <w:lang w:val="en-US" w:eastAsia="zh-CN"/>
        </w:rPr>
        <w:t>16</w:t>
      </w:r>
      <w:r>
        <w:rPr>
          <w:rFonts w:hint="eastAsia" w:ascii="微软雅黑" w:hAnsi="微软雅黑" w:eastAsia="微软雅黑" w:cs="微软雅黑"/>
          <w:i w:val="0"/>
          <w:iCs w:val="0"/>
          <w:caps w:val="0"/>
          <w:color w:val="000000"/>
          <w:spacing w:val="0"/>
          <w:sz w:val="32"/>
          <w:szCs w:val="32"/>
          <w:shd w:val="clear" w:fill="FFFFFF"/>
        </w:rPr>
        <w:t>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（二）依申请公开情况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依照《条例》的规定，202</w:t>
      </w:r>
      <w:r>
        <w:rPr>
          <w:rFonts w:hint="eastAsia" w:ascii="微软雅黑" w:hAnsi="微软雅黑" w:eastAsia="微软雅黑" w:cs="微软雅黑"/>
          <w:i w:val="0"/>
          <w:iCs w:val="0"/>
          <w:caps w:val="0"/>
          <w:color w:val="000000"/>
          <w:spacing w:val="0"/>
          <w:sz w:val="32"/>
          <w:szCs w:val="32"/>
          <w:shd w:val="clear" w:fill="FFFFFF"/>
          <w:lang w:val="en-US" w:eastAsia="zh-CN"/>
        </w:rPr>
        <w:t>2</w:t>
      </w:r>
      <w:r>
        <w:rPr>
          <w:rFonts w:hint="eastAsia" w:ascii="微软雅黑" w:hAnsi="微软雅黑" w:eastAsia="微软雅黑" w:cs="微软雅黑"/>
          <w:i w:val="0"/>
          <w:iCs w:val="0"/>
          <w:caps w:val="0"/>
          <w:color w:val="000000"/>
          <w:spacing w:val="0"/>
          <w:sz w:val="32"/>
          <w:szCs w:val="32"/>
          <w:shd w:val="clear" w:fill="FFFFFF"/>
        </w:rPr>
        <w:t>年，我局各站室开展了依申请公开受理工作，共收到自然人、法人或其他组织的依申请件</w:t>
      </w:r>
      <w:r>
        <w:rPr>
          <w:rFonts w:hint="eastAsia" w:ascii="微软雅黑" w:hAnsi="微软雅黑" w:eastAsia="微软雅黑" w:cs="微软雅黑"/>
          <w:i w:val="0"/>
          <w:iCs w:val="0"/>
          <w:caps w:val="0"/>
          <w:color w:val="000000"/>
          <w:spacing w:val="0"/>
          <w:sz w:val="32"/>
          <w:szCs w:val="32"/>
          <w:shd w:val="clear" w:fill="FFFFFF"/>
          <w:lang w:val="en-US" w:eastAsia="zh-CN"/>
        </w:rPr>
        <w:t>0</w:t>
      </w:r>
      <w:r>
        <w:rPr>
          <w:rFonts w:hint="eastAsia" w:ascii="微软雅黑" w:hAnsi="微软雅黑" w:eastAsia="微软雅黑" w:cs="微软雅黑"/>
          <w:i w:val="0"/>
          <w:iCs w:val="0"/>
          <w:caps w:val="0"/>
          <w:color w:val="000000"/>
          <w:spacing w:val="0"/>
          <w:sz w:val="32"/>
          <w:szCs w:val="32"/>
          <w:shd w:val="clear" w:fill="FFFFFF"/>
        </w:rPr>
        <w:t>件（网络申请</w:t>
      </w:r>
      <w:r>
        <w:rPr>
          <w:rFonts w:hint="eastAsia" w:ascii="微软雅黑" w:hAnsi="微软雅黑" w:eastAsia="微软雅黑" w:cs="微软雅黑"/>
          <w:i w:val="0"/>
          <w:iCs w:val="0"/>
          <w:caps w:val="0"/>
          <w:color w:val="000000"/>
          <w:spacing w:val="0"/>
          <w:sz w:val="32"/>
          <w:szCs w:val="32"/>
          <w:shd w:val="clear" w:fill="FFFFFF"/>
          <w:lang w:val="en-US" w:eastAsia="zh-CN"/>
        </w:rPr>
        <w:t>0</w:t>
      </w:r>
      <w:r>
        <w:rPr>
          <w:rFonts w:hint="eastAsia" w:ascii="微软雅黑" w:hAnsi="微软雅黑" w:eastAsia="微软雅黑" w:cs="微软雅黑"/>
          <w:i w:val="0"/>
          <w:iCs w:val="0"/>
          <w:caps w:val="0"/>
          <w:color w:val="000000"/>
          <w:spacing w:val="0"/>
          <w:sz w:val="32"/>
          <w:szCs w:val="32"/>
          <w:shd w:val="clear" w:fill="FFFFFF"/>
        </w:rPr>
        <w:t>件），其中自然人</w:t>
      </w:r>
      <w:r>
        <w:rPr>
          <w:rFonts w:hint="eastAsia" w:ascii="微软雅黑" w:hAnsi="微软雅黑" w:eastAsia="微软雅黑" w:cs="微软雅黑"/>
          <w:i w:val="0"/>
          <w:iCs w:val="0"/>
          <w:caps w:val="0"/>
          <w:color w:val="000000"/>
          <w:spacing w:val="0"/>
          <w:sz w:val="32"/>
          <w:szCs w:val="32"/>
          <w:shd w:val="clear" w:fill="FFFFFF"/>
          <w:lang w:val="en-US" w:eastAsia="zh-CN"/>
        </w:rPr>
        <w:t>0</w:t>
      </w:r>
      <w:r>
        <w:rPr>
          <w:rFonts w:hint="eastAsia" w:ascii="微软雅黑" w:hAnsi="微软雅黑" w:eastAsia="微软雅黑" w:cs="微软雅黑"/>
          <w:i w:val="0"/>
          <w:iCs w:val="0"/>
          <w:caps w:val="0"/>
          <w:color w:val="000000"/>
          <w:spacing w:val="0"/>
          <w:sz w:val="32"/>
          <w:szCs w:val="32"/>
          <w:shd w:val="clear" w:fill="FFFFFF"/>
        </w:rPr>
        <w:t>件，商业企业0件。全年未发生信息公开类行政复议、行政诉讼案件。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（三）政府信息管理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按照《条例》规定，逐项分解下达年度政府信息公开任务到责任站室，在全局范围内广泛收集最新工作动态，严格按照《中华人民共和国政府信息公开条例》及时公开政府信息，确保信息公开及时、迅速。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（四）公开平台建设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为进一步拓宽我局联系、服务群众渠道，扩大对外宣传力度，提高工作透明度，所有的信息公开均层层把关，定期更新工作动态，对更新不及时，提供资料不及时的，予以督催，必要情况下予以通报批评。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（五）监督保障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rPr>
        <w:t>按照政府信息公开规范要求，结合我局实际，对政府信息公开的保密审查、信息送交、统计报送等具体工作进行规范。开展隐私排查工作，对已发布信息逐条排查，进一步加强对公民个人隐私的保护，依法依规维护好人民群众的切身利益，促进政府信息公开工作走上制度化、规范化的轨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p>
    <w:p>
      <w:pPr>
        <w:widowControl w:val="0"/>
        <w:shd w:val="clear" w:color="auto" w:fill="FFFFFF"/>
        <w:spacing w:beforeAutospacing="0" w:afterAutospacing="0" w:line="560" w:lineRule="exact"/>
        <w:ind w:firstLine="640" w:firstLineChars="200"/>
        <w:jc w:val="both"/>
        <w:rPr>
          <w:rFonts w:ascii="黑体" w:hAnsi="黑体" w:eastAsia="黑体" w:cs="Times New Roman"/>
          <w:bCs/>
          <w:color w:val="000000"/>
          <w:kern w:val="32"/>
          <w:sz w:val="32"/>
          <w:szCs w:val="32"/>
          <w:shd w:val="clear" w:color="auto" w:fill="FFFFFF"/>
          <w:lang w:val="en-US" w:eastAsia="zh-CN" w:bidi="ar-SA"/>
        </w:rPr>
      </w:pPr>
      <w:r>
        <w:rPr>
          <w:rFonts w:hint="eastAsia" w:ascii="黑体" w:hAnsi="黑体" w:eastAsia="黑体" w:cs="Times New Roman"/>
          <w:bCs/>
          <w:color w:val="000000"/>
          <w:kern w:val="32"/>
          <w:sz w:val="32"/>
          <w:szCs w:val="32"/>
          <w:shd w:val="clear" w:color="auto" w:fill="FFFFFF"/>
          <w:lang w:val="en-US" w:eastAsia="zh-CN" w:bidi="ar-SA"/>
        </w:rPr>
        <w:t>二、主动公开政府信息情况</w:t>
      </w:r>
    </w:p>
    <w:tbl>
      <w:tblPr>
        <w:tblStyle w:val="8"/>
        <w:tblW w:w="9127" w:type="dxa"/>
        <w:jc w:val="center"/>
        <w:tblLayout w:type="fixed"/>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eastAsia="zh-CN"/>
              </w:rPr>
            </w:pPr>
            <w:r>
              <w:rPr>
                <w:rFonts w:hint="eastAsia" w:ascii="微软雅黑" w:hAnsi="微软雅黑" w:eastAsia="微软雅黑" w:cs="微软雅黑"/>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eastAsia="zh-CN"/>
              </w:rPr>
            </w:pPr>
            <w:r>
              <w:rPr>
                <w:rFonts w:hint="eastAsia" w:ascii="微软雅黑" w:hAnsi="微软雅黑" w:eastAsia="微软雅黑" w:cs="微软雅黑"/>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eastAsia="zh-CN"/>
              </w:rPr>
            </w:pPr>
            <w:r>
              <w:rPr>
                <w:rFonts w:hint="eastAsia" w:ascii="微软雅黑" w:hAnsi="微软雅黑" w:eastAsia="微软雅黑" w:cs="微软雅黑"/>
                <w:lang w:val="en-US" w:eastAsia="zh-CN"/>
              </w:rPr>
              <w:t>0</w:t>
            </w:r>
            <w:bookmarkStart w:id="0" w:name="_GoBack"/>
            <w:bookmarkEnd w:id="0"/>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11</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w:t>
            </w:r>
          </w:p>
        </w:tc>
      </w:tr>
    </w:tbl>
    <w:p>
      <w:pPr>
        <w:widowControl/>
        <w:shd w:val="clear" w:color="auto" w:fill="FFFFFF"/>
        <w:spacing w:beforeAutospacing="0" w:afterAutospacing="0" w:line="200" w:lineRule="atLeast"/>
        <w:ind w:firstLine="420"/>
        <w:jc w:val="both"/>
        <w:rPr>
          <w:rFonts w:ascii="黑体" w:hAnsi="黑体" w:eastAsia="黑体" w:cs="黑体"/>
          <w:b/>
          <w:bCs/>
          <w:color w:val="000000"/>
          <w:kern w:val="0"/>
          <w:sz w:val="32"/>
          <w:szCs w:val="32"/>
          <w:shd w:val="clear" w:color="auto" w:fill="FFFFFF"/>
          <w:lang w:val="en-US" w:eastAsia="zh-CN" w:bidi="ar-SA"/>
        </w:rPr>
      </w:pPr>
    </w:p>
    <w:p>
      <w:pPr>
        <w:widowControl w:val="0"/>
        <w:shd w:val="clear" w:color="auto" w:fill="FFFFFF"/>
        <w:spacing w:beforeAutospacing="0" w:afterAutospacing="0" w:line="560" w:lineRule="exact"/>
        <w:ind w:firstLine="640" w:firstLineChars="200"/>
        <w:jc w:val="both"/>
        <w:rPr>
          <w:rFonts w:ascii="黑体" w:hAnsi="黑体" w:eastAsia="黑体" w:cs="Times New Roman"/>
          <w:bCs/>
          <w:color w:val="000000"/>
          <w:kern w:val="32"/>
          <w:sz w:val="32"/>
          <w:szCs w:val="32"/>
          <w:shd w:val="clear" w:color="auto" w:fill="FFFFFF"/>
          <w:lang w:val="en-US" w:eastAsia="zh-CN" w:bidi="ar-SA"/>
        </w:rPr>
      </w:pPr>
      <w:r>
        <w:rPr>
          <w:rFonts w:hint="eastAsia" w:ascii="黑体" w:hAnsi="黑体" w:eastAsia="黑体" w:cs="Times New Roman"/>
          <w:bCs/>
          <w:color w:val="000000"/>
          <w:kern w:val="32"/>
          <w:sz w:val="32"/>
          <w:szCs w:val="32"/>
          <w:shd w:val="clear" w:color="auto" w:fill="FFFFFF"/>
          <w:lang w:val="en-US" w:eastAsia="zh-CN" w:bidi="ar-SA"/>
        </w:rPr>
        <w:t>三、收到和处理政府信息公开申请情况</w:t>
      </w:r>
    </w:p>
    <w:tbl>
      <w:tblPr>
        <w:tblStyle w:val="8"/>
        <w:tblW w:w="8741" w:type="dxa"/>
        <w:jc w:val="center"/>
        <w:tblLayout w:type="fixed"/>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5123"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（本列数据的勾稽关系为：第一项加第二项之和，等于第三项加第四项之和）</w:t>
            </w:r>
          </w:p>
        </w:tc>
        <w:tc>
          <w:tcPr>
            <w:tcW w:w="361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申请人情况</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489" w:type="dxa"/>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自然人</w:t>
            </w:r>
          </w:p>
        </w:tc>
        <w:tc>
          <w:tcPr>
            <w:tcW w:w="2605" w:type="dxa"/>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法人或其他组织</w:t>
            </w:r>
          </w:p>
        </w:tc>
        <w:tc>
          <w:tcPr>
            <w:tcW w:w="524" w:type="dxa"/>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总计</w:t>
            </w:r>
          </w:p>
        </w:tc>
      </w:tr>
      <w:tr>
        <w:tblPrEx>
          <w:tblCellMar>
            <w:top w:w="0" w:type="dxa"/>
            <w:left w:w="0" w:type="dxa"/>
            <w:bottom w:w="0" w:type="dxa"/>
            <w:right w:w="0" w:type="dxa"/>
          </w:tblCellMar>
        </w:tblPrEx>
        <w:trPr>
          <w:trHeight w:val="145" w:hRule="atLeast"/>
          <w:jc w:val="center"/>
        </w:trPr>
        <w:tc>
          <w:tcPr>
            <w:tcW w:w="5123" w:type="dxa"/>
            <w:gridSpan w:val="3"/>
            <w:vMerge w:val="continue"/>
            <w:tcBorders>
              <w:top w:val="single" w:color="auto" w:sz="8"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489" w:type="dxa"/>
            <w:vMerge w:val="continue"/>
            <w:tcBorders>
              <w:top w:val="single" w:color="auto" w:sz="6" w:space="0"/>
              <w:left w:val="single" w:color="auto" w:sz="6" w:space="0"/>
              <w:bottom w:val="single" w:color="auto" w:sz="8" w:space="0"/>
              <w:right w:val="single" w:color="auto" w:sz="8" w:space="0"/>
            </w:tcBorders>
            <w:vAlign w:val="center"/>
          </w:tcPr>
          <w:p>
            <w:pPr>
              <w:pStyle w:val="11"/>
              <w:bidi w:val="0"/>
              <w:rPr>
                <w:rFonts w:hint="eastAsia" w:ascii="微软雅黑" w:hAnsi="微软雅黑" w:eastAsia="微软雅黑" w:cs="微软雅黑"/>
              </w:rPr>
            </w:pPr>
          </w:p>
        </w:tc>
        <w:tc>
          <w:tcPr>
            <w:tcW w:w="39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商业</w:t>
            </w:r>
          </w:p>
          <w:p>
            <w:pPr>
              <w:pStyle w:val="11"/>
              <w:bidi w:val="0"/>
              <w:rPr>
                <w:rFonts w:hint="eastAsia" w:ascii="微软雅黑" w:hAnsi="微软雅黑" w:eastAsia="微软雅黑" w:cs="微软雅黑"/>
              </w:rPr>
            </w:pPr>
            <w:r>
              <w:rPr>
                <w:rFonts w:hint="eastAsia" w:ascii="微软雅黑" w:hAnsi="微软雅黑" w:eastAsia="微软雅黑" w:cs="微软雅黑"/>
              </w:rPr>
              <w:t>企业</w:t>
            </w:r>
          </w:p>
        </w:tc>
        <w:tc>
          <w:tcPr>
            <w:tcW w:w="414" w:type="dxa"/>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科研</w:t>
            </w:r>
          </w:p>
          <w:p>
            <w:pPr>
              <w:pStyle w:val="11"/>
              <w:bidi w:val="0"/>
              <w:rPr>
                <w:rFonts w:hint="eastAsia" w:ascii="微软雅黑" w:hAnsi="微软雅黑" w:eastAsia="微软雅黑" w:cs="微软雅黑"/>
              </w:rPr>
            </w:pPr>
            <w:r>
              <w:rPr>
                <w:rFonts w:hint="eastAsia" w:ascii="微软雅黑" w:hAnsi="微软雅黑" w:eastAsia="微软雅黑" w:cs="微软雅黑"/>
              </w:rPr>
              <w:t>机构</w:t>
            </w:r>
          </w:p>
        </w:tc>
        <w:tc>
          <w:tcPr>
            <w:tcW w:w="697"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社会公益组织</w:t>
            </w:r>
          </w:p>
        </w:tc>
        <w:tc>
          <w:tcPr>
            <w:tcW w:w="706"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法律服务机构</w:t>
            </w:r>
          </w:p>
        </w:tc>
        <w:tc>
          <w:tcPr>
            <w:tcW w:w="394" w:type="dxa"/>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其他</w:t>
            </w:r>
          </w:p>
        </w:tc>
        <w:tc>
          <w:tcPr>
            <w:tcW w:w="524" w:type="dxa"/>
            <w:vMerge w:val="continue"/>
            <w:tcBorders>
              <w:top w:val="single" w:color="auto" w:sz="8"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一、本年新收政府信息公开申请数量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二、上年结转政府信息公开申请数量</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333" w:hRule="atLeast"/>
          <w:jc w:val="center"/>
        </w:trPr>
        <w:tc>
          <w:tcPr>
            <w:tcW w:w="969" w:type="dxa"/>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三、本年度办理结果</w:t>
            </w: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（一）予以公开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569"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（二）部分公开（区分处理的，只计这一情形，不计其他情形）</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284"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（三）不予公开</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1.属于国家秘密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2.其他法律行政法规禁止公开</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60"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3.危及“三安全一稳定”</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4.保护第三方合法权益</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5.属于三类内部事务信息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6.属于四类过程性信息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7.属于行政执法案卷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8.属于行政查询事项</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831"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（四）无法提供</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1.本机关不掌握相关政府信息</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2.没有现成信息需要另行制作</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3.补正后申请内容仍不明确</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（五）不予处理</w:t>
            </w:r>
          </w:p>
        </w:tc>
        <w:tc>
          <w:tcPr>
            <w:tcW w:w="3200"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1.信访举报投诉类申请</w:t>
            </w:r>
          </w:p>
        </w:tc>
        <w:tc>
          <w:tcPr>
            <w:tcW w:w="4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2.重复申请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3.要求提供公开出版物</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4.无正当理由大量反复申请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78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single" w:color="auto" w:sz="6"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5.要求行政机关确认或重新出具已获取信息</w:t>
            </w:r>
          </w:p>
        </w:tc>
        <w:tc>
          <w:tcPr>
            <w:tcW w:w="489"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（六）其他处理</w:t>
            </w: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1.申请人无正当理由逾期不补正、行政机关不再处理其政府信息公开申请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2.申请人逾期未按收费通知要求缴纳费用、行政机关不再处理其政府信息公开申请</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954" w:type="dxa"/>
            <w:vMerge w:val="continue"/>
            <w:tcBorders>
              <w:top w:val="inset" w:color="auto" w:sz="8" w:space="0"/>
              <w:left w:val="single" w:color="auto" w:sz="6"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3200"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3.其他</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145" w:hRule="atLeast"/>
          <w:jc w:val="center"/>
        </w:trPr>
        <w:tc>
          <w:tcPr>
            <w:tcW w:w="969" w:type="dxa"/>
            <w:vMerge w:val="continue"/>
            <w:tcBorders>
              <w:top w:val="single" w:color="auto" w:sz="6" w:space="0"/>
              <w:left w:val="single" w:color="auto" w:sz="8" w:space="0"/>
              <w:bottom w:val="inset" w:color="auto" w:sz="8" w:space="0"/>
              <w:right w:val="single" w:color="auto" w:sz="8" w:space="0"/>
            </w:tcBorders>
            <w:vAlign w:val="center"/>
          </w:tcPr>
          <w:p>
            <w:pPr>
              <w:pStyle w:val="11"/>
              <w:bidi w:val="0"/>
              <w:rPr>
                <w:rFonts w:hint="eastAsia" w:ascii="微软雅黑" w:hAnsi="微软雅黑" w:eastAsia="微软雅黑" w:cs="微软雅黑"/>
              </w:rPr>
            </w:pPr>
          </w:p>
        </w:tc>
        <w:tc>
          <w:tcPr>
            <w:tcW w:w="415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（七）总计</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eastAsia="zh-CN"/>
              </w:rPr>
            </w:pPr>
            <w:r>
              <w:rPr>
                <w:rFonts w:hint="eastAsia" w:ascii="微软雅黑" w:hAnsi="微软雅黑" w:eastAsia="微软雅黑" w:cs="微软雅黑"/>
                <w:lang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r>
        <w:tblPrEx>
          <w:tblCellMar>
            <w:top w:w="0" w:type="dxa"/>
            <w:left w:w="0" w:type="dxa"/>
            <w:bottom w:w="0" w:type="dxa"/>
            <w:right w:w="0" w:type="dxa"/>
          </w:tblCellMar>
        </w:tblPrEx>
        <w:trPr>
          <w:trHeight w:val="318" w:hRule="atLeast"/>
          <w:jc w:val="center"/>
        </w:trPr>
        <w:tc>
          <w:tcPr>
            <w:tcW w:w="5123"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四、结转下年度继续办理</w:t>
            </w:r>
          </w:p>
        </w:tc>
        <w:tc>
          <w:tcPr>
            <w:tcW w:w="489"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w:t>
            </w:r>
          </w:p>
        </w:tc>
        <w:tc>
          <w:tcPr>
            <w:tcW w:w="41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697"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706"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39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c>
          <w:tcPr>
            <w:tcW w:w="524" w:type="dxa"/>
            <w:tcBorders>
              <w:top w:val="nil"/>
              <w:left w:val="nil"/>
              <w:bottom w:val="single" w:color="auto" w:sz="8" w:space="0"/>
              <w:right w:val="single" w:color="auto" w:sz="8" w:space="0"/>
            </w:tcBorders>
            <w:tcMar>
              <w:top w:w="0" w:type="dxa"/>
              <w:left w:w="57" w:type="dxa"/>
              <w:bottom w:w="0" w:type="dxa"/>
              <w:right w:w="57"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lang w:val="en-US" w:eastAsia="zh-CN"/>
              </w:rPr>
              <w:t>0</w:t>
            </w:r>
          </w:p>
        </w:tc>
      </w:tr>
    </w:tbl>
    <w:p>
      <w:pPr>
        <w:widowControl w:val="0"/>
        <w:shd w:val="clear" w:color="auto" w:fill="FFFFFF"/>
        <w:spacing w:beforeAutospacing="0" w:afterAutospacing="0" w:line="560" w:lineRule="exact"/>
        <w:ind w:firstLine="640" w:firstLineChars="200"/>
        <w:jc w:val="both"/>
        <w:rPr>
          <w:rFonts w:hint="eastAsia" w:ascii="黑体" w:hAnsi="黑体" w:eastAsia="黑体" w:cs="Times New Roman"/>
          <w:bCs/>
          <w:color w:val="000000"/>
          <w:kern w:val="32"/>
          <w:sz w:val="32"/>
          <w:szCs w:val="32"/>
          <w:shd w:val="clear" w:color="auto" w:fill="FFFFFF"/>
          <w:lang w:val="en-US" w:eastAsia="zh-CN" w:bidi="ar-SA"/>
        </w:rPr>
      </w:pPr>
    </w:p>
    <w:p>
      <w:pPr>
        <w:widowControl w:val="0"/>
        <w:shd w:val="clear" w:color="auto" w:fill="FFFFFF"/>
        <w:spacing w:beforeAutospacing="0" w:afterAutospacing="0" w:line="560" w:lineRule="exact"/>
        <w:ind w:firstLine="640" w:firstLineChars="200"/>
        <w:jc w:val="both"/>
        <w:rPr>
          <w:rFonts w:ascii="黑体" w:hAnsi="黑体" w:eastAsia="黑体" w:cs="Times New Roman"/>
          <w:bCs/>
          <w:color w:val="000000"/>
          <w:kern w:val="32"/>
          <w:sz w:val="32"/>
          <w:szCs w:val="32"/>
          <w:shd w:val="clear" w:color="auto" w:fill="FFFFFF"/>
          <w:lang w:val="en-US" w:eastAsia="zh-CN" w:bidi="ar-SA"/>
        </w:rPr>
      </w:pPr>
      <w:r>
        <w:rPr>
          <w:rFonts w:hint="eastAsia" w:ascii="黑体" w:hAnsi="黑体" w:eastAsia="黑体" w:cs="Times New Roman"/>
          <w:bCs/>
          <w:color w:val="000000"/>
          <w:kern w:val="32"/>
          <w:sz w:val="32"/>
          <w:szCs w:val="32"/>
          <w:shd w:val="clear" w:color="auto" w:fill="FFFFFF"/>
          <w:lang w:val="en-US" w:eastAsia="zh-CN" w:bidi="ar-SA"/>
        </w:rPr>
        <w:t>四、政府信息公开行政复议、行政诉讼情况</w:t>
      </w:r>
    </w:p>
    <w:tbl>
      <w:tblPr>
        <w:tblStyle w:val="8"/>
        <w:tblW w:w="8741" w:type="dxa"/>
        <w:jc w:val="center"/>
        <w:tblLayout w:type="fixed"/>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29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行政复议</w:t>
            </w:r>
          </w:p>
        </w:tc>
        <w:tc>
          <w:tcPr>
            <w:tcW w:w="5831"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行政诉讼</w:t>
            </w:r>
          </w:p>
        </w:tc>
      </w:tr>
      <w:tr>
        <w:tblPrEx>
          <w:tblCellMar>
            <w:top w:w="0" w:type="dxa"/>
            <w:left w:w="0" w:type="dxa"/>
            <w:bottom w:w="0" w:type="dxa"/>
            <w:right w:w="0" w:type="dxa"/>
          </w:tblCellMar>
        </w:tblPrEx>
        <w:trPr>
          <w:trHeight w:val="317" w:hRule="atLeast"/>
          <w:jc w:val="center"/>
        </w:trPr>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结果维持</w:t>
            </w:r>
          </w:p>
        </w:tc>
        <w:tc>
          <w:tcPr>
            <w:tcW w:w="58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结果</w:t>
            </w:r>
            <w:r>
              <w:rPr>
                <w:rFonts w:hint="eastAsia" w:ascii="微软雅黑" w:hAnsi="微软雅黑" w:eastAsia="微软雅黑" w:cs="微软雅黑"/>
              </w:rPr>
              <w:br w:type="textWrapping"/>
            </w:r>
            <w:r>
              <w:rPr>
                <w:rFonts w:hint="eastAsia" w:ascii="微软雅黑" w:hAnsi="微软雅黑" w:eastAsia="微软雅黑" w:cs="微软雅黑"/>
              </w:rPr>
              <w:t>纠正</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其他</w:t>
            </w:r>
            <w:r>
              <w:rPr>
                <w:rFonts w:hint="eastAsia" w:ascii="微软雅黑" w:hAnsi="微软雅黑" w:eastAsia="微软雅黑" w:cs="微软雅黑"/>
              </w:rPr>
              <w:br w:type="textWrapping"/>
            </w:r>
            <w:r>
              <w:rPr>
                <w:rFonts w:hint="eastAsia" w:ascii="微软雅黑" w:hAnsi="微软雅黑" w:eastAsia="微软雅黑" w:cs="微软雅黑"/>
              </w:rPr>
              <w:t>结果</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尚未</w:t>
            </w:r>
            <w:r>
              <w:rPr>
                <w:rFonts w:hint="eastAsia" w:ascii="微软雅黑" w:hAnsi="微软雅黑" w:eastAsia="微软雅黑" w:cs="微软雅黑"/>
              </w:rPr>
              <w:br w:type="textWrapping"/>
            </w:r>
            <w:r>
              <w:rPr>
                <w:rFonts w:hint="eastAsia" w:ascii="微软雅黑" w:hAnsi="微软雅黑" w:eastAsia="微软雅黑" w:cs="微软雅黑"/>
              </w:rPr>
              <w:t>审结</w:t>
            </w:r>
          </w:p>
        </w:tc>
        <w:tc>
          <w:tcPr>
            <w:tcW w:w="58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总计</w:t>
            </w:r>
          </w:p>
        </w:tc>
        <w:tc>
          <w:tcPr>
            <w:tcW w:w="29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未经复议直接起诉</w:t>
            </w:r>
          </w:p>
        </w:tc>
        <w:tc>
          <w:tcPr>
            <w:tcW w:w="291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复议后起诉</w:t>
            </w:r>
          </w:p>
        </w:tc>
      </w:tr>
      <w:tr>
        <w:tblPrEx>
          <w:tblCellMar>
            <w:top w:w="0" w:type="dxa"/>
            <w:left w:w="0" w:type="dxa"/>
            <w:bottom w:w="0" w:type="dxa"/>
            <w:right w:w="0" w:type="dxa"/>
          </w:tblCellMar>
        </w:tblPrEx>
        <w:trPr>
          <w:trHeight w:val="145" w:hRule="atLeast"/>
          <w:jc w:val="center"/>
        </w:trPr>
        <w:tc>
          <w:tcPr>
            <w:tcW w:w="582" w:type="dxa"/>
            <w:vMerge w:val="continue"/>
            <w:tcBorders>
              <w:top w:val="nil"/>
              <w:left w:val="single" w:color="auto" w:sz="8" w:space="0"/>
              <w:bottom w:val="single" w:color="auto" w:sz="8" w:space="0"/>
              <w:right w:val="single" w:color="auto" w:sz="8" w:space="0"/>
            </w:tcBorders>
            <w:vAlign w:val="center"/>
          </w:tcPr>
          <w:p>
            <w:pPr>
              <w:pStyle w:val="11"/>
              <w:bidi w:val="0"/>
              <w:rPr>
                <w:rFonts w:hint="eastAsia" w:ascii="微软雅黑" w:hAnsi="微软雅黑" w:eastAsia="微软雅黑" w:cs="微软雅黑"/>
              </w:rPr>
            </w:pPr>
          </w:p>
        </w:tc>
        <w:tc>
          <w:tcPr>
            <w:tcW w:w="582" w:type="dxa"/>
            <w:vMerge w:val="continue"/>
            <w:tcBorders>
              <w:top w:val="nil"/>
              <w:left w:val="single" w:color="auto" w:sz="8" w:space="0"/>
              <w:bottom w:val="single" w:color="auto" w:sz="8" w:space="0"/>
              <w:right w:val="single" w:color="auto" w:sz="8" w:space="0"/>
            </w:tcBorders>
            <w:vAlign w:val="center"/>
          </w:tcPr>
          <w:p>
            <w:pPr>
              <w:pStyle w:val="11"/>
              <w:bidi w:val="0"/>
              <w:rPr>
                <w:rFonts w:hint="eastAsia" w:ascii="微软雅黑" w:hAnsi="微软雅黑" w:eastAsia="微软雅黑" w:cs="微软雅黑"/>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pStyle w:val="11"/>
              <w:bidi w:val="0"/>
              <w:rPr>
                <w:rFonts w:hint="eastAsia" w:ascii="微软雅黑" w:hAnsi="微软雅黑" w:eastAsia="微软雅黑" w:cs="微软雅黑"/>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pStyle w:val="11"/>
              <w:bidi w:val="0"/>
              <w:rPr>
                <w:rFonts w:hint="eastAsia" w:ascii="微软雅黑" w:hAnsi="微软雅黑" w:eastAsia="微软雅黑" w:cs="微软雅黑"/>
              </w:rPr>
            </w:pPr>
          </w:p>
        </w:tc>
        <w:tc>
          <w:tcPr>
            <w:tcW w:w="582" w:type="dxa"/>
            <w:vMerge w:val="continue"/>
            <w:tcBorders>
              <w:top w:val="single" w:color="auto" w:sz="8" w:space="0"/>
              <w:left w:val="single" w:color="auto" w:sz="8" w:space="0"/>
              <w:bottom w:val="single" w:color="auto" w:sz="8" w:space="0"/>
              <w:right w:val="single" w:color="auto" w:sz="8" w:space="0"/>
            </w:tcBorders>
            <w:vAlign w:val="center"/>
          </w:tcPr>
          <w:p>
            <w:pPr>
              <w:pStyle w:val="11"/>
              <w:bidi w:val="0"/>
              <w:rPr>
                <w:rFonts w:hint="eastAsia" w:ascii="微软雅黑" w:hAnsi="微软雅黑" w:eastAsia="微软雅黑" w:cs="微软雅黑"/>
              </w:rPr>
            </w:pP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结果</w:t>
            </w:r>
            <w:r>
              <w:rPr>
                <w:rFonts w:hint="eastAsia" w:ascii="微软雅黑" w:hAnsi="微软雅黑" w:eastAsia="微软雅黑" w:cs="微软雅黑"/>
              </w:rPr>
              <w:br w:type="textWrapping"/>
            </w:r>
            <w:r>
              <w:rPr>
                <w:rFonts w:hint="eastAsia" w:ascii="微软雅黑" w:hAnsi="微软雅黑" w:eastAsia="微软雅黑" w:cs="微软雅黑"/>
              </w:rPr>
              <w:t>维持</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结果</w:t>
            </w:r>
            <w:r>
              <w:rPr>
                <w:rFonts w:hint="eastAsia" w:ascii="微软雅黑" w:hAnsi="微软雅黑" w:eastAsia="微软雅黑" w:cs="微软雅黑"/>
              </w:rPr>
              <w:br w:type="textWrapping"/>
            </w:r>
            <w:r>
              <w:rPr>
                <w:rFonts w:hint="eastAsia" w:ascii="微软雅黑" w:hAnsi="微软雅黑" w:eastAsia="微软雅黑" w:cs="微软雅黑"/>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其他</w:t>
            </w:r>
            <w:r>
              <w:rPr>
                <w:rFonts w:hint="eastAsia" w:ascii="微软雅黑" w:hAnsi="微软雅黑" w:eastAsia="微软雅黑" w:cs="微软雅黑"/>
              </w:rPr>
              <w:br w:type="textWrapping"/>
            </w:r>
            <w:r>
              <w:rPr>
                <w:rFonts w:hint="eastAsia" w:ascii="微软雅黑" w:hAnsi="微软雅黑" w:eastAsia="微软雅黑" w:cs="微软雅黑"/>
              </w:rPr>
              <w:t>结果</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尚未</w:t>
            </w:r>
            <w:r>
              <w:rPr>
                <w:rFonts w:hint="eastAsia" w:ascii="微软雅黑" w:hAnsi="微软雅黑" w:eastAsia="微软雅黑" w:cs="微软雅黑"/>
              </w:rPr>
              <w:br w:type="textWrapping"/>
            </w:r>
            <w:r>
              <w:rPr>
                <w:rFonts w:hint="eastAsia" w:ascii="微软雅黑" w:hAnsi="微软雅黑" w:eastAsia="微软雅黑" w:cs="微软雅黑"/>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总计</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结果</w:t>
            </w:r>
            <w:r>
              <w:rPr>
                <w:rFonts w:hint="eastAsia" w:ascii="微软雅黑" w:hAnsi="微软雅黑" w:eastAsia="微软雅黑" w:cs="微软雅黑"/>
              </w:rPr>
              <w:br w:type="textWrapping"/>
            </w:r>
            <w:r>
              <w:rPr>
                <w:rFonts w:hint="eastAsia" w:ascii="微软雅黑" w:hAnsi="微软雅黑" w:eastAsia="微软雅黑" w:cs="微软雅黑"/>
              </w:rPr>
              <w:t>维持</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结果</w:t>
            </w:r>
            <w:r>
              <w:rPr>
                <w:rFonts w:hint="eastAsia" w:ascii="微软雅黑" w:hAnsi="微软雅黑" w:eastAsia="微软雅黑" w:cs="微软雅黑"/>
              </w:rPr>
              <w:br w:type="textWrapping"/>
            </w:r>
            <w:r>
              <w:rPr>
                <w:rFonts w:hint="eastAsia" w:ascii="微软雅黑" w:hAnsi="微软雅黑" w:eastAsia="微软雅黑" w:cs="微软雅黑"/>
              </w:rPr>
              <w:t>纠正</w:t>
            </w:r>
          </w:p>
        </w:tc>
        <w:tc>
          <w:tcPr>
            <w:tcW w:w="5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其他</w:t>
            </w:r>
            <w:r>
              <w:rPr>
                <w:rFonts w:hint="eastAsia" w:ascii="微软雅黑" w:hAnsi="微软雅黑" w:eastAsia="微软雅黑" w:cs="微软雅黑"/>
              </w:rPr>
              <w:br w:type="textWrapping"/>
            </w:r>
            <w:r>
              <w:rPr>
                <w:rFonts w:hint="eastAsia" w:ascii="微软雅黑" w:hAnsi="微软雅黑" w:eastAsia="微软雅黑" w:cs="微软雅黑"/>
              </w:rPr>
              <w:t>结果</w:t>
            </w:r>
          </w:p>
        </w:tc>
        <w:tc>
          <w:tcPr>
            <w:tcW w:w="5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尚未</w:t>
            </w:r>
            <w:r>
              <w:rPr>
                <w:rFonts w:hint="eastAsia" w:ascii="微软雅黑" w:hAnsi="微软雅黑" w:eastAsia="微软雅黑" w:cs="微软雅黑"/>
              </w:rPr>
              <w:br w:type="textWrapping"/>
            </w:r>
            <w:r>
              <w:rPr>
                <w:rFonts w:hint="eastAsia" w:ascii="微软雅黑" w:hAnsi="微软雅黑" w:eastAsia="微软雅黑" w:cs="微软雅黑"/>
              </w:rPr>
              <w:t>审结</w:t>
            </w:r>
          </w:p>
        </w:tc>
        <w:tc>
          <w:tcPr>
            <w:tcW w:w="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rPr>
            </w:pPr>
            <w:r>
              <w:rPr>
                <w:rFonts w:hint="eastAsia" w:ascii="微软雅黑" w:hAnsi="微软雅黑" w:eastAsia="微软雅黑" w:cs="微软雅黑"/>
              </w:rPr>
              <w:t>总计</w:t>
            </w:r>
          </w:p>
        </w:tc>
      </w:tr>
      <w:tr>
        <w:tblPrEx>
          <w:tblCellMar>
            <w:top w:w="0" w:type="dxa"/>
            <w:left w:w="0" w:type="dxa"/>
            <w:bottom w:w="0" w:type="dxa"/>
            <w:right w:w="0" w:type="dxa"/>
          </w:tblCellMar>
        </w:tblPrEx>
        <w:trPr>
          <w:trHeight w:val="676" w:hRule="atLeast"/>
          <w:jc w:val="center"/>
        </w:trPr>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c>
          <w:tcPr>
            <w:tcW w:w="5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1"/>
              <w:bidi w:val="0"/>
              <w:rPr>
                <w:rFonts w:hint="eastAsia" w:ascii="微软雅黑" w:hAnsi="微软雅黑" w:eastAsia="微软雅黑" w:cs="微软雅黑"/>
                <w:lang w:val="en-US"/>
              </w:rPr>
            </w:pPr>
            <w:r>
              <w:rPr>
                <w:rFonts w:hint="eastAsia" w:ascii="微软雅黑" w:hAnsi="微软雅黑" w:eastAsia="微软雅黑" w:cs="微软雅黑"/>
                <w:lang w:val="en-US" w:eastAsia="zh-CN"/>
              </w:rPr>
              <w:t>0</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Style w:val="10"/>
          <w:rFonts w:hint="eastAsia" w:ascii="微软雅黑" w:hAnsi="微软雅黑" w:eastAsia="微软雅黑" w:cs="微软雅黑"/>
          <w:i w:val="0"/>
          <w:iCs w:val="0"/>
          <w:caps w:val="0"/>
          <w:color w:val="000000"/>
          <w:spacing w:val="0"/>
          <w:sz w:val="32"/>
          <w:szCs w:val="32"/>
          <w:shd w:val="clear" w:fill="FFFFFF"/>
        </w:rPr>
        <w:t>五、存在的主要问题及改进情况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shd w:val="clear" w:fill="FFFFFF"/>
        </w:rPr>
      </w:pPr>
      <w:r>
        <w:rPr>
          <w:rFonts w:hint="eastAsia" w:ascii="微软雅黑" w:hAnsi="微软雅黑" w:eastAsia="微软雅黑" w:cs="微软雅黑"/>
          <w:i w:val="0"/>
          <w:iCs w:val="0"/>
          <w:caps w:val="0"/>
          <w:color w:val="000000"/>
          <w:spacing w:val="0"/>
          <w:sz w:val="32"/>
          <w:szCs w:val="32"/>
          <w:shd w:val="clear" w:fill="FFFFFF"/>
        </w:rPr>
        <w:t>政府信息公开工作以来，虽然取得了一定成效，但在具体推进过程中，还存在一些问题，主要表现在：公开的内容和形式有待进一步丰富</w:t>
      </w:r>
      <w:r>
        <w:rPr>
          <w:rFonts w:hint="eastAsia" w:ascii="微软雅黑" w:hAnsi="微软雅黑" w:eastAsia="微软雅黑" w:cs="微软雅黑"/>
          <w:i w:val="0"/>
          <w:iCs w:val="0"/>
          <w:caps w:val="0"/>
          <w:color w:val="000000"/>
          <w:spacing w:val="0"/>
          <w:sz w:val="32"/>
          <w:szCs w:val="32"/>
          <w:shd w:val="clear" w:fill="FFFFFF"/>
          <w:lang w:eastAsia="zh-CN"/>
        </w:rPr>
        <w:t>，</w:t>
      </w:r>
      <w:r>
        <w:rPr>
          <w:rFonts w:hint="eastAsia" w:ascii="微软雅黑" w:hAnsi="微软雅黑" w:eastAsia="微软雅黑" w:cs="微软雅黑"/>
          <w:i w:val="0"/>
          <w:iCs w:val="0"/>
          <w:caps w:val="0"/>
          <w:color w:val="000000"/>
          <w:spacing w:val="0"/>
          <w:sz w:val="32"/>
          <w:szCs w:val="32"/>
          <w:shd w:val="clear" w:fill="FFFFFF"/>
          <w:lang w:val="en-US" w:eastAsia="zh-CN"/>
        </w:rPr>
        <w:t>表现在多数为文字解读</w:t>
      </w:r>
      <w:r>
        <w:rPr>
          <w:rFonts w:hint="eastAsia" w:ascii="微软雅黑" w:hAnsi="微软雅黑" w:eastAsia="微软雅黑" w:cs="微软雅黑"/>
          <w:i w:val="0"/>
          <w:iCs w:val="0"/>
          <w:caps w:val="0"/>
          <w:color w:val="000000"/>
          <w:spacing w:val="0"/>
          <w:sz w:val="32"/>
          <w:szCs w:val="32"/>
          <w:shd w:val="clear" w:fill="FFFFFF"/>
        </w:rPr>
        <w:t>，对政府信息公开的宣传力度还不够大，部分栏目建设还不够完善。在今后工作中，不断加强对政府信息公开重要性的认识，切实增强工作人员公开信息的主动性、协调性和实效性，强化公开力度，严格按照上级工作要求做到信息公开数量充足、栏目齐全、内容实用，切实提高公开信息的质量和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rPr>
      </w:pPr>
      <w:r>
        <w:rPr>
          <w:rStyle w:val="10"/>
          <w:rFonts w:hint="eastAsia" w:ascii="微软雅黑" w:hAnsi="微软雅黑" w:eastAsia="微软雅黑" w:cs="微软雅黑"/>
          <w:i w:val="0"/>
          <w:iCs w:val="0"/>
          <w:caps w:val="0"/>
          <w:color w:val="000000"/>
          <w:spacing w:val="0"/>
          <w:sz w:val="32"/>
          <w:szCs w:val="32"/>
          <w:shd w:val="clear" w:fill="FFFFFF"/>
        </w:rPr>
        <w:t>六、其他需要报告的事项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shd w:val="clear" w:fill="FFFFFF"/>
        </w:rPr>
      </w:pPr>
      <w:r>
        <w:rPr>
          <w:rFonts w:hint="eastAsia" w:ascii="微软雅黑" w:hAnsi="微软雅黑" w:eastAsia="微软雅黑" w:cs="微软雅黑"/>
          <w:i w:val="0"/>
          <w:iCs w:val="0"/>
          <w:caps w:val="0"/>
          <w:color w:val="000000"/>
          <w:spacing w:val="0"/>
          <w:sz w:val="32"/>
          <w:szCs w:val="32"/>
          <w:shd w:val="clear" w:fill="FFFFFF"/>
        </w:rPr>
        <w:t>本年度依申请公开政府信息未收取任何费用。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shd w:val="clear" w:fill="FFFFFF"/>
        </w:rPr>
      </w:pPr>
      <w:r>
        <w:rPr>
          <w:rFonts w:hint="eastAsia" w:ascii="微软雅黑" w:hAnsi="微软雅黑" w:eastAsia="微软雅黑" w:cs="微软雅黑"/>
          <w:i w:val="0"/>
          <w:iCs w:val="0"/>
          <w:caps w:val="0"/>
          <w:color w:val="000000"/>
          <w:spacing w:val="0"/>
          <w:sz w:val="32"/>
          <w:szCs w:val="32"/>
          <w:shd w:val="clear" w:fill="FFFFFF"/>
        </w:rPr>
        <w:t>如需了解更多政府信息，请登录上高县人民政府网（http://www.shanggao.gov.cn）查询。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32"/>
          <w:szCs w:val="32"/>
          <w:shd w:val="clear" w:fill="FFFFFF"/>
        </w:rPr>
      </w:pPr>
    </w:p>
    <w:sectPr>
      <w:pgSz w:w="11906" w:h="16838"/>
      <w:pgMar w:top="2098" w:right="1474" w:bottom="1984" w:left="1587" w:header="851" w:footer="992" w:gutter="0"/>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NDE3YjMzYThmYmY1NDg2YzEyNmQ1N2Q2ZmEyOWMifQ=="/>
  </w:docVars>
  <w:rsids>
    <w:rsidRoot w:val="65B175E9"/>
    <w:rsid w:val="010E3A48"/>
    <w:rsid w:val="050E48D6"/>
    <w:rsid w:val="0E147D1E"/>
    <w:rsid w:val="0E4B6382"/>
    <w:rsid w:val="10A5142C"/>
    <w:rsid w:val="27274AE7"/>
    <w:rsid w:val="2CFF4E45"/>
    <w:rsid w:val="2D6F535B"/>
    <w:rsid w:val="2E714428"/>
    <w:rsid w:val="32EA6692"/>
    <w:rsid w:val="43526C13"/>
    <w:rsid w:val="4D3B1FBF"/>
    <w:rsid w:val="54CE7E2D"/>
    <w:rsid w:val="550A4AD7"/>
    <w:rsid w:val="5CF90EC6"/>
    <w:rsid w:val="5F3D2F50"/>
    <w:rsid w:val="61E424F3"/>
    <w:rsid w:val="625D62D9"/>
    <w:rsid w:val="65B175E9"/>
    <w:rsid w:val="66957B70"/>
    <w:rsid w:val="6AD83B92"/>
    <w:rsid w:val="6B2341CF"/>
    <w:rsid w:val="6D0B62B1"/>
    <w:rsid w:val="74D559D7"/>
    <w:rsid w:val="76976432"/>
    <w:rsid w:val="79C46AE1"/>
    <w:rsid w:val="79D80CF8"/>
    <w:rsid w:val="7A0A2617"/>
    <w:rsid w:val="7E99615C"/>
    <w:rsid w:val="7FA8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val="0"/>
      <w:keepLines w:val="0"/>
      <w:spacing w:beforeLines="0" w:beforeAutospacing="0" w:afterLines="0" w:afterAutospacing="0" w:line="56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黑体" w:hAnsi="黑体" w:eastAsia="黑体"/>
    </w:rPr>
  </w:style>
  <w:style w:type="paragraph" w:styleId="4">
    <w:name w:val="heading 3"/>
    <w:basedOn w:val="1"/>
    <w:next w:val="1"/>
    <w:semiHidden/>
    <w:unhideWhenUsed/>
    <w:qFormat/>
    <w:uiPriority w:val="0"/>
    <w:pPr>
      <w:keepNext w:val="0"/>
      <w:keepLines w:val="0"/>
      <w:spacing w:beforeLines="0" w:beforeAutospacing="0" w:afterLines="0" w:afterAutospacing="0" w:line="560" w:lineRule="exact"/>
      <w:outlineLvl w:val="2"/>
    </w:pPr>
    <w:rPr>
      <w:rFonts w:eastAsia="楷体_GB2312"/>
      <w:b/>
    </w:rPr>
  </w:style>
  <w:style w:type="paragraph" w:styleId="5">
    <w:name w:val="heading 4"/>
    <w:basedOn w:val="1"/>
    <w:next w:val="1"/>
    <w:link w:val="12"/>
    <w:semiHidden/>
    <w:unhideWhenUsed/>
    <w:qFormat/>
    <w:uiPriority w:val="0"/>
    <w:pPr>
      <w:keepNext w:val="0"/>
      <w:keepLines w:val="0"/>
      <w:spacing w:beforeLines="0" w:beforeAutospacing="0" w:afterLines="0" w:afterAutospacing="0" w:line="560" w:lineRule="exact"/>
      <w:outlineLvl w:val="3"/>
    </w:pPr>
    <w:rPr>
      <w:rFonts w:ascii="仿宋_GB2312" w:hAnsi="仿宋_GB2312"/>
      <w:b/>
    </w:rPr>
  </w:style>
  <w:style w:type="character" w:default="1" w:styleId="9">
    <w:name w:val="Default Paragraph Font"/>
    <w:semiHidden/>
    <w:qFormat/>
    <w:uiPriority w:val="0"/>
    <w:rPr>
      <w:rFonts w:ascii="仿宋_GB2312" w:hAnsi="仿宋_GB2312" w:eastAsia="仿宋_GB2312"/>
      <w:sz w:val="32"/>
      <w:szCs w:val="32"/>
    </w:rPr>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ind w:firstLine="0" w:firstLineChars="0"/>
      <w:jc w:val="center"/>
    </w:pPr>
    <w:rPr>
      <w:rFonts w:cs="Times New Roman"/>
      <w:sz w:val="2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表格"/>
    <w:basedOn w:val="1"/>
    <w:qFormat/>
    <w:uiPriority w:val="0"/>
    <w:pPr>
      <w:spacing w:line="240" w:lineRule="auto"/>
      <w:ind w:firstLine="0" w:firstLineChars="0"/>
      <w:jc w:val="center"/>
    </w:pPr>
    <w:rPr>
      <w:rFonts w:hint="eastAsia" w:eastAsia="宋体"/>
      <w:sz w:val="28"/>
    </w:rPr>
  </w:style>
  <w:style w:type="character" w:customStyle="1" w:styleId="12">
    <w:name w:val="标题 4 Char"/>
    <w:link w:val="5"/>
    <w:uiPriority w:val="0"/>
    <w:rPr>
      <w:rFonts w:ascii="仿宋_GB2312" w:hAnsi="仿宋_GB2312" w:eastAsia="仿宋_GB2312"/>
      <w:b/>
    </w:rPr>
  </w:style>
  <w:style w:type="paragraph" w:customStyle="1" w:styleId="13">
    <w:name w:val="行政安排"/>
    <w:basedOn w:val="1"/>
    <w:uiPriority w:val="0"/>
    <w:pPr>
      <w:ind w:left="1120" w:hanging="1120" w:hangingChars="35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Words>
  <Characters>26</Characters>
  <Lines>0</Lines>
  <Paragraphs>0</Paragraphs>
  <TotalTime>1</TotalTime>
  <ScaleCrop>false</ScaleCrop>
  <LinksUpToDate>false</LinksUpToDate>
  <CharactersWithSpaces>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2023-01-18T01:16:00Z</dcterms:created>
  <dc:creator>清风</dc:creator>
  <cp:lastModifiedBy>清风</cp:lastModifiedBy>
  <dcterms:modified xsi:type="dcterms:W3CDTF">2023-12-25T07:52:53Z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4E3534DB70CE438DAF1EE7A4138ED072</vt:lpwstr>
  </property>
</Properties>
</file>