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ind w:firstLine="480"/>
        <w:rPr>
          <w:rFonts w:hint="eastAsia" w:ascii="宋体" w:hAnsi="宋体" w:cs="宋体"/>
          <w:b/>
          <w:bCs/>
          <w:color w:val="333333"/>
          <w:kern w:val="0"/>
          <w:sz w:val="36"/>
          <w:szCs w:val="36"/>
        </w:rPr>
      </w:pPr>
      <w:r>
        <w:rPr>
          <w:rFonts w:hint="eastAsia" w:ascii="宋体" w:hAnsi="宋体" w:cs="宋体"/>
          <w:b/>
          <w:bCs/>
          <w:color w:val="333333"/>
          <w:kern w:val="0"/>
          <w:sz w:val="36"/>
          <w:szCs w:val="36"/>
        </w:rPr>
        <w:t>上高县气象局202</w:t>
      </w:r>
      <w:r>
        <w:rPr>
          <w:rFonts w:hint="eastAsia" w:ascii="宋体" w:hAnsi="宋体" w:cs="宋体"/>
          <w:b/>
          <w:bCs/>
          <w:color w:val="333333"/>
          <w:kern w:val="0"/>
          <w:sz w:val="36"/>
          <w:szCs w:val="36"/>
          <w:lang w:val="en-US" w:eastAsia="zh-CN"/>
        </w:rPr>
        <w:t>1</w:t>
      </w:r>
      <w:r>
        <w:rPr>
          <w:rFonts w:hint="eastAsia" w:ascii="宋体" w:hAnsi="宋体" w:cs="宋体"/>
          <w:b/>
          <w:bCs/>
          <w:color w:val="333333"/>
          <w:kern w:val="0"/>
          <w:sz w:val="36"/>
          <w:szCs w:val="36"/>
        </w:rPr>
        <w:t>年政府信息公开工作年度报告</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本报告依据《中华人民共和国政府信息公开条例》（国务院令第711号，以下简称新《条例》）和《国务院办公厅政府信息与政务公开办公室关于政府信息公开工作年度报告有关事项的通知》（国办公开办函〔2019〕60号）要求，由上高县气象局综合管理科结合有关统计数据编制。本年度报告中所列数据的统计期限自202</w:t>
      </w:r>
      <w:r>
        <w:rPr>
          <w:rFonts w:hint="eastAsia" w:ascii="宋体" w:hAnsi="宋体" w:cs="宋体"/>
          <w:color w:val="333333"/>
          <w:kern w:val="0"/>
          <w:sz w:val="24"/>
          <w:szCs w:val="24"/>
          <w:lang w:val="en-US" w:eastAsia="zh-CN"/>
        </w:rPr>
        <w:t>1</w:t>
      </w:r>
      <w:r>
        <w:rPr>
          <w:rFonts w:hint="eastAsia" w:ascii="宋体" w:hAnsi="宋体" w:cs="宋体"/>
          <w:color w:val="333333"/>
          <w:kern w:val="0"/>
          <w:sz w:val="24"/>
          <w:szCs w:val="24"/>
        </w:rPr>
        <w:t>年1月1日起至202</w:t>
      </w:r>
      <w:r>
        <w:rPr>
          <w:rFonts w:hint="eastAsia" w:ascii="宋体" w:hAnsi="宋体" w:cs="宋体"/>
          <w:color w:val="333333"/>
          <w:kern w:val="0"/>
          <w:sz w:val="24"/>
          <w:szCs w:val="24"/>
          <w:lang w:val="en-US" w:eastAsia="zh-CN"/>
        </w:rPr>
        <w:t>1</w:t>
      </w:r>
      <w:r>
        <w:rPr>
          <w:rFonts w:hint="eastAsia" w:ascii="宋体" w:hAnsi="宋体" w:cs="宋体"/>
          <w:color w:val="333333"/>
          <w:kern w:val="0"/>
          <w:sz w:val="24"/>
          <w:szCs w:val="24"/>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气象局综合管理科联系（地址：上高县敖山镇镜山行政村环城路上高县气象局2楼办公室，电话：2511520，邮编：336400）。</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b/>
          <w:bCs/>
          <w:color w:val="333333"/>
          <w:kern w:val="0"/>
          <w:sz w:val="24"/>
          <w:szCs w:val="24"/>
        </w:rPr>
        <w:t>一、总体情况</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202</w:t>
      </w:r>
      <w:r>
        <w:rPr>
          <w:rFonts w:hint="eastAsia" w:ascii="宋体" w:hAnsi="宋体" w:cs="宋体"/>
          <w:color w:val="333333"/>
          <w:kern w:val="0"/>
          <w:sz w:val="24"/>
          <w:szCs w:val="24"/>
          <w:lang w:val="en-US" w:eastAsia="zh-CN"/>
        </w:rPr>
        <w:t>1</w:t>
      </w:r>
      <w:r>
        <w:rPr>
          <w:rFonts w:hint="eastAsia" w:ascii="宋体" w:hAnsi="宋体" w:cs="宋体"/>
          <w:color w:val="333333"/>
          <w:kern w:val="0"/>
          <w:sz w:val="24"/>
          <w:szCs w:val="24"/>
        </w:rPr>
        <w:t>年我局坚持以习近平新时代中国特色社会主义思想为指导，深入贯彻党的十九大和十九届</w:t>
      </w:r>
      <w:r>
        <w:rPr>
          <w:rFonts w:hint="eastAsia" w:ascii="宋体" w:hAnsi="宋体" w:cs="宋体"/>
          <w:color w:val="333333"/>
          <w:kern w:val="0"/>
          <w:sz w:val="24"/>
          <w:szCs w:val="24"/>
          <w:lang w:eastAsia="zh-CN"/>
        </w:rPr>
        <w:t>二中、</w:t>
      </w:r>
      <w:r>
        <w:rPr>
          <w:rFonts w:hint="eastAsia" w:ascii="宋体" w:hAnsi="宋体" w:cs="宋体"/>
          <w:color w:val="333333"/>
          <w:kern w:val="0"/>
          <w:sz w:val="24"/>
          <w:szCs w:val="24"/>
        </w:rPr>
        <w:t>三中、四中、五中</w:t>
      </w:r>
      <w:r>
        <w:rPr>
          <w:rFonts w:hint="eastAsia" w:ascii="宋体" w:hAnsi="宋体" w:cs="宋体"/>
          <w:color w:val="333333"/>
          <w:kern w:val="0"/>
          <w:sz w:val="24"/>
          <w:szCs w:val="24"/>
          <w:lang w:eastAsia="zh-CN"/>
        </w:rPr>
        <w:t>、六中</w:t>
      </w:r>
      <w:r>
        <w:rPr>
          <w:rFonts w:hint="eastAsia" w:ascii="宋体" w:hAnsi="宋体" w:cs="宋体"/>
          <w:color w:val="333333"/>
          <w:kern w:val="0"/>
          <w:sz w:val="24"/>
          <w:szCs w:val="24"/>
        </w:rPr>
        <w:t>全会精神，</w:t>
      </w:r>
      <w:r>
        <w:rPr>
          <w:rFonts w:hint="eastAsia" w:ascii="宋体" w:hAnsi="宋体" w:cs="宋体"/>
          <w:color w:val="333333"/>
          <w:kern w:val="0"/>
          <w:sz w:val="24"/>
          <w:szCs w:val="24"/>
          <w:lang w:eastAsia="zh-CN"/>
        </w:rPr>
        <w:t>严格</w:t>
      </w:r>
      <w:r>
        <w:rPr>
          <w:rFonts w:hint="eastAsia" w:ascii="宋体" w:hAnsi="宋体" w:cs="宋体"/>
          <w:color w:val="333333"/>
          <w:kern w:val="0"/>
          <w:sz w:val="24"/>
          <w:szCs w:val="24"/>
        </w:rPr>
        <w:t xml:space="preserve">认真贯彻国务院、省、市、县政府及省、市气象局关于信息公开有关文件精神，按照上级要求，积极推进政府信息公开工作。 </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（一）主动公开政府信息情况</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积极做好主动公开工作</w:t>
      </w:r>
      <w:r>
        <w:rPr>
          <w:rFonts w:hint="eastAsia" w:ascii="宋体" w:hAnsi="宋体" w:cs="宋体"/>
          <w:color w:val="333333"/>
          <w:kern w:val="0"/>
          <w:sz w:val="24"/>
          <w:szCs w:val="24"/>
          <w:lang w:eastAsia="zh-CN"/>
        </w:rPr>
        <w:t>，</w:t>
      </w:r>
      <w:r>
        <w:rPr>
          <w:rFonts w:hint="eastAsia" w:ascii="宋体" w:hAnsi="宋体" w:cs="宋体"/>
          <w:color w:val="333333"/>
          <w:kern w:val="0"/>
          <w:sz w:val="24"/>
          <w:szCs w:val="24"/>
        </w:rPr>
        <w:t>202</w:t>
      </w:r>
      <w:r>
        <w:rPr>
          <w:rFonts w:hint="eastAsia" w:ascii="宋体" w:hAnsi="宋体" w:cs="宋体"/>
          <w:color w:val="333333"/>
          <w:kern w:val="0"/>
          <w:sz w:val="24"/>
          <w:szCs w:val="24"/>
          <w:lang w:val="en-US" w:eastAsia="zh-CN"/>
        </w:rPr>
        <w:t>1</w:t>
      </w:r>
      <w:r>
        <w:rPr>
          <w:rFonts w:hint="eastAsia" w:ascii="宋体" w:hAnsi="宋体" w:cs="宋体"/>
          <w:color w:val="333333"/>
          <w:kern w:val="0"/>
          <w:sz w:val="24"/>
          <w:szCs w:val="24"/>
        </w:rPr>
        <w:t>年我局通过上高县政府信息公开平台主动公开政府信息共</w:t>
      </w:r>
      <w:r>
        <w:rPr>
          <w:rFonts w:hint="eastAsia" w:ascii="宋体" w:hAnsi="宋体" w:cs="宋体"/>
          <w:color w:val="333333"/>
          <w:kern w:val="0"/>
          <w:sz w:val="24"/>
          <w:szCs w:val="24"/>
          <w:lang w:val="en-US" w:eastAsia="zh-CN"/>
        </w:rPr>
        <w:t>203</w:t>
      </w:r>
      <w:r>
        <w:rPr>
          <w:rFonts w:hint="eastAsia" w:ascii="宋体" w:hAnsi="宋体" w:cs="宋体"/>
          <w:color w:val="333333"/>
          <w:kern w:val="0"/>
          <w:sz w:val="24"/>
          <w:szCs w:val="24"/>
        </w:rPr>
        <w:t>条，其中</w:t>
      </w:r>
      <w:r>
        <w:rPr>
          <w:rFonts w:hint="eastAsia" w:ascii="宋体" w:hAnsi="宋体" w:cs="宋体"/>
          <w:color w:val="333333"/>
          <w:kern w:val="0"/>
          <w:sz w:val="24"/>
          <w:szCs w:val="24"/>
          <w:lang w:eastAsia="zh-CN"/>
        </w:rPr>
        <w:t>财政信息（部门预决算）</w:t>
      </w:r>
      <w:r>
        <w:rPr>
          <w:rFonts w:hint="eastAsia" w:ascii="宋体" w:hAnsi="宋体" w:cs="宋体"/>
          <w:color w:val="333333"/>
          <w:kern w:val="0"/>
          <w:sz w:val="24"/>
          <w:szCs w:val="24"/>
          <w:lang w:val="en-US" w:eastAsia="zh-CN"/>
        </w:rPr>
        <w:t>1条、</w:t>
      </w:r>
      <w:r>
        <w:rPr>
          <w:rFonts w:hint="eastAsia" w:ascii="宋体" w:hAnsi="宋体" w:cs="宋体"/>
          <w:color w:val="333333"/>
          <w:kern w:val="0"/>
          <w:sz w:val="24"/>
          <w:szCs w:val="24"/>
          <w:lang w:eastAsia="zh-CN"/>
        </w:rPr>
        <w:t>应急管理（预警和应对情况）信息</w:t>
      </w:r>
      <w:r>
        <w:rPr>
          <w:rFonts w:hint="eastAsia" w:ascii="宋体" w:hAnsi="宋体" w:cs="宋体"/>
          <w:color w:val="333333"/>
          <w:kern w:val="0"/>
          <w:sz w:val="24"/>
          <w:szCs w:val="24"/>
          <w:lang w:val="en-US" w:eastAsia="zh-CN"/>
        </w:rPr>
        <w:t>199条、机构设置更新1条、规划计划2条</w:t>
      </w:r>
      <w:r>
        <w:rPr>
          <w:rFonts w:hint="eastAsia" w:ascii="宋体" w:hAnsi="宋体" w:cs="宋体"/>
          <w:color w:val="333333"/>
          <w:kern w:val="0"/>
          <w:sz w:val="24"/>
          <w:szCs w:val="24"/>
        </w:rPr>
        <w:t>。另通过气象政务管理信息系统发布新闻报道</w:t>
      </w:r>
      <w:r>
        <w:rPr>
          <w:rFonts w:hint="eastAsia" w:ascii="宋体" w:hAnsi="宋体" w:cs="宋体"/>
          <w:color w:val="333333"/>
          <w:kern w:val="0"/>
          <w:sz w:val="24"/>
          <w:szCs w:val="24"/>
          <w:lang w:val="en-US" w:eastAsia="zh-CN"/>
        </w:rPr>
        <w:t>67</w:t>
      </w:r>
      <w:r>
        <w:rPr>
          <w:rFonts w:hint="eastAsia" w:ascii="宋体" w:hAnsi="宋体" w:cs="宋体"/>
          <w:color w:val="333333"/>
          <w:kern w:val="0"/>
          <w:sz w:val="24"/>
          <w:szCs w:val="24"/>
        </w:rPr>
        <w:t>篇。</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（二）依申请公开</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202</w:t>
      </w:r>
      <w:r>
        <w:rPr>
          <w:rFonts w:hint="eastAsia" w:ascii="宋体" w:hAnsi="宋体" w:cs="宋体"/>
          <w:color w:val="333333"/>
          <w:kern w:val="0"/>
          <w:sz w:val="24"/>
          <w:szCs w:val="24"/>
          <w:lang w:val="en-US" w:eastAsia="zh-CN"/>
        </w:rPr>
        <w:t>1</w:t>
      </w:r>
      <w:r>
        <w:rPr>
          <w:rFonts w:hint="eastAsia" w:ascii="宋体" w:hAnsi="宋体" w:cs="宋体"/>
          <w:color w:val="333333"/>
          <w:kern w:val="0"/>
          <w:sz w:val="24"/>
          <w:szCs w:val="24"/>
        </w:rPr>
        <w:t xml:space="preserve">年，我局未接到要求公开政府信息的申请件。 </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（三）政府信息管理</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规范完善信息发布机制。建立了政府信息主动公开、依申请公开、保密审查等相关工作制度，并结合实际，建立了政府信息公开发布的保密审查机制和程序等，制度、机制上逐步完善。分管领导严格把关，严格执行发布程序，做到一文一审，经领导审核批准后再对信息进行发布。根据行业特点，公开气象预测预警信息。对必须公开和可以公开的信息及时公开，对不属于公开事项的严格遵守保密规定，确保不出差错。</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w:t>
      </w:r>
      <w:r>
        <w:rPr>
          <w:rFonts w:hint="eastAsia" w:ascii="宋体" w:hAnsi="宋体" w:cs="宋体"/>
          <w:color w:val="333333"/>
          <w:kern w:val="0"/>
          <w:sz w:val="24"/>
          <w:szCs w:val="24"/>
          <w:lang w:eastAsia="zh-CN"/>
        </w:rPr>
        <w:t>四</w:t>
      </w:r>
      <w:r>
        <w:rPr>
          <w:rFonts w:hint="eastAsia" w:ascii="宋体" w:hAnsi="宋体" w:cs="宋体"/>
          <w:color w:val="333333"/>
          <w:kern w:val="0"/>
          <w:sz w:val="24"/>
          <w:szCs w:val="24"/>
        </w:rPr>
        <w:t>）监督保障</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我局领导高度重视政府信息公开工作，建立了一把手领导亲自抓，分管领导直接抓，职能科室具体抓的工作机制。我局坚持“以公开为常态，不公开为例外”的原则，安排专人承办，确保及时准确发布相关信息。</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b/>
          <w:bCs/>
          <w:color w:val="333333"/>
          <w:kern w:val="0"/>
          <w:sz w:val="24"/>
          <w:szCs w:val="24"/>
        </w:rPr>
        <w:t>二、主动公开政府信息情况</w:t>
      </w:r>
    </w:p>
    <w:p>
      <w:pPr>
        <w:widowControl/>
        <w:shd w:val="clear" w:color="auto" w:fill="FFFFFF"/>
        <w:ind w:firstLine="480"/>
        <w:rPr>
          <w:rFonts w:hint="eastAsia" w:ascii="宋体" w:hAnsi="宋体" w:cs="宋体"/>
          <w:color w:val="333333"/>
          <w:kern w:val="0"/>
          <w:sz w:val="24"/>
          <w:szCs w:val="24"/>
        </w:rPr>
      </w:pP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Calibri" w:hAnsi="Calibri" w:eastAsia="宋体" w:cs="Calibri"/>
                <w:kern w:val="0"/>
                <w:szCs w:val="21"/>
                <w:lang w:val="en-US" w:eastAsia="zh-CN"/>
              </w:rPr>
            </w:pPr>
            <w:r>
              <w:rPr>
                <w:rFonts w:hint="eastAsia" w:ascii="Calibri" w:hAnsi="Calibri" w:eastAsia="宋体" w:cs="Calibri"/>
                <w:kern w:val="0"/>
                <w:szCs w:val="21"/>
              </w:rPr>
              <w:t> </w:t>
            </w:r>
            <w:r>
              <w:rPr>
                <w:rFonts w:hint="eastAsia" w:ascii="Calibri" w:hAnsi="Calibri" w:eastAsia="宋体" w:cs="Calibri"/>
                <w:kern w:val="0"/>
                <w:szCs w:val="21"/>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Calibri" w:hAnsi="Calibri" w:eastAsia="宋体" w:cs="Calibri"/>
                <w:kern w:val="0"/>
                <w:szCs w:val="21"/>
                <w:lang w:val="en-US" w:eastAsia="zh-CN"/>
              </w:rPr>
            </w:pPr>
            <w:r>
              <w:rPr>
                <w:rFonts w:ascii="Calibri" w:hAnsi="Calibri" w:eastAsia="宋体" w:cs="Calibri"/>
                <w:kern w:val="0"/>
                <w:szCs w:val="21"/>
              </w:rPr>
              <w:t> </w:t>
            </w: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Calibri" w:hAnsi="Calibri" w:eastAsia="宋体" w:cs="Calibri"/>
                <w:kern w:val="0"/>
                <w:szCs w:val="21"/>
                <w:lang w:val="en-US" w:eastAsia="zh-CN"/>
              </w:rPr>
            </w:pPr>
            <w:r>
              <w:rPr>
                <w:rFonts w:hint="eastAsia" w:ascii="Calibri" w:hAnsi="Calibri" w:eastAsia="宋体" w:cs="Calibri"/>
                <w:kern w:val="0"/>
                <w:szCs w:val="21"/>
              </w:rPr>
              <w:t> </w:t>
            </w:r>
            <w:r>
              <w:rPr>
                <w:rFonts w:hint="eastAsia" w:ascii="Calibri" w:hAnsi="Calibri" w:eastAsia="宋体" w:cs="Calibri"/>
                <w:kern w:val="0"/>
                <w:szCs w:val="21"/>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Calibri" w:hAnsi="Calibri" w:eastAsia="宋体" w:cs="Calibri"/>
                <w:kern w:val="0"/>
                <w:szCs w:val="21"/>
                <w:lang w:val="en-US" w:eastAsia="zh-CN"/>
              </w:rPr>
            </w:pPr>
            <w:r>
              <w:rPr>
                <w:rFonts w:ascii="Calibri" w:hAnsi="Calibri" w:eastAsia="宋体" w:cs="Calibri"/>
                <w:kern w:val="0"/>
                <w:szCs w:val="21"/>
              </w:rPr>
              <w:t> </w:t>
            </w: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default" w:ascii="宋体" w:hAnsi="宋体" w:eastAsia="宋体" w:cs="宋体"/>
                <w:kern w:val="0"/>
                <w:sz w:val="24"/>
                <w:szCs w:val="24"/>
                <w:lang w:val="en-US" w:eastAsia="zh-CN"/>
              </w:rPr>
            </w:pPr>
            <w:r>
              <w:rPr>
                <w:rFonts w:hint="eastAsia" w:ascii="Calibri" w:hAnsi="Calibri" w:cs="Calibri"/>
                <w:kern w:val="0"/>
                <w:szCs w:val="21"/>
                <w:lang w:val="en-US" w:eastAsia="zh-CN"/>
              </w:rPr>
              <w:t>12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28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Calibri" w:hAnsi="Calibri" w:eastAsia="宋体" w:cs="Calibri"/>
                <w:kern w:val="0"/>
                <w:szCs w:val="21"/>
                <w:lang w:val="en-US" w:eastAsia="zh-CN"/>
              </w:rPr>
            </w:pPr>
            <w:r>
              <w:rPr>
                <w:rFonts w:hint="eastAsia" w:ascii="Calibri" w:hAnsi="Calibri" w:eastAsia="宋体"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default" w:cs="宋体" w:asciiTheme="minorAscii" w:hAnsiTheme="minorAscii"/>
                <w:kern w:val="0"/>
                <w:sz w:val="24"/>
                <w:szCs w:val="24"/>
                <w:lang w:val="en-US" w:eastAsia="zh-CN"/>
              </w:rPr>
              <w:t>0</w:t>
            </w:r>
          </w:p>
        </w:tc>
      </w:tr>
    </w:tbl>
    <w:p>
      <w:pPr>
        <w:widowControl/>
        <w:jc w:val="left"/>
        <w:rPr>
          <w:rFonts w:hint="eastAsia" w:ascii="宋体" w:hAnsi="宋体" w:cs="宋体"/>
          <w:kern w:val="0"/>
          <w:sz w:val="24"/>
          <w:szCs w:val="24"/>
        </w:rPr>
      </w:pPr>
      <w:r>
        <w:rPr>
          <w:rFonts w:hint="eastAsia" w:ascii="宋体" w:hAnsi="宋体" w:cs="宋体"/>
          <w:color w:val="333333"/>
          <w:kern w:val="0"/>
          <w:sz w:val="24"/>
          <w:szCs w:val="24"/>
        </w:rPr>
        <w:br w:type="textWrapping"/>
      </w: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三、收到和处理政府信息公开申请情况</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b/>
          <w:bCs/>
          <w:color w:val="333333"/>
          <w:kern w:val="0"/>
          <w:sz w:val="24"/>
          <w:szCs w:val="24"/>
        </w:rPr>
        <w:br w:type="textWrapping"/>
      </w: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商业</w:t>
            </w:r>
          </w:p>
          <w:p>
            <w:pPr>
              <w:widowControl/>
              <w:jc w:val="center"/>
              <w:rPr>
                <w:rFonts w:ascii="宋体" w:hAnsi="宋体" w:cs="宋体"/>
                <w:kern w:val="0"/>
                <w:sz w:val="24"/>
                <w:szCs w:val="24"/>
              </w:rPr>
            </w:pPr>
            <w:r>
              <w:rPr>
                <w:rFonts w:hint="eastAsia" w:ascii="宋体" w:hAnsi="宋体" w:cs="宋体"/>
                <w:kern w:val="0"/>
                <w:sz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科研</w:t>
            </w:r>
          </w:p>
          <w:p>
            <w:pPr>
              <w:widowControl/>
              <w:jc w:val="center"/>
              <w:rPr>
                <w:rFonts w:ascii="宋体" w:hAnsi="宋体" w:cs="宋体"/>
                <w:kern w:val="0"/>
                <w:sz w:val="24"/>
                <w:szCs w:val="24"/>
              </w:rPr>
            </w:pPr>
            <w:r>
              <w:rPr>
                <w:rFonts w:hint="eastAsia" w:ascii="宋体" w:hAnsi="宋体" w:cs="宋体"/>
                <w:kern w:val="0"/>
                <w:sz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5.属于三类内部事务信息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6.属于四类过程性信息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7.属于行政执法案卷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8.属于行政查询事项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2.重复申请</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4" w:space="0"/>
            </w:tcBorders>
            <w:noWrap w:val="0"/>
            <w:vAlign w:val="center"/>
          </w:tcPr>
          <w:p>
            <w:pPr>
              <w:widowControl/>
              <w:jc w:val="left"/>
              <w:rPr>
                <w:rFonts w:ascii="宋体" w:hAnsi="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3.要求提供公开出版物</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4" w:space="0"/>
            </w:tcBorders>
            <w:noWrap w:val="0"/>
            <w:vAlign w:val="center"/>
          </w:tcPr>
          <w:p>
            <w:pPr>
              <w:widowControl/>
              <w:jc w:val="left"/>
              <w:rPr>
                <w:rFonts w:ascii="宋体" w:hAnsi="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4.无正当理由大量反复申请</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single" w:color="auto" w:sz="4"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5.要求行政机关确认或重新出具已获取信息</w:t>
            </w:r>
          </w:p>
        </w:tc>
        <w:tc>
          <w:tcPr>
            <w:tcW w:w="688" w:type="dxa"/>
            <w:tcBorders>
              <w:top w:val="single" w:color="auto" w:sz="4"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single" w:color="auto" w:sz="4"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3.其他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single" w:color="auto" w:sz="4"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4"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（七）总计</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nil"/>
              <w:left w:val="nil"/>
              <w:bottom w:val="single" w:color="auto" w:sz="4"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nil"/>
              <w:left w:val="nil"/>
              <w:bottom w:val="single" w:color="auto" w:sz="4"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四、结转下年度继续办理</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Calibri" w:hAnsi="Calibri" w:cs="Calibri"/>
                <w:kern w:val="0"/>
                <w:sz w:val="20"/>
                <w:lang w:val="en-US" w:eastAsia="zh-CN"/>
              </w:rPr>
              <w:t>0</w:t>
            </w:r>
          </w:p>
        </w:tc>
        <w:tc>
          <w:tcPr>
            <w:tcW w:w="689"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rPr>
            </w:pPr>
            <w:r>
              <w:rPr>
                <w:rFonts w:hint="eastAsia" w:ascii="Calibri" w:hAnsi="Calibri" w:cs="Calibri"/>
                <w:kern w:val="0"/>
                <w:sz w:val="20"/>
                <w:lang w:val="en-US" w:eastAsia="zh-CN"/>
              </w:rPr>
              <w:t>0</w:t>
            </w:r>
          </w:p>
        </w:tc>
      </w:tr>
    </w:tbl>
    <w:p>
      <w:pPr>
        <w:widowControl/>
        <w:shd w:val="clear" w:color="auto" w:fill="FFFFFF"/>
        <w:jc w:val="center"/>
        <w:rPr>
          <w:rFonts w:hint="eastAsia" w:ascii="宋体" w:hAnsi="宋体" w:cs="宋体"/>
          <w:color w:val="333333"/>
          <w:kern w:val="0"/>
          <w:sz w:val="24"/>
          <w:szCs w:val="24"/>
        </w:rPr>
      </w:pPr>
    </w:p>
    <w:p>
      <w:pPr>
        <w:widowControl/>
        <w:shd w:val="clear" w:color="auto" w:fill="FFFFFF"/>
        <w:ind w:firstLine="480"/>
        <w:rPr>
          <w:rFonts w:hint="eastAsia" w:ascii="宋体" w:hAnsi="宋体" w:cs="宋体"/>
          <w:color w:val="333333"/>
          <w:kern w:val="0"/>
          <w:sz w:val="24"/>
          <w:szCs w:val="24"/>
        </w:rPr>
      </w:pPr>
      <w:r>
        <w:rPr>
          <w:rFonts w:hint="eastAsia" w:ascii="宋体" w:hAnsi="宋体" w:cs="宋体"/>
          <w:b/>
          <w:bCs/>
          <w:color w:val="333333"/>
          <w:kern w:val="0"/>
          <w:sz w:val="24"/>
          <w:szCs w:val="24"/>
        </w:rPr>
        <w:t>四、政府信息公开行政复议、行政诉讼情况</w:t>
      </w:r>
    </w:p>
    <w:p>
      <w:pPr>
        <w:widowControl/>
        <w:shd w:val="clear" w:color="auto" w:fill="FFFFFF"/>
        <w:jc w:val="center"/>
        <w:rPr>
          <w:rFonts w:hint="eastAsia" w:ascii="宋体" w:hAnsi="宋体" w:cs="宋体"/>
          <w:color w:val="333333"/>
          <w:kern w:val="0"/>
          <w:sz w:val="24"/>
          <w:szCs w:val="24"/>
        </w:rPr>
      </w:pP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其他</w:t>
            </w:r>
            <w:r>
              <w:rPr>
                <w:rFonts w:hint="eastAsia" w:ascii="宋体" w:hAnsi="宋体" w:cs="宋体"/>
                <w:color w:val="000000"/>
                <w:kern w:val="0"/>
                <w:sz w:val="20"/>
              </w:rPr>
              <w:br w:type="textWrapping"/>
            </w: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lang w:val="en-US" w:eastAsia="zh-CN"/>
              </w:rPr>
              <w:t>0</w:t>
            </w:r>
          </w:p>
        </w:tc>
      </w:tr>
    </w:tbl>
    <w:p>
      <w:pPr>
        <w:widowControl/>
        <w:jc w:val="left"/>
        <w:rPr>
          <w:rFonts w:hint="eastAsia" w:ascii="宋体" w:hAnsi="宋体" w:cs="宋体"/>
          <w:kern w:val="0"/>
          <w:sz w:val="24"/>
          <w:szCs w:val="24"/>
        </w:rPr>
      </w:pPr>
      <w:r>
        <w:rPr>
          <w:rFonts w:hint="eastAsia" w:ascii="宋体" w:hAnsi="宋体" w:cs="宋体"/>
          <w:color w:val="333333"/>
          <w:kern w:val="0"/>
          <w:sz w:val="24"/>
          <w:szCs w:val="24"/>
        </w:rPr>
        <w:br w:type="textWrapping"/>
      </w: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五、存在的主要问题及改进情况</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（一）存在问题。</w:t>
      </w:r>
    </w:p>
    <w:p>
      <w:pPr>
        <w:widowControl/>
        <w:shd w:val="clear" w:color="auto" w:fill="FFFFFF"/>
        <w:ind w:firstLine="480"/>
        <w:rPr>
          <w:rFonts w:hint="eastAsia" w:ascii="宋体" w:hAnsi="宋体" w:eastAsia="宋体" w:cs="宋体"/>
          <w:color w:val="333333"/>
          <w:kern w:val="0"/>
          <w:sz w:val="24"/>
          <w:szCs w:val="24"/>
          <w:lang w:eastAsia="zh-CN"/>
        </w:rPr>
      </w:pPr>
      <w:r>
        <w:rPr>
          <w:rFonts w:hint="eastAsia" w:ascii="宋体" w:hAnsi="宋体" w:cs="宋体"/>
          <w:color w:val="333333"/>
          <w:kern w:val="0"/>
          <w:sz w:val="24"/>
          <w:szCs w:val="24"/>
        </w:rPr>
        <w:t>1、内容公开时效性不够高</w:t>
      </w:r>
      <w:r>
        <w:rPr>
          <w:rFonts w:hint="eastAsia" w:ascii="宋体" w:hAnsi="宋体" w:cs="宋体"/>
          <w:color w:val="333333"/>
          <w:kern w:val="0"/>
          <w:sz w:val="24"/>
          <w:szCs w:val="24"/>
          <w:lang w:eastAsia="zh-CN"/>
        </w:rPr>
        <w:t>。</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2、实用性有待进一步提升</w:t>
      </w:r>
      <w:r>
        <w:rPr>
          <w:rFonts w:hint="eastAsia" w:ascii="宋体" w:hAnsi="宋体" w:cs="宋体"/>
          <w:color w:val="333333"/>
          <w:kern w:val="0"/>
          <w:sz w:val="24"/>
          <w:szCs w:val="24"/>
          <w:lang w:eastAsia="zh-CN"/>
        </w:rPr>
        <w:t>。</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rPr>
        <w:t>（二）改进措施</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lang w:val="en-US" w:eastAsia="zh-CN"/>
        </w:rPr>
        <w:t>1</w:t>
      </w:r>
      <w:r>
        <w:rPr>
          <w:rFonts w:hint="eastAsia" w:ascii="宋体" w:hAnsi="宋体" w:cs="宋体"/>
          <w:color w:val="333333"/>
          <w:kern w:val="0"/>
          <w:sz w:val="24"/>
          <w:szCs w:val="24"/>
        </w:rPr>
        <w:t>、确保信息公开的及时性，丰富公开渠道，做好网站内容更新，充分利用现代化传媒手段，主动、及时、准确发布气象预报预警等信息，扎实推进信息公开工作。</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color w:val="333333"/>
          <w:kern w:val="0"/>
          <w:sz w:val="24"/>
          <w:szCs w:val="24"/>
          <w:lang w:val="en-US" w:eastAsia="zh-CN"/>
        </w:rPr>
        <w:t>2</w:t>
      </w:r>
      <w:r>
        <w:rPr>
          <w:rFonts w:hint="eastAsia" w:ascii="宋体" w:hAnsi="宋体" w:cs="宋体"/>
          <w:color w:val="333333"/>
          <w:kern w:val="0"/>
          <w:sz w:val="24"/>
          <w:szCs w:val="24"/>
        </w:rPr>
        <w:t>、加强学习培训。组织机关工作人员进行政府信息公开业务的学习和培训，加强保密和信息发布方面的专题训练，规范网站和新媒体信息发布行为，增强依法公开意识，提高信息公开业务能力。</w:t>
      </w:r>
    </w:p>
    <w:p>
      <w:pPr>
        <w:widowControl/>
        <w:shd w:val="clear" w:color="auto" w:fill="FFFFFF"/>
        <w:ind w:firstLine="480"/>
        <w:rPr>
          <w:rFonts w:hint="eastAsia" w:ascii="宋体" w:hAnsi="宋体" w:cs="宋体"/>
          <w:color w:val="333333"/>
          <w:kern w:val="0"/>
          <w:sz w:val="24"/>
          <w:szCs w:val="24"/>
        </w:rPr>
      </w:pPr>
      <w:r>
        <w:rPr>
          <w:rFonts w:hint="eastAsia" w:ascii="宋体" w:hAnsi="宋体" w:cs="宋体"/>
          <w:b/>
          <w:bCs/>
          <w:color w:val="333333"/>
          <w:kern w:val="0"/>
          <w:sz w:val="24"/>
          <w:szCs w:val="24"/>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jc w:val="left"/>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本年度依申请公开政府信息未收取任何费用。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480" w:firstLineChars="200"/>
        <w:jc w:val="left"/>
        <w:textAlignment w:val="auto"/>
        <w:rPr>
          <w:rFonts w:hint="default"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如需了解更多政府信息，请登录上高县人民政府网</w:t>
      </w:r>
      <w:bookmarkStart w:id="0" w:name="_GoBack"/>
      <w:bookmarkEnd w:id="0"/>
      <w:r>
        <w:rPr>
          <w:rFonts w:hint="eastAsia" w:ascii="宋体" w:hAnsi="宋体" w:eastAsia="宋体" w:cs="宋体"/>
          <w:color w:val="333333"/>
          <w:kern w:val="0"/>
          <w:sz w:val="24"/>
          <w:szCs w:val="24"/>
          <w:lang w:val="en-US" w:eastAsia="zh-CN" w:bidi="ar-SA"/>
        </w:rPr>
        <w:t>（</w:t>
      </w:r>
      <w:r>
        <w:rPr>
          <w:rFonts w:hint="default" w:ascii="宋体" w:hAnsi="宋体" w:eastAsia="宋体" w:cs="宋体"/>
          <w:color w:val="333333"/>
          <w:kern w:val="0"/>
          <w:sz w:val="24"/>
          <w:szCs w:val="24"/>
          <w:lang w:val="en-US" w:eastAsia="zh-CN" w:bidi="ar-SA"/>
        </w:rPr>
        <w:t>http://www.shanggao.gov.cn</w:t>
      </w:r>
      <w:r>
        <w:rPr>
          <w:rFonts w:hint="eastAsia" w:ascii="宋体" w:hAnsi="宋体" w:eastAsia="宋体" w:cs="宋体"/>
          <w:color w:val="333333"/>
          <w:kern w:val="0"/>
          <w:sz w:val="24"/>
          <w:szCs w:val="24"/>
          <w:lang w:val="en-US" w:eastAsia="zh-CN" w:bidi="ar-SA"/>
        </w:rPr>
        <w:t>）查询。</w:t>
      </w:r>
    </w:p>
    <w:p>
      <w:pPr>
        <w:ind w:firstLine="420" w:firstLineChars="200"/>
        <w:rPr>
          <w:rFonts w:hint="eastAsia" w:eastAsia="宋体"/>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YTRlNWUxNTg3ZGExMzExZjFhNjQxYTE1ZDE2ZWMifQ=="/>
  </w:docVars>
  <w:rsids>
    <w:rsidRoot w:val="00172A27"/>
    <w:rsid w:val="005B471B"/>
    <w:rsid w:val="008D7BE0"/>
    <w:rsid w:val="18883047"/>
    <w:rsid w:val="2C8043FC"/>
    <w:rsid w:val="33801AB0"/>
    <w:rsid w:val="375B3C7B"/>
    <w:rsid w:val="37C3031A"/>
    <w:rsid w:val="37ED476F"/>
    <w:rsid w:val="4FFA3B63"/>
    <w:rsid w:val="5327235A"/>
    <w:rsid w:val="638B0303"/>
    <w:rsid w:val="64D9030A"/>
    <w:rsid w:val="680C3F36"/>
    <w:rsid w:val="6A2B72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3 Char"/>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21&#24180;&#21457;&#25991;\&#19978;&#27668;&#25991;\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2026</Words>
  <Characters>2114</Characters>
  <Lines>34</Lines>
  <Paragraphs>9</Paragraphs>
  <TotalTime>3</TotalTime>
  <ScaleCrop>false</ScaleCrop>
  <LinksUpToDate>false</LinksUpToDate>
  <CharactersWithSpaces>2127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2021-11-09T00:17:00Z</dcterms:created>
  <dc:creator>1</dc:creator>
  <cp:lastModifiedBy>Jellyfish</cp:lastModifiedBy>
  <dcterms:modified xsi:type="dcterms:W3CDTF">2022-12-22T03:05:59Z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B19097F8C5FF4A1D9E84EF9F9DAE3E1F</vt:lpwstr>
  </property>
</Properties>
</file>