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jc w:val="center"/>
        <w:rPr>
          <w:rFonts w:ascii="方正小标宋简体" w:hAnsi="方正小标宋简体" w:eastAsia="方正小标宋简体" w:cs="方正小标宋简体"/>
          <w:b/>
          <w:color w:val="333333"/>
          <w:sz w:val="44"/>
          <w:szCs w:val="44"/>
          <w:shd w:val="clear" w:color="auto" w:fill="FFFFFF"/>
        </w:rPr>
      </w:pPr>
      <w:r>
        <w:rPr>
          <w:rFonts w:hint="eastAsia" w:ascii="方正小标宋简体" w:hAnsi="方正小标宋简体" w:eastAsia="方正小标宋简体" w:cs="方正小标宋简体"/>
          <w:b/>
          <w:color w:val="333333"/>
          <w:sz w:val="44"/>
          <w:szCs w:val="44"/>
          <w:shd w:val="clear" w:color="auto" w:fill="FFFFFF"/>
        </w:rPr>
        <w:t>上高县行政服务中心管委会202</w:t>
      </w:r>
      <w:r>
        <w:rPr>
          <w:rFonts w:hint="eastAsia" w:ascii="方正小标宋简体" w:hAnsi="方正小标宋简体" w:eastAsia="方正小标宋简体" w:cs="方正小标宋简体"/>
          <w:b/>
          <w:color w:val="333333"/>
          <w:sz w:val="44"/>
          <w:szCs w:val="44"/>
          <w:shd w:val="clear" w:color="auto" w:fill="FFFFFF"/>
          <w:lang w:val="en-US" w:eastAsia="zh-CN"/>
        </w:rPr>
        <w:t>3</w:t>
      </w:r>
      <w:r>
        <w:rPr>
          <w:rFonts w:hint="eastAsia" w:ascii="方正小标宋简体" w:hAnsi="方正小标宋简体" w:eastAsia="方正小标宋简体" w:cs="方正小标宋简体"/>
          <w:b/>
          <w:color w:val="333333"/>
          <w:sz w:val="44"/>
          <w:szCs w:val="44"/>
          <w:shd w:val="clear" w:color="auto" w:fill="FFFFFF"/>
        </w:rPr>
        <w:t>年政府</w:t>
      </w:r>
    </w:p>
    <w:p>
      <w:pPr>
        <w:pStyle w:val="4"/>
        <w:widowControl/>
        <w:shd w:val="clear" w:color="auto" w:fill="FFFFFF"/>
        <w:spacing w:beforeAutospacing="0" w:afterAutospacing="0"/>
        <w:jc w:val="center"/>
        <w:rPr>
          <w:rFonts w:ascii="方正小标宋简体" w:hAnsi="方正小标宋简体" w:eastAsia="方正小标宋简体" w:cs="方正小标宋简体"/>
          <w:color w:val="333333"/>
          <w:sz w:val="44"/>
          <w:szCs w:val="44"/>
        </w:rPr>
      </w:pPr>
      <w:r>
        <w:rPr>
          <w:rFonts w:hint="eastAsia" w:ascii="方正小标宋简体" w:hAnsi="方正小标宋简体" w:eastAsia="方正小标宋简体" w:cs="方正小标宋简体"/>
          <w:b/>
          <w:color w:val="333333"/>
          <w:sz w:val="44"/>
          <w:szCs w:val="44"/>
          <w:shd w:val="clear" w:color="auto" w:fill="FFFFFF"/>
        </w:rPr>
        <w:t>信息公开工作年度报告</w:t>
      </w:r>
    </w:p>
    <w:p>
      <w:pPr>
        <w:pStyle w:val="4"/>
        <w:widowControl/>
        <w:shd w:val="clear" w:color="auto" w:fill="FFFFFF"/>
        <w:spacing w:beforeAutospacing="0" w:afterAutospacing="0"/>
        <w:ind w:firstLine="420"/>
        <w:jc w:val="both"/>
        <w:rPr>
          <w:rFonts w:ascii="宋体" w:hAnsi="宋体" w:eastAsia="宋体" w:cs="宋体"/>
          <w:color w:val="333333"/>
          <w:sz w:val="32"/>
          <w:szCs w:val="32"/>
        </w:rPr>
      </w:pPr>
    </w:p>
    <w:p>
      <w:pPr>
        <w:pStyle w:val="4"/>
        <w:widowControl/>
        <w:shd w:val="clear" w:color="auto" w:fill="FFFFFF"/>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本报告依据《中华人民共和国政府信息公开条例》（以下简称新《条例》）和《国务院办公厅政府信息与政务公开办公室关于政府信息公开工作年度报告有关事项的通知》（国办公开办函〔2021〕30号）要求，由上高县行政服务中心结合有关统计数据编制。本年度报告中所列数据的统计期限自202</w:t>
      </w:r>
      <w:r>
        <w:rPr>
          <w:rFonts w:hint="eastAsia" w:ascii="仿宋" w:hAnsi="仿宋" w:eastAsia="仿宋" w:cs="仿宋"/>
          <w:sz w:val="32"/>
          <w:szCs w:val="32"/>
          <w:lang w:val="en-US" w:eastAsia="zh-CN"/>
        </w:rPr>
        <w:t>3</w:t>
      </w:r>
      <w:r>
        <w:rPr>
          <w:rFonts w:hint="eastAsia" w:ascii="仿宋" w:hAnsi="仿宋" w:eastAsia="仿宋" w:cs="仿宋"/>
          <w:sz w:val="32"/>
          <w:szCs w:val="32"/>
        </w:rPr>
        <w:t>年1月1日起至202</w:t>
      </w:r>
      <w:r>
        <w:rPr>
          <w:rFonts w:hint="eastAsia" w:ascii="仿宋" w:hAnsi="仿宋" w:eastAsia="仿宋" w:cs="仿宋"/>
          <w:sz w:val="32"/>
          <w:szCs w:val="32"/>
          <w:lang w:val="en-US" w:eastAsia="zh-CN"/>
        </w:rPr>
        <w:t>3</w:t>
      </w:r>
      <w:r>
        <w:rPr>
          <w:rFonts w:hint="eastAsia" w:ascii="仿宋" w:hAnsi="仿宋" w:eastAsia="仿宋" w:cs="仿宋"/>
          <w:sz w:val="32"/>
          <w:szCs w:val="32"/>
        </w:rPr>
        <w:t>年12月31日止。全文包括总体情况、主动公开政府信息情况、收到和处理政府信息公开申请情况、政府信息公开行政复议行政诉讼情况、存在的主要问题及改进情况、其他需要报告的事项。本年度报告的电子版可以从上高县人民政府网站（网址为http://www.shanggao.gov.cn）下载。如对本报告有任何疑问，请与上高县行政服务中心办公室联系（地址：上高县沿江中路18号，电话：0795-2509339，邮编：336400）。</w:t>
      </w:r>
    </w:p>
    <w:p>
      <w:pPr>
        <w:pStyle w:val="4"/>
        <w:widowControl/>
        <w:numPr>
          <w:ilvl w:val="0"/>
          <w:numId w:val="1"/>
        </w:numPr>
        <w:shd w:val="clear" w:color="auto" w:fill="FFFFFF"/>
        <w:spacing w:beforeAutospacing="0" w:afterAutospacing="0" w:line="600" w:lineRule="exact"/>
        <w:ind w:firstLine="420"/>
        <w:jc w:val="both"/>
        <w:rPr>
          <w:rFonts w:ascii="黑体" w:hAnsi="黑体" w:eastAsia="黑体" w:cs="黑体"/>
          <w:sz w:val="32"/>
          <w:szCs w:val="32"/>
        </w:rPr>
      </w:pPr>
      <w:r>
        <w:rPr>
          <w:rFonts w:hint="eastAsia" w:ascii="黑体" w:hAnsi="黑体" w:eastAsia="黑体" w:cs="黑体"/>
          <w:bCs/>
          <w:sz w:val="32"/>
          <w:szCs w:val="32"/>
          <w:shd w:val="clear" w:color="auto" w:fill="FFFFFF"/>
        </w:rPr>
        <w:t>总体情况</w:t>
      </w:r>
    </w:p>
    <w:p>
      <w:pPr>
        <w:pStyle w:val="4"/>
        <w:widowControl/>
        <w:shd w:val="clear" w:color="auto" w:fill="FFFFFF"/>
        <w:spacing w:beforeAutospacing="0" w:afterAutospacing="0" w:line="600" w:lineRule="exact"/>
        <w:ind w:firstLine="420"/>
        <w:jc w:val="both"/>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w:t>
      </w:r>
      <w:r>
        <w:rPr>
          <w:rFonts w:hint="eastAsia" w:ascii="仿宋" w:hAnsi="仿宋" w:eastAsia="仿宋" w:cs="仿宋"/>
          <w:sz w:val="32"/>
          <w:szCs w:val="32"/>
          <w:lang w:eastAsia="zh-CN"/>
        </w:rPr>
        <w:t>县行政服务中心</w:t>
      </w:r>
      <w:r>
        <w:rPr>
          <w:rFonts w:hint="eastAsia" w:ascii="仿宋" w:hAnsi="仿宋" w:eastAsia="仿宋" w:cs="仿宋"/>
          <w:sz w:val="32"/>
          <w:szCs w:val="32"/>
        </w:rPr>
        <w:t>坚持以习近平新时代中国特色社会主义思想为指导，深入学习宣传贯彻党的二十大精神，坚持“以公开为常态、不公开为例外”的原则，不断加大公开力度，增强公开实效，将网站工作与政务服务工作有机结合、互相促进，网站管理质量得到进一步提高。</w:t>
      </w:r>
    </w:p>
    <w:p>
      <w:pPr>
        <w:pStyle w:val="4"/>
        <w:widowControl/>
        <w:shd w:val="clear" w:color="auto" w:fill="FFFFFF"/>
        <w:spacing w:beforeAutospacing="0" w:afterAutospacing="0" w:line="600" w:lineRule="exact"/>
        <w:ind w:firstLine="42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（一）主动公开政府信息情况</w:t>
      </w:r>
    </w:p>
    <w:p>
      <w:pPr>
        <w:pStyle w:val="4"/>
        <w:widowControl/>
        <w:shd w:val="clear" w:color="auto" w:fill="FFFFFF"/>
        <w:spacing w:beforeAutospacing="0" w:afterAutospacing="0" w:line="600" w:lineRule="exact"/>
        <w:ind w:firstLine="630" w:firstLineChars="200"/>
        <w:jc w:val="both"/>
        <w:rPr>
          <w:rFonts w:ascii="仿宋" w:hAnsi="仿宋" w:eastAsia="仿宋" w:cs="仿宋"/>
          <w:sz w:val="32"/>
          <w:szCs w:val="32"/>
        </w:rPr>
      </w:pPr>
      <w:r>
        <w:rPr>
          <w:rFonts w:ascii="仿宋_GB2312" w:hAnsi="宋体" w:eastAsia="仿宋_GB2312" w:cs="仿宋_GB2312"/>
          <w:i w:val="0"/>
          <w:iCs w:val="0"/>
          <w:caps w:val="0"/>
          <w:color w:val="333333"/>
          <w:spacing w:val="0"/>
          <w:sz w:val="31"/>
          <w:szCs w:val="31"/>
          <w:bdr w:val="none" w:color="auto" w:sz="0" w:space="0"/>
          <w:shd w:val="clear" w:fill="FFFFFF"/>
        </w:rPr>
        <w:t>202</w:t>
      </w:r>
      <w:r>
        <w:rPr>
          <w:rFonts w:hint="eastAsia" w:ascii="仿宋_GB2312" w:hAnsi="宋体" w:eastAsia="仿宋_GB2312" w:cs="仿宋_GB2312"/>
          <w:i w:val="0"/>
          <w:iCs w:val="0"/>
          <w:caps w:val="0"/>
          <w:color w:val="333333"/>
          <w:spacing w:val="0"/>
          <w:sz w:val="31"/>
          <w:szCs w:val="31"/>
          <w:bdr w:val="none" w:color="auto" w:sz="0" w:space="0"/>
          <w:shd w:val="clear" w:fill="FFFFFF"/>
          <w:lang w:val="en-US" w:eastAsia="zh-CN"/>
        </w:rPr>
        <w:t>3</w:t>
      </w:r>
      <w:r>
        <w:rPr>
          <w:rFonts w:hint="eastAsia" w:ascii="仿宋_GB2312" w:hAnsi="宋体" w:eastAsia="仿宋_GB2312" w:cs="仿宋_GB2312"/>
          <w:i w:val="0"/>
          <w:iCs w:val="0"/>
          <w:caps w:val="0"/>
          <w:color w:val="333333"/>
          <w:spacing w:val="0"/>
          <w:sz w:val="31"/>
          <w:szCs w:val="31"/>
          <w:bdr w:val="none" w:color="auto" w:sz="0" w:space="0"/>
          <w:shd w:val="clear" w:fill="FFFFFF"/>
        </w:rPr>
        <w:t>年，先后通过“</w:t>
      </w:r>
      <w:r>
        <w:rPr>
          <w:rFonts w:hint="eastAsia" w:ascii="仿宋" w:hAnsi="仿宋" w:eastAsia="仿宋" w:cs="仿宋"/>
          <w:sz w:val="32"/>
          <w:szCs w:val="32"/>
        </w:rPr>
        <w:t>财政信息</w:t>
      </w:r>
      <w:r>
        <w:rPr>
          <w:rFonts w:hint="eastAsia" w:ascii="仿宋_GB2312" w:hAnsi="宋体" w:eastAsia="仿宋_GB2312" w:cs="仿宋_GB2312"/>
          <w:i w:val="0"/>
          <w:iCs w:val="0"/>
          <w:caps w:val="0"/>
          <w:color w:val="333333"/>
          <w:spacing w:val="0"/>
          <w:sz w:val="31"/>
          <w:szCs w:val="31"/>
          <w:bdr w:val="none" w:color="auto" w:sz="0" w:space="0"/>
          <w:shd w:val="clear" w:fill="FFFFFF"/>
        </w:rPr>
        <w:t>”“</w:t>
      </w:r>
      <w:r>
        <w:rPr>
          <w:rFonts w:hint="eastAsia" w:ascii="仿宋_GB2312" w:hAnsi="宋体" w:eastAsia="仿宋_GB2312" w:cs="仿宋_GB2312"/>
          <w:i w:val="0"/>
          <w:iCs w:val="0"/>
          <w:caps w:val="0"/>
          <w:color w:val="333333"/>
          <w:spacing w:val="0"/>
          <w:sz w:val="31"/>
          <w:szCs w:val="31"/>
          <w:bdr w:val="none" w:color="auto" w:sz="0" w:space="0"/>
          <w:shd w:val="clear" w:fill="FFFFFF"/>
          <w:lang w:eastAsia="zh-CN"/>
        </w:rPr>
        <w:t>服务公开</w:t>
      </w:r>
      <w:r>
        <w:rPr>
          <w:rFonts w:hint="eastAsia" w:ascii="仿宋_GB2312" w:hAnsi="宋体" w:eastAsia="仿宋_GB2312" w:cs="仿宋_GB2312"/>
          <w:i w:val="0"/>
          <w:iCs w:val="0"/>
          <w:caps w:val="0"/>
          <w:color w:val="333333"/>
          <w:spacing w:val="0"/>
          <w:sz w:val="31"/>
          <w:szCs w:val="31"/>
          <w:bdr w:val="none" w:color="auto" w:sz="0" w:space="0"/>
          <w:shd w:val="clear" w:fill="FFFFFF"/>
        </w:rPr>
        <w:t>”“</w:t>
      </w:r>
      <w:r>
        <w:rPr>
          <w:rFonts w:hint="eastAsia" w:ascii="仿宋_GB2312" w:hAnsi="宋体" w:eastAsia="仿宋_GB2312" w:cs="仿宋_GB2312"/>
          <w:i w:val="0"/>
          <w:iCs w:val="0"/>
          <w:caps w:val="0"/>
          <w:color w:val="333333"/>
          <w:spacing w:val="0"/>
          <w:sz w:val="31"/>
          <w:szCs w:val="31"/>
          <w:bdr w:val="none" w:color="auto" w:sz="0" w:space="0"/>
          <w:shd w:val="clear" w:fill="FFFFFF"/>
          <w:lang w:eastAsia="zh-CN"/>
        </w:rPr>
        <w:t>公共资源交易</w:t>
      </w:r>
      <w:r>
        <w:rPr>
          <w:rFonts w:hint="eastAsia" w:ascii="仿宋_GB2312" w:hAnsi="宋体" w:eastAsia="仿宋_GB2312" w:cs="仿宋_GB2312"/>
          <w:i w:val="0"/>
          <w:iCs w:val="0"/>
          <w:caps w:val="0"/>
          <w:color w:val="333333"/>
          <w:spacing w:val="0"/>
          <w:sz w:val="31"/>
          <w:szCs w:val="31"/>
          <w:bdr w:val="none" w:color="auto" w:sz="0" w:space="0"/>
          <w:shd w:val="clear" w:fill="FFFFFF"/>
        </w:rPr>
        <w:t>”等栏目及时发布政务服务工作动态，全年累计主动公开政府信息</w:t>
      </w:r>
      <w:r>
        <w:rPr>
          <w:rFonts w:hint="eastAsia" w:ascii="仿宋_GB2312" w:hAnsi="宋体" w:eastAsia="仿宋_GB2312" w:cs="仿宋_GB2312"/>
          <w:i w:val="0"/>
          <w:iCs w:val="0"/>
          <w:caps w:val="0"/>
          <w:color w:val="333333"/>
          <w:spacing w:val="0"/>
          <w:sz w:val="31"/>
          <w:szCs w:val="31"/>
          <w:bdr w:val="none" w:color="auto" w:sz="0" w:space="0"/>
          <w:shd w:val="clear" w:fill="FFFFFF"/>
          <w:lang w:val="en-US" w:eastAsia="zh-CN"/>
        </w:rPr>
        <w:t>133</w:t>
      </w:r>
      <w:r>
        <w:rPr>
          <w:rFonts w:hint="eastAsia" w:ascii="仿宋_GB2312" w:hAnsi="宋体" w:eastAsia="仿宋_GB2312" w:cs="仿宋_GB2312"/>
          <w:i w:val="0"/>
          <w:iCs w:val="0"/>
          <w:caps w:val="0"/>
          <w:color w:val="333333"/>
          <w:spacing w:val="0"/>
          <w:sz w:val="31"/>
          <w:szCs w:val="31"/>
          <w:bdr w:val="none" w:color="auto" w:sz="0" w:space="0"/>
          <w:shd w:val="clear" w:fill="FFFFFF"/>
        </w:rPr>
        <w:t>条，</w:t>
      </w:r>
      <w:r>
        <w:rPr>
          <w:rFonts w:hint="eastAsia" w:ascii="仿宋_GB2312" w:hAnsi="宋体" w:eastAsia="仿宋_GB2312" w:cs="仿宋_GB2312"/>
          <w:i w:val="0"/>
          <w:iCs w:val="0"/>
          <w:caps w:val="0"/>
          <w:color w:val="333333"/>
          <w:spacing w:val="0"/>
          <w:sz w:val="31"/>
          <w:szCs w:val="31"/>
          <w:bdr w:val="none" w:color="auto" w:sz="0" w:space="0"/>
          <w:shd w:val="clear" w:fill="FFFFFF"/>
          <w:lang w:eastAsia="zh-CN"/>
        </w:rPr>
        <w:t>其中财</w:t>
      </w:r>
      <w:r>
        <w:rPr>
          <w:rFonts w:hint="eastAsia" w:ascii="仿宋" w:hAnsi="仿宋" w:eastAsia="仿宋" w:cs="仿宋"/>
          <w:sz w:val="32"/>
          <w:szCs w:val="32"/>
        </w:rPr>
        <w:t>政信息（部门预决算）</w:t>
      </w:r>
      <w:r>
        <w:rPr>
          <w:rFonts w:hint="eastAsia" w:ascii="仿宋" w:hAnsi="仿宋" w:eastAsia="仿宋" w:cs="仿宋"/>
          <w:sz w:val="32"/>
          <w:szCs w:val="32"/>
          <w:lang w:val="en-US" w:eastAsia="zh-CN"/>
        </w:rPr>
        <w:t>2</w:t>
      </w:r>
      <w:r>
        <w:rPr>
          <w:rFonts w:hint="eastAsia" w:ascii="仿宋" w:hAnsi="仿宋" w:eastAsia="仿宋" w:cs="仿宋"/>
          <w:sz w:val="32"/>
          <w:szCs w:val="32"/>
        </w:rPr>
        <w:t>条，政务动态类信息</w:t>
      </w:r>
      <w:r>
        <w:rPr>
          <w:rFonts w:hint="eastAsia" w:ascii="仿宋" w:hAnsi="仿宋" w:eastAsia="仿宋" w:cs="仿宋"/>
          <w:sz w:val="32"/>
          <w:szCs w:val="32"/>
          <w:lang w:val="en-US" w:eastAsia="zh-CN"/>
        </w:rPr>
        <w:t>3</w:t>
      </w:r>
      <w:r>
        <w:rPr>
          <w:rFonts w:hint="eastAsia" w:ascii="仿宋" w:hAnsi="仿宋" w:eastAsia="仿宋" w:cs="仿宋"/>
          <w:sz w:val="32"/>
          <w:szCs w:val="32"/>
        </w:rPr>
        <w:t>条,信息公开年报</w:t>
      </w:r>
      <w:r>
        <w:rPr>
          <w:rFonts w:ascii="仿宋" w:hAnsi="仿宋" w:eastAsia="仿宋" w:cs="仿宋"/>
          <w:sz w:val="32"/>
          <w:szCs w:val="32"/>
        </w:rPr>
        <w:t>1</w:t>
      </w:r>
      <w:r>
        <w:rPr>
          <w:rFonts w:hint="eastAsia" w:ascii="仿宋" w:hAnsi="仿宋" w:eastAsia="仿宋" w:cs="仿宋"/>
          <w:sz w:val="32"/>
          <w:szCs w:val="32"/>
        </w:rPr>
        <w:t>条,公共资源交易信息</w:t>
      </w:r>
      <w:r>
        <w:rPr>
          <w:rFonts w:hint="eastAsia" w:ascii="仿宋" w:hAnsi="仿宋" w:eastAsia="仿宋" w:cs="仿宋"/>
          <w:sz w:val="32"/>
          <w:szCs w:val="32"/>
          <w:lang w:val="en-US" w:eastAsia="zh-CN"/>
        </w:rPr>
        <w:t>127</w:t>
      </w:r>
      <w:r>
        <w:rPr>
          <w:rFonts w:hint="eastAsia" w:ascii="仿宋" w:hAnsi="仿宋" w:eastAsia="仿宋" w:cs="仿宋"/>
          <w:sz w:val="32"/>
          <w:szCs w:val="32"/>
        </w:rPr>
        <w:t>条。</w:t>
      </w:r>
    </w:p>
    <w:p>
      <w:pPr>
        <w:pStyle w:val="4"/>
        <w:widowControl/>
        <w:numPr>
          <w:ilvl w:val="0"/>
          <w:numId w:val="2"/>
        </w:numPr>
        <w:shd w:val="clear" w:color="auto" w:fill="FFFFFF"/>
        <w:spacing w:beforeAutospacing="0" w:afterAutospacing="0" w:line="600" w:lineRule="exact"/>
        <w:ind w:firstLine="643" w:firstLineChars="20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依申请公开情况</w:t>
      </w:r>
    </w:p>
    <w:p>
      <w:pPr>
        <w:pStyle w:val="4"/>
        <w:widowControl/>
        <w:shd w:val="clear" w:color="auto" w:fill="FFFFFF"/>
        <w:spacing w:beforeAutospacing="0" w:afterAutospacing="0" w:line="60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年，我中心未接到要求公开政府信息的申请件。</w:t>
      </w:r>
    </w:p>
    <w:p>
      <w:pPr>
        <w:pStyle w:val="4"/>
        <w:widowControl/>
        <w:numPr>
          <w:ilvl w:val="0"/>
          <w:numId w:val="2"/>
        </w:numPr>
        <w:shd w:val="clear" w:color="auto" w:fill="FFFFFF"/>
        <w:spacing w:beforeAutospacing="0" w:afterAutospacing="0" w:line="600" w:lineRule="exact"/>
        <w:ind w:firstLine="643" w:firstLineChars="200"/>
        <w:jc w:val="both"/>
        <w:rPr>
          <w:rFonts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政府信息管理</w:t>
      </w:r>
    </w:p>
    <w:p>
      <w:pPr>
        <w:pStyle w:val="4"/>
        <w:widowControl/>
        <w:spacing w:beforeAutospacing="0" w:afterAutospacing="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lang w:eastAsia="zh-CN"/>
        </w:rPr>
        <w:t>县行政服务中心</w:t>
      </w:r>
      <w:r>
        <w:rPr>
          <w:rFonts w:hint="eastAsia" w:ascii="仿宋" w:hAnsi="仿宋" w:eastAsia="仿宋" w:cs="仿宋"/>
          <w:sz w:val="32"/>
          <w:szCs w:val="32"/>
        </w:rPr>
        <w:t>充分认识政务公开的重要性，认真抓好贯彻落实，形成各</w:t>
      </w:r>
      <w:r>
        <w:rPr>
          <w:rFonts w:hint="eastAsia" w:ascii="仿宋" w:hAnsi="仿宋" w:eastAsia="仿宋" w:cs="仿宋"/>
          <w:sz w:val="32"/>
          <w:szCs w:val="32"/>
          <w:lang w:eastAsia="zh-CN"/>
        </w:rPr>
        <w:t>科室</w:t>
      </w:r>
      <w:r>
        <w:rPr>
          <w:rFonts w:hint="eastAsia" w:ascii="仿宋" w:hAnsi="仿宋" w:eastAsia="仿宋" w:cs="仿宋"/>
          <w:sz w:val="32"/>
          <w:szCs w:val="32"/>
        </w:rPr>
        <w:t>联动抓好政务信息公开工作的格局，扎实做好政务信息公开工作，切实</w:t>
      </w:r>
      <w:r>
        <w:rPr>
          <w:rFonts w:hint="eastAsia" w:ascii="仿宋" w:hAnsi="仿宋" w:eastAsia="仿宋" w:cs="仿宋"/>
          <w:sz w:val="32"/>
          <w:szCs w:val="32"/>
          <w:lang w:eastAsia="zh-CN"/>
        </w:rPr>
        <w:t>政务服务</w:t>
      </w:r>
      <w:r>
        <w:rPr>
          <w:rFonts w:hint="eastAsia" w:ascii="仿宋" w:hAnsi="仿宋" w:eastAsia="仿宋" w:cs="仿宋"/>
          <w:sz w:val="32"/>
          <w:szCs w:val="32"/>
        </w:rPr>
        <w:t>公开工作及时到位、高效运转。对照上级部署和要求，坚持“公开为常态，不公开为例外”的原则，细化公开内容、范围和形式，除涉及国家秘密、工作秘密、商业秘密和个人隐私的信息外，做到应公开尽公开。</w:t>
      </w:r>
    </w:p>
    <w:p>
      <w:pPr>
        <w:pStyle w:val="4"/>
        <w:widowControl/>
        <w:numPr>
          <w:ilvl w:val="0"/>
          <w:numId w:val="2"/>
        </w:numPr>
        <w:shd w:val="clear" w:color="auto" w:fill="FFFFFF"/>
        <w:spacing w:beforeAutospacing="0" w:afterAutospacing="0" w:line="600" w:lineRule="exact"/>
        <w:ind w:firstLine="643" w:firstLineChars="200"/>
        <w:jc w:val="both"/>
        <w:rPr>
          <w:rFonts w:hint="eastAsia" w:ascii="楷体" w:hAnsi="楷体" w:eastAsia="楷体" w:cs="楷体"/>
          <w:b/>
          <w:bCs/>
          <w:sz w:val="32"/>
          <w:szCs w:val="32"/>
          <w:shd w:val="clear" w:color="auto" w:fill="FFFFFF"/>
        </w:rPr>
      </w:pPr>
      <w:r>
        <w:rPr>
          <w:rFonts w:hint="eastAsia" w:ascii="楷体" w:hAnsi="楷体" w:eastAsia="楷体" w:cs="楷体"/>
          <w:b/>
          <w:bCs/>
          <w:sz w:val="32"/>
          <w:szCs w:val="32"/>
          <w:shd w:val="clear" w:color="auto" w:fill="FFFFFF"/>
        </w:rPr>
        <w:t>政府信息公开平台建设</w:t>
      </w:r>
    </w:p>
    <w:p>
      <w:pPr>
        <w:pStyle w:val="4"/>
        <w:widowControl/>
        <w:spacing w:beforeAutospacing="0" w:afterAutospacing="0" w:line="600" w:lineRule="exact"/>
        <w:ind w:firstLine="640" w:firstLineChars="200"/>
        <w:jc w:val="both"/>
        <w:rPr>
          <w:rFonts w:ascii="仿宋" w:hAnsi="仿宋" w:eastAsia="仿宋" w:cs="仿宋"/>
          <w:sz w:val="32"/>
          <w:szCs w:val="32"/>
        </w:rPr>
      </w:pPr>
      <w:r>
        <w:rPr>
          <w:rFonts w:ascii="仿宋" w:hAnsi="仿宋" w:eastAsia="仿宋" w:cs="仿宋"/>
          <w:i w:val="0"/>
          <w:iCs w:val="0"/>
          <w:caps w:val="0"/>
          <w:color w:val="000000"/>
          <w:spacing w:val="0"/>
          <w:sz w:val="32"/>
          <w:szCs w:val="32"/>
          <w:shd w:val="clear" w:fill="FFFFFF"/>
        </w:rPr>
        <w:t>根据</w:t>
      </w:r>
      <w:r>
        <w:rPr>
          <w:rFonts w:hint="eastAsia" w:ascii="仿宋" w:hAnsi="仿宋" w:eastAsia="仿宋" w:cs="仿宋"/>
          <w:i w:val="0"/>
          <w:iCs w:val="0"/>
          <w:caps w:val="0"/>
          <w:color w:val="000000"/>
          <w:spacing w:val="0"/>
          <w:sz w:val="32"/>
          <w:szCs w:val="32"/>
          <w:shd w:val="clear" w:fill="FFFFFF"/>
          <w:lang w:eastAsia="zh-CN"/>
        </w:rPr>
        <w:t>信息公开的</w:t>
      </w:r>
      <w:r>
        <w:rPr>
          <w:rFonts w:ascii="仿宋" w:hAnsi="仿宋" w:eastAsia="仿宋" w:cs="仿宋"/>
          <w:i w:val="0"/>
          <w:iCs w:val="0"/>
          <w:caps w:val="0"/>
          <w:color w:val="000000"/>
          <w:spacing w:val="0"/>
          <w:sz w:val="32"/>
          <w:szCs w:val="32"/>
          <w:shd w:val="clear" w:fill="FFFFFF"/>
        </w:rPr>
        <w:t>工作要求结合</w:t>
      </w:r>
      <w:r>
        <w:rPr>
          <w:rFonts w:hint="eastAsia" w:ascii="仿宋" w:hAnsi="仿宋" w:eastAsia="仿宋" w:cs="仿宋"/>
          <w:i w:val="0"/>
          <w:iCs w:val="0"/>
          <w:caps w:val="0"/>
          <w:color w:val="000000"/>
          <w:spacing w:val="0"/>
          <w:sz w:val="32"/>
          <w:szCs w:val="32"/>
          <w:shd w:val="clear" w:fill="FFFFFF"/>
          <w:lang w:eastAsia="zh-CN"/>
        </w:rPr>
        <w:t>行政服务中心</w:t>
      </w:r>
      <w:r>
        <w:rPr>
          <w:rFonts w:ascii="仿宋" w:hAnsi="仿宋" w:eastAsia="仿宋" w:cs="仿宋"/>
          <w:i w:val="0"/>
          <w:iCs w:val="0"/>
          <w:caps w:val="0"/>
          <w:color w:val="000000"/>
          <w:spacing w:val="0"/>
          <w:sz w:val="32"/>
          <w:szCs w:val="32"/>
          <w:shd w:val="clear" w:fill="FFFFFF"/>
        </w:rPr>
        <w:t>工作实际，落实</w:t>
      </w:r>
      <w:r>
        <w:rPr>
          <w:rFonts w:hint="eastAsia" w:ascii="仿宋" w:hAnsi="仿宋" w:eastAsia="仿宋" w:cs="仿宋"/>
          <w:i w:val="0"/>
          <w:iCs w:val="0"/>
          <w:caps w:val="0"/>
          <w:color w:val="000000"/>
          <w:spacing w:val="0"/>
          <w:sz w:val="32"/>
          <w:szCs w:val="32"/>
          <w:shd w:val="clear" w:fill="FFFFFF"/>
          <w:lang w:eastAsia="zh-CN"/>
        </w:rPr>
        <w:t>专人负责政务公开工作</w:t>
      </w:r>
      <w:r>
        <w:rPr>
          <w:rFonts w:ascii="仿宋" w:hAnsi="仿宋" w:eastAsia="仿宋" w:cs="仿宋"/>
          <w:i w:val="0"/>
          <w:iCs w:val="0"/>
          <w:caps w:val="0"/>
          <w:color w:val="000000"/>
          <w:spacing w:val="0"/>
          <w:sz w:val="32"/>
          <w:szCs w:val="32"/>
          <w:shd w:val="clear" w:fill="FFFFFF"/>
        </w:rPr>
        <w:t>，及时维护，并加强</w:t>
      </w:r>
      <w:r>
        <w:rPr>
          <w:rFonts w:hint="eastAsia" w:ascii="仿宋" w:hAnsi="仿宋" w:eastAsia="仿宋" w:cs="仿宋"/>
          <w:i w:val="0"/>
          <w:iCs w:val="0"/>
          <w:caps w:val="0"/>
          <w:color w:val="000000"/>
          <w:spacing w:val="0"/>
          <w:sz w:val="32"/>
          <w:szCs w:val="32"/>
          <w:shd w:val="clear" w:fill="FFFFFF"/>
          <w:lang w:eastAsia="zh-CN"/>
        </w:rPr>
        <w:t>对</w:t>
      </w:r>
      <w:r>
        <w:rPr>
          <w:rFonts w:ascii="仿宋" w:hAnsi="仿宋" w:eastAsia="仿宋" w:cs="仿宋"/>
          <w:i w:val="0"/>
          <w:iCs w:val="0"/>
          <w:caps w:val="0"/>
          <w:color w:val="000000"/>
          <w:spacing w:val="0"/>
          <w:sz w:val="32"/>
          <w:szCs w:val="32"/>
          <w:shd w:val="clear" w:fill="FFFFFF"/>
        </w:rPr>
        <w:t>公开</w:t>
      </w:r>
      <w:r>
        <w:rPr>
          <w:rFonts w:hint="eastAsia" w:ascii="仿宋" w:hAnsi="仿宋" w:eastAsia="仿宋" w:cs="仿宋"/>
          <w:i w:val="0"/>
          <w:iCs w:val="0"/>
          <w:caps w:val="0"/>
          <w:color w:val="000000"/>
          <w:spacing w:val="0"/>
          <w:sz w:val="32"/>
          <w:szCs w:val="32"/>
          <w:shd w:val="clear" w:fill="FFFFFF"/>
          <w:lang w:eastAsia="zh-CN"/>
        </w:rPr>
        <w:t>信息的</w:t>
      </w:r>
      <w:r>
        <w:rPr>
          <w:rFonts w:ascii="仿宋" w:hAnsi="仿宋" w:eastAsia="仿宋" w:cs="仿宋"/>
          <w:i w:val="0"/>
          <w:iCs w:val="0"/>
          <w:caps w:val="0"/>
          <w:color w:val="000000"/>
          <w:spacing w:val="0"/>
          <w:sz w:val="32"/>
          <w:szCs w:val="32"/>
          <w:shd w:val="clear" w:fill="FFFFFF"/>
        </w:rPr>
        <w:t>自查，不断优化信息发布流程，提升信息公开质量</w:t>
      </w:r>
      <w:r>
        <w:rPr>
          <w:rFonts w:hint="default" w:ascii="Times New Roman" w:hAnsi="Times New Roman" w:eastAsia="宋体" w:cs="Times New Roman"/>
          <w:i w:val="0"/>
          <w:iCs w:val="0"/>
          <w:caps w:val="0"/>
          <w:color w:val="000000"/>
          <w:spacing w:val="0"/>
          <w:sz w:val="32"/>
          <w:szCs w:val="32"/>
          <w:shd w:val="clear" w:fill="FFFFFF"/>
        </w:rPr>
        <w:t>,</w:t>
      </w:r>
      <w:r>
        <w:rPr>
          <w:rFonts w:hint="eastAsia" w:ascii="仿宋" w:hAnsi="仿宋" w:eastAsia="仿宋" w:cs="仿宋"/>
          <w:i w:val="0"/>
          <w:iCs w:val="0"/>
          <w:caps w:val="0"/>
          <w:color w:val="000000"/>
          <w:spacing w:val="0"/>
          <w:sz w:val="32"/>
          <w:szCs w:val="32"/>
          <w:shd w:val="clear" w:fill="FFFFFF"/>
        </w:rPr>
        <w:t>认真完成政务信息发布工作。</w:t>
      </w: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二、主动公开政府信息情况</w:t>
      </w:r>
    </w:p>
    <w:tbl>
      <w:tblPr>
        <w:tblStyle w:val="5"/>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2435"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w:t>
            </w:r>
            <w:r>
              <w:rPr>
                <w:rFonts w:ascii="宋体" w:hAnsi="宋体" w:cs="Calibri"/>
                <w:kern w:val="0"/>
                <w:sz w:val="22"/>
                <w:szCs w:val="22"/>
              </w:rPr>
              <w:t>制</w:t>
            </w:r>
            <w:r>
              <w:rPr>
                <w:rFonts w:hint="eastAsia" w:ascii="宋体" w:hAnsi="宋体" w:cs="宋体"/>
                <w:kern w:val="0"/>
                <w:sz w:val="22"/>
                <w:szCs w:val="22"/>
              </w:rPr>
              <w:t>发件</w:t>
            </w:r>
            <w:r>
              <w:rPr>
                <w:rFonts w:ascii="宋体" w:hAnsi="宋体" w:cs="Calibri"/>
                <w:kern w:val="0"/>
                <w:sz w:val="22"/>
                <w:szCs w:val="22"/>
              </w:rPr>
              <w:t>数</w:t>
            </w:r>
          </w:p>
        </w:tc>
        <w:tc>
          <w:tcPr>
            <w:tcW w:w="2435"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本年废止件数</w:t>
            </w:r>
          </w:p>
        </w:tc>
        <w:tc>
          <w:tcPr>
            <w:tcW w:w="2435" w:type="dxa"/>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现行有效件</w:t>
            </w:r>
            <w:r>
              <w:rPr>
                <w:rFonts w:ascii="宋体" w:hAnsi="宋体" w:cs="Calibri"/>
                <w:kern w:val="0"/>
                <w:sz w:val="22"/>
                <w:szCs w:val="22"/>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规章</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Calibri" w:hAnsi="Calibri" w:cs="Calibri"/>
                <w:kern w:val="0"/>
                <w:sz w:val="22"/>
                <w:szCs w:val="22"/>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行政规范性文件</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c>
          <w:tcPr>
            <w:tcW w:w="2435" w:type="dxa"/>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Calibri" w:hAnsi="Calibri" w:cs="Calibri"/>
                <w:kern w:val="0"/>
                <w:sz w:val="22"/>
                <w:szCs w:val="22"/>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行政许可</w:t>
            </w:r>
          </w:p>
        </w:tc>
        <w:tc>
          <w:tcPr>
            <w:tcW w:w="7305" w:type="dxa"/>
            <w:gridSpan w:val="3"/>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hint="eastAsia" w:ascii="宋体" w:hAnsi="宋体" w:cs="宋体" w:eastAsiaTheme="minorEastAsia"/>
                <w:kern w:val="0"/>
                <w:sz w:val="22"/>
                <w:szCs w:val="22"/>
                <w:lang w:val="en-US" w:eastAsia="zh-CN"/>
              </w:rPr>
            </w:pPr>
            <w:r>
              <w:rPr>
                <w:rFonts w:hint="eastAsia" w:ascii="宋体" w:hAnsi="宋体" w:cs="宋体"/>
                <w:kern w:val="0"/>
                <w:sz w:val="22"/>
                <w:szCs w:val="22"/>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single" w:color="auto" w:sz="8" w:space="0"/>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行政处罚</w:t>
            </w:r>
          </w:p>
        </w:tc>
        <w:tc>
          <w:tcPr>
            <w:tcW w:w="7305" w:type="dxa"/>
            <w:gridSpan w:val="3"/>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行政强制</w:t>
            </w:r>
          </w:p>
        </w:tc>
        <w:tc>
          <w:tcPr>
            <w:tcW w:w="7305" w:type="dxa"/>
            <w:gridSpan w:val="3"/>
            <w:tcBorders>
              <w:top w:val="nil"/>
              <w:left w:val="nil"/>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信息内容</w:t>
            </w:r>
          </w:p>
        </w:tc>
        <w:tc>
          <w:tcPr>
            <w:tcW w:w="7305" w:type="dxa"/>
            <w:gridSpan w:val="3"/>
            <w:tcBorders>
              <w:top w:val="nil"/>
              <w:left w:val="nil"/>
              <w:bottom w:val="single" w:color="auto" w:sz="8" w:space="0"/>
              <w:right w:val="single" w:color="000000"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color w:val="000000"/>
                <w:kern w:val="0"/>
                <w:sz w:val="22"/>
                <w:szCs w:val="22"/>
              </w:rPr>
              <w:t>行政事业性收费</w:t>
            </w:r>
          </w:p>
        </w:tc>
        <w:tc>
          <w:tcPr>
            <w:tcW w:w="7305" w:type="dxa"/>
            <w:gridSpan w:val="3"/>
            <w:tcBorders>
              <w:top w:val="nil"/>
              <w:left w:val="nil"/>
              <w:bottom w:val="single" w:color="auto" w:sz="8" w:space="0"/>
              <w:right w:val="single" w:color="000000" w:sz="8" w:space="0"/>
            </w:tcBorders>
            <w:noWrap/>
            <w:tcMar>
              <w:top w:w="0" w:type="dxa"/>
              <w:left w:w="57" w:type="dxa"/>
              <w:bottom w:w="0" w:type="dxa"/>
              <w:right w:w="57" w:type="dxa"/>
            </w:tcMar>
            <w:vAlign w:val="center"/>
          </w:tcPr>
          <w:p>
            <w:pPr>
              <w:widowControl/>
              <w:jc w:val="center"/>
              <w:rPr>
                <w:rFonts w:ascii="宋体" w:hAnsi="宋体" w:cs="宋体"/>
                <w:kern w:val="0"/>
                <w:sz w:val="22"/>
                <w:szCs w:val="22"/>
              </w:rPr>
            </w:pPr>
            <w:r>
              <w:rPr>
                <w:rFonts w:hint="eastAsia" w:ascii="宋体" w:hAnsi="宋体" w:cs="宋体"/>
                <w:kern w:val="0"/>
                <w:sz w:val="22"/>
                <w:szCs w:val="22"/>
              </w:rPr>
              <w:t>0</w:t>
            </w:r>
          </w:p>
        </w:tc>
      </w:tr>
    </w:tbl>
    <w:p>
      <w:pPr>
        <w:spacing w:line="540" w:lineRule="exact"/>
        <w:rPr>
          <w:rFonts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bCs/>
          <w:sz w:val="32"/>
          <w:szCs w:val="32"/>
        </w:rPr>
      </w:pPr>
      <w:r>
        <w:rPr>
          <w:rFonts w:hint="eastAsia" w:ascii="黑体" w:hAnsi="黑体" w:eastAsia="黑体" w:cs="黑体"/>
          <w:bCs/>
          <w:sz w:val="32"/>
          <w:szCs w:val="32"/>
        </w:rPr>
        <w:t>三、收到和处理政府信息公开申请情况</w:t>
      </w:r>
    </w:p>
    <w:tbl>
      <w:tblPr>
        <w:tblStyle w:val="5"/>
        <w:tblW w:w="4768" w:type="pct"/>
        <w:jc w:val="center"/>
        <w:tblLayout w:type="autofit"/>
        <w:tblCellMar>
          <w:top w:w="0" w:type="dxa"/>
          <w:left w:w="0" w:type="dxa"/>
          <w:bottom w:w="0" w:type="dxa"/>
          <w:right w:w="0" w:type="dxa"/>
        </w:tblCellMar>
      </w:tblPr>
      <w:tblGrid>
        <w:gridCol w:w="855"/>
        <w:gridCol w:w="954"/>
        <w:gridCol w:w="2922"/>
        <w:gridCol w:w="469"/>
        <w:gridCol w:w="394"/>
        <w:gridCol w:w="394"/>
        <w:gridCol w:w="605"/>
        <w:gridCol w:w="612"/>
        <w:gridCol w:w="394"/>
        <w:gridCol w:w="479"/>
      </w:tblGrid>
      <w:tr>
        <w:tblPrEx>
          <w:tblCellMar>
            <w:top w:w="0" w:type="dxa"/>
            <w:left w:w="0" w:type="dxa"/>
            <w:bottom w:w="0" w:type="dxa"/>
            <w:right w:w="0" w:type="dxa"/>
          </w:tblCellMar>
        </w:tblPrEx>
        <w:trPr>
          <w:trHeight w:val="318" w:hRule="atLeast"/>
          <w:jc w:val="center"/>
        </w:trPr>
        <w:tc>
          <w:tcPr>
            <w:tcW w:w="2916" w:type="pct"/>
            <w:gridSpan w:val="3"/>
            <w:vMerge w:val="restart"/>
            <w:tcBorders>
              <w:top w:val="single" w:color="auto" w:sz="8" w:space="0"/>
              <w:left w:val="single" w:color="auto" w:sz="8" w:space="0"/>
              <w:bottom w:val="inset" w:color="auto" w:sz="8" w:space="0"/>
              <w:right w:val="single" w:color="auto" w:sz="8" w:space="0"/>
            </w:tcBorders>
            <w:tcMar>
              <w:top w:w="0" w:type="dxa"/>
              <w:left w:w="108" w:type="dxa"/>
              <w:bottom w:w="0" w:type="dxa"/>
              <w:right w:w="108"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（本列数据的勾稽关系为：第一项加第二项之和，等于第三项加第四项之和）</w:t>
            </w:r>
          </w:p>
        </w:tc>
        <w:tc>
          <w:tcPr>
            <w:tcW w:w="2083" w:type="pct"/>
            <w:gridSpan w:val="7"/>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申请人情况</w:t>
            </w:r>
          </w:p>
        </w:tc>
      </w:tr>
      <w:tr>
        <w:tblPrEx>
          <w:tblCellMar>
            <w:top w:w="0" w:type="dxa"/>
            <w:left w:w="0" w:type="dxa"/>
            <w:bottom w:w="0" w:type="dxa"/>
            <w:right w:w="0" w:type="dxa"/>
          </w:tblCellMar>
        </w:tblPrEx>
        <w:trPr>
          <w:trHeight w:val="145" w:hRule="atLeast"/>
          <w:jc w:val="center"/>
        </w:trPr>
        <w:tc>
          <w:tcPr>
            <w:tcW w:w="2916"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6" w:type="pct"/>
            <w:vMerge w:val="restar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自然人</w:t>
            </w:r>
          </w:p>
        </w:tc>
        <w:tc>
          <w:tcPr>
            <w:tcW w:w="1466" w:type="pct"/>
            <w:gridSpan w:val="5"/>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法人或其他组织</w:t>
            </w:r>
          </w:p>
        </w:tc>
        <w:tc>
          <w:tcPr>
            <w:tcW w:w="309" w:type="pct"/>
            <w:vMerge w:val="restart"/>
            <w:tcBorders>
              <w:top w:val="single"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总计</w:t>
            </w:r>
          </w:p>
        </w:tc>
      </w:tr>
      <w:tr>
        <w:tblPrEx>
          <w:tblCellMar>
            <w:top w:w="0" w:type="dxa"/>
            <w:left w:w="0" w:type="dxa"/>
            <w:bottom w:w="0" w:type="dxa"/>
            <w:right w:w="0" w:type="dxa"/>
          </w:tblCellMar>
        </w:tblPrEx>
        <w:trPr>
          <w:trHeight w:val="145" w:hRule="atLeast"/>
          <w:jc w:val="center"/>
        </w:trPr>
        <w:tc>
          <w:tcPr>
            <w:tcW w:w="2916" w:type="pct"/>
            <w:gridSpan w:val="3"/>
            <w:vMerge w:val="continue"/>
            <w:tcBorders>
              <w:top w:val="single" w:color="auto" w:sz="8"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306" w:type="pct"/>
            <w:vMerge w:val="continue"/>
            <w:tcBorders>
              <w:top w:val="single" w:color="auto" w:sz="6" w:space="0"/>
              <w:left w:val="single" w:color="auto" w:sz="6" w:space="0"/>
              <w:bottom w:val="single" w:color="auto" w:sz="8" w:space="0"/>
              <w:right w:val="single" w:color="auto" w:sz="8" w:space="0"/>
            </w:tcBorders>
            <w:vAlign w:val="center"/>
          </w:tcPr>
          <w:p>
            <w:pPr>
              <w:widowControl/>
              <w:spacing w:line="440" w:lineRule="exact"/>
              <w:jc w:val="center"/>
              <w:rPr>
                <w:rFonts w:ascii="Times New Roman" w:hAnsi="Times New Roman" w:eastAsia="仿宋_GB2312"/>
                <w:color w:val="000000"/>
                <w:sz w:val="28"/>
                <w:szCs w:val="28"/>
              </w:rPr>
            </w:pPr>
          </w:p>
        </w:tc>
        <w:tc>
          <w:tcPr>
            <w:tcW w:w="225"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商业</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企业</w:t>
            </w:r>
          </w:p>
        </w:tc>
        <w:tc>
          <w:tcPr>
            <w:tcW w:w="228" w:type="pct"/>
            <w:tcBorders>
              <w:top w:val="single" w:color="auto" w:sz="6"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科研</w:t>
            </w:r>
          </w:p>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机构</w:t>
            </w:r>
          </w:p>
        </w:tc>
        <w:tc>
          <w:tcPr>
            <w:tcW w:w="390"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4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社会公益组织</w:t>
            </w:r>
          </w:p>
        </w:tc>
        <w:tc>
          <w:tcPr>
            <w:tcW w:w="394"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法律服务机构</w:t>
            </w:r>
          </w:p>
        </w:tc>
        <w:tc>
          <w:tcPr>
            <w:tcW w:w="228" w:type="pct"/>
            <w:tcBorders>
              <w:top w:val="single" w:color="auto" w:sz="8" w:space="0"/>
              <w:left w:val="single" w:color="auto" w:sz="6"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其他</w:t>
            </w:r>
          </w:p>
        </w:tc>
        <w:tc>
          <w:tcPr>
            <w:tcW w:w="309" w:type="pct"/>
            <w:vMerge w:val="continue"/>
            <w:tcBorders>
              <w:top w:val="single" w:color="auto" w:sz="8" w:space="0"/>
              <w:left w:val="single" w:color="auto" w:sz="6" w:space="0"/>
              <w:bottom w:val="inset" w:color="auto" w:sz="8" w:space="0"/>
              <w:right w:val="single" w:color="auto" w:sz="8" w:space="0"/>
            </w:tcBorders>
            <w:vAlign w:val="center"/>
          </w:tcPr>
          <w:p>
            <w:pPr>
              <w:widowControl/>
              <w:spacing w:line="460" w:lineRule="exact"/>
              <w:jc w:val="center"/>
              <w:rPr>
                <w:rFonts w:ascii="Times New Roman" w:hAnsi="Times New Roman" w:eastAsia="仿宋_GB2312"/>
                <w:color w:val="000000"/>
                <w:sz w:val="28"/>
                <w:szCs w:val="28"/>
              </w:rPr>
            </w:pP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一、本年新收政府信息公开申请数量</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二、上年结转政府信息公开申请数量</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33" w:hRule="atLeast"/>
          <w:jc w:val="center"/>
        </w:trPr>
        <w:tc>
          <w:tcPr>
            <w:tcW w:w="545" w:type="pct"/>
            <w:vMerge w:val="restart"/>
            <w:tcBorders>
              <w:top w:val="single" w:color="auto" w:sz="6" w:space="0"/>
              <w:left w:val="single" w:color="auto" w:sz="8"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三、本年度办理结果</w:t>
            </w: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（一）予以公开</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569"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（二）部分公开（区分处理的，只计这一情形，不计其他情形）</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284"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（三）不予公开</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属于国家秘密</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single" w:color="auto" w:sz="8"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其他法律行政法规禁止公开</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60"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危及</w:t>
            </w:r>
            <w:r>
              <w:rPr>
                <w:rFonts w:ascii="Times New Roman" w:hAnsi="Times New Roman" w:eastAsia="仿宋_GB2312"/>
                <w:color w:val="000000"/>
                <w:sz w:val="28"/>
                <w:szCs w:val="28"/>
              </w:rPr>
              <w:t>“</w:t>
            </w:r>
            <w:r>
              <w:rPr>
                <w:rFonts w:hint="eastAsia" w:ascii="Times New Roman" w:hAnsi="Times New Roman" w:eastAsia="仿宋_GB2312"/>
                <w:color w:val="000000"/>
                <w:sz w:val="28"/>
                <w:szCs w:val="28"/>
              </w:rPr>
              <w:t>三安全一稳定</w:t>
            </w:r>
            <w:r>
              <w:rPr>
                <w:rFonts w:ascii="Times New Roman" w:hAnsi="Times New Roman" w:eastAsia="仿宋_GB2312"/>
                <w:color w:val="000000"/>
                <w:sz w:val="28"/>
                <w:szCs w:val="28"/>
              </w:rPr>
              <w:t>”</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保护第三方合法权益</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属于三类内部事务信息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6.</w:t>
            </w:r>
            <w:r>
              <w:rPr>
                <w:rFonts w:hint="eastAsia" w:ascii="Times New Roman" w:hAnsi="Times New Roman" w:eastAsia="仿宋_GB2312"/>
                <w:color w:val="000000"/>
                <w:sz w:val="28"/>
                <w:szCs w:val="28"/>
              </w:rPr>
              <w:t>属于四类过程性信息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7.</w:t>
            </w:r>
            <w:r>
              <w:rPr>
                <w:rFonts w:hint="eastAsia" w:ascii="Times New Roman" w:hAnsi="Times New Roman" w:eastAsia="仿宋_GB2312"/>
                <w:color w:val="000000"/>
                <w:sz w:val="28"/>
                <w:szCs w:val="28"/>
              </w:rPr>
              <w:t>属于行政执法案卷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8.</w:t>
            </w:r>
            <w:r>
              <w:rPr>
                <w:rFonts w:hint="eastAsia" w:ascii="Times New Roman" w:hAnsi="Times New Roman" w:eastAsia="仿宋_GB2312"/>
                <w:color w:val="000000"/>
                <w:sz w:val="28"/>
                <w:szCs w:val="28"/>
              </w:rPr>
              <w:t>属于行政查询事项</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831"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（四）无法提供</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本机关不掌握相关政府信息</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4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没有现成信息需要另行制作</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补正后申请内容仍不明确</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（五）不予处理</w:t>
            </w:r>
          </w:p>
        </w:tc>
        <w:tc>
          <w:tcPr>
            <w:tcW w:w="1823"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信访举报投诉类申请</w:t>
            </w:r>
          </w:p>
        </w:tc>
        <w:tc>
          <w:tcPr>
            <w:tcW w:w="306"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single" w:color="auto" w:sz="4" w:space="0"/>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重复申请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eastAsia"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要求提供公开出版物</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4.</w:t>
            </w:r>
            <w:r>
              <w:rPr>
                <w:rFonts w:hint="eastAsia" w:ascii="Times New Roman" w:hAnsi="Times New Roman" w:eastAsia="仿宋_GB2312"/>
                <w:color w:val="000000"/>
                <w:sz w:val="28"/>
                <w:szCs w:val="28"/>
              </w:rPr>
              <w:t>无正当理由大量反复申请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78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single" w:color="auto" w:sz="6"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5.</w:t>
            </w:r>
            <w:r>
              <w:rPr>
                <w:rFonts w:hint="eastAsia" w:ascii="Times New Roman" w:hAnsi="Times New Roman" w:eastAsia="仿宋_GB2312"/>
                <w:color w:val="000000"/>
                <w:sz w:val="28"/>
                <w:szCs w:val="28"/>
              </w:rPr>
              <w:t>要求行政机关确认或重新出具已获取信息</w:t>
            </w:r>
          </w:p>
        </w:tc>
        <w:tc>
          <w:tcPr>
            <w:tcW w:w="306"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single" w:color="auto" w:sz="6"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restart"/>
            <w:tcBorders>
              <w:top w:val="inset" w:color="auto" w:sz="8" w:space="0"/>
              <w:left w:val="single" w:color="auto" w:sz="6" w:space="0"/>
              <w:bottom w:val="inset"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（六）其他处理</w:t>
            </w: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1.</w:t>
            </w:r>
            <w:r>
              <w:rPr>
                <w:rFonts w:hint="eastAsia" w:ascii="Times New Roman" w:hAnsi="Times New Roman" w:eastAsia="仿宋_GB2312"/>
                <w:color w:val="000000"/>
                <w:sz w:val="28"/>
                <w:szCs w:val="28"/>
              </w:rPr>
              <w:t>申请人无正当理由逾期不补正、行政机关不再处理其政府信息公开申请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2.</w:t>
            </w:r>
            <w:r>
              <w:rPr>
                <w:rFonts w:hint="eastAsia" w:ascii="Times New Roman" w:hAnsi="Times New Roman" w:eastAsia="仿宋_GB2312"/>
                <w:color w:val="000000"/>
                <w:sz w:val="28"/>
                <w:szCs w:val="28"/>
              </w:rPr>
              <w:t>申请人逾期未按收费通知要求缴纳费用、行政机关不再处理其政府信息公开申请</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547" w:type="pct"/>
            <w:vMerge w:val="continue"/>
            <w:tcBorders>
              <w:top w:val="inset" w:color="auto" w:sz="8" w:space="0"/>
              <w:left w:val="single" w:color="auto" w:sz="6"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1823"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ascii="Times New Roman" w:hAnsi="Times New Roman" w:eastAsia="仿宋_GB2312"/>
                <w:color w:val="000000"/>
                <w:sz w:val="28"/>
                <w:szCs w:val="28"/>
              </w:rPr>
              <w:t>3.</w:t>
            </w:r>
            <w:r>
              <w:rPr>
                <w:rFonts w:hint="eastAsia" w:ascii="Times New Roman" w:hAnsi="Times New Roman" w:eastAsia="仿宋_GB2312"/>
                <w:color w:val="000000"/>
                <w:sz w:val="28"/>
                <w:szCs w:val="28"/>
              </w:rPr>
              <w:t>其他</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145" w:hRule="atLeast"/>
          <w:jc w:val="center"/>
        </w:trPr>
        <w:tc>
          <w:tcPr>
            <w:tcW w:w="545" w:type="pct"/>
            <w:vMerge w:val="continue"/>
            <w:tcBorders>
              <w:top w:val="single" w:color="auto" w:sz="6" w:space="0"/>
              <w:left w:val="single" w:color="auto" w:sz="8" w:space="0"/>
              <w:bottom w:val="inset" w:color="auto" w:sz="8" w:space="0"/>
              <w:right w:val="single" w:color="auto" w:sz="8" w:space="0"/>
            </w:tcBorders>
            <w:vAlign w:val="center"/>
          </w:tcPr>
          <w:p>
            <w:pPr>
              <w:widowControl/>
              <w:spacing w:line="460" w:lineRule="exact"/>
              <w:rPr>
                <w:rFonts w:ascii="Times New Roman" w:hAnsi="Times New Roman" w:eastAsia="仿宋_GB2312"/>
                <w:color w:val="000000"/>
                <w:sz w:val="28"/>
                <w:szCs w:val="28"/>
              </w:rPr>
            </w:pPr>
          </w:p>
        </w:tc>
        <w:tc>
          <w:tcPr>
            <w:tcW w:w="2371" w:type="pct"/>
            <w:gridSpan w:val="2"/>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（七）总计</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hint="default" w:ascii="Times New Roman" w:hAnsi="Times New Roman" w:eastAsia="仿宋_GB2312"/>
                <w:color w:val="000000"/>
                <w:sz w:val="28"/>
                <w:szCs w:val="28"/>
                <w:lang w:val="en-US" w:eastAsia="zh-CN"/>
              </w:rPr>
            </w:pPr>
            <w:r>
              <w:rPr>
                <w:rFonts w:hint="eastAsia" w:ascii="Times New Roman" w:hAnsi="Times New Roman" w:eastAsia="仿宋_GB2312"/>
                <w:color w:val="000000"/>
                <w:sz w:val="28"/>
                <w:szCs w:val="28"/>
                <w:lang w:val="en-US" w:eastAsia="zh-CN"/>
              </w:rPr>
              <w:t>0</w:t>
            </w:r>
          </w:p>
        </w:tc>
      </w:tr>
      <w:tr>
        <w:tblPrEx>
          <w:tblCellMar>
            <w:top w:w="0" w:type="dxa"/>
            <w:left w:w="0" w:type="dxa"/>
            <w:bottom w:w="0" w:type="dxa"/>
            <w:right w:w="0" w:type="dxa"/>
          </w:tblCellMar>
        </w:tblPrEx>
        <w:trPr>
          <w:trHeight w:val="318" w:hRule="atLeast"/>
          <w:jc w:val="center"/>
        </w:trPr>
        <w:tc>
          <w:tcPr>
            <w:tcW w:w="2916" w:type="pct"/>
            <w:gridSpan w:val="3"/>
            <w:tcBorders>
              <w:top w:val="nil"/>
              <w:left w:val="single" w:color="auto" w:sz="8" w:space="0"/>
              <w:bottom w:val="single" w:color="auto" w:sz="8" w:space="0"/>
              <w:right w:val="single" w:color="auto" w:sz="8" w:space="0"/>
            </w:tcBorders>
            <w:tcMar>
              <w:top w:w="0" w:type="dxa"/>
              <w:left w:w="57" w:type="dxa"/>
              <w:bottom w:w="0" w:type="dxa"/>
              <w:right w:w="57" w:type="dxa"/>
            </w:tcMar>
            <w:vAlign w:val="center"/>
          </w:tcPr>
          <w:p>
            <w:pPr>
              <w:widowControl/>
              <w:spacing w:line="460" w:lineRule="exact"/>
              <w:rPr>
                <w:rFonts w:ascii="Times New Roman" w:hAnsi="Times New Roman" w:eastAsia="仿宋_GB2312"/>
                <w:color w:val="000000"/>
                <w:sz w:val="28"/>
                <w:szCs w:val="28"/>
              </w:rPr>
            </w:pPr>
            <w:r>
              <w:rPr>
                <w:rFonts w:hint="eastAsia" w:ascii="Times New Roman" w:hAnsi="Times New Roman" w:eastAsia="仿宋_GB2312"/>
                <w:color w:val="000000"/>
                <w:sz w:val="28"/>
                <w:szCs w:val="28"/>
              </w:rPr>
              <w:t>四、结转下年度继续办理</w:t>
            </w:r>
          </w:p>
        </w:tc>
        <w:tc>
          <w:tcPr>
            <w:tcW w:w="306"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5"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0"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94"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228"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c>
          <w:tcPr>
            <w:tcW w:w="309" w:type="pct"/>
            <w:tcBorders>
              <w:top w:val="nil"/>
              <w:left w:val="nil"/>
              <w:bottom w:val="single" w:color="auto" w:sz="8" w:space="0"/>
              <w:right w:val="single" w:color="auto" w:sz="8" w:space="0"/>
            </w:tcBorders>
            <w:tcMar>
              <w:top w:w="0" w:type="dxa"/>
              <w:left w:w="57" w:type="dxa"/>
              <w:bottom w:w="0" w:type="dxa"/>
              <w:right w:w="57" w:type="dxa"/>
            </w:tcMar>
            <w:vAlign w:val="center"/>
          </w:tcPr>
          <w:p>
            <w:pPr>
              <w:widowControl/>
              <w:spacing w:line="460" w:lineRule="exact"/>
              <w:jc w:val="center"/>
              <w:rPr>
                <w:rFonts w:ascii="Times New Roman" w:hAnsi="Times New Roman" w:eastAsia="仿宋_GB2312"/>
                <w:color w:val="000000"/>
                <w:sz w:val="28"/>
                <w:szCs w:val="28"/>
              </w:rPr>
            </w:pPr>
            <w:r>
              <w:rPr>
                <w:rFonts w:hint="eastAsia" w:ascii="Times New Roman" w:hAnsi="Times New Roman" w:eastAsia="仿宋_GB2312"/>
                <w:color w:val="000000"/>
                <w:sz w:val="28"/>
                <w:szCs w:val="28"/>
                <w:lang w:val="en-US" w:eastAsia="zh-CN"/>
              </w:rPr>
              <w:t>0</w:t>
            </w:r>
          </w:p>
        </w:tc>
      </w:tr>
    </w:tbl>
    <w:p>
      <w:pPr>
        <w:spacing w:line="540" w:lineRule="exact"/>
        <w:jc w:val="left"/>
        <w:rPr>
          <w:rFonts w:ascii="仿宋" w:hAnsi="仿宋" w:eastAsia="仿宋" w:cs="仿宋"/>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黑体" w:hAnsi="黑体" w:eastAsia="黑体" w:cs="黑体"/>
          <w:bCs/>
          <w:sz w:val="32"/>
          <w:szCs w:val="32"/>
        </w:rPr>
      </w:pPr>
      <w:r>
        <w:rPr>
          <w:rFonts w:hint="eastAsia" w:ascii="黑体" w:hAnsi="黑体" w:eastAsia="黑体" w:cs="黑体"/>
          <w:bCs/>
          <w:sz w:val="32"/>
          <w:szCs w:val="32"/>
        </w:rPr>
        <w:t>四、政府信息公开行政复议、行政诉讼情况</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行政复议</w:t>
            </w:r>
          </w:p>
        </w:tc>
        <w:tc>
          <w:tcPr>
            <w:tcW w:w="5680" w:type="dxa"/>
            <w:gridSpan w:val="10"/>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结果维护</w:t>
            </w:r>
          </w:p>
        </w:tc>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结果纠正</w:t>
            </w:r>
          </w:p>
        </w:tc>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其他结果</w:t>
            </w:r>
          </w:p>
        </w:tc>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尚未审结</w:t>
            </w:r>
          </w:p>
        </w:tc>
        <w:tc>
          <w:tcPr>
            <w:tcW w:w="568" w:type="dxa"/>
            <w:vMerge w:val="restart"/>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总计</w:t>
            </w:r>
          </w:p>
        </w:tc>
        <w:tc>
          <w:tcPr>
            <w:tcW w:w="2840" w:type="dxa"/>
            <w:gridSpan w:val="5"/>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color w:val="333333"/>
                <w:sz w:val="23"/>
                <w:szCs w:val="23"/>
                <w:shd w:val="clear" w:color="auto" w:fill="FFFFFF"/>
              </w:rPr>
              <w:t>未经复议直接起诉</w:t>
            </w:r>
          </w:p>
        </w:tc>
        <w:tc>
          <w:tcPr>
            <w:tcW w:w="2840" w:type="dxa"/>
            <w:gridSpan w:val="5"/>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vMerge w:val="continue"/>
            <w:shd w:val="clear" w:color="auto" w:fill="auto"/>
            <w:vAlign w:val="center"/>
          </w:tcPr>
          <w:p>
            <w:pPr>
              <w:spacing w:line="540" w:lineRule="exact"/>
              <w:jc w:val="center"/>
              <w:rPr>
                <w:rFonts w:ascii="宋体" w:hAnsi="宋体" w:eastAsia="宋体" w:cs="宋体"/>
                <w:sz w:val="23"/>
                <w:szCs w:val="23"/>
              </w:rPr>
            </w:pP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结果维护</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结果纠正</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其他结果</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尚未审结</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总计</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结果维护</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结果纠正</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其他结果</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尚未审结</w:t>
            </w:r>
          </w:p>
        </w:tc>
        <w:tc>
          <w:tcPr>
            <w:tcW w:w="568" w:type="dxa"/>
            <w:shd w:val="clear" w:color="auto" w:fill="auto"/>
            <w:vAlign w:val="center"/>
          </w:tcPr>
          <w:p>
            <w:pPr>
              <w:spacing w:line="540" w:lineRule="exact"/>
              <w:jc w:val="center"/>
              <w:rPr>
                <w:rFonts w:ascii="宋体" w:hAnsi="宋体" w:eastAsia="宋体" w:cs="宋体"/>
                <w:sz w:val="23"/>
                <w:szCs w:val="23"/>
              </w:rPr>
            </w:pPr>
            <w:r>
              <w:rPr>
                <w:rFonts w:hint="eastAsia" w:ascii="宋体" w:hAnsi="宋体" w:eastAsia="宋体" w:cs="宋体"/>
                <w:sz w:val="23"/>
                <w:szCs w:val="23"/>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c>
          <w:tcPr>
            <w:tcW w:w="568" w:type="dxa"/>
            <w:shd w:val="clear" w:color="auto" w:fill="auto"/>
          </w:tcPr>
          <w:p>
            <w:pPr>
              <w:spacing w:line="540" w:lineRule="exact"/>
              <w:jc w:val="center"/>
              <w:rPr>
                <w:rFonts w:ascii="宋体" w:hAnsi="宋体" w:eastAsia="宋体" w:cs="宋体"/>
                <w:sz w:val="23"/>
                <w:szCs w:val="23"/>
              </w:rPr>
            </w:pPr>
            <w:r>
              <w:rPr>
                <w:rFonts w:hint="eastAsia" w:ascii="宋体" w:hAnsi="宋体" w:eastAsia="宋体" w:cs="宋体"/>
                <w:sz w:val="23"/>
                <w:szCs w:val="23"/>
              </w:rPr>
              <w:t>0</w:t>
            </w:r>
          </w:p>
        </w:tc>
      </w:tr>
    </w:tbl>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黑体"/>
          <w:bCs/>
          <w:sz w:val="32"/>
          <w:szCs w:val="32"/>
        </w:rPr>
      </w:pPr>
      <w:r>
        <w:rPr>
          <w:rFonts w:hint="eastAsia" w:ascii="黑体" w:hAnsi="黑体" w:eastAsia="黑体" w:cs="黑体"/>
          <w:bCs/>
          <w:sz w:val="32"/>
          <w:szCs w:val="32"/>
          <w:shd w:val="clear" w:color="auto" w:fill="FFFFFF"/>
        </w:rPr>
        <w:t>五、存在的主要问题及改进情况</w:t>
      </w:r>
    </w:p>
    <w:p>
      <w:pPr>
        <w:pStyle w:val="4"/>
        <w:widowControl/>
        <w:shd w:val="clear" w:color="auto" w:fill="FFFFFF"/>
        <w:spacing w:beforeAutospacing="0" w:afterAutospacing="0" w:line="600" w:lineRule="exact"/>
        <w:ind w:firstLine="640" w:firstLineChars="200"/>
        <w:jc w:val="both"/>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3</w:t>
      </w:r>
      <w:r>
        <w:rPr>
          <w:rFonts w:hint="eastAsia" w:ascii="仿宋" w:hAnsi="仿宋" w:eastAsia="仿宋" w:cs="仿宋"/>
          <w:sz w:val="32"/>
          <w:szCs w:val="32"/>
        </w:rPr>
        <w:t>年，县</w:t>
      </w:r>
      <w:r>
        <w:rPr>
          <w:rFonts w:hint="eastAsia" w:ascii="仿宋" w:hAnsi="仿宋" w:eastAsia="仿宋" w:cs="仿宋"/>
          <w:sz w:val="32"/>
          <w:szCs w:val="32"/>
          <w:lang w:eastAsia="zh-CN"/>
        </w:rPr>
        <w:t>行政服务中心</w:t>
      </w:r>
      <w:r>
        <w:rPr>
          <w:rFonts w:hint="eastAsia" w:ascii="仿宋" w:hAnsi="仿宋" w:eastAsia="仿宋" w:cs="仿宋"/>
          <w:sz w:val="32"/>
          <w:szCs w:val="32"/>
        </w:rPr>
        <w:t>政府信息公开工作，在县委县政府强有力的指挥下，积极推进政务公开，但还存在一些差距和不足，主要表现在：政务信息公开工作宣传力度不够，部分信息报送不及时等。下一步我</w:t>
      </w:r>
      <w:r>
        <w:rPr>
          <w:rFonts w:hint="eastAsia" w:ascii="仿宋" w:hAnsi="仿宋" w:eastAsia="仿宋" w:cs="仿宋"/>
          <w:sz w:val="32"/>
          <w:szCs w:val="32"/>
          <w:lang w:eastAsia="zh-CN"/>
        </w:rPr>
        <w:t>中心</w:t>
      </w:r>
      <w:r>
        <w:rPr>
          <w:rFonts w:hint="eastAsia" w:ascii="仿宋" w:hAnsi="仿宋" w:eastAsia="仿宋" w:cs="仿宋"/>
          <w:sz w:val="32"/>
          <w:szCs w:val="32"/>
        </w:rPr>
        <w:t>将着重抓好以下几项工作，以强化提升政府信息公开工作：一是继续规范政务信息公开内容。严格按照国务院、省、市、县政府信息公开重点工作安排，对照政府信息公开内容，进一步扩大公开范围和力度。二是进一步强化政府信息公开业务工作队伍建设。对政府信息公开工作人员进行业务培训，提高工作人员业务能力，推进工作持续深入开展。三是完善政府信息公开机制，加强政府信息公开工作组织领导，抓好制度建设。</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黑体" w:hAnsi="黑体" w:eastAsia="黑体" w:cs="黑体"/>
          <w:bCs/>
          <w:color w:val="333333"/>
          <w:sz w:val="32"/>
          <w:szCs w:val="32"/>
        </w:rPr>
      </w:pPr>
      <w:r>
        <w:rPr>
          <w:rFonts w:hint="eastAsia" w:ascii="黑体" w:hAnsi="黑体" w:eastAsia="黑体" w:cs="黑体"/>
          <w:bCs/>
          <w:color w:val="333333"/>
          <w:sz w:val="32"/>
          <w:szCs w:val="32"/>
          <w:shd w:val="clear" w:color="auto" w:fill="FFFFFF"/>
        </w:rPr>
        <w:t>六、其他需要报告的事项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宋体" w:eastAsia="仿宋_GB2312" w:cs="仿宋_GB2312"/>
          <w:i w:val="0"/>
          <w:iCs w:val="0"/>
          <w:caps w:val="0"/>
          <w:color w:val="auto"/>
          <w:spacing w:val="0"/>
          <w:sz w:val="32"/>
          <w:szCs w:val="32"/>
          <w:shd w:val="clear" w:fill="FFFFFF"/>
        </w:rPr>
      </w:pPr>
      <w:r>
        <w:rPr>
          <w:rFonts w:hint="eastAsia" w:ascii="仿宋" w:hAnsi="仿宋" w:eastAsia="仿宋" w:cs="仿宋"/>
          <w:sz w:val="32"/>
          <w:szCs w:val="32"/>
        </w:rPr>
        <w:t>政务公开要点的落实情况：认真落实党中央、国务院关于全面深化政务公开工作的有关部署，以及省委省政府、市委市政府有关政务公开工作的要求，结合县</w:t>
      </w:r>
      <w:r>
        <w:rPr>
          <w:rFonts w:hint="eastAsia" w:ascii="仿宋" w:hAnsi="仿宋" w:eastAsia="仿宋" w:cs="仿宋"/>
          <w:sz w:val="32"/>
          <w:szCs w:val="32"/>
          <w:lang w:eastAsia="zh-CN"/>
        </w:rPr>
        <w:t>行政服务中心</w:t>
      </w:r>
      <w:r>
        <w:rPr>
          <w:rFonts w:hint="eastAsia" w:ascii="仿宋" w:hAnsi="仿宋" w:eastAsia="仿宋" w:cs="仿宋"/>
          <w:sz w:val="32"/>
          <w:szCs w:val="32"/>
        </w:rPr>
        <w:t>工作实际，做好各方面的信息公开工作，严格落实机构职能、政务服务、公共资源交易</w:t>
      </w:r>
      <w:r>
        <w:rPr>
          <w:rFonts w:hint="eastAsia" w:ascii="仿宋" w:hAnsi="仿宋" w:eastAsia="仿宋" w:cs="仿宋"/>
          <w:sz w:val="32"/>
          <w:szCs w:val="32"/>
        </w:rPr>
        <w:t>等各项群众关心、需要的政务信息的公开公示，主动作为，不打折扣。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eastAsia" w:ascii="仿宋_GB2312" w:hAnsi="宋体" w:eastAsia="仿宋_GB2312" w:cs="仿宋_GB2312"/>
          <w:i w:val="0"/>
          <w:iCs w:val="0"/>
          <w:caps w:val="0"/>
          <w:color w:val="auto"/>
          <w:spacing w:val="0"/>
          <w:sz w:val="32"/>
          <w:szCs w:val="32"/>
          <w:shd w:val="clear" w:fill="FFFFFF"/>
        </w:rPr>
      </w:pPr>
      <w:r>
        <w:rPr>
          <w:rFonts w:hint="eastAsia" w:ascii="仿宋_GB2312" w:hAnsi="宋体" w:eastAsia="仿宋_GB2312" w:cs="仿宋_GB2312"/>
          <w:i w:val="0"/>
          <w:iCs w:val="0"/>
          <w:caps w:val="0"/>
          <w:color w:val="auto"/>
          <w:spacing w:val="0"/>
          <w:sz w:val="32"/>
          <w:szCs w:val="32"/>
          <w:shd w:val="clear" w:fill="FFFFFF"/>
        </w:rPr>
        <w:t>本年度依申请公开政府信息未收取任何费用。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640" w:firstLineChars="200"/>
        <w:jc w:val="both"/>
        <w:rPr>
          <w:rFonts w:hint="default" w:ascii="仿宋_GB2312" w:hAnsi="宋体" w:eastAsia="仿宋_GB2312" w:cs="仿宋_GB2312"/>
          <w:i w:val="0"/>
          <w:iCs w:val="0"/>
          <w:caps w:val="0"/>
          <w:color w:val="auto"/>
          <w:spacing w:val="0"/>
          <w:sz w:val="32"/>
          <w:szCs w:val="32"/>
          <w:shd w:val="clear" w:fill="FFFFFF"/>
        </w:rPr>
      </w:pPr>
      <w:r>
        <w:rPr>
          <w:rFonts w:hint="eastAsia" w:ascii="仿宋_GB2312" w:hAnsi="宋体" w:eastAsia="仿宋_GB2312" w:cs="仿宋_GB2312"/>
          <w:i w:val="0"/>
          <w:iCs w:val="0"/>
          <w:caps w:val="0"/>
          <w:color w:val="auto"/>
          <w:spacing w:val="0"/>
          <w:sz w:val="32"/>
          <w:szCs w:val="32"/>
          <w:shd w:val="clear" w:fill="FFFFFF"/>
        </w:rPr>
        <w:t>如需了解更多政府信息，请登录上高县人民政府网（</w:t>
      </w:r>
      <w:r>
        <w:rPr>
          <w:rFonts w:hint="default" w:ascii="仿宋_GB2312" w:hAnsi="宋体" w:eastAsia="仿宋_GB2312" w:cs="仿宋_GB2312"/>
          <w:i w:val="0"/>
          <w:iCs w:val="0"/>
          <w:caps w:val="0"/>
          <w:color w:val="auto"/>
          <w:spacing w:val="0"/>
          <w:sz w:val="32"/>
          <w:szCs w:val="32"/>
          <w:shd w:val="clear" w:fill="FFFFFF"/>
        </w:rPr>
        <w:t>http://www.shanggao.gov.cn</w:t>
      </w:r>
      <w:r>
        <w:rPr>
          <w:rFonts w:hint="eastAsia" w:ascii="仿宋_GB2312" w:hAnsi="宋体" w:eastAsia="仿宋_GB2312" w:cs="仿宋_GB2312"/>
          <w:i w:val="0"/>
          <w:iCs w:val="0"/>
          <w:caps w:val="0"/>
          <w:color w:val="auto"/>
          <w:spacing w:val="0"/>
          <w:sz w:val="32"/>
          <w:szCs w:val="32"/>
          <w:shd w:val="clear" w:fill="FFFFFF"/>
        </w:rPr>
        <w:t>）查询。</w:t>
      </w:r>
    </w:p>
    <w:p>
      <w:pPr>
        <w:pStyle w:val="4"/>
        <w:widowControl/>
        <w:spacing w:beforeAutospacing="0" w:afterAutospacing="0" w:line="600" w:lineRule="exact"/>
        <w:ind w:firstLine="640" w:firstLineChars="200"/>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D9133F-E154-46C4-8547-547DC7FB711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6D6F8F7B-8133-4DB0-A046-07D2A818AF2F}"/>
  </w:font>
  <w:font w:name="方正小标宋简体">
    <w:panose1 w:val="03000509000000000000"/>
    <w:charset w:val="86"/>
    <w:family w:val="auto"/>
    <w:pitch w:val="default"/>
    <w:sig w:usb0="00000001" w:usb1="080E0000" w:usb2="00000000" w:usb3="00000000" w:csb0="00040000" w:csb1="00000000"/>
    <w:embedRegular r:id="rId3" w:fontKey="{08E2BF6D-A1B4-4ABE-B15A-3CD68DE101D6}"/>
  </w:font>
  <w:font w:name="仿宋">
    <w:panose1 w:val="02010609060101010101"/>
    <w:charset w:val="86"/>
    <w:family w:val="modern"/>
    <w:pitch w:val="default"/>
    <w:sig w:usb0="800002BF" w:usb1="38CF7CFA" w:usb2="00000016" w:usb3="00000000" w:csb0="00040001" w:csb1="00000000"/>
    <w:embedRegular r:id="rId4" w:fontKey="{93949FA6-40D5-4A69-A4C1-B5D5263049CE}"/>
  </w:font>
  <w:font w:name="楷体">
    <w:panose1 w:val="02010609060101010101"/>
    <w:charset w:val="86"/>
    <w:family w:val="modern"/>
    <w:pitch w:val="default"/>
    <w:sig w:usb0="800002BF" w:usb1="38CF7CFA" w:usb2="00000016" w:usb3="00000000" w:csb0="00040001" w:csb1="00000000"/>
    <w:embedRegular r:id="rId5" w:fontKey="{C386FC71-4273-4D73-97A7-379393AC51FC}"/>
  </w:font>
  <w:font w:name="仿宋_GB2312">
    <w:panose1 w:val="02010609030101010101"/>
    <w:charset w:val="86"/>
    <w:family w:val="modern"/>
    <w:pitch w:val="default"/>
    <w:sig w:usb0="00000001" w:usb1="080E0000" w:usb2="00000000" w:usb3="00000000" w:csb0="00040000" w:csb1="00000000"/>
    <w:embedRegular r:id="rId6" w:fontKey="{67686677-4CA2-4A92-A41F-9D00E5E991E3}"/>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E685D"/>
    <w:multiLevelType w:val="singleLevel"/>
    <w:tmpl w:val="A48E685D"/>
    <w:lvl w:ilvl="0" w:tentative="0">
      <w:start w:val="2"/>
      <w:numFmt w:val="chineseCounting"/>
      <w:suff w:val="nothing"/>
      <w:lvlText w:val="（%1）"/>
      <w:lvlJc w:val="left"/>
      <w:rPr>
        <w:rFonts w:hint="eastAsia"/>
      </w:rPr>
    </w:lvl>
  </w:abstractNum>
  <w:abstractNum w:abstractNumId="1">
    <w:nsid w:val="E49DB681"/>
    <w:multiLevelType w:val="singleLevel"/>
    <w:tmpl w:val="E49DB681"/>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TA3ZjRhMjhhNDZlYzJmMjhhYmQ4ZWFlZWJkYjM2MzEifQ=="/>
  </w:docVars>
  <w:rsids>
    <w:rsidRoot w:val="004548C2"/>
    <w:rsid w:val="003D6D9D"/>
    <w:rsid w:val="004548C2"/>
    <w:rsid w:val="00853BFC"/>
    <w:rsid w:val="00AE7370"/>
    <w:rsid w:val="010B76FE"/>
    <w:rsid w:val="01BB2947"/>
    <w:rsid w:val="03CA1FAF"/>
    <w:rsid w:val="040354C1"/>
    <w:rsid w:val="05797E16"/>
    <w:rsid w:val="06B50CF4"/>
    <w:rsid w:val="072F4BA5"/>
    <w:rsid w:val="09414AC1"/>
    <w:rsid w:val="0AE0030A"/>
    <w:rsid w:val="0BA12829"/>
    <w:rsid w:val="0D907DC5"/>
    <w:rsid w:val="0F3B1AB4"/>
    <w:rsid w:val="0F42566A"/>
    <w:rsid w:val="0FE32618"/>
    <w:rsid w:val="112A22DF"/>
    <w:rsid w:val="12635443"/>
    <w:rsid w:val="129C0FBA"/>
    <w:rsid w:val="17534F7D"/>
    <w:rsid w:val="17C101CD"/>
    <w:rsid w:val="19C57049"/>
    <w:rsid w:val="1B612DA1"/>
    <w:rsid w:val="1B931963"/>
    <w:rsid w:val="1C820ECC"/>
    <w:rsid w:val="1CC8565A"/>
    <w:rsid w:val="1DD82400"/>
    <w:rsid w:val="1E743B39"/>
    <w:rsid w:val="1F837F93"/>
    <w:rsid w:val="2063580D"/>
    <w:rsid w:val="20884E5A"/>
    <w:rsid w:val="2351533C"/>
    <w:rsid w:val="23B06487"/>
    <w:rsid w:val="23F0675E"/>
    <w:rsid w:val="2480713E"/>
    <w:rsid w:val="24FE6B54"/>
    <w:rsid w:val="25A0096A"/>
    <w:rsid w:val="267A11BB"/>
    <w:rsid w:val="26C64400"/>
    <w:rsid w:val="28D52373"/>
    <w:rsid w:val="28E14ECF"/>
    <w:rsid w:val="296056EF"/>
    <w:rsid w:val="29B8285F"/>
    <w:rsid w:val="29C27101"/>
    <w:rsid w:val="2A6B083E"/>
    <w:rsid w:val="2A6C52BE"/>
    <w:rsid w:val="2B612949"/>
    <w:rsid w:val="31877DA3"/>
    <w:rsid w:val="319141FB"/>
    <w:rsid w:val="31F77B64"/>
    <w:rsid w:val="32384404"/>
    <w:rsid w:val="326A6587"/>
    <w:rsid w:val="352C3F0E"/>
    <w:rsid w:val="35D9162D"/>
    <w:rsid w:val="383E5E1E"/>
    <w:rsid w:val="385555E4"/>
    <w:rsid w:val="3BBA2113"/>
    <w:rsid w:val="3F012022"/>
    <w:rsid w:val="3F0478AD"/>
    <w:rsid w:val="402F0FF8"/>
    <w:rsid w:val="40DA0792"/>
    <w:rsid w:val="42FE0D52"/>
    <w:rsid w:val="45790B64"/>
    <w:rsid w:val="45EF0E26"/>
    <w:rsid w:val="46C6427C"/>
    <w:rsid w:val="47C66E25"/>
    <w:rsid w:val="494F0E2C"/>
    <w:rsid w:val="49AD3738"/>
    <w:rsid w:val="49E109A3"/>
    <w:rsid w:val="4A1B48DF"/>
    <w:rsid w:val="4B6A4464"/>
    <w:rsid w:val="4BFE6267"/>
    <w:rsid w:val="4C7B3413"/>
    <w:rsid w:val="4CC46F86"/>
    <w:rsid w:val="4DE26281"/>
    <w:rsid w:val="4F960564"/>
    <w:rsid w:val="4FA932E0"/>
    <w:rsid w:val="519D4381"/>
    <w:rsid w:val="55646B1D"/>
    <w:rsid w:val="55803011"/>
    <w:rsid w:val="566E50F8"/>
    <w:rsid w:val="56857A37"/>
    <w:rsid w:val="597162CA"/>
    <w:rsid w:val="5A820277"/>
    <w:rsid w:val="5B0171D9"/>
    <w:rsid w:val="5BA73E5A"/>
    <w:rsid w:val="5E645F1C"/>
    <w:rsid w:val="5EEE216B"/>
    <w:rsid w:val="5F824661"/>
    <w:rsid w:val="5FC33992"/>
    <w:rsid w:val="5FCE6A83"/>
    <w:rsid w:val="604069F6"/>
    <w:rsid w:val="6051650D"/>
    <w:rsid w:val="6108078D"/>
    <w:rsid w:val="614B7254"/>
    <w:rsid w:val="64A731BE"/>
    <w:rsid w:val="673B0780"/>
    <w:rsid w:val="67734394"/>
    <w:rsid w:val="678E44EB"/>
    <w:rsid w:val="68B47F81"/>
    <w:rsid w:val="692E12ED"/>
    <w:rsid w:val="6A0A31AD"/>
    <w:rsid w:val="6AB53B3C"/>
    <w:rsid w:val="6C0303DC"/>
    <w:rsid w:val="6CD038E9"/>
    <w:rsid w:val="6EB526D3"/>
    <w:rsid w:val="6EC41F3F"/>
    <w:rsid w:val="6F1F6ACF"/>
    <w:rsid w:val="6F8A1A3C"/>
    <w:rsid w:val="70E5061D"/>
    <w:rsid w:val="71A010A2"/>
    <w:rsid w:val="720A441E"/>
    <w:rsid w:val="72113F71"/>
    <w:rsid w:val="73243F55"/>
    <w:rsid w:val="74C50E20"/>
    <w:rsid w:val="7566482B"/>
    <w:rsid w:val="788C45A4"/>
    <w:rsid w:val="7A3251AA"/>
    <w:rsid w:val="7B00167F"/>
    <w:rsid w:val="7B440FF1"/>
    <w:rsid w:val="7B825A16"/>
    <w:rsid w:val="7BAD6C78"/>
    <w:rsid w:val="7D553689"/>
    <w:rsid w:val="7D7C7DE7"/>
    <w:rsid w:val="7FA97C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8">
    <w:name w:val="页脚 Char"/>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2343</Words>
  <Characters>2436</Characters>
  <Lines>671</Lines>
  <Paragraphs>660</Paragraphs>
  <TotalTime>32</TotalTime>
  <ScaleCrop>false</ScaleCrop>
  <LinksUpToDate>false</LinksUpToDate>
  <CharactersWithSpaces>2436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2021-01-07T01:14:00Z</dcterms:created>
  <dc:creator>Administrator</dc:creator>
  <cp:lastModifiedBy>看过一场喜剧</cp:lastModifiedBy>
  <cp:lastPrinted>2022-01-04T07:43:00Z</cp:lastPrinted>
  <dcterms:modified xsi:type="dcterms:W3CDTF">2024-01-18T07:54:07Z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360424E859EF434884620E28837CE256</vt:lpwstr>
  </property>
</Properties>
</file>