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jc w:val="center"/>
        <w:rPr>
          <w:rFonts w:ascii="方正小标宋简体" w:hAnsi="方正小标宋简体" w:eastAsia="方正小标宋简体" w:cs="方正小标宋简体"/>
          <w:b/>
          <w:color w:val="333333"/>
          <w:sz w:val="44"/>
          <w:szCs w:val="44"/>
          <w:shd w:val="clear" w:color="auto" w:fill="FFFFFF"/>
        </w:rPr>
      </w:pPr>
      <w:r>
        <w:rPr>
          <w:rFonts w:hint="eastAsia" w:ascii="方正小标宋简体" w:hAnsi="方正小标宋简体" w:eastAsia="方正小标宋简体" w:cs="方正小标宋简体"/>
          <w:b/>
          <w:color w:val="333333"/>
          <w:sz w:val="44"/>
          <w:szCs w:val="44"/>
          <w:shd w:val="clear" w:color="auto" w:fill="FFFFFF"/>
        </w:rPr>
        <w:t>上高县行政服务中心管委会202</w:t>
      </w:r>
      <w:r>
        <w:rPr>
          <w:rFonts w:hint="eastAsia" w:ascii="方正小标宋简体" w:hAnsi="方正小标宋简体" w:eastAsia="方正小标宋简体" w:cs="方正小标宋简体"/>
          <w:b/>
          <w:color w:val="333333"/>
          <w:sz w:val="44"/>
          <w:szCs w:val="44"/>
          <w:shd w:val="clear" w:color="auto" w:fill="FFFFFF"/>
          <w:lang w:val="en-US" w:eastAsia="zh-CN"/>
        </w:rPr>
        <w:t>2</w:t>
      </w:r>
      <w:r>
        <w:rPr>
          <w:rFonts w:hint="eastAsia" w:ascii="方正小标宋简体" w:hAnsi="方正小标宋简体" w:eastAsia="方正小标宋简体" w:cs="方正小标宋简体"/>
          <w:b/>
          <w:color w:val="333333"/>
          <w:sz w:val="44"/>
          <w:szCs w:val="44"/>
          <w:shd w:val="clear" w:color="auto" w:fill="FFFFFF"/>
        </w:rPr>
        <w:t>年政府</w:t>
      </w:r>
    </w:p>
    <w:p>
      <w:pPr>
        <w:pStyle w:val="4"/>
        <w:widowControl/>
        <w:shd w:val="clear" w:color="auto" w:fill="FFFFFF"/>
        <w:spacing w:beforeAutospacing="0" w:afterAutospacing="0"/>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b/>
          <w:color w:val="333333"/>
          <w:sz w:val="44"/>
          <w:szCs w:val="44"/>
          <w:shd w:val="clear" w:color="auto" w:fill="FFFFFF"/>
        </w:rPr>
        <w:t>信息公开工作年度报告</w:t>
      </w:r>
    </w:p>
    <w:p>
      <w:pPr>
        <w:pStyle w:val="4"/>
        <w:widowControl/>
        <w:shd w:val="clear" w:color="auto" w:fill="FFFFFF"/>
        <w:spacing w:beforeAutospacing="0" w:afterAutospacing="0"/>
        <w:ind w:firstLine="420"/>
        <w:jc w:val="both"/>
        <w:rPr>
          <w:rFonts w:ascii="宋体" w:hAnsi="宋体" w:eastAsia="宋体" w:cs="宋体"/>
          <w:color w:val="333333"/>
          <w:sz w:val="32"/>
          <w:szCs w:val="32"/>
        </w:rPr>
      </w:pPr>
    </w:p>
    <w:p>
      <w:pPr>
        <w:pStyle w:val="4"/>
        <w:widowControl/>
        <w:shd w:val="clear" w:color="auto" w:fill="FFFFFF"/>
        <w:spacing w:beforeAutospacing="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本报告依据《中华人民共和国政府信息公开条例》（国务院令第711号，以下简称新《条例》）和《国务院办公厅政府信息与政务公开办公室关于政府信息公开工作年度报告有关事项的通知》（国办公开办函〔2021〕30号）要求，由上高县行政服务中心结合有关统计数据编制。本年度报告中所列数据的统计期限自202</w:t>
      </w:r>
      <w:r>
        <w:rPr>
          <w:rFonts w:hint="eastAsia" w:ascii="仿宋" w:hAnsi="仿宋" w:eastAsia="仿宋" w:cs="仿宋"/>
          <w:sz w:val="32"/>
          <w:szCs w:val="32"/>
          <w:lang w:val="en-US" w:eastAsia="zh-CN"/>
        </w:rPr>
        <w:t>2</w:t>
      </w:r>
      <w:r>
        <w:rPr>
          <w:rFonts w:hint="eastAsia" w:ascii="仿宋" w:hAnsi="仿宋" w:eastAsia="仿宋" w:cs="仿宋"/>
          <w:sz w:val="32"/>
          <w:szCs w:val="32"/>
        </w:rPr>
        <w:t>年1月1日起至202</w:t>
      </w:r>
      <w:r>
        <w:rPr>
          <w:rFonts w:hint="eastAsia" w:ascii="仿宋" w:hAnsi="仿宋" w:eastAsia="仿宋" w:cs="仿宋"/>
          <w:sz w:val="32"/>
          <w:szCs w:val="32"/>
          <w:lang w:val="en-US" w:eastAsia="zh-CN"/>
        </w:rPr>
        <w:t>2</w:t>
      </w:r>
      <w:r>
        <w:rPr>
          <w:rFonts w:hint="eastAsia" w:ascii="仿宋" w:hAnsi="仿宋" w:eastAsia="仿宋" w:cs="仿宋"/>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网址为http://www.shanggao.gov.cn）下载。如对本报告有任何疑问，请与上高县行政服务中心办公室联系（地址：上高县沿江中路18号，电话：0795-2509339，邮编：336400）。</w:t>
      </w:r>
    </w:p>
    <w:p>
      <w:pPr>
        <w:pStyle w:val="4"/>
        <w:widowControl/>
        <w:numPr>
          <w:ilvl w:val="0"/>
          <w:numId w:val="1"/>
        </w:numPr>
        <w:shd w:val="clear" w:color="auto" w:fill="FFFFFF"/>
        <w:spacing w:beforeAutospacing="0" w:afterAutospacing="0" w:line="600" w:lineRule="exact"/>
        <w:ind w:firstLine="420"/>
        <w:jc w:val="both"/>
        <w:rPr>
          <w:rFonts w:ascii="黑体" w:hAnsi="黑体" w:eastAsia="黑体" w:cs="黑体"/>
          <w:sz w:val="32"/>
          <w:szCs w:val="32"/>
        </w:rPr>
      </w:pPr>
      <w:r>
        <w:rPr>
          <w:rFonts w:hint="eastAsia" w:ascii="黑体" w:hAnsi="黑体" w:eastAsia="黑体" w:cs="黑体"/>
          <w:bCs/>
          <w:sz w:val="32"/>
          <w:szCs w:val="32"/>
          <w:shd w:val="clear" w:color="auto" w:fill="FFFFFF"/>
        </w:rPr>
        <w:t>总体情况</w:t>
      </w:r>
    </w:p>
    <w:p>
      <w:pPr>
        <w:pStyle w:val="4"/>
        <w:widowControl/>
        <w:shd w:val="clear" w:color="auto" w:fill="FFFFFF"/>
        <w:spacing w:beforeAutospacing="0" w:afterAutospacing="0" w:line="600" w:lineRule="exact"/>
        <w:ind w:firstLine="640" w:firstLineChars="200"/>
        <w:jc w:val="both"/>
        <w:rPr>
          <w:rFonts w:ascii="楷体" w:hAnsi="楷体" w:eastAsia="楷体" w:cs="楷体"/>
          <w:b/>
          <w:bCs/>
          <w:sz w:val="32"/>
          <w:szCs w:val="32"/>
          <w:shd w:val="clear" w:color="auto" w:fill="FFFFFF"/>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年，我中心</w:t>
      </w:r>
      <w:r>
        <w:rPr>
          <w:rFonts w:hint="eastAsia" w:ascii="Times New Roman" w:hAnsi="Times New Roman" w:eastAsia="仿宋_GB2312"/>
          <w:sz w:val="32"/>
          <w:szCs w:val="32"/>
        </w:rPr>
        <w:t>深入推进政务服务改革便民利企，为上高建设全省政务服务满意度一等县做出了大量工作，及时向社会公开政务服务、公共资源交易等主要工作情况，</w:t>
      </w:r>
      <w:r>
        <w:rPr>
          <w:rFonts w:hint="eastAsia" w:ascii="仿宋" w:hAnsi="仿宋" w:eastAsia="仿宋" w:cs="仿宋"/>
          <w:sz w:val="32"/>
          <w:szCs w:val="32"/>
        </w:rPr>
        <w:t>不断提升工作透明度，</w:t>
      </w:r>
      <w:r>
        <w:rPr>
          <w:rFonts w:ascii="仿宋_GB2312" w:hAnsi="仿宋_GB2312" w:eastAsia="仿宋_GB2312" w:cs="仿宋_GB2312"/>
          <w:color w:val="000000"/>
          <w:sz w:val="31"/>
          <w:szCs w:val="31"/>
          <w:shd w:val="clear" w:color="auto" w:fill="FFFFFF"/>
        </w:rPr>
        <w:t>取得了良好效果</w:t>
      </w:r>
      <w:r>
        <w:rPr>
          <w:rFonts w:hint="eastAsia" w:ascii="仿宋" w:hAnsi="仿宋" w:eastAsia="仿宋" w:cs="仿宋"/>
          <w:sz w:val="32"/>
          <w:szCs w:val="32"/>
        </w:rPr>
        <w:t>。</w:t>
      </w:r>
    </w:p>
    <w:p>
      <w:pPr>
        <w:pStyle w:val="4"/>
        <w:widowControl/>
        <w:shd w:val="clear" w:color="auto" w:fill="FFFFFF"/>
        <w:spacing w:beforeAutospacing="0" w:afterAutospacing="0" w:line="600" w:lineRule="exact"/>
        <w:ind w:firstLine="420"/>
        <w:jc w:val="both"/>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（一）主动公开政府信息情况</w:t>
      </w:r>
    </w:p>
    <w:p>
      <w:pPr>
        <w:pStyle w:val="4"/>
        <w:widowControl/>
        <w:shd w:val="clear" w:color="auto" w:fill="FFFFFF"/>
        <w:spacing w:beforeAutospacing="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截至202</w:t>
      </w:r>
      <w:r>
        <w:rPr>
          <w:rFonts w:hint="eastAsia" w:ascii="仿宋" w:hAnsi="仿宋" w:eastAsia="仿宋" w:cs="仿宋"/>
          <w:sz w:val="32"/>
          <w:szCs w:val="32"/>
          <w:lang w:val="en-US" w:eastAsia="zh-CN"/>
        </w:rPr>
        <w:t>2</w:t>
      </w:r>
      <w:r>
        <w:rPr>
          <w:rFonts w:hint="eastAsia" w:ascii="仿宋" w:hAnsi="仿宋" w:eastAsia="仿宋" w:cs="仿宋"/>
          <w:sz w:val="32"/>
          <w:szCs w:val="32"/>
        </w:rPr>
        <w:t>年12月31日，我中心通过上高县政府信息公开平台，主动公开信息</w:t>
      </w:r>
      <w:r>
        <w:rPr>
          <w:rFonts w:hint="eastAsia" w:ascii="仿宋" w:hAnsi="仿宋" w:eastAsia="仿宋" w:cs="仿宋"/>
          <w:sz w:val="32"/>
          <w:szCs w:val="32"/>
          <w:lang w:val="en-US" w:eastAsia="zh-CN"/>
        </w:rPr>
        <w:t>448</w:t>
      </w:r>
      <w:r>
        <w:rPr>
          <w:rFonts w:hint="eastAsia" w:ascii="仿宋" w:hAnsi="仿宋" w:eastAsia="仿宋" w:cs="仿宋"/>
          <w:sz w:val="32"/>
          <w:szCs w:val="32"/>
        </w:rPr>
        <w:t>条。包括财政信息（部门预决算）</w:t>
      </w:r>
      <w:r>
        <w:rPr>
          <w:rFonts w:hint="eastAsia" w:ascii="仿宋" w:hAnsi="仿宋" w:eastAsia="仿宋" w:cs="仿宋"/>
          <w:sz w:val="32"/>
          <w:szCs w:val="32"/>
          <w:lang w:val="en-US" w:eastAsia="zh-CN"/>
        </w:rPr>
        <w:t>3</w:t>
      </w:r>
      <w:r>
        <w:rPr>
          <w:rFonts w:hint="eastAsia" w:ascii="仿宋" w:hAnsi="仿宋" w:eastAsia="仿宋" w:cs="仿宋"/>
          <w:sz w:val="32"/>
          <w:szCs w:val="32"/>
        </w:rPr>
        <w:t>条，政务动态类信息</w:t>
      </w:r>
      <w:r>
        <w:rPr>
          <w:rFonts w:hint="eastAsia" w:ascii="仿宋" w:hAnsi="仿宋" w:eastAsia="仿宋" w:cs="仿宋"/>
          <w:sz w:val="32"/>
          <w:szCs w:val="32"/>
          <w:lang w:val="en-US" w:eastAsia="zh-CN"/>
        </w:rPr>
        <w:t>6</w:t>
      </w:r>
      <w:r>
        <w:rPr>
          <w:rFonts w:hint="eastAsia" w:ascii="仿宋" w:hAnsi="仿宋" w:eastAsia="仿宋" w:cs="仿宋"/>
          <w:sz w:val="32"/>
          <w:szCs w:val="32"/>
        </w:rPr>
        <w:t>条,信息公开年报</w:t>
      </w:r>
      <w:r>
        <w:rPr>
          <w:rFonts w:ascii="仿宋" w:hAnsi="仿宋" w:eastAsia="仿宋" w:cs="仿宋"/>
          <w:sz w:val="32"/>
          <w:szCs w:val="32"/>
        </w:rPr>
        <w:t>1</w:t>
      </w:r>
      <w:r>
        <w:rPr>
          <w:rFonts w:hint="eastAsia" w:ascii="仿宋" w:hAnsi="仿宋" w:eastAsia="仿宋" w:cs="仿宋"/>
          <w:sz w:val="32"/>
          <w:szCs w:val="32"/>
        </w:rPr>
        <w:t>条,公共资源交易信息</w:t>
      </w:r>
      <w:r>
        <w:rPr>
          <w:rFonts w:hint="eastAsia" w:ascii="仿宋" w:hAnsi="仿宋" w:eastAsia="仿宋" w:cs="仿宋"/>
          <w:sz w:val="32"/>
          <w:szCs w:val="32"/>
          <w:lang w:val="en-US" w:eastAsia="zh-CN"/>
        </w:rPr>
        <w:t>438</w:t>
      </w:r>
      <w:r>
        <w:rPr>
          <w:rFonts w:hint="eastAsia" w:ascii="仿宋" w:hAnsi="仿宋" w:eastAsia="仿宋" w:cs="仿宋"/>
          <w:sz w:val="32"/>
          <w:szCs w:val="32"/>
        </w:rPr>
        <w:t>条。</w:t>
      </w:r>
    </w:p>
    <w:p>
      <w:pPr>
        <w:pStyle w:val="4"/>
        <w:widowControl/>
        <w:numPr>
          <w:ilvl w:val="0"/>
          <w:numId w:val="2"/>
        </w:numPr>
        <w:shd w:val="clear" w:color="auto" w:fill="FFFFFF"/>
        <w:spacing w:beforeAutospacing="0" w:afterAutospacing="0" w:line="600" w:lineRule="exact"/>
        <w:ind w:firstLine="643" w:firstLineChars="200"/>
        <w:jc w:val="both"/>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依申请公开情况</w:t>
      </w:r>
    </w:p>
    <w:p>
      <w:pPr>
        <w:pStyle w:val="4"/>
        <w:widowControl/>
        <w:shd w:val="clear" w:color="auto" w:fill="FFFFFF"/>
        <w:spacing w:beforeAutospacing="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年，我中心未接到要求公开政府信息的申请件。</w:t>
      </w:r>
    </w:p>
    <w:p>
      <w:pPr>
        <w:pStyle w:val="4"/>
        <w:widowControl/>
        <w:numPr>
          <w:ilvl w:val="0"/>
          <w:numId w:val="2"/>
        </w:numPr>
        <w:shd w:val="clear" w:color="auto" w:fill="FFFFFF"/>
        <w:spacing w:beforeAutospacing="0" w:afterAutospacing="0" w:line="600" w:lineRule="exact"/>
        <w:ind w:firstLine="643" w:firstLineChars="200"/>
        <w:jc w:val="both"/>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政府信息管理</w:t>
      </w:r>
    </w:p>
    <w:p>
      <w:pPr>
        <w:pStyle w:val="4"/>
        <w:widowControl/>
        <w:spacing w:beforeAutospacing="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良好的营商环境是一个地区经济软实力和综合竞争力的重要体现，政务公开在营商环境中处于基础性重要地位。我中心将不断创新政务公开方式，提高政务公开信息化、集中化水平，全面推进政务公开，让权力在阳光下运行，落实党中央和国务院推进法治政府建设的要求，做好规范性文件的管理、公开。</w:t>
      </w:r>
    </w:p>
    <w:p>
      <w:pPr>
        <w:pStyle w:val="4"/>
        <w:widowControl/>
        <w:numPr>
          <w:ilvl w:val="0"/>
          <w:numId w:val="2"/>
        </w:numPr>
        <w:shd w:val="clear" w:color="auto" w:fill="FFFFFF"/>
        <w:spacing w:beforeAutospacing="0" w:afterAutospacing="0" w:line="600" w:lineRule="exact"/>
        <w:ind w:firstLine="643" w:firstLineChars="200"/>
        <w:jc w:val="both"/>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组织保障</w:t>
      </w:r>
    </w:p>
    <w:p>
      <w:pPr>
        <w:pStyle w:val="4"/>
        <w:widowControl/>
        <w:spacing w:beforeAutospacing="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切实加强对政务工作的领导，将政务公开工作列入重要议事日程，健全组织机构，成立了以行政服务中心党工委副书记、主任任组长，分管副主任任副组长，机关各科室科长为成员的政务公开工作领导小组。机关每个科室定期向行政服务中心办公室报送信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信息内容</w:t>
            </w:r>
          </w:p>
        </w:tc>
        <w:tc>
          <w:tcPr>
            <w:tcW w:w="2435" w:type="dxa"/>
            <w:tcBorders>
              <w:top w:val="single" w:color="auto" w:sz="8" w:space="0"/>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w:t>
            </w:r>
            <w:r>
              <w:rPr>
                <w:rFonts w:ascii="宋体" w:hAnsi="宋体" w:cs="Calibri"/>
                <w:kern w:val="0"/>
                <w:sz w:val="22"/>
                <w:szCs w:val="22"/>
              </w:rPr>
              <w:t>制</w:t>
            </w:r>
            <w:r>
              <w:rPr>
                <w:rFonts w:hint="eastAsia" w:ascii="宋体" w:hAnsi="宋体" w:cs="宋体"/>
                <w:kern w:val="0"/>
                <w:sz w:val="22"/>
                <w:szCs w:val="22"/>
              </w:rPr>
              <w:t>发件</w:t>
            </w:r>
            <w:r>
              <w:rPr>
                <w:rFonts w:ascii="宋体" w:hAnsi="宋体" w:cs="Calibri"/>
                <w:kern w:val="0"/>
                <w:sz w:val="22"/>
                <w:szCs w:val="22"/>
              </w:rPr>
              <w:t>数</w:t>
            </w:r>
          </w:p>
        </w:tc>
        <w:tc>
          <w:tcPr>
            <w:tcW w:w="2435" w:type="dxa"/>
            <w:tcBorders>
              <w:top w:val="single" w:color="auto" w:sz="8" w:space="0"/>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本年废止件数</w:t>
            </w:r>
          </w:p>
        </w:tc>
        <w:tc>
          <w:tcPr>
            <w:tcW w:w="2435" w:type="dxa"/>
            <w:tcBorders>
              <w:top w:val="single" w:color="auto" w:sz="8" w:space="0"/>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现行有效件</w:t>
            </w:r>
            <w:r>
              <w:rPr>
                <w:rFonts w:ascii="宋体" w:hAnsi="宋体" w:cs="Calibri"/>
                <w:kern w:val="0"/>
                <w:sz w:val="22"/>
                <w:szCs w:val="22"/>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规章</w:t>
            </w:r>
          </w:p>
        </w:tc>
        <w:tc>
          <w:tcPr>
            <w:tcW w:w="2435"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0</w:t>
            </w:r>
          </w:p>
        </w:tc>
        <w:tc>
          <w:tcPr>
            <w:tcW w:w="2435"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0</w:t>
            </w:r>
          </w:p>
        </w:tc>
        <w:tc>
          <w:tcPr>
            <w:tcW w:w="2435"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Calibri" w:hAnsi="Calibri" w:cs="Calibri"/>
                <w:kern w:val="0"/>
                <w:sz w:val="22"/>
                <w:szCs w:val="22"/>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行政规范性文件</w:t>
            </w:r>
          </w:p>
        </w:tc>
        <w:tc>
          <w:tcPr>
            <w:tcW w:w="2435"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0</w:t>
            </w:r>
          </w:p>
        </w:tc>
        <w:tc>
          <w:tcPr>
            <w:tcW w:w="2435"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0</w:t>
            </w:r>
          </w:p>
        </w:tc>
        <w:tc>
          <w:tcPr>
            <w:tcW w:w="2435"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Calibri" w:hAnsi="Calibri" w:cs="Calibri"/>
                <w:kern w:val="0"/>
                <w:sz w:val="22"/>
                <w:szCs w:val="22"/>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信息内容</w:t>
            </w:r>
          </w:p>
        </w:tc>
        <w:tc>
          <w:tcPr>
            <w:tcW w:w="7305" w:type="dxa"/>
            <w:gridSpan w:val="3"/>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行政许可</w:t>
            </w:r>
          </w:p>
        </w:tc>
        <w:tc>
          <w:tcPr>
            <w:tcW w:w="7305" w:type="dxa"/>
            <w:gridSpan w:val="3"/>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信息内容</w:t>
            </w:r>
          </w:p>
        </w:tc>
        <w:tc>
          <w:tcPr>
            <w:tcW w:w="7305" w:type="dxa"/>
            <w:gridSpan w:val="3"/>
            <w:tcBorders>
              <w:top w:val="single" w:color="auto" w:sz="8" w:space="0"/>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行政处罚</w:t>
            </w:r>
          </w:p>
        </w:tc>
        <w:tc>
          <w:tcPr>
            <w:tcW w:w="7305" w:type="dxa"/>
            <w:gridSpan w:val="3"/>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行政强制</w:t>
            </w:r>
          </w:p>
        </w:tc>
        <w:tc>
          <w:tcPr>
            <w:tcW w:w="7305" w:type="dxa"/>
            <w:gridSpan w:val="3"/>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信息内容</w:t>
            </w:r>
          </w:p>
        </w:tc>
        <w:tc>
          <w:tcPr>
            <w:tcW w:w="7305" w:type="dxa"/>
            <w:gridSpan w:val="3"/>
            <w:tcBorders>
              <w:top w:val="nil"/>
              <w:left w:val="nil"/>
              <w:bottom w:val="single" w:color="auto" w:sz="8" w:space="0"/>
              <w:right w:val="single" w:color="000000"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行政事业性收费</w:t>
            </w:r>
          </w:p>
        </w:tc>
        <w:tc>
          <w:tcPr>
            <w:tcW w:w="7305" w:type="dxa"/>
            <w:gridSpan w:val="3"/>
            <w:tcBorders>
              <w:top w:val="nil"/>
              <w:left w:val="nil"/>
              <w:bottom w:val="single" w:color="auto" w:sz="8" w:space="0"/>
              <w:right w:val="single" w:color="000000"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r>
    </w:tbl>
    <w:p>
      <w:pPr>
        <w:spacing w:line="540" w:lineRule="exact"/>
        <w:rPr>
          <w:rFonts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三、收到和处理政府信息公开申请情况</w:t>
      </w:r>
    </w:p>
    <w:tbl>
      <w:tblPr>
        <w:tblStyle w:val="5"/>
        <w:tblW w:w="4768" w:type="pct"/>
        <w:jc w:val="center"/>
        <w:tblLayout w:type="autofit"/>
        <w:tblCellMar>
          <w:top w:w="0" w:type="dxa"/>
          <w:left w:w="0" w:type="dxa"/>
          <w:bottom w:w="0" w:type="dxa"/>
          <w:right w:w="0" w:type="dxa"/>
        </w:tblCellMar>
      </w:tblPr>
      <w:tblGrid>
        <w:gridCol w:w="855"/>
        <w:gridCol w:w="954"/>
        <w:gridCol w:w="2922"/>
        <w:gridCol w:w="469"/>
        <w:gridCol w:w="394"/>
        <w:gridCol w:w="394"/>
        <w:gridCol w:w="605"/>
        <w:gridCol w:w="612"/>
        <w:gridCol w:w="394"/>
        <w:gridCol w:w="479"/>
      </w:tblGrid>
      <w:tr>
        <w:tblPrEx>
          <w:tblCellMar>
            <w:top w:w="0" w:type="dxa"/>
            <w:left w:w="0" w:type="dxa"/>
            <w:bottom w:w="0" w:type="dxa"/>
            <w:right w:w="0" w:type="dxa"/>
          </w:tblCellMar>
        </w:tblPrEx>
        <w:trPr>
          <w:trHeight w:val="318" w:hRule="atLeast"/>
          <w:jc w:val="center"/>
        </w:trPr>
        <w:tc>
          <w:tcPr>
            <w:tcW w:w="2916" w:type="pct"/>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2083" w:type="pct"/>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2916"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06" w:type="pct"/>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1466" w:type="pct"/>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309" w:type="pct"/>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2916"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06" w:type="pct"/>
            <w:vMerge w:val="continue"/>
            <w:tcBorders>
              <w:top w:val="single" w:color="auto" w:sz="6" w:space="0"/>
              <w:left w:val="single" w:color="auto" w:sz="6" w:space="0"/>
              <w:bottom w:val="single" w:color="auto" w:sz="8" w:space="0"/>
              <w:right w:val="single" w:color="auto" w:sz="8" w:space="0"/>
            </w:tcBorders>
            <w:vAlign w:val="center"/>
          </w:tcPr>
          <w:p>
            <w:pPr>
              <w:widowControl/>
              <w:spacing w:line="440" w:lineRule="exact"/>
              <w:jc w:val="center"/>
              <w:rPr>
                <w:rFonts w:ascii="Times New Roman" w:hAnsi="Times New Roman" w:eastAsia="仿宋_GB2312"/>
                <w:color w:val="000000"/>
                <w:sz w:val="28"/>
                <w:szCs w:val="28"/>
              </w:rPr>
            </w:pPr>
          </w:p>
        </w:tc>
        <w:tc>
          <w:tcPr>
            <w:tcW w:w="225"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228"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390"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394"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228"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309" w:type="pct"/>
            <w:vMerge w:val="continue"/>
            <w:tcBorders>
              <w:top w:val="single" w:color="auto" w:sz="8" w:space="0"/>
              <w:left w:val="single" w:color="auto" w:sz="6" w:space="0"/>
              <w:bottom w:val="inset" w:color="auto" w:sz="8" w:space="0"/>
              <w:right w:val="single" w:color="auto" w:sz="8" w:space="0"/>
            </w:tcBorders>
            <w:vAlign w:val="center"/>
          </w:tcPr>
          <w:p>
            <w:pPr>
              <w:widowControl/>
              <w:spacing w:line="460" w:lineRule="exact"/>
              <w:jc w:val="center"/>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2916"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2916"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33" w:hRule="atLeast"/>
          <w:jc w:val="center"/>
        </w:trPr>
        <w:tc>
          <w:tcPr>
            <w:tcW w:w="545" w:type="pct"/>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2371"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569"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371"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284"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属于国家秘密</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其他法律行政法规禁止公开</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60"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危及</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三安全一稳定</w:t>
            </w:r>
            <w:r>
              <w:rPr>
                <w:rFonts w:ascii="Times New Roman" w:hAnsi="Times New Roman" w:eastAsia="仿宋_GB2312"/>
                <w:color w:val="000000"/>
                <w:sz w:val="28"/>
                <w:szCs w:val="28"/>
              </w:rPr>
              <w:t>”</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保护第三方合法权益</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属于三类内部事务信息</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属于四类过程性信息</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属于行政执法案卷</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属于行政查询事项</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831"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本机关不掌握相关政府信息</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没有现成信息需要另行制作</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补正后申请内容仍不明确</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1823"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信访举报投诉类申请</w:t>
            </w:r>
          </w:p>
        </w:tc>
        <w:tc>
          <w:tcPr>
            <w:tcW w:w="306"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重复申请</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要求提供公开出版物</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无正当理由大量反复申请</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78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要求行政机关确认或重新出具已获取信息</w:t>
            </w:r>
          </w:p>
        </w:tc>
        <w:tc>
          <w:tcPr>
            <w:tcW w:w="306"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申请人无正当理由逾期不补正、行政机关不再处理其政府信息公开申请</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申请人逾期未按收费通知要求缴纳费用、行政机关不再处理其政府信息公开申请</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其他</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371"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2916"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bl>
    <w:p>
      <w:pPr>
        <w:spacing w:line="540" w:lineRule="exact"/>
        <w:jc w:val="left"/>
        <w:rPr>
          <w:rFonts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四、政府信息公开行政复议、行政诉讼情况</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行政复议</w:t>
            </w:r>
          </w:p>
        </w:tc>
        <w:tc>
          <w:tcPr>
            <w:tcW w:w="5680" w:type="dxa"/>
            <w:gridSpan w:val="10"/>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结果维护</w:t>
            </w:r>
          </w:p>
        </w:tc>
        <w:tc>
          <w:tcPr>
            <w:tcW w:w="568" w:type="dxa"/>
            <w:vMerge w:val="restart"/>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结果纠正</w:t>
            </w:r>
          </w:p>
        </w:tc>
        <w:tc>
          <w:tcPr>
            <w:tcW w:w="568" w:type="dxa"/>
            <w:vMerge w:val="restart"/>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其他结果</w:t>
            </w:r>
          </w:p>
        </w:tc>
        <w:tc>
          <w:tcPr>
            <w:tcW w:w="568" w:type="dxa"/>
            <w:vMerge w:val="restart"/>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尚未审结</w:t>
            </w:r>
          </w:p>
        </w:tc>
        <w:tc>
          <w:tcPr>
            <w:tcW w:w="568" w:type="dxa"/>
            <w:vMerge w:val="restart"/>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总计</w:t>
            </w:r>
          </w:p>
        </w:tc>
        <w:tc>
          <w:tcPr>
            <w:tcW w:w="2840" w:type="dxa"/>
            <w:gridSpan w:val="5"/>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color w:val="333333"/>
                <w:sz w:val="23"/>
                <w:szCs w:val="23"/>
                <w:shd w:val="clear" w:color="auto" w:fill="FFFFFF"/>
              </w:rPr>
              <w:t>未经复议直接起诉</w:t>
            </w:r>
          </w:p>
        </w:tc>
        <w:tc>
          <w:tcPr>
            <w:tcW w:w="2840" w:type="dxa"/>
            <w:gridSpan w:val="5"/>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宋体" w:hAnsi="宋体" w:eastAsia="宋体" w:cs="宋体"/>
                <w:sz w:val="23"/>
                <w:szCs w:val="23"/>
              </w:rPr>
            </w:pPr>
          </w:p>
        </w:tc>
        <w:tc>
          <w:tcPr>
            <w:tcW w:w="568" w:type="dxa"/>
            <w:vMerge w:val="continue"/>
            <w:shd w:val="clear" w:color="auto" w:fill="auto"/>
            <w:vAlign w:val="center"/>
          </w:tcPr>
          <w:p>
            <w:pPr>
              <w:spacing w:line="540" w:lineRule="exact"/>
              <w:jc w:val="center"/>
              <w:rPr>
                <w:rFonts w:ascii="宋体" w:hAnsi="宋体" w:eastAsia="宋体" w:cs="宋体"/>
                <w:sz w:val="23"/>
                <w:szCs w:val="23"/>
              </w:rPr>
            </w:pPr>
          </w:p>
        </w:tc>
        <w:tc>
          <w:tcPr>
            <w:tcW w:w="568" w:type="dxa"/>
            <w:vMerge w:val="continue"/>
            <w:shd w:val="clear" w:color="auto" w:fill="auto"/>
            <w:vAlign w:val="center"/>
          </w:tcPr>
          <w:p>
            <w:pPr>
              <w:spacing w:line="540" w:lineRule="exact"/>
              <w:jc w:val="center"/>
              <w:rPr>
                <w:rFonts w:ascii="宋体" w:hAnsi="宋体" w:eastAsia="宋体" w:cs="宋体"/>
                <w:sz w:val="23"/>
                <w:szCs w:val="23"/>
              </w:rPr>
            </w:pPr>
          </w:p>
        </w:tc>
        <w:tc>
          <w:tcPr>
            <w:tcW w:w="568" w:type="dxa"/>
            <w:vMerge w:val="continue"/>
            <w:shd w:val="clear" w:color="auto" w:fill="auto"/>
            <w:vAlign w:val="center"/>
          </w:tcPr>
          <w:p>
            <w:pPr>
              <w:spacing w:line="540" w:lineRule="exact"/>
              <w:jc w:val="center"/>
              <w:rPr>
                <w:rFonts w:ascii="宋体" w:hAnsi="宋体" w:eastAsia="宋体" w:cs="宋体"/>
                <w:sz w:val="23"/>
                <w:szCs w:val="23"/>
              </w:rPr>
            </w:pPr>
          </w:p>
        </w:tc>
        <w:tc>
          <w:tcPr>
            <w:tcW w:w="568" w:type="dxa"/>
            <w:vMerge w:val="continue"/>
            <w:shd w:val="clear" w:color="auto" w:fill="auto"/>
            <w:vAlign w:val="center"/>
          </w:tcPr>
          <w:p>
            <w:pPr>
              <w:spacing w:line="540" w:lineRule="exact"/>
              <w:jc w:val="center"/>
              <w:rPr>
                <w:rFonts w:ascii="宋体" w:hAnsi="宋体" w:eastAsia="宋体" w:cs="宋体"/>
                <w:sz w:val="23"/>
                <w:szCs w:val="23"/>
              </w:rPr>
            </w:pP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结果维护</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结果纠正</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其他结果</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尚未审结</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总计</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结果维护</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结果纠正</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其他结果</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尚未审结</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黑体"/>
          <w:bCs/>
          <w:sz w:val="32"/>
          <w:szCs w:val="32"/>
        </w:rPr>
      </w:pPr>
      <w:r>
        <w:rPr>
          <w:rFonts w:hint="eastAsia" w:ascii="黑体" w:hAnsi="黑体" w:eastAsia="黑体" w:cs="黑体"/>
          <w:bCs/>
          <w:sz w:val="32"/>
          <w:szCs w:val="32"/>
          <w:shd w:val="clear" w:color="auto" w:fill="FFFFFF"/>
        </w:rPr>
        <w:t>五、存在的主要问题及改进情况</w:t>
      </w:r>
    </w:p>
    <w:p>
      <w:pPr>
        <w:pStyle w:val="4"/>
        <w:widowControl/>
        <w:shd w:val="clear" w:color="auto" w:fill="FFFFFF"/>
        <w:spacing w:beforeAutospacing="0" w:afterAutospacing="0" w:line="555" w:lineRule="atLeast"/>
        <w:ind w:firstLine="620" w:firstLineChars="200"/>
        <w:rPr>
          <w:rFonts w:hint="eastAsia" w:ascii="仿宋_GB2312" w:hAnsi="SourceHanSansCN-Regular" w:eastAsia="仿宋_GB2312" w:cs="仿宋_GB2312"/>
          <w:color w:val="333333"/>
          <w:sz w:val="31"/>
          <w:szCs w:val="31"/>
          <w:shd w:val="clear" w:color="auto" w:fill="FFFFFF"/>
        </w:rPr>
      </w:pPr>
      <w:r>
        <w:rPr>
          <w:rFonts w:hint="eastAsia" w:ascii="仿宋_GB2312" w:hAnsi="SourceHanSansCN-Regular" w:eastAsia="仿宋_GB2312" w:cs="仿宋_GB2312"/>
          <w:color w:val="333333"/>
          <w:sz w:val="31"/>
          <w:szCs w:val="31"/>
          <w:shd w:val="clear" w:color="auto" w:fill="FFFFFF"/>
        </w:rPr>
        <w:t>（一）政务公开工作缺少一定的专业技术人才。随着互联网时代信息科学技术的快速发展，基层严重缺少熟悉现代化网络技术专业政务公开的技术人才，在提升政务公开工作人员的能力水平，实现政务公开人才的互联网技术、标准化管理模式</w:t>
      </w:r>
    </w:p>
    <w:p>
      <w:pPr>
        <w:pStyle w:val="4"/>
        <w:widowControl/>
        <w:shd w:val="clear" w:color="auto" w:fill="FFFFFF"/>
        <w:spacing w:beforeAutospacing="0" w:afterAutospacing="0" w:line="555" w:lineRule="atLeast"/>
        <w:ind w:firstLine="620" w:firstLineChars="200"/>
        <w:rPr>
          <w:rFonts w:hint="eastAsia" w:ascii="仿宋_GB2312" w:hAnsi="SourceHanSansCN-Regular" w:eastAsia="仿宋_GB2312" w:cs="仿宋_GB2312"/>
          <w:color w:val="333333"/>
          <w:sz w:val="31"/>
          <w:szCs w:val="31"/>
          <w:shd w:val="clear" w:color="auto" w:fill="FFFFFF"/>
        </w:rPr>
      </w:pPr>
      <w:r>
        <w:rPr>
          <w:rFonts w:hint="eastAsia" w:ascii="仿宋_GB2312" w:hAnsi="SourceHanSansCN-Regular" w:eastAsia="仿宋_GB2312" w:cs="仿宋_GB2312"/>
          <w:color w:val="333333"/>
          <w:sz w:val="31"/>
          <w:szCs w:val="31"/>
          <w:shd w:val="clear" w:color="auto" w:fill="FFFFFF"/>
        </w:rPr>
        <w:t>（二）公民参与政务公开工作的意识单薄，网上互动不够。尽管政务公开也做了大量的宣传工作，但人民群众对政务公开的认识重视不够，对于非公开的内容界定不理解，对于依法申请公开的流程认识不到位。</w:t>
      </w:r>
    </w:p>
    <w:p>
      <w:pPr>
        <w:pStyle w:val="4"/>
        <w:widowControl/>
        <w:shd w:val="clear" w:color="auto" w:fill="FFFFFF"/>
        <w:spacing w:beforeAutospacing="0" w:afterAutospacing="0" w:line="555" w:lineRule="atLeast"/>
        <w:ind w:firstLine="645"/>
        <w:rPr>
          <w:rFonts w:ascii="SourceHanSansCN-Regular" w:hAnsi="SourceHanSansCN-Regular" w:eastAsia="SourceHanSansCN-Regular" w:cs="SourceHanSansCN-Regular"/>
          <w:color w:val="333333"/>
          <w:sz w:val="25"/>
          <w:szCs w:val="25"/>
        </w:rPr>
      </w:pPr>
      <w:r>
        <w:rPr>
          <w:rFonts w:hint="eastAsia" w:ascii="仿宋_GB2312" w:hAnsi="SourceHanSansCN-Regular" w:eastAsia="仿宋_GB2312" w:cs="仿宋_GB2312"/>
          <w:color w:val="333333"/>
          <w:sz w:val="31"/>
          <w:szCs w:val="31"/>
          <w:shd w:val="clear" w:color="auto" w:fill="FFFFFF"/>
        </w:rPr>
        <w:t>在下一年度，针对存在的问题，我单位将继续高度重视政府信息公开工作，对工作中存在的问题从以下方面进行整改：</w:t>
      </w:r>
    </w:p>
    <w:p>
      <w:pPr>
        <w:pStyle w:val="4"/>
        <w:widowControl/>
        <w:shd w:val="clear" w:color="auto" w:fill="FFFFFF"/>
        <w:spacing w:beforeAutospacing="0" w:afterAutospacing="0" w:line="555" w:lineRule="atLeast"/>
        <w:ind w:firstLine="620" w:firstLineChars="200"/>
        <w:rPr>
          <w:rFonts w:hint="eastAsia" w:ascii="仿宋_GB2312" w:hAnsi="SourceHanSansCN-Regular" w:eastAsia="仿宋_GB2312" w:cs="仿宋_GB2312"/>
          <w:color w:val="333333"/>
          <w:sz w:val="31"/>
          <w:szCs w:val="31"/>
          <w:shd w:val="clear" w:color="auto" w:fill="FFFFFF"/>
        </w:rPr>
      </w:pPr>
      <w:r>
        <w:rPr>
          <w:rFonts w:hint="eastAsia" w:ascii="仿宋_GB2312" w:hAnsi="SourceHanSansCN-Regular" w:eastAsia="仿宋_GB2312" w:cs="仿宋_GB2312"/>
          <w:color w:val="333333"/>
          <w:sz w:val="31"/>
          <w:szCs w:val="31"/>
          <w:shd w:val="clear" w:color="auto" w:fill="FFFFFF"/>
        </w:rPr>
        <w:t>一是加强宣传，提高人民群众参政议政水平，完善社会监督机制。要运用多种媒介加大政务公开的宣传力度，让广大人民群众熟悉政务公开，提高参政议政水平，进一步建立健全内外并举的监督制约、督办督察工作机制，将政务公开置于上级领导部门、社会各界、各新闻媒体的监督之下。</w:t>
      </w:r>
    </w:p>
    <w:p>
      <w:pPr>
        <w:pStyle w:val="4"/>
        <w:widowControl/>
        <w:shd w:val="clear" w:color="auto" w:fill="FFFFFF"/>
        <w:spacing w:beforeAutospacing="0" w:afterAutospacing="0" w:line="555" w:lineRule="atLeast"/>
        <w:ind w:firstLine="620" w:firstLineChars="200"/>
        <w:rPr>
          <w:rFonts w:hint="eastAsia" w:ascii="仿宋_GB2312" w:hAnsi="SourceHanSansCN-Regular" w:eastAsia="仿宋_GB2312" w:cs="仿宋_GB2312"/>
          <w:color w:val="333333"/>
          <w:sz w:val="31"/>
          <w:szCs w:val="31"/>
          <w:shd w:val="clear" w:color="auto" w:fill="FFFFFF"/>
        </w:rPr>
      </w:pPr>
      <w:r>
        <w:rPr>
          <w:rFonts w:hint="eastAsia" w:ascii="仿宋_GB2312" w:hAnsi="SourceHanSansCN-Regular" w:eastAsia="仿宋_GB2312" w:cs="仿宋_GB2312"/>
          <w:color w:val="333333"/>
          <w:sz w:val="31"/>
          <w:szCs w:val="31"/>
          <w:shd w:val="clear" w:color="auto" w:fill="FFFFFF"/>
        </w:rPr>
        <w:t>二是加强培训教育，造就一支具有现代公共管理知识和理念的政务公开队伍。加强服务意识、专业技能教育，造就一批政务公开的专门人才。</w:t>
      </w:r>
    </w:p>
    <w:p>
      <w:pPr>
        <w:widowControl/>
        <w:shd w:val="clear" w:color="auto" w:fill="FFFFFF"/>
        <w:wordWrap w:val="0"/>
        <w:spacing w:line="640" w:lineRule="atLeast"/>
        <w:ind w:firstLine="640"/>
        <w:rPr>
          <w:rFonts w:ascii="仿宋" w:hAnsi="仿宋" w:eastAsia="仿宋" w:cs="仿宋"/>
          <w:b/>
          <w:color w:val="333333"/>
          <w:sz w:val="32"/>
          <w:szCs w:val="32"/>
          <w:shd w:val="clear" w:color="auto" w:fill="FFFFFF"/>
        </w:rPr>
      </w:pPr>
      <w:r>
        <w:rPr>
          <w:rFonts w:hint="eastAsia" w:ascii="仿宋_GB2312" w:hAnsi="SourceHanSansCN-Regular" w:eastAsia="仿宋_GB2312" w:cs="仿宋_GB2312"/>
          <w:color w:val="333333"/>
          <w:sz w:val="31"/>
          <w:szCs w:val="31"/>
          <w:shd w:val="clear" w:color="auto" w:fill="FFFFFF"/>
        </w:rPr>
        <w:t>三是提升公民意识，促进转变政务公开职能。树立服务、平等的沟通意识，充分认识群众对于新媒体政务公开的重要性，加大基层政府的职能转变，转变传统管理理念思想，真正转变到服务群众的理念上来，优化处理信息公关危机的能力，强化思想认识，时刻做好政务公开等信息公开危机公关备战状态。加大群众对政务公开的满意度测评和意见反馈频率，真正把服务理念贯穿始终，取计于民、用计于民。</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黑体"/>
          <w:bCs/>
          <w:color w:val="333333"/>
          <w:sz w:val="32"/>
          <w:szCs w:val="32"/>
        </w:rPr>
      </w:pPr>
      <w:bookmarkStart w:id="0" w:name="_GoBack"/>
      <w:bookmarkEnd w:id="0"/>
      <w:r>
        <w:rPr>
          <w:rFonts w:hint="eastAsia" w:ascii="黑体" w:hAnsi="黑体" w:eastAsia="黑体" w:cs="黑体"/>
          <w:bCs/>
          <w:color w:val="333333"/>
          <w:sz w:val="32"/>
          <w:szCs w:val="32"/>
          <w:shd w:val="clear" w:color="auto"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宋体" w:eastAsia="仿宋_GB2312" w:cs="仿宋_GB2312"/>
          <w:i w:val="0"/>
          <w:iCs w:val="0"/>
          <w:caps w:val="0"/>
          <w:color w:val="auto"/>
          <w:spacing w:val="0"/>
          <w:sz w:val="32"/>
          <w:szCs w:val="32"/>
          <w:shd w:val="clear" w:fill="FFFFFF"/>
        </w:rPr>
      </w:pPr>
      <w:r>
        <w:rPr>
          <w:rFonts w:hint="eastAsia" w:ascii="仿宋_GB2312" w:hAnsi="宋体" w:eastAsia="仿宋_GB2312" w:cs="仿宋_GB2312"/>
          <w:i w:val="0"/>
          <w:iCs w:val="0"/>
          <w:caps w:val="0"/>
          <w:color w:val="auto"/>
          <w:spacing w:val="0"/>
          <w:sz w:val="32"/>
          <w:szCs w:val="32"/>
          <w:shd w:val="clear" w:fill="FFFFFF"/>
        </w:rPr>
        <w:t>本年度依申请公开政府信息未收取任何费用。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宋体" w:eastAsia="仿宋_GB2312" w:cs="仿宋_GB2312"/>
          <w:i w:val="0"/>
          <w:iCs w:val="0"/>
          <w:caps w:val="0"/>
          <w:color w:val="auto"/>
          <w:spacing w:val="0"/>
          <w:sz w:val="32"/>
          <w:szCs w:val="32"/>
          <w:shd w:val="clear" w:fill="FFFFFF"/>
        </w:rPr>
      </w:pPr>
      <w:r>
        <w:rPr>
          <w:rFonts w:hint="eastAsia" w:ascii="仿宋_GB2312" w:hAnsi="宋体" w:eastAsia="仿宋_GB2312" w:cs="仿宋_GB2312"/>
          <w:i w:val="0"/>
          <w:iCs w:val="0"/>
          <w:caps w:val="0"/>
          <w:color w:val="auto"/>
          <w:spacing w:val="0"/>
          <w:sz w:val="32"/>
          <w:szCs w:val="32"/>
          <w:shd w:val="clear" w:fill="FFFFFF"/>
        </w:rPr>
        <w:t>如需了解更多政府信息，请登录上高县人民政府网（</w:t>
      </w:r>
      <w:r>
        <w:rPr>
          <w:rFonts w:hint="default" w:ascii="仿宋_GB2312" w:hAnsi="宋体" w:eastAsia="仿宋_GB2312" w:cs="仿宋_GB2312"/>
          <w:i w:val="0"/>
          <w:iCs w:val="0"/>
          <w:caps w:val="0"/>
          <w:color w:val="auto"/>
          <w:spacing w:val="0"/>
          <w:sz w:val="32"/>
          <w:szCs w:val="32"/>
          <w:shd w:val="clear" w:fill="FFFFFF"/>
        </w:rPr>
        <w:t>http://www.shanggao.gov.cn</w:t>
      </w:r>
      <w:r>
        <w:rPr>
          <w:rFonts w:hint="eastAsia" w:ascii="仿宋_GB2312" w:hAnsi="宋体" w:eastAsia="仿宋_GB2312" w:cs="仿宋_GB2312"/>
          <w:i w:val="0"/>
          <w:iCs w:val="0"/>
          <w:caps w:val="0"/>
          <w:color w:val="auto"/>
          <w:spacing w:val="0"/>
          <w:sz w:val="32"/>
          <w:szCs w:val="32"/>
          <w:shd w:val="clear" w:fill="FFFFFF"/>
        </w:rPr>
        <w:t>）查询。</w:t>
      </w:r>
    </w:p>
    <w:p>
      <w:pPr>
        <w:pStyle w:val="4"/>
        <w:widowControl/>
        <w:spacing w:beforeAutospacing="0" w:afterAutospacing="0" w:line="600" w:lineRule="exact"/>
        <w:ind w:firstLine="640" w:firstLineChars="2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EE16EA-20DD-47F5-BBCE-7A93D510923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D152C8C7-F43E-4B0A-A250-FFAF4C4D8A08}"/>
  </w:font>
  <w:font w:name="方正小标宋简体">
    <w:panose1 w:val="02000000000000000000"/>
    <w:charset w:val="86"/>
    <w:family w:val="auto"/>
    <w:pitch w:val="default"/>
    <w:sig w:usb0="00000001" w:usb1="08000000" w:usb2="00000000" w:usb3="00000000" w:csb0="00040000" w:csb1="00000000"/>
    <w:embedRegular r:id="rId3" w:fontKey="{313D8FC6-6F27-4391-AFD6-7C5D6C62929B}"/>
  </w:font>
  <w:font w:name="仿宋">
    <w:panose1 w:val="02010609060101010101"/>
    <w:charset w:val="86"/>
    <w:family w:val="modern"/>
    <w:pitch w:val="default"/>
    <w:sig w:usb0="800002BF" w:usb1="38CF7CFA" w:usb2="00000016" w:usb3="00000000" w:csb0="00040001" w:csb1="00000000"/>
    <w:embedRegular r:id="rId4" w:fontKey="{FC86FC73-906A-4246-A328-8576E7B029B8}"/>
  </w:font>
  <w:font w:name="楷体">
    <w:panose1 w:val="02010609060101010101"/>
    <w:charset w:val="86"/>
    <w:family w:val="modern"/>
    <w:pitch w:val="default"/>
    <w:sig w:usb0="800002BF" w:usb1="38CF7CFA" w:usb2="00000016" w:usb3="00000000" w:csb0="00040001" w:csb1="00000000"/>
    <w:embedRegular r:id="rId5" w:fontKey="{A3530523-0B5E-4E9E-8C30-4B344FC20BDE}"/>
  </w:font>
  <w:font w:name="仿宋_GB2312">
    <w:panose1 w:val="02010609030101010101"/>
    <w:charset w:val="86"/>
    <w:family w:val="modern"/>
    <w:pitch w:val="default"/>
    <w:sig w:usb0="00000001" w:usb1="080E0000" w:usb2="00000000" w:usb3="00000000" w:csb0="00040000" w:csb1="00000000"/>
    <w:embedRegular r:id="rId6" w:fontKey="{8FD457F3-3EC7-4A42-8F26-2EC15FC16F34}"/>
  </w:font>
  <w:font w:name="SourceHanSansCN-Regular">
    <w:altName w:val="Segoe Print"/>
    <w:panose1 w:val="00000000000000000000"/>
    <w:charset w:val="00"/>
    <w:family w:val="auto"/>
    <w:pitch w:val="default"/>
    <w:sig w:usb0="00000000" w:usb1="00000000" w:usb2="00000000" w:usb3="00000000" w:csb0="00000000" w:csb1="00000000"/>
    <w:embedRegular r:id="rId7" w:fontKey="{71074FCB-9BA5-4824-84F4-5B3ABE6C20A5}"/>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E685D"/>
    <w:multiLevelType w:val="singleLevel"/>
    <w:tmpl w:val="A48E685D"/>
    <w:lvl w:ilvl="0" w:tentative="0">
      <w:start w:val="2"/>
      <w:numFmt w:val="chineseCounting"/>
      <w:suff w:val="nothing"/>
      <w:lvlText w:val="（%1）"/>
      <w:lvlJc w:val="left"/>
      <w:rPr>
        <w:rFonts w:hint="eastAsia"/>
      </w:rPr>
    </w:lvl>
  </w:abstractNum>
  <w:abstractNum w:abstractNumId="1">
    <w:nsid w:val="E49DB681"/>
    <w:multiLevelType w:val="singleLevel"/>
    <w:tmpl w:val="E49DB68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U3NmI3NWMxZTBjMDgwMGM4MmUzMTNhNmJlMzlhNDAifQ=="/>
  </w:docVars>
  <w:rsids>
    <w:rsidRoot w:val="004548C2"/>
    <w:rsid w:val="003D6D9D"/>
    <w:rsid w:val="004548C2"/>
    <w:rsid w:val="00853BFC"/>
    <w:rsid w:val="00AE7370"/>
    <w:rsid w:val="01BB2947"/>
    <w:rsid w:val="03CA1FAF"/>
    <w:rsid w:val="040354C1"/>
    <w:rsid w:val="06B50CF4"/>
    <w:rsid w:val="072F4BA5"/>
    <w:rsid w:val="09414AC1"/>
    <w:rsid w:val="0AE0030A"/>
    <w:rsid w:val="0D907DC5"/>
    <w:rsid w:val="0F3B1AB4"/>
    <w:rsid w:val="0F42566A"/>
    <w:rsid w:val="0FE32618"/>
    <w:rsid w:val="112A22DF"/>
    <w:rsid w:val="12635443"/>
    <w:rsid w:val="129C0FBA"/>
    <w:rsid w:val="17534F7D"/>
    <w:rsid w:val="19C57049"/>
    <w:rsid w:val="1B612DA1"/>
    <w:rsid w:val="1B931963"/>
    <w:rsid w:val="1CC8565A"/>
    <w:rsid w:val="1DD82400"/>
    <w:rsid w:val="1E743B39"/>
    <w:rsid w:val="1F837F93"/>
    <w:rsid w:val="2063580D"/>
    <w:rsid w:val="20884E5A"/>
    <w:rsid w:val="2351533C"/>
    <w:rsid w:val="23B06487"/>
    <w:rsid w:val="2480713E"/>
    <w:rsid w:val="24FE6B54"/>
    <w:rsid w:val="25A0096A"/>
    <w:rsid w:val="267A11BB"/>
    <w:rsid w:val="26C64400"/>
    <w:rsid w:val="28D52373"/>
    <w:rsid w:val="28E14ECF"/>
    <w:rsid w:val="296056EF"/>
    <w:rsid w:val="29C27101"/>
    <w:rsid w:val="2A6B083E"/>
    <w:rsid w:val="2A6C52BE"/>
    <w:rsid w:val="2B612949"/>
    <w:rsid w:val="31877DA3"/>
    <w:rsid w:val="319141FB"/>
    <w:rsid w:val="31F77B64"/>
    <w:rsid w:val="32384404"/>
    <w:rsid w:val="326A6587"/>
    <w:rsid w:val="352C3F0E"/>
    <w:rsid w:val="383E5E1E"/>
    <w:rsid w:val="385555E4"/>
    <w:rsid w:val="3BBA2113"/>
    <w:rsid w:val="3F012022"/>
    <w:rsid w:val="3F0478AD"/>
    <w:rsid w:val="402F0FF8"/>
    <w:rsid w:val="40DA0792"/>
    <w:rsid w:val="42FE0D52"/>
    <w:rsid w:val="45790B64"/>
    <w:rsid w:val="45EF0E26"/>
    <w:rsid w:val="46C6427C"/>
    <w:rsid w:val="47C66E25"/>
    <w:rsid w:val="494F0E2C"/>
    <w:rsid w:val="49E109A3"/>
    <w:rsid w:val="4A1B48DF"/>
    <w:rsid w:val="4B6A4464"/>
    <w:rsid w:val="4BFE6267"/>
    <w:rsid w:val="4C7B3413"/>
    <w:rsid w:val="4CC46F86"/>
    <w:rsid w:val="4DE26281"/>
    <w:rsid w:val="4F960564"/>
    <w:rsid w:val="4FA932E0"/>
    <w:rsid w:val="519D4381"/>
    <w:rsid w:val="55646B1D"/>
    <w:rsid w:val="55803011"/>
    <w:rsid w:val="566E50F8"/>
    <w:rsid w:val="56857A37"/>
    <w:rsid w:val="597162CA"/>
    <w:rsid w:val="5A820277"/>
    <w:rsid w:val="5B0171D9"/>
    <w:rsid w:val="5BA73E5A"/>
    <w:rsid w:val="5E645F1C"/>
    <w:rsid w:val="5EEE216B"/>
    <w:rsid w:val="5F824661"/>
    <w:rsid w:val="5FC33992"/>
    <w:rsid w:val="5FCE6A83"/>
    <w:rsid w:val="604069F6"/>
    <w:rsid w:val="6051650D"/>
    <w:rsid w:val="6108078D"/>
    <w:rsid w:val="614B7254"/>
    <w:rsid w:val="64A731BE"/>
    <w:rsid w:val="673B0780"/>
    <w:rsid w:val="67734394"/>
    <w:rsid w:val="678E44EB"/>
    <w:rsid w:val="68B47F81"/>
    <w:rsid w:val="692E12ED"/>
    <w:rsid w:val="6A0A31AD"/>
    <w:rsid w:val="6AB53B3C"/>
    <w:rsid w:val="6EB526D3"/>
    <w:rsid w:val="6EC41F3F"/>
    <w:rsid w:val="6F8A1A3C"/>
    <w:rsid w:val="70E5061D"/>
    <w:rsid w:val="71A010A2"/>
    <w:rsid w:val="720A441E"/>
    <w:rsid w:val="72113F71"/>
    <w:rsid w:val="73243F55"/>
    <w:rsid w:val="74C50E20"/>
    <w:rsid w:val="788C45A4"/>
    <w:rsid w:val="7A3251AA"/>
    <w:rsid w:val="7B00167F"/>
    <w:rsid w:val="7B440FF1"/>
    <w:rsid w:val="7B825A16"/>
    <w:rsid w:val="7BAD6C78"/>
    <w:rsid w:val="7D553689"/>
    <w:rsid w:val="7D7C7DE7"/>
    <w:rsid w:val="7FA97C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2343</Words>
  <Characters>2436</Characters>
  <Lines>671</Lines>
  <Paragraphs>660</Paragraphs>
  <TotalTime>0</TotalTime>
  <ScaleCrop>false</ScaleCrop>
  <LinksUpToDate>false</LinksUpToDate>
  <CharactersWithSpaces>2436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cp:lastPrinted>2022-01-04T07:43:00Z</cp:lastPrinted>
  <dcterms:modified xsi:type="dcterms:W3CDTF">2023-03-17T09:48:13Z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360424E859EF434884620E28837CE256</vt:lpwstr>
  </property>
</Properties>
</file>