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ascii="仿宋_GB2312" w:hAnsi="Calibri" w:eastAsia="仿宋_GB2312" w:cs="仿宋_GB2312"/>
          <w:bCs/>
          <w:color w:val="333333"/>
          <w:kern w:val="0"/>
          <w:sz w:val="32"/>
          <w:szCs w:val="32"/>
          <w:shd w:val="clear" w:fill="FFFFFF"/>
        </w:rPr>
        <w:t>本报告由上高县畜牧水产局根据《中华人民共和国政府信息公开条例</w:t>
      </w:r>
      <w:r>
        <w:rPr>
          <w:rFonts w:hint="eastAsia" w:ascii="仿宋_GB2312" w:hAnsi="Calibri" w:eastAsia="仿宋_GB2312" w:cs="仿宋_GB2312"/>
          <w:bCs/>
          <w:color w:val="333333"/>
          <w:kern w:val="0"/>
          <w:sz w:val="32"/>
          <w:szCs w:val="32"/>
          <w:shd w:val="clear" w:fill="FFFFFF"/>
        </w:rPr>
        <w:t>》（国务院令第711号，以下简称新《条例》）规定编制。本报告所列统计数据期限由2022年1月1日起至2022年12月31日止,电子版可以从上高县人民政府</w:t>
      </w:r>
      <w:r>
        <w:rPr>
          <w:rFonts w:ascii="微软雅黑" w:hAnsi="微软雅黑" w:eastAsia="微软雅黑" w:cs="微软雅黑"/>
          <w:i w:val="0"/>
          <w:iCs w:val="0"/>
          <w:caps w:val="0"/>
          <w:color w:val="000000"/>
          <w:spacing w:val="0"/>
          <w:kern w:val="0"/>
          <w:sz w:val="26"/>
          <w:szCs w:val="26"/>
          <w:shd w:val="clear" w:fill="FFFFFF"/>
        </w:rPr>
        <w:t>（</w:t>
      </w:r>
      <w:r>
        <w:rPr>
          <w:rFonts w:hint="eastAsia" w:ascii="微软雅黑" w:hAnsi="微软雅黑" w:eastAsia="微软雅黑" w:cs="微软雅黑"/>
          <w:i w:val="0"/>
          <w:iCs w:val="0"/>
          <w:caps w:val="0"/>
          <w:spacing w:val="0"/>
          <w:kern w:val="0"/>
          <w:sz w:val="26"/>
          <w:szCs w:val="26"/>
          <w:shd w:val="clear" w:fill="FFFFFF"/>
        </w:rPr>
        <w:fldChar w:fldCharType="begin"/>
      </w:r>
      <w:r>
        <w:rPr>
          <w:rFonts w:hint="eastAsia" w:ascii="微软雅黑" w:hAnsi="微软雅黑" w:eastAsia="微软雅黑" w:cs="微软雅黑"/>
          <w:i w:val="0"/>
          <w:iCs w:val="0"/>
          <w:caps w:val="0"/>
          <w:spacing w:val="0"/>
          <w:kern w:val="0"/>
          <w:sz w:val="26"/>
          <w:szCs w:val="26"/>
          <w:shd w:val="clear" w:fill="FFFFFF"/>
        </w:rPr>
        <w:instrText xml:space="preserve"> HYPERLINK "http://www.shanggao.gov.cn" </w:instrText>
      </w:r>
      <w:r>
        <w:rPr>
          <w:rFonts w:hint="eastAsia" w:ascii="微软雅黑" w:hAnsi="微软雅黑" w:eastAsia="微软雅黑" w:cs="微软雅黑"/>
          <w:i w:val="0"/>
          <w:iCs w:val="0"/>
          <w:caps w:val="0"/>
          <w:spacing w:val="0"/>
          <w:kern w:val="0"/>
          <w:sz w:val="26"/>
          <w:szCs w:val="26"/>
          <w:shd w:val="clear" w:fill="FFFFFF"/>
        </w:rPr>
        <w:fldChar w:fldCharType="separate"/>
      </w:r>
      <w:r>
        <w:rPr>
          <w:rStyle w:val="5"/>
          <w:rFonts w:hint="eastAsia" w:ascii="微软雅黑" w:hAnsi="微软雅黑" w:eastAsia="微软雅黑" w:cs="微软雅黑"/>
          <w:i w:val="0"/>
          <w:iCs w:val="0"/>
          <w:caps w:val="0"/>
          <w:spacing w:val="0"/>
          <w:kern w:val="0"/>
          <w:sz w:val="26"/>
          <w:szCs w:val="26"/>
          <w:shd w:val="clear" w:fill="FFFFFF"/>
        </w:rPr>
        <w:t>http://www.shanggao.gov.cn</w:t>
      </w:r>
      <w:r>
        <w:rPr>
          <w:rFonts w:hint="eastAsia" w:ascii="微软雅黑" w:hAnsi="微软雅黑" w:eastAsia="微软雅黑" w:cs="微软雅黑"/>
          <w:i w:val="0"/>
          <w:iCs w:val="0"/>
          <w:caps w:val="0"/>
          <w:spacing w:val="0"/>
          <w:kern w:val="0"/>
          <w:sz w:val="26"/>
          <w:szCs w:val="26"/>
          <w:shd w:val="clear" w:fill="FFFFFF"/>
        </w:rPr>
        <w:fldChar w:fldCharType="end"/>
      </w:r>
      <w:r>
        <w:rPr>
          <w:rFonts w:hint="eastAsia" w:ascii="微软雅黑" w:hAnsi="微软雅黑" w:eastAsia="微软雅黑" w:cs="微软雅黑"/>
          <w:i w:val="0"/>
          <w:iCs w:val="0"/>
          <w:caps w:val="0"/>
          <w:color w:val="000000"/>
          <w:spacing w:val="0"/>
          <w:kern w:val="0"/>
          <w:sz w:val="26"/>
          <w:szCs w:val="26"/>
          <w:shd w:val="clear" w:fill="FFFFFF"/>
        </w:rPr>
        <w:t>）</w:t>
      </w:r>
      <w:r>
        <w:rPr>
          <w:rFonts w:hint="eastAsia" w:ascii="仿宋_GB2312" w:hAnsi="Calibri" w:eastAsia="仿宋_GB2312" w:cs="仿宋_GB2312"/>
          <w:bCs/>
          <w:color w:val="333333"/>
          <w:kern w:val="0"/>
          <w:sz w:val="32"/>
          <w:szCs w:val="32"/>
          <w:shd w:val="clear" w:fill="FFFFFF"/>
        </w:rPr>
        <w:t>下载。如对本报告有任何疑问，请与上高县畜牧水产局联系（地址：上高县镜山大道3号，电话：0795-2521920，邮编：336400）。</w:t>
      </w:r>
    </w:p>
    <w:p>
      <w:pPr>
        <w:pStyle w:val="2"/>
        <w:keepNext w:val="0"/>
        <w:keepLines w:val="0"/>
        <w:widowControl/>
        <w:suppressLineNumbers w:val="0"/>
        <w:shd w:val="clear" w:fill="FFFFFF"/>
        <w:spacing w:before="0" w:beforeAutospacing="1" w:after="0" w:afterAutospacing="1" w:line="560" w:lineRule="exact"/>
        <w:ind w:left="0" w:right="0" w:firstLine="640" w:firstLineChars="200"/>
        <w:jc w:val="both"/>
      </w:pPr>
      <w:r>
        <w:rPr>
          <w:rFonts w:ascii="黑体" w:hAnsi="宋体" w:eastAsia="黑体" w:cs="黑体"/>
          <w:bCs/>
          <w:color w:val="000000"/>
          <w:kern w:val="32"/>
          <w:sz w:val="32"/>
          <w:szCs w:val="32"/>
          <w:shd w:val="clear" w:fill="FFFFFF"/>
        </w:rPr>
        <w:t>一、总体情况</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2022年上高县畜牧水产局局坚持以习近平新时代中国特色社会主义思想为指导，全面贯彻党的系列全会以及中央经济工作会议、中央农村工作会议精神，围绕上级有关政府信息公开工作的具体部署：一是明确任务，落实责任。局领导高度重视，明确分工，制定工作目标、任务、责任分工等，确保政府信息公开工作的顺利推进；二是坚持公开信息审查机制。我局规定，凡是需通过市政府信息公开平台及政府网站等向社会主动公开的信息，都必须经分管领导进行严格把关以及保密审查后公开。紧紧围绕社会群众的关切问题，着力提升政府信息公开质量，推进拓宽政府信息公开渠道，不断增强政府信息公开实效。</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（一）主动公开情况</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2022年，上高县畜牧水产局以政务公开网站为平台，充分利用政务新媒体平台优势，全方位、多渠道地推进主动公开政府信息工作。不断强化网站安全管理、信息采编审核、网站集约化建设等工作，不断优化、完善政府信息公开目录，为群众提供政府信息的查询等服务。2022年主动公开政府信息15条（行政许可）。</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（二）依申请公开情况</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2022年，我局未收到自然人、法人或其他组织的依申请件，全年未发生信息公开类行政复议、行政诉讼案件。</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（三）政府信息管理</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按照《条例》规定，逐项分解下达年度政府信息公开任务到责任站室，在全局范围内广泛收集最新工作动态，严格按照《条例》及时公开政府信息，确保信息公开及时、迅速。</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（四）公开平台建设</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为进一步拓宽我局联系、服务群众渠道，扩大对外宣传力度，提高工作透明度，所有的信息公开均层层把关，定期更新工作动态，对更新不及时，提供资料不及时的，予以督催，必要情况下予以通报批评。</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（五）监督保障</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bCs/>
          <w:color w:val="333333"/>
          <w:kern w:val="0"/>
          <w:sz w:val="32"/>
          <w:szCs w:val="32"/>
          <w:shd w:val="clear" w:fill="FFFFFF"/>
        </w:rPr>
        <w:t>按照政府信息公开规范要求，结合我局实际，对政府信息公开的保密审查、信息送交、统计报送等具体工作进行规范。开展隐私排查工作，对已发布信息逐条排查，进一步加强对公民个人隐私的保护，依法依规维护好人民群众的切身利益，促进政府信息公开工作走上制度化、规范化的轨道。</w:t>
      </w:r>
    </w:p>
    <w:p>
      <w:pPr>
        <w:pStyle w:val="2"/>
        <w:keepNext w:val="0"/>
        <w:keepLines w:val="0"/>
        <w:widowControl w:val="0"/>
        <w:suppressLineNumbers w:val="0"/>
        <w:shd w:val="clear" w:fill="FFFFFF"/>
        <w:autoSpaceDE w:val="0"/>
        <w:autoSpaceDN/>
        <w:spacing w:before="0" w:beforeAutospacing="0" w:after="0" w:afterAutospacing="0" w:line="560" w:lineRule="exact"/>
        <w:ind w:left="0" w:right="0"/>
        <w:jc w:val="both"/>
      </w:pPr>
      <w:r>
        <w:rPr>
          <w:rFonts w:hint="default" w:ascii="Calibri" w:hAnsi="Calibri" w:eastAsia="宋体" w:cs="Times New Roman"/>
          <w:kern w:val="0"/>
          <w:sz w:val="24"/>
          <w:szCs w:val="24"/>
          <w:shd w:val="clear" w:fill="FFFFFF"/>
        </w:rPr>
        <w:t> </w:t>
      </w:r>
    </w:p>
    <w:p>
      <w:pPr>
        <w:pStyle w:val="2"/>
        <w:keepNext w:val="0"/>
        <w:keepLines w:val="0"/>
        <w:widowControl w:val="0"/>
        <w:suppressLineNumbers w:val="0"/>
        <w:shd w:val="clear" w:fill="FFFFFF"/>
        <w:spacing w:before="0" w:beforeAutospacing="1" w:after="0" w:afterAutospacing="1" w:line="600" w:lineRule="exact"/>
        <w:ind w:left="0" w:right="0"/>
        <w:jc w:val="both"/>
      </w:pPr>
      <w:r>
        <w:rPr>
          <w:rFonts w:hint="default" w:ascii="Calibri" w:hAnsi="Calibri" w:eastAsia="宋体" w:cs="Times New Roman"/>
          <w:kern w:val="0"/>
          <w:sz w:val="24"/>
          <w:szCs w:val="24"/>
          <w:shd w:val="clear" w:fill="FFFFFF"/>
        </w:rPr>
        <w:t> </w:t>
      </w:r>
    </w:p>
    <w:p>
      <w:pPr>
        <w:pStyle w:val="2"/>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rPr>
        <w:t>二、主动公开政府信息情况</w:t>
      </w:r>
    </w:p>
    <w:tbl>
      <w:tblPr>
        <w:tblW w:w="9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435"/>
        <w:gridCol w:w="2156"/>
        <w:gridCol w:w="2410"/>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2156"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本年制发件数</w:t>
            </w:r>
          </w:p>
        </w:tc>
        <w:tc>
          <w:tcPr>
            <w:tcW w:w="2410"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本年废止件数</w:t>
            </w:r>
          </w:p>
        </w:tc>
        <w:tc>
          <w:tcPr>
            <w:tcW w:w="2126"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规章</w:t>
            </w:r>
          </w:p>
        </w:tc>
        <w:tc>
          <w:tcPr>
            <w:tcW w:w="215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41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12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行政规范性文件</w:t>
            </w:r>
          </w:p>
        </w:tc>
        <w:tc>
          <w:tcPr>
            <w:tcW w:w="215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41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 0</w:t>
            </w:r>
          </w:p>
        </w:tc>
        <w:tc>
          <w:tcPr>
            <w:tcW w:w="212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行政许可</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6692"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行政处罚</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行政强制</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6692" w:type="dxa"/>
            <w:gridSpan w:val="3"/>
            <w:tcBorders>
              <w:top w:val="nil"/>
              <w:left w:val="nil"/>
              <w:bottom w:val="single" w:color="auto" w:sz="4"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行政事业性收费</w:t>
            </w:r>
          </w:p>
        </w:tc>
        <w:tc>
          <w:tcPr>
            <w:tcW w:w="6692" w:type="dxa"/>
            <w:gridSpan w:val="3"/>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 xml:space="preserve">0 </w:t>
            </w:r>
          </w:p>
        </w:tc>
      </w:tr>
    </w:tbl>
    <w:p>
      <w:pPr>
        <w:pStyle w:val="2"/>
        <w:keepNext w:val="0"/>
        <w:keepLines w:val="0"/>
        <w:widowControl/>
        <w:suppressLineNumbers w:val="0"/>
        <w:shd w:val="clear" w:fill="FFFFFF"/>
        <w:spacing w:before="0" w:beforeAutospacing="1" w:after="0" w:afterAutospacing="1" w:line="240" w:lineRule="atLeast"/>
        <w:ind w:left="0" w:right="0" w:firstLine="420"/>
        <w:jc w:val="both"/>
      </w:pPr>
      <w:r>
        <w:rPr>
          <w:rFonts w:hint="eastAsia" w:ascii="黑体" w:hAnsi="宋体" w:eastAsia="黑体" w:cs="黑体"/>
          <w:b/>
          <w:bCs/>
          <w:color w:val="000000"/>
          <w:kern w:val="0"/>
          <w:sz w:val="32"/>
          <w:szCs w:val="32"/>
          <w:shd w:val="clear" w:fill="FFFFFF"/>
        </w:rPr>
        <w:t> </w:t>
      </w:r>
    </w:p>
    <w:p>
      <w:pPr>
        <w:pStyle w:val="2"/>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rPr>
        <w:t>三、收到和处理政府信息公开申请情况</w:t>
      </w:r>
    </w:p>
    <w:tbl>
      <w:tblPr>
        <w:tblW w:w="87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89" w:type="dxa"/>
            <w:vMerge w:val="restart"/>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自然人</w:t>
            </w:r>
          </w:p>
        </w:tc>
        <w:tc>
          <w:tcPr>
            <w:tcW w:w="2605" w:type="dxa"/>
            <w:gridSpan w:val="5"/>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89" w:type="dxa"/>
            <w:vMerge w:val="continue"/>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94" w:type="dxa"/>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商业</w:t>
            </w:r>
          </w:p>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企业</w:t>
            </w:r>
          </w:p>
        </w:tc>
        <w:tc>
          <w:tcPr>
            <w:tcW w:w="414" w:type="dxa"/>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科研</w:t>
            </w:r>
          </w:p>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机构</w:t>
            </w:r>
          </w:p>
        </w:tc>
        <w:tc>
          <w:tcPr>
            <w:tcW w:w="697" w:type="dxa"/>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社会公益组织</w:t>
            </w:r>
          </w:p>
        </w:tc>
        <w:tc>
          <w:tcPr>
            <w:tcW w:w="706" w:type="dxa"/>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法律服务机构</w:t>
            </w:r>
          </w:p>
        </w:tc>
        <w:tc>
          <w:tcPr>
            <w:tcW w:w="394" w:type="dxa"/>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其他</w:t>
            </w:r>
          </w:p>
        </w:tc>
        <w:tc>
          <w:tcPr>
            <w:tcW w:w="524" w:type="dxa"/>
            <w:vMerge w:val="continue"/>
            <w:tcBorders>
              <w:top w:val="single" w:color="auto" w:sz="8"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一、本年新收政府信息公开申请数量</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二、上年结转政府信息公开申请数量</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三、本年度办理结果</w:t>
            </w:r>
          </w:p>
        </w:tc>
        <w:tc>
          <w:tcPr>
            <w:tcW w:w="4154"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（一）予以公开</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54"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（二）部分公开（区分处理的，只计这一情形，不计其他情形）</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firstLine="280" w:firstLineChars="10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restar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（三）不予公开</w:t>
            </w: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属于国家秘密</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其他法律行政法规禁止公开</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危及</w:t>
            </w:r>
            <w:r>
              <w:rPr>
                <w:rFonts w:hint="default" w:ascii="Times New Roman" w:hAnsi="Times New Roman" w:eastAsia="仿宋_GB2312" w:cs="Times New Roman"/>
                <w:color w:val="000000"/>
                <w:kern w:val="2"/>
                <w:sz w:val="28"/>
                <w:szCs w:val="28"/>
                <w:bdr w:val="none" w:color="auto" w:sz="0" w:space="0"/>
                <w:lang w:val="en-US" w:eastAsia="zh-CN" w:bidi="ar"/>
              </w:rPr>
              <w:t>“</w:t>
            </w:r>
            <w:r>
              <w:rPr>
                <w:rFonts w:hint="eastAsia" w:ascii="仿宋_GB2312" w:hAnsi="Times New Roman" w:eastAsia="仿宋_GB2312" w:cs="仿宋_GB2312"/>
                <w:color w:val="000000"/>
                <w:kern w:val="2"/>
                <w:sz w:val="28"/>
                <w:szCs w:val="28"/>
                <w:bdr w:val="none" w:color="auto" w:sz="0" w:space="0"/>
                <w:lang w:val="en-US" w:eastAsia="zh-CN" w:bidi="ar"/>
              </w:rPr>
              <w:t>三安全一稳定</w:t>
            </w:r>
            <w:r>
              <w:rPr>
                <w:rFonts w:hint="default" w:ascii="Times New Roman" w:hAnsi="Times New Roman" w:eastAsia="仿宋_GB2312" w:cs="Times New Roman"/>
                <w:color w:val="000000"/>
                <w:kern w:val="2"/>
                <w:sz w:val="28"/>
                <w:szCs w:val="28"/>
                <w:bdr w:val="none" w:color="auto" w:sz="0" w:space="0"/>
                <w:lang w:val="en-US" w:eastAsia="zh-CN" w:bidi="ar"/>
              </w:rPr>
              <w:t>”</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4.</w:t>
            </w:r>
            <w:r>
              <w:rPr>
                <w:rFonts w:hint="eastAsia" w:ascii="仿宋_GB2312" w:hAnsi="Times New Roman" w:eastAsia="仿宋_GB2312" w:cs="仿宋_GB2312"/>
                <w:color w:val="000000"/>
                <w:kern w:val="2"/>
                <w:sz w:val="28"/>
                <w:szCs w:val="28"/>
                <w:bdr w:val="none" w:color="auto" w:sz="0" w:space="0"/>
                <w:lang w:val="en-US" w:eastAsia="zh-CN" w:bidi="ar"/>
              </w:rPr>
              <w:t>保护第三方合法权益</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5.</w:t>
            </w:r>
            <w:r>
              <w:rPr>
                <w:rFonts w:hint="eastAsia" w:ascii="仿宋_GB2312" w:hAnsi="Times New Roman" w:eastAsia="仿宋_GB2312" w:cs="仿宋_GB2312"/>
                <w:color w:val="000000"/>
                <w:kern w:val="2"/>
                <w:sz w:val="28"/>
                <w:szCs w:val="28"/>
                <w:bdr w:val="none" w:color="auto" w:sz="0" w:space="0"/>
                <w:lang w:val="en-US" w:eastAsia="zh-CN" w:bidi="ar"/>
              </w:rPr>
              <w:t>属于三类内部事务信息</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6.</w:t>
            </w:r>
            <w:r>
              <w:rPr>
                <w:rFonts w:hint="eastAsia" w:ascii="仿宋_GB2312" w:hAnsi="Times New Roman" w:eastAsia="仿宋_GB2312" w:cs="仿宋_GB2312"/>
                <w:color w:val="000000"/>
                <w:kern w:val="2"/>
                <w:sz w:val="28"/>
                <w:szCs w:val="28"/>
                <w:bdr w:val="none" w:color="auto" w:sz="0" w:space="0"/>
                <w:lang w:val="en-US" w:eastAsia="zh-CN" w:bidi="ar"/>
              </w:rPr>
              <w:t>属于四类过程性信息</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7.</w:t>
            </w:r>
            <w:r>
              <w:rPr>
                <w:rFonts w:hint="eastAsia" w:ascii="仿宋_GB2312" w:hAnsi="Times New Roman" w:eastAsia="仿宋_GB2312" w:cs="仿宋_GB2312"/>
                <w:color w:val="000000"/>
                <w:kern w:val="2"/>
                <w:sz w:val="28"/>
                <w:szCs w:val="28"/>
                <w:bdr w:val="none" w:color="auto" w:sz="0" w:space="0"/>
                <w:lang w:val="en-US" w:eastAsia="zh-CN" w:bidi="ar"/>
              </w:rPr>
              <w:t>属于行政执法案卷</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8.</w:t>
            </w:r>
            <w:r>
              <w:rPr>
                <w:rFonts w:hint="eastAsia" w:ascii="仿宋_GB2312" w:hAnsi="Times New Roman" w:eastAsia="仿宋_GB2312" w:cs="仿宋_GB2312"/>
                <w:color w:val="000000"/>
                <w:kern w:val="2"/>
                <w:sz w:val="28"/>
                <w:szCs w:val="28"/>
                <w:bdr w:val="none" w:color="auto" w:sz="0" w:space="0"/>
                <w:lang w:val="en-US" w:eastAsia="zh-CN" w:bidi="ar"/>
              </w:rPr>
              <w:t>属于行政查询事项</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restar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（四）无法提供</w:t>
            </w: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本机关不掌握相关政府信息</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没有现成信息需要另行制作</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补正后申请内容仍不明确</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restar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（五）不予处理</w:t>
            </w:r>
          </w:p>
        </w:tc>
        <w:tc>
          <w:tcPr>
            <w:tcW w:w="3200"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信访举报投诉类申请</w:t>
            </w:r>
          </w:p>
        </w:tc>
        <w:tc>
          <w:tcPr>
            <w:tcW w:w="489"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重复申请</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要求提供公开出版物</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4.</w:t>
            </w:r>
            <w:r>
              <w:rPr>
                <w:rFonts w:hint="eastAsia" w:ascii="仿宋_GB2312" w:hAnsi="Times New Roman" w:eastAsia="仿宋_GB2312" w:cs="仿宋_GB2312"/>
                <w:color w:val="000000"/>
                <w:kern w:val="2"/>
                <w:sz w:val="28"/>
                <w:szCs w:val="28"/>
                <w:bdr w:val="none" w:color="auto" w:sz="0" w:space="0"/>
                <w:lang w:val="en-US" w:eastAsia="zh-CN" w:bidi="ar"/>
              </w:rPr>
              <w:t>无正当理由大量反复申请</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5.</w:t>
            </w:r>
            <w:r>
              <w:rPr>
                <w:rFonts w:hint="eastAsia" w:ascii="仿宋_GB2312" w:hAnsi="Times New Roman" w:eastAsia="仿宋_GB2312" w:cs="仿宋_GB2312"/>
                <w:color w:val="000000"/>
                <w:kern w:val="2"/>
                <w:sz w:val="28"/>
                <w:szCs w:val="28"/>
                <w:bdr w:val="none" w:color="auto" w:sz="0" w:space="0"/>
                <w:lang w:val="en-US" w:eastAsia="zh-CN" w:bidi="ar"/>
              </w:rPr>
              <w:t>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restart"/>
            <w:tcBorders>
              <w:top w:val="nil"/>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（六）其他处理</w:t>
            </w: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申请人无正当理由逾期不补正、行政机关不再处理其政府信息公开申请</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nil"/>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4" w:type="dxa"/>
            <w:vMerge w:val="continue"/>
            <w:tcBorders>
              <w:top w:val="nil"/>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其他</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54"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（七）总计</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四、结转下年度继续办理</w:t>
            </w:r>
          </w:p>
        </w:tc>
        <w:tc>
          <w:tcPr>
            <w:tcW w:w="4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6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7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5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bl>
    <w:p>
      <w:pPr>
        <w:pStyle w:val="2"/>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rPr>
        <w:t>四、政府信息公开行政复议、行政诉讼情况</w:t>
      </w:r>
    </w:p>
    <w:tbl>
      <w:tblPr>
        <w:tblW w:w="87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行政复议</w:t>
            </w:r>
          </w:p>
        </w:tc>
        <w:tc>
          <w:tcPr>
            <w:tcW w:w="5831"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结果维持</w:t>
            </w:r>
          </w:p>
        </w:tc>
        <w:tc>
          <w:tcPr>
            <w:tcW w:w="58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纠正</w:t>
            </w:r>
          </w:p>
        </w:tc>
        <w:tc>
          <w:tcPr>
            <w:tcW w:w="58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其他</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结果</w:t>
            </w:r>
          </w:p>
        </w:tc>
        <w:tc>
          <w:tcPr>
            <w:tcW w:w="58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尚未</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审结</w:t>
            </w:r>
          </w:p>
        </w:tc>
        <w:tc>
          <w:tcPr>
            <w:tcW w:w="58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总计</w:t>
            </w:r>
          </w:p>
        </w:tc>
        <w:tc>
          <w:tcPr>
            <w:tcW w:w="291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未经复议直接起诉</w:t>
            </w:r>
          </w:p>
        </w:tc>
        <w:tc>
          <w:tcPr>
            <w:tcW w:w="2916"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8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8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8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8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维持</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纠正</w:t>
            </w:r>
          </w:p>
        </w:tc>
        <w:tc>
          <w:tcPr>
            <w:tcW w:w="58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其他</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结果</w:t>
            </w:r>
          </w:p>
        </w:tc>
        <w:tc>
          <w:tcPr>
            <w:tcW w:w="58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尚未</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审结</w:t>
            </w:r>
          </w:p>
        </w:tc>
        <w:tc>
          <w:tcPr>
            <w:tcW w:w="58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总计</w:t>
            </w:r>
          </w:p>
        </w:tc>
        <w:tc>
          <w:tcPr>
            <w:tcW w:w="58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维持</w:t>
            </w:r>
          </w:p>
        </w:tc>
        <w:tc>
          <w:tcPr>
            <w:tcW w:w="58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纠正</w:t>
            </w:r>
          </w:p>
        </w:tc>
        <w:tc>
          <w:tcPr>
            <w:tcW w:w="58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其他</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结果</w:t>
            </w:r>
          </w:p>
        </w:tc>
        <w:tc>
          <w:tcPr>
            <w:tcW w:w="58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尚未</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审结</w:t>
            </w:r>
          </w:p>
        </w:tc>
        <w:tc>
          <w:tcPr>
            <w:tcW w:w="58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5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r>
    </w:tbl>
    <w:p>
      <w:pPr>
        <w:pStyle w:val="2"/>
        <w:keepNext w:val="0"/>
        <w:keepLines w:val="0"/>
        <w:widowControl w:val="0"/>
        <w:suppressLineNumbers w:val="0"/>
        <w:shd w:val="clear" w:fill="FFFFFF"/>
        <w:autoSpaceDE w:val="0"/>
        <w:autoSpaceDN/>
        <w:spacing w:before="0" w:beforeAutospacing="1" w:after="0" w:afterAutospacing="1" w:line="560" w:lineRule="exact"/>
        <w:ind w:left="0" w:leftChars="0" w:right="0" w:firstLine="640" w:firstLineChars="200"/>
        <w:jc w:val="left"/>
      </w:pPr>
      <w:r>
        <w:rPr>
          <w:rFonts w:hint="eastAsia" w:ascii="黑体" w:hAnsi="宋体" w:eastAsia="黑体" w:cs="黑体"/>
          <w:bCs/>
          <w:color w:val="333333"/>
          <w:kern w:val="0"/>
          <w:sz w:val="32"/>
          <w:szCs w:val="32"/>
          <w:shd w:val="clear" w:fill="FFFFFF"/>
        </w:rPr>
        <w:t xml:space="preserve">五、存在的问题及改进情况 </w:t>
      </w:r>
    </w:p>
    <w:p>
      <w:pPr>
        <w:pStyle w:val="2"/>
        <w:keepNext w:val="0"/>
        <w:keepLines w:val="0"/>
        <w:widowControl/>
        <w:suppressLineNumbers w:val="0"/>
        <w:shd w:val="clear" w:fill="FFFFFF"/>
        <w:autoSpaceDE w:val="0"/>
        <w:autoSpaceDN/>
        <w:spacing w:before="0" w:beforeAutospacing="0" w:after="0" w:afterAutospacing="0" w:line="560" w:lineRule="exact"/>
        <w:ind w:left="0" w:right="0" w:firstLine="640" w:firstLineChars="200"/>
        <w:jc w:val="left"/>
      </w:pPr>
      <w:r>
        <w:rPr>
          <w:rFonts w:hint="eastAsia" w:ascii="仿宋_GB2312" w:hAnsi="Calibri" w:eastAsia="仿宋_GB2312" w:cs="仿宋_GB2312"/>
          <w:i w:val="0"/>
          <w:caps w:val="0"/>
          <w:color w:val="444444"/>
          <w:spacing w:val="0"/>
          <w:kern w:val="0"/>
          <w:sz w:val="32"/>
          <w:szCs w:val="32"/>
          <w:shd w:val="clear" w:fill="FFFFFF"/>
        </w:rPr>
        <w:t>（一）存在问题。一是政策解读还有待提升，主要表现在政策解读程序不规范、内容不完整、形式不丰富，政策解读不足。二是政府信息公开工作人员业务能力有待提升，存在公开信息量较少，不够细化、发布不及时等情况。</w:t>
      </w:r>
    </w:p>
    <w:p>
      <w:pPr>
        <w:keepNext w:val="0"/>
        <w:keepLines w:val="0"/>
        <w:widowControl/>
        <w:suppressLineNumbers w:val="0"/>
        <w:spacing w:before="0" w:beforeAutospacing="1" w:after="0" w:afterAutospacing="1"/>
        <w:ind w:left="0" w:right="0"/>
        <w:jc w:val="left"/>
      </w:pPr>
      <w:r>
        <w:rPr>
          <w:rFonts w:hint="eastAsia" w:ascii="仿宋_GB2312" w:hAnsi="Calibri" w:eastAsia="仿宋_GB2312" w:cs="仿宋_GB2312"/>
          <w:i w:val="0"/>
          <w:caps w:val="0"/>
          <w:color w:val="444444"/>
          <w:spacing w:val="0"/>
          <w:kern w:val="0"/>
          <w:sz w:val="32"/>
          <w:szCs w:val="32"/>
          <w:shd w:val="clear" w:fill="FFFFFF"/>
          <w:lang w:val="en-US" w:eastAsia="zh-CN" w:bidi="ar"/>
        </w:rPr>
        <w:t>    （二）改进措施。下步工作中，我局积极组织人员参加政府信息公开业务培训和交流，不断提高政府信息公开工作人员的意识和水平；坚持“以公开为原则，不公开为特例”的原则，严格按照《条例》要求，加强主动公开力度、提升政策解读水平、规范依申请公开工作。</w:t>
      </w:r>
    </w:p>
    <w:p>
      <w:pPr>
        <w:pStyle w:val="2"/>
        <w:keepNext w:val="0"/>
        <w:keepLines w:val="0"/>
        <w:widowControl/>
        <w:suppressLineNumbers w:val="0"/>
        <w:shd w:val="clear" w:fill="FFFFFF"/>
        <w:spacing w:before="0" w:beforeAutospacing="1" w:after="0" w:afterAutospacing="1" w:line="600" w:lineRule="exact"/>
        <w:ind w:left="0" w:right="0" w:firstLine="640" w:firstLineChars="200"/>
        <w:jc w:val="both"/>
      </w:pPr>
      <w:r>
        <w:rPr>
          <w:rFonts w:hint="eastAsia" w:ascii="黑体" w:hAnsi="宋体" w:eastAsia="黑体" w:cs="黑体"/>
          <w:bCs/>
          <w:color w:val="333333"/>
          <w:kern w:val="0"/>
          <w:sz w:val="32"/>
          <w:szCs w:val="32"/>
          <w:shd w:val="clear" w:fill="FFFFFF"/>
        </w:rPr>
        <w:t>六、其他需要报告的事项</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i w:val="0"/>
          <w:caps w:val="0"/>
          <w:color w:val="444444"/>
          <w:spacing w:val="0"/>
          <w:kern w:val="2"/>
          <w:sz w:val="32"/>
          <w:szCs w:val="32"/>
          <w:shd w:val="clear" w:fill="FFFFFF"/>
          <w:lang w:val="en-US" w:eastAsia="zh-CN" w:bidi="ar"/>
        </w:rPr>
        <w:t>    2022年，本机关无收取信息处理费情况。</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i w:val="0"/>
          <w:caps w:val="0"/>
          <w:color w:val="444444"/>
          <w:spacing w:val="0"/>
          <w:kern w:val="2"/>
          <w:sz w:val="32"/>
          <w:szCs w:val="32"/>
          <w:shd w:val="clear" w:fill="FFFFFF"/>
          <w:lang w:val="en-US" w:eastAsia="zh-CN" w:bidi="ar"/>
        </w:rPr>
        <w:t>    上高县人民政府网（</w:t>
      </w:r>
      <w:r>
        <w:rPr>
          <w:rFonts w:hint="eastAsia" w:ascii="微软雅黑" w:hAnsi="微软雅黑" w:eastAsia="微软雅黑" w:cs="微软雅黑"/>
          <w:i w:val="0"/>
          <w:iCs w:val="0"/>
          <w:caps w:val="0"/>
          <w:color w:val="000000"/>
          <w:spacing w:val="0"/>
          <w:kern w:val="2"/>
          <w:sz w:val="26"/>
          <w:szCs w:val="26"/>
          <w:shd w:val="clear" w:fill="FFFFFF"/>
          <w:lang w:val="en-US" w:eastAsia="zh-CN" w:bidi="ar"/>
        </w:rPr>
        <w:t>http://www.shanggao.gov.cn</w:t>
      </w:r>
      <w:r>
        <w:rPr>
          <w:rFonts w:hint="eastAsia" w:ascii="仿宋_GB2312" w:eastAsia="仿宋_GB2312" w:cs="仿宋_GB2312" w:hAnsiTheme="minorHAnsi"/>
          <w:i w:val="0"/>
          <w:caps w:val="0"/>
          <w:color w:val="444444"/>
          <w:spacing w:val="0"/>
          <w:kern w:val="2"/>
          <w:sz w:val="32"/>
          <w:szCs w:val="32"/>
          <w:shd w:val="clear" w:fill="FFFFFF"/>
          <w:lang w:val="en-US" w:eastAsia="zh-CN" w:bidi="ar"/>
        </w:rPr>
        <w:t>），如需了解更多政府信息，请登录查询。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mI3NWMxZTBjMDgwMGM4MmUzMTNhNmJlMzlhNDAifQ=="/>
  </w:docVars>
  <w:rsids>
    <w:rsidRoot w:val="00000000"/>
    <w:rsid w:val="634F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2023-02-15T03:26:19Z</dcterms:created>
  <dc:creator>Administrator</dc:creator>
  <cp:lastModifiedBy>王奇巾凡</cp:lastModifiedBy>
  <dcterms:modified xsi:type="dcterms:W3CDTF">2023-02-15T03:26:26Z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A0C290A0DBE74834ACFA79C2F78E56E2</vt:lpwstr>
  </property>
</Properties>
</file>