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432" w:firstLineChars="100"/>
        <w:jc w:val="center"/>
        <w:textAlignment w:val="auto"/>
        <w:rPr>
          <w:rFonts w:ascii="Calibri" w:hAnsi="Calibri" w:eastAsia="Calibri" w:cs="Calibri"/>
          <w:b w:val="0"/>
          <w:i w:val="0"/>
          <w:caps w:val="0"/>
          <w:color w:val="333333"/>
          <w:spacing w:val="0"/>
          <w:sz w:val="24"/>
          <w:szCs w:val="24"/>
          <w:u w:val="none"/>
          <w:shd w:val="clear" w:fill="FFFFFF"/>
        </w:rPr>
      </w:pPr>
      <w:r>
        <w:rPr>
          <w:rStyle w:val="8"/>
          <w:rFonts w:ascii="黑体" w:hAnsi="宋体" w:eastAsia="黑体" w:cs="黑体"/>
          <w:i w:val="0"/>
          <w:caps w:val="0"/>
          <w:color w:val="333333"/>
          <w:spacing w:val="0"/>
          <w:sz w:val="43"/>
          <w:szCs w:val="43"/>
          <w:u w:val="none"/>
          <w:shd w:val="clear" w:fill="FFFFFF"/>
        </w:rPr>
        <w:t>徐家渡镇</w:t>
      </w:r>
      <w:r>
        <w:rPr>
          <w:rStyle w:val="8"/>
          <w:rFonts w:hint="eastAsia" w:ascii="黑体" w:hAnsi="宋体" w:eastAsia="黑体" w:cs="黑体"/>
          <w:i w:val="0"/>
          <w:caps w:val="0"/>
          <w:color w:val="333333"/>
          <w:spacing w:val="0"/>
          <w:sz w:val="43"/>
          <w:szCs w:val="43"/>
          <w:u w:val="none"/>
          <w:shd w:val="clear" w:fill="FFFFFF"/>
          <w:lang w:eastAsia="zh-CN"/>
        </w:rPr>
        <w:t>202</w:t>
      </w:r>
      <w:r>
        <w:rPr>
          <w:rStyle w:val="8"/>
          <w:rFonts w:hint="eastAsia" w:ascii="黑体" w:hAnsi="宋体" w:eastAsia="黑体" w:cs="黑体"/>
          <w:i w:val="0"/>
          <w:caps w:val="0"/>
          <w:color w:val="333333"/>
          <w:spacing w:val="0"/>
          <w:sz w:val="43"/>
          <w:szCs w:val="43"/>
          <w:u w:val="none"/>
          <w:shd w:val="clear" w:fill="FFFFFF"/>
          <w:lang w:val="en-US" w:eastAsia="zh-CN"/>
        </w:rPr>
        <w:t>1</w:t>
      </w:r>
      <w:r>
        <w:rPr>
          <w:rStyle w:val="8"/>
          <w:rFonts w:hint="eastAsia" w:ascii="黑体" w:hAnsi="宋体" w:eastAsia="黑体" w:cs="黑体"/>
          <w:i w:val="0"/>
          <w:caps w:val="0"/>
          <w:color w:val="333333"/>
          <w:spacing w:val="0"/>
          <w:sz w:val="43"/>
          <w:szCs w:val="43"/>
          <w:u w:val="none"/>
          <w:shd w:val="clear" w:fill="FFFFFF"/>
        </w:rPr>
        <w:t>年政府信息公开工作报告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0" w:firstLineChars="200"/>
        <w:jc w:val="both"/>
        <w:textAlignment w:val="auto"/>
        <w:rPr>
          <w:rFonts w:hint="default" w:ascii="仿宋_gb2312" w:hAnsi="仿宋_gb2312" w:eastAsia="仿宋_gb2312" w:cs="仿宋_gb2312"/>
          <w:b w:val="0"/>
          <w:i w:val="0"/>
          <w:caps w:val="0"/>
          <w:color w:val="auto"/>
          <w:spacing w:val="0"/>
          <w:sz w:val="31"/>
          <w:szCs w:val="31"/>
          <w:u w:val="none"/>
          <w:shd w:val="clear" w:fill="FFFFFF"/>
        </w:rPr>
      </w:pPr>
      <w:r>
        <w:rPr>
          <w:rFonts w:hint="eastAsia" w:ascii="仿宋_gb2312" w:hAnsi="仿宋_gb2312" w:eastAsia="仿宋_gb2312" w:cs="仿宋_gb2312"/>
          <w:b w:val="0"/>
          <w:i w:val="0"/>
          <w:caps w:val="0"/>
          <w:color w:val="auto"/>
          <w:spacing w:val="0"/>
          <w:sz w:val="31"/>
          <w:szCs w:val="31"/>
          <w:u w:val="none"/>
          <w:shd w:val="clear" w:fill="FFFFFF"/>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徐家渡人民政府结合有关统计数据编制。本年度报告中所列数据的统计期限自2021年1月1日起至2021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w:t>
      </w:r>
      <w:r>
        <w:rPr>
          <w:rFonts w:hint="default" w:ascii="仿宋_gb2312" w:hAnsi="仿宋_gb2312" w:eastAsia="仿宋_gb2312" w:cs="仿宋_gb2312"/>
          <w:b w:val="0"/>
          <w:i w:val="0"/>
          <w:caps w:val="0"/>
          <w:color w:val="auto"/>
          <w:spacing w:val="0"/>
          <w:sz w:val="31"/>
          <w:szCs w:val="31"/>
          <w:u w:val="none"/>
          <w:shd w:val="clear" w:fill="FFFFFF"/>
        </w:rPr>
        <w:t>http://www.shanggao.gov.cn</w:t>
      </w:r>
      <w:r>
        <w:rPr>
          <w:rFonts w:hint="eastAsia" w:ascii="仿宋_gb2312" w:hAnsi="仿宋_gb2312" w:eastAsia="仿宋_gb2312" w:cs="仿宋_gb2312"/>
          <w:b w:val="0"/>
          <w:i w:val="0"/>
          <w:caps w:val="0"/>
          <w:color w:val="auto"/>
          <w:spacing w:val="0"/>
          <w:sz w:val="31"/>
          <w:szCs w:val="31"/>
          <w:u w:val="none"/>
          <w:shd w:val="clear" w:fill="FFFFFF"/>
          <w:lang w:val="en-US" w:eastAsia="zh-CN"/>
        </w:rPr>
        <w:t>）下载。如对本报告有任何疑问，请与上高县徐家渡镇人民政府联系（地址：上高县徐家渡镇明星路212号，电话：0795-2572188，邮编：336400）。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2" w:firstLineChars="200"/>
        <w:jc w:val="both"/>
        <w:textAlignment w:val="auto"/>
        <w:rPr>
          <w:rFonts w:hint="eastAsia" w:ascii="微软雅黑" w:hAnsi="微软雅黑" w:eastAsia="微软雅黑" w:cs="微软雅黑"/>
          <w:b/>
          <w:bCs/>
          <w:i w:val="0"/>
          <w:caps w:val="0"/>
          <w:color w:val="333333"/>
          <w:spacing w:val="0"/>
          <w:sz w:val="24"/>
          <w:szCs w:val="24"/>
          <w:u w:val="none"/>
        </w:rPr>
      </w:pPr>
      <w:r>
        <w:rPr>
          <w:rFonts w:hint="eastAsia" w:ascii="仿宋_gb2312" w:hAnsi="仿宋_gb2312" w:eastAsia="仿宋_gb2312" w:cs="仿宋_gb2312"/>
          <w:b/>
          <w:bCs/>
          <w:i w:val="0"/>
          <w:caps w:val="0"/>
          <w:color w:val="010000"/>
          <w:spacing w:val="0"/>
          <w:sz w:val="31"/>
          <w:szCs w:val="31"/>
          <w:u w:val="none"/>
          <w:shd w:val="clear" w:fill="FFFFFF"/>
        </w:rPr>
        <w:t>一、总体情况</w:t>
      </w:r>
      <w:r>
        <w:rPr>
          <w:rStyle w:val="8"/>
          <w:rFonts w:ascii="Arial" w:hAnsi="Arial" w:eastAsia="微软雅黑" w:cs="Arial"/>
          <w:b/>
          <w:bCs/>
          <w:i w:val="0"/>
          <w:caps w:val="0"/>
          <w:color w:val="333333"/>
          <w:spacing w:val="0"/>
          <w:sz w:val="24"/>
          <w:szCs w:val="24"/>
          <w:u w:val="none"/>
          <w:shd w:val="clear" w:fill="FFFFFF"/>
        </w:rPr>
        <w:t> </w:t>
      </w:r>
      <w:r>
        <w:rPr>
          <w:rFonts w:hint="default" w:ascii="Calibri" w:hAnsi="Calibri" w:eastAsia="Calibri" w:cs="Calibri"/>
          <w:b/>
          <w:bCs/>
          <w:i w:val="0"/>
          <w:caps w:val="0"/>
          <w:color w:val="333333"/>
          <w:spacing w:val="0"/>
          <w:sz w:val="24"/>
          <w:szCs w:val="24"/>
          <w:u w:val="none"/>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0" w:firstLineChars="200"/>
        <w:jc w:val="both"/>
        <w:textAlignment w:val="auto"/>
        <w:rPr>
          <w:rFonts w:hint="eastAsia" w:ascii="仿宋_gb2312" w:hAnsi="仿宋_gb2312" w:eastAsia="仿宋_gb2312" w:cs="仿宋_gb2312"/>
          <w:b w:val="0"/>
          <w:i w:val="0"/>
          <w:caps w:val="0"/>
          <w:color w:val="auto"/>
          <w:spacing w:val="0"/>
          <w:sz w:val="31"/>
          <w:szCs w:val="31"/>
          <w:u w:val="none"/>
          <w:shd w:val="clear" w:fill="FFFFFF"/>
        </w:rPr>
      </w:pPr>
      <w:r>
        <w:rPr>
          <w:rFonts w:hint="eastAsia" w:ascii="仿宋_gb2312" w:hAnsi="仿宋_gb2312" w:eastAsia="仿宋_gb2312" w:cs="仿宋_gb2312"/>
          <w:b w:val="0"/>
          <w:i w:val="0"/>
          <w:caps w:val="0"/>
          <w:color w:val="auto"/>
          <w:spacing w:val="0"/>
          <w:sz w:val="31"/>
          <w:szCs w:val="31"/>
          <w:u w:val="none"/>
          <w:shd w:val="clear" w:fill="FFFFFF"/>
          <w:lang w:val="en-US" w:eastAsia="zh-CN"/>
        </w:rPr>
        <w:t>2021年</w:t>
      </w:r>
      <w:r>
        <w:rPr>
          <w:rFonts w:hint="default" w:ascii="仿宋_gb2312" w:hAnsi="仿宋_gb2312" w:eastAsia="仿宋_gb2312" w:cs="仿宋_gb2312"/>
          <w:b w:val="0"/>
          <w:i w:val="0"/>
          <w:caps w:val="0"/>
          <w:color w:val="auto"/>
          <w:spacing w:val="0"/>
          <w:sz w:val="31"/>
          <w:szCs w:val="31"/>
          <w:u w:val="none"/>
          <w:shd w:val="clear" w:fill="FFFFFF"/>
        </w:rPr>
        <w:t>徐家渡镇党委、政府</w:t>
      </w:r>
      <w:r>
        <w:rPr>
          <w:rFonts w:hint="eastAsia" w:ascii="仿宋_gb2312" w:hAnsi="仿宋_gb2312" w:eastAsia="仿宋_gb2312" w:cs="仿宋_gb2312"/>
          <w:b w:val="0"/>
          <w:i w:val="0"/>
          <w:caps w:val="0"/>
          <w:color w:val="auto"/>
          <w:spacing w:val="0"/>
          <w:sz w:val="31"/>
          <w:szCs w:val="31"/>
          <w:u w:val="none"/>
          <w:shd w:val="clear" w:fill="FFFFFF"/>
          <w:lang w:val="en-US" w:eastAsia="zh-CN"/>
        </w:rPr>
        <w:t>坚持以习近平新时代中国特色社会主义思想为指导，深入贯彻党的十九大和十九届二中、三中、四中、五中、六中全会精神，严格落实《国务院办公厅印发〈关于全面推进政务公开工作的意见〉实施细则的通知》（国办发〔2016〕80号）和《国务院办公厅关于印发2021年政务公开工作要点的通知》的要求。同时紧紧围绕省委、省政府中心工作及社会群众关注关切，着力提升政府信息公开质量，推进拓宽政府信息公开渠道，不断增强政府信息公开实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2" w:firstLineChars="200"/>
        <w:jc w:val="both"/>
        <w:textAlignment w:val="auto"/>
        <w:rPr>
          <w:rFonts w:hint="eastAsia" w:ascii="微软雅黑" w:hAnsi="微软雅黑" w:eastAsia="微软雅黑" w:cs="微软雅黑"/>
          <w:b w:val="0"/>
          <w:i w:val="0"/>
          <w:caps w:val="0"/>
          <w:color w:val="333333"/>
          <w:spacing w:val="0"/>
          <w:sz w:val="24"/>
          <w:szCs w:val="24"/>
          <w:u w:val="none"/>
        </w:rPr>
      </w:pPr>
      <w:r>
        <w:rPr>
          <w:rStyle w:val="8"/>
          <w:rFonts w:hint="default" w:ascii="仿宋_gb2312" w:hAnsi="仿宋_gb2312" w:eastAsia="仿宋_gb2312" w:cs="仿宋_gb2312"/>
          <w:i w:val="0"/>
          <w:caps w:val="0"/>
          <w:color w:val="auto"/>
          <w:spacing w:val="0"/>
          <w:sz w:val="31"/>
          <w:szCs w:val="31"/>
          <w:u w:val="none"/>
          <w:shd w:val="clear" w:fill="FFFFFF"/>
        </w:rPr>
        <w:t>（一）认真做好日常性工作。</w:t>
      </w:r>
      <w:r>
        <w:rPr>
          <w:rFonts w:hint="default" w:ascii="仿宋_gb2312" w:hAnsi="仿宋_gb2312" w:eastAsia="仿宋_gb2312" w:cs="仿宋_gb2312"/>
          <w:b w:val="0"/>
          <w:i w:val="0"/>
          <w:caps w:val="0"/>
          <w:color w:val="auto"/>
          <w:spacing w:val="0"/>
          <w:sz w:val="31"/>
          <w:szCs w:val="31"/>
          <w:u w:val="none"/>
          <w:shd w:val="clear" w:fill="FFFFFF"/>
        </w:rPr>
        <w:t>镇党委、政府高度重视，强化政府信息公开工作的主动性。一是通过政府公开网站及时进行政府信息公开，充实政府信息公开内容。二是积极稳妥地做好依申请公开工作。建立了依申请公开工作机制，明确了政府信息公开申请受理机构、办理程序、答复时限等，保证了政府信息公开申请得到及时、妥善处理。三是及时编制和公布政府信息公开工作年度报告。四是认真开展涉及政府信息公开工作的学习、宣传和培训，提高政府信息公开工作水平，提升群众度政务公开的认识度。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2" w:firstLineChars="200"/>
        <w:jc w:val="both"/>
        <w:textAlignment w:val="auto"/>
        <w:rPr>
          <w:rFonts w:hint="eastAsia" w:ascii="微软雅黑" w:hAnsi="微软雅黑" w:eastAsia="微软雅黑" w:cs="微软雅黑"/>
          <w:b w:val="0"/>
          <w:i w:val="0"/>
          <w:caps w:val="0"/>
          <w:color w:val="333333"/>
          <w:spacing w:val="0"/>
          <w:sz w:val="24"/>
          <w:szCs w:val="24"/>
          <w:u w:val="none"/>
        </w:rPr>
      </w:pPr>
      <w:r>
        <w:rPr>
          <w:rStyle w:val="8"/>
          <w:rFonts w:hint="default" w:ascii="仿宋_gb2312" w:hAnsi="仿宋_gb2312" w:eastAsia="仿宋_gb2312" w:cs="仿宋_gb2312"/>
          <w:i w:val="0"/>
          <w:caps w:val="0"/>
          <w:color w:val="auto"/>
          <w:spacing w:val="0"/>
          <w:sz w:val="31"/>
          <w:szCs w:val="31"/>
          <w:u w:val="none"/>
          <w:shd w:val="clear" w:fill="FFFFFF"/>
        </w:rPr>
        <w:t>（二）进一步完善工作制度。</w:t>
      </w:r>
      <w:r>
        <w:rPr>
          <w:rFonts w:hint="default" w:ascii="仿宋_gb2312" w:hAnsi="仿宋_gb2312" w:eastAsia="仿宋_gb2312" w:cs="仿宋_gb2312"/>
          <w:b w:val="0"/>
          <w:i w:val="0"/>
          <w:caps w:val="0"/>
          <w:color w:val="auto"/>
          <w:spacing w:val="0"/>
          <w:sz w:val="31"/>
          <w:szCs w:val="31"/>
          <w:u w:val="none"/>
          <w:shd w:val="clear" w:fill="FFFFFF"/>
        </w:rPr>
        <w:t>我镇建立了信息填报员、信息公开情况定期通报、不定期抽查等制度，促进了政府信息公开工作的常态化、规范化；转发了《国务院办公厅关于做好政府信息依申请公开工作的意见》等文件，进一步加强和规范依申请公开工作。我镇依申请公开、保密审查、澄清虚假或不完整信息、监督考核、社会评议、年度报告编制发布管理等相关制度。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2" w:firstLineChars="200"/>
        <w:jc w:val="both"/>
        <w:textAlignment w:val="auto"/>
        <w:rPr>
          <w:rFonts w:hint="default" w:ascii="Calibri" w:hAnsi="Calibri" w:eastAsia="Calibri" w:cs="Calibri"/>
          <w:b w:val="0"/>
          <w:i w:val="0"/>
          <w:caps w:val="0"/>
          <w:color w:val="auto"/>
          <w:spacing w:val="0"/>
          <w:sz w:val="24"/>
          <w:szCs w:val="24"/>
          <w:u w:val="none"/>
          <w:shd w:val="clear" w:fill="FFFFFF"/>
        </w:rPr>
      </w:pPr>
      <w:r>
        <w:rPr>
          <w:rStyle w:val="8"/>
          <w:rFonts w:hint="default" w:ascii="仿宋_gb2312" w:hAnsi="仿宋_gb2312" w:eastAsia="仿宋_gb2312" w:cs="仿宋_gb2312"/>
          <w:i w:val="0"/>
          <w:caps w:val="0"/>
          <w:color w:val="auto"/>
          <w:spacing w:val="0"/>
          <w:sz w:val="31"/>
          <w:szCs w:val="31"/>
          <w:u w:val="none"/>
          <w:shd w:val="clear" w:fill="FFFFFF"/>
        </w:rPr>
        <w:t>（三）加强监督检查工作。</w:t>
      </w:r>
      <w:r>
        <w:rPr>
          <w:rFonts w:hint="default" w:ascii="仿宋_gb2312" w:hAnsi="仿宋_gb2312" w:eastAsia="仿宋_gb2312" w:cs="仿宋_gb2312"/>
          <w:b w:val="0"/>
          <w:i w:val="0"/>
          <w:caps w:val="0"/>
          <w:color w:val="auto"/>
          <w:spacing w:val="0"/>
          <w:sz w:val="31"/>
          <w:szCs w:val="31"/>
          <w:u w:val="none"/>
          <w:shd w:val="clear" w:fill="FFFFFF"/>
        </w:rPr>
        <w:t>为进一步完善措施、规范工作，切实抓好政府信息公开工作。首先通过各条线对政务公开内容进行及时监督与反馈，及时公开各条线的相关政务信息。办公室每月开展一次文件清查与政务信息调度，及时就相关信息进行公开，避免错登、漏登信息。</w:t>
      </w:r>
      <w:r>
        <w:rPr>
          <w:rFonts w:hint="default" w:ascii="Calibri" w:hAnsi="Calibri" w:eastAsia="Calibri" w:cs="Calibri"/>
          <w:b w:val="0"/>
          <w:i w:val="0"/>
          <w:caps w:val="0"/>
          <w:color w:val="auto"/>
          <w:spacing w:val="0"/>
          <w:sz w:val="24"/>
          <w:szCs w:val="24"/>
          <w:u w:val="none"/>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0" w:firstLineChars="200"/>
        <w:jc w:val="both"/>
        <w:textAlignment w:val="auto"/>
        <w:rPr>
          <w:rFonts w:hint="eastAsia" w:ascii="黑体" w:hAnsi="黑体" w:eastAsia="黑体" w:cs="黑体"/>
          <w:b w:val="0"/>
          <w:bCs w:val="0"/>
          <w:i w:val="0"/>
          <w:caps w:val="0"/>
          <w:color w:val="010000"/>
          <w:spacing w:val="0"/>
          <w:sz w:val="31"/>
          <w:szCs w:val="31"/>
          <w:u w:val="none"/>
          <w:shd w:val="clear" w:fill="FFFFFF"/>
        </w:rPr>
      </w:pPr>
      <w:r>
        <w:rPr>
          <w:rFonts w:hint="eastAsia" w:ascii="黑体" w:hAnsi="黑体" w:eastAsia="黑体" w:cs="黑体"/>
          <w:b w:val="0"/>
          <w:bCs w:val="0"/>
          <w:i w:val="0"/>
          <w:caps w:val="0"/>
          <w:color w:val="010000"/>
          <w:spacing w:val="0"/>
          <w:sz w:val="31"/>
          <w:szCs w:val="31"/>
          <w:u w:val="none"/>
          <w:shd w:val="clear" w:fill="FFFFFF"/>
        </w:rPr>
        <w:t>二、主动公开政府信息情况 </w:t>
      </w:r>
    </w:p>
    <w:tbl>
      <w:tblPr>
        <w:tblStyle w:val="6"/>
        <w:tblW w:w="8720" w:type="dxa"/>
        <w:jc w:val="center"/>
        <w:tblLayout w:type="autofit"/>
        <w:tblCellMar>
          <w:top w:w="0" w:type="dxa"/>
          <w:left w:w="0" w:type="dxa"/>
          <w:bottom w:w="0" w:type="dxa"/>
          <w:right w:w="0" w:type="dxa"/>
        </w:tblCellMar>
      </w:tblPr>
      <w:tblGrid>
        <w:gridCol w:w="2180"/>
        <w:gridCol w:w="2180"/>
        <w:gridCol w:w="2180"/>
        <w:gridCol w:w="2180"/>
      </w:tblGrid>
      <w:tr>
        <w:tblPrEx>
          <w:tblCellMar>
            <w:top w:w="0" w:type="dxa"/>
            <w:left w:w="0" w:type="dxa"/>
            <w:bottom w:w="0" w:type="dxa"/>
            <w:right w:w="0" w:type="dxa"/>
          </w:tblCellMar>
        </w:tblPrEx>
        <w:trPr>
          <w:trHeight w:val="308" w:hRule="atLeast"/>
          <w:jc w:val="center"/>
        </w:trPr>
        <w:tc>
          <w:tcPr>
            <w:tcW w:w="8720" w:type="dxa"/>
            <w:gridSpan w:val="4"/>
            <w:tcBorders>
              <w:top w:val="single" w:color="auto" w:sz="8" w:space="0"/>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第二十条第（一）项</w:t>
            </w:r>
          </w:p>
        </w:tc>
      </w:tr>
      <w:tr>
        <w:tblPrEx>
          <w:tblCellMar>
            <w:top w:w="0" w:type="dxa"/>
            <w:left w:w="0" w:type="dxa"/>
            <w:bottom w:w="0" w:type="dxa"/>
            <w:right w:w="0" w:type="dxa"/>
          </w:tblCellMar>
        </w:tblPrEx>
        <w:trPr>
          <w:trHeight w:val="334" w:hRule="atLeast"/>
          <w:jc w:val="center"/>
        </w:trPr>
        <w:tc>
          <w:tcPr>
            <w:tcW w:w="218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信息内容</w:t>
            </w:r>
          </w:p>
        </w:tc>
        <w:tc>
          <w:tcPr>
            <w:tcW w:w="2180"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w:t>
            </w:r>
            <w:r>
              <w:rPr>
                <w:rFonts w:ascii="宋体" w:hAnsi="宋体" w:cs="Calibri"/>
                <w:kern w:val="0"/>
                <w:sz w:val="20"/>
              </w:rPr>
              <w:t>制</w:t>
            </w:r>
            <w:r>
              <w:rPr>
                <w:rFonts w:hint="eastAsia" w:ascii="宋体" w:hAnsi="宋体" w:cs="宋体"/>
                <w:kern w:val="0"/>
                <w:sz w:val="20"/>
              </w:rPr>
              <w:t>发件</w:t>
            </w:r>
            <w:r>
              <w:rPr>
                <w:rFonts w:ascii="宋体" w:hAnsi="宋体" w:cs="Calibri"/>
                <w:kern w:val="0"/>
                <w:sz w:val="20"/>
              </w:rPr>
              <w:t>数</w:t>
            </w:r>
          </w:p>
        </w:tc>
        <w:tc>
          <w:tcPr>
            <w:tcW w:w="2180"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本年废止件数</w:t>
            </w:r>
          </w:p>
        </w:tc>
        <w:tc>
          <w:tcPr>
            <w:tcW w:w="2180"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现行有效件</w:t>
            </w:r>
            <w:r>
              <w:rPr>
                <w:rFonts w:ascii="宋体" w:hAnsi="宋体" w:cs="Calibri"/>
                <w:kern w:val="0"/>
                <w:sz w:val="20"/>
              </w:rPr>
              <w:t>数</w:t>
            </w:r>
          </w:p>
        </w:tc>
      </w:tr>
      <w:tr>
        <w:tblPrEx>
          <w:tblCellMar>
            <w:top w:w="0" w:type="dxa"/>
            <w:left w:w="0" w:type="dxa"/>
            <w:bottom w:w="0" w:type="dxa"/>
            <w:right w:w="0" w:type="dxa"/>
          </w:tblCellMar>
        </w:tblPrEx>
        <w:trPr>
          <w:trHeight w:val="334" w:hRule="atLeast"/>
          <w:jc w:val="center"/>
        </w:trPr>
        <w:tc>
          <w:tcPr>
            <w:tcW w:w="218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规章</w:t>
            </w:r>
          </w:p>
        </w:tc>
        <w:tc>
          <w:tcPr>
            <w:tcW w:w="218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lang w:val="en-US" w:eastAsia="zh-CN"/>
              </w:rPr>
              <w:t>0</w:t>
            </w:r>
          </w:p>
        </w:tc>
        <w:tc>
          <w:tcPr>
            <w:tcW w:w="218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lang w:val="en-US" w:eastAsia="zh-CN"/>
              </w:rPr>
              <w:t>0</w:t>
            </w:r>
          </w:p>
        </w:tc>
        <w:tc>
          <w:tcPr>
            <w:tcW w:w="218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cs="Calibri"/>
                <w:kern w:val="0"/>
                <w:szCs w:val="21"/>
                <w:lang w:val="en-US" w:eastAsia="zh-CN"/>
              </w:rPr>
              <w:t>0</w:t>
            </w:r>
          </w:p>
        </w:tc>
      </w:tr>
      <w:tr>
        <w:tblPrEx>
          <w:tblCellMar>
            <w:top w:w="0" w:type="dxa"/>
            <w:left w:w="0" w:type="dxa"/>
            <w:bottom w:w="0" w:type="dxa"/>
            <w:right w:w="0" w:type="dxa"/>
          </w:tblCellMar>
        </w:tblPrEx>
        <w:trPr>
          <w:trHeight w:val="334" w:hRule="atLeast"/>
          <w:jc w:val="center"/>
        </w:trPr>
        <w:tc>
          <w:tcPr>
            <w:tcW w:w="218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行政规范性文件</w:t>
            </w:r>
          </w:p>
        </w:tc>
        <w:tc>
          <w:tcPr>
            <w:tcW w:w="218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lang w:val="en-US" w:eastAsia="zh-CN"/>
              </w:rPr>
              <w:t>0</w:t>
            </w:r>
          </w:p>
        </w:tc>
        <w:tc>
          <w:tcPr>
            <w:tcW w:w="218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lang w:val="en-US" w:eastAsia="zh-CN"/>
              </w:rPr>
              <w:t>0</w:t>
            </w:r>
          </w:p>
        </w:tc>
        <w:tc>
          <w:tcPr>
            <w:tcW w:w="218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cs="Calibri"/>
                <w:kern w:val="0"/>
                <w:szCs w:val="21"/>
                <w:lang w:val="en-US" w:eastAsia="zh-CN"/>
              </w:rPr>
              <w:t>0</w:t>
            </w:r>
          </w:p>
        </w:tc>
      </w:tr>
      <w:tr>
        <w:tblPrEx>
          <w:tblCellMar>
            <w:top w:w="0" w:type="dxa"/>
            <w:left w:w="0" w:type="dxa"/>
            <w:bottom w:w="0" w:type="dxa"/>
            <w:right w:w="0" w:type="dxa"/>
          </w:tblCellMar>
        </w:tblPrEx>
        <w:trPr>
          <w:trHeight w:val="334" w:hRule="atLeast"/>
          <w:jc w:val="center"/>
        </w:trPr>
        <w:tc>
          <w:tcPr>
            <w:tcW w:w="872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第二十条第（五）项</w:t>
            </w:r>
          </w:p>
        </w:tc>
      </w:tr>
      <w:tr>
        <w:tblPrEx>
          <w:tblCellMar>
            <w:top w:w="0" w:type="dxa"/>
            <w:left w:w="0" w:type="dxa"/>
            <w:bottom w:w="0" w:type="dxa"/>
            <w:right w:w="0" w:type="dxa"/>
          </w:tblCellMar>
        </w:tblPrEx>
        <w:trPr>
          <w:trHeight w:val="334" w:hRule="atLeast"/>
          <w:jc w:val="center"/>
        </w:trPr>
        <w:tc>
          <w:tcPr>
            <w:tcW w:w="218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信息内容</w:t>
            </w:r>
          </w:p>
        </w:tc>
        <w:tc>
          <w:tcPr>
            <w:tcW w:w="6540"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本年处理决定数量</w:t>
            </w:r>
          </w:p>
        </w:tc>
      </w:tr>
      <w:tr>
        <w:tblPrEx>
          <w:tblCellMar>
            <w:top w:w="0" w:type="dxa"/>
            <w:left w:w="0" w:type="dxa"/>
            <w:bottom w:w="0" w:type="dxa"/>
            <w:right w:w="0" w:type="dxa"/>
          </w:tblCellMar>
        </w:tblPrEx>
        <w:trPr>
          <w:trHeight w:val="334" w:hRule="atLeast"/>
          <w:jc w:val="center"/>
        </w:trPr>
        <w:tc>
          <w:tcPr>
            <w:tcW w:w="218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行政许可</w:t>
            </w:r>
          </w:p>
        </w:tc>
        <w:tc>
          <w:tcPr>
            <w:tcW w:w="6540"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cs="Calibri"/>
                <w:kern w:val="0"/>
                <w:szCs w:val="21"/>
                <w:lang w:val="en-US" w:eastAsia="zh-CN"/>
              </w:rPr>
              <w:t>0</w:t>
            </w:r>
          </w:p>
        </w:tc>
      </w:tr>
      <w:tr>
        <w:tblPrEx>
          <w:tblCellMar>
            <w:top w:w="0" w:type="dxa"/>
            <w:left w:w="0" w:type="dxa"/>
            <w:bottom w:w="0" w:type="dxa"/>
            <w:right w:w="0" w:type="dxa"/>
          </w:tblCellMar>
        </w:tblPrEx>
        <w:trPr>
          <w:trHeight w:val="334" w:hRule="atLeast"/>
          <w:jc w:val="center"/>
        </w:trPr>
        <w:tc>
          <w:tcPr>
            <w:tcW w:w="872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第二十条第（六）项</w:t>
            </w:r>
          </w:p>
        </w:tc>
      </w:tr>
      <w:tr>
        <w:tblPrEx>
          <w:tblCellMar>
            <w:top w:w="0" w:type="dxa"/>
            <w:left w:w="0" w:type="dxa"/>
            <w:bottom w:w="0" w:type="dxa"/>
            <w:right w:w="0" w:type="dxa"/>
          </w:tblCellMar>
        </w:tblPrEx>
        <w:trPr>
          <w:trHeight w:val="334" w:hRule="atLeast"/>
          <w:jc w:val="center"/>
        </w:trPr>
        <w:tc>
          <w:tcPr>
            <w:tcW w:w="218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信息内容</w:t>
            </w:r>
          </w:p>
        </w:tc>
        <w:tc>
          <w:tcPr>
            <w:tcW w:w="6540" w:type="dxa"/>
            <w:gridSpan w:val="3"/>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本年处理决定数量</w:t>
            </w:r>
          </w:p>
        </w:tc>
      </w:tr>
      <w:tr>
        <w:tblPrEx>
          <w:tblCellMar>
            <w:top w:w="0" w:type="dxa"/>
            <w:left w:w="0" w:type="dxa"/>
            <w:bottom w:w="0" w:type="dxa"/>
            <w:right w:w="0" w:type="dxa"/>
          </w:tblCellMar>
        </w:tblPrEx>
        <w:trPr>
          <w:trHeight w:val="334" w:hRule="atLeast"/>
          <w:jc w:val="center"/>
        </w:trPr>
        <w:tc>
          <w:tcPr>
            <w:tcW w:w="218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行政处罚</w:t>
            </w:r>
          </w:p>
        </w:tc>
        <w:tc>
          <w:tcPr>
            <w:tcW w:w="6540"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lang w:val="en-US" w:eastAsia="zh-CN"/>
              </w:rPr>
              <w:t>0</w:t>
            </w:r>
          </w:p>
        </w:tc>
      </w:tr>
      <w:tr>
        <w:tblPrEx>
          <w:tblCellMar>
            <w:top w:w="0" w:type="dxa"/>
            <w:left w:w="0" w:type="dxa"/>
            <w:bottom w:w="0" w:type="dxa"/>
            <w:right w:w="0" w:type="dxa"/>
          </w:tblCellMar>
        </w:tblPrEx>
        <w:trPr>
          <w:trHeight w:val="334" w:hRule="atLeast"/>
          <w:jc w:val="center"/>
        </w:trPr>
        <w:tc>
          <w:tcPr>
            <w:tcW w:w="218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行政强制</w:t>
            </w:r>
          </w:p>
        </w:tc>
        <w:tc>
          <w:tcPr>
            <w:tcW w:w="6540"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lang w:val="en-US" w:eastAsia="zh-CN"/>
              </w:rPr>
              <w:t>0</w:t>
            </w:r>
          </w:p>
        </w:tc>
      </w:tr>
      <w:tr>
        <w:tblPrEx>
          <w:tblCellMar>
            <w:top w:w="0" w:type="dxa"/>
            <w:left w:w="0" w:type="dxa"/>
            <w:bottom w:w="0" w:type="dxa"/>
            <w:right w:w="0" w:type="dxa"/>
          </w:tblCellMar>
        </w:tblPrEx>
        <w:trPr>
          <w:trHeight w:val="334" w:hRule="atLeast"/>
          <w:jc w:val="center"/>
        </w:trPr>
        <w:tc>
          <w:tcPr>
            <w:tcW w:w="872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第二十条第（八）项</w:t>
            </w:r>
          </w:p>
        </w:tc>
      </w:tr>
      <w:tr>
        <w:tblPrEx>
          <w:tblCellMar>
            <w:top w:w="0" w:type="dxa"/>
            <w:left w:w="0" w:type="dxa"/>
            <w:bottom w:w="0" w:type="dxa"/>
            <w:right w:w="0" w:type="dxa"/>
          </w:tblCellMar>
        </w:tblPrEx>
        <w:trPr>
          <w:trHeight w:val="334" w:hRule="atLeast"/>
          <w:jc w:val="center"/>
        </w:trPr>
        <w:tc>
          <w:tcPr>
            <w:tcW w:w="218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信息内容</w:t>
            </w:r>
          </w:p>
        </w:tc>
        <w:tc>
          <w:tcPr>
            <w:tcW w:w="6540"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本年收费金额（单位：万元）</w:t>
            </w:r>
          </w:p>
        </w:tc>
      </w:tr>
      <w:tr>
        <w:tblPrEx>
          <w:tblCellMar>
            <w:top w:w="0" w:type="dxa"/>
            <w:left w:w="0" w:type="dxa"/>
            <w:bottom w:w="0" w:type="dxa"/>
            <w:right w:w="0" w:type="dxa"/>
          </w:tblCellMar>
        </w:tblPrEx>
        <w:trPr>
          <w:trHeight w:val="370" w:hRule="atLeast"/>
          <w:jc w:val="center"/>
        </w:trPr>
        <w:tc>
          <w:tcPr>
            <w:tcW w:w="218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行政事业性收费</w:t>
            </w:r>
          </w:p>
        </w:tc>
        <w:tc>
          <w:tcPr>
            <w:tcW w:w="6540"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ascii="SourceHanSansCN-Regular" w:hAnsi="SourceHanSansCN-Regular" w:eastAsia="SourceHanSansCN-Regular" w:cs="SourceHanSansCN-Regular"/>
          <w:i w:val="0"/>
          <w:iCs w:val="0"/>
          <w:caps w:val="0"/>
          <w:color w:val="333333"/>
          <w:spacing w:val="0"/>
          <w:sz w:val="25"/>
          <w:szCs w:val="25"/>
        </w:rPr>
      </w:pPr>
      <w:r>
        <w:rPr>
          <w:rFonts w:ascii="黑体" w:hAnsi="宋体" w:eastAsia="黑体" w:cs="黑体"/>
          <w:i w:val="0"/>
          <w:iCs w:val="0"/>
          <w:caps w:val="0"/>
          <w:color w:val="333333"/>
          <w:spacing w:val="0"/>
          <w:kern w:val="0"/>
          <w:sz w:val="32"/>
          <w:szCs w:val="32"/>
          <w:bdr w:val="none" w:color="auto" w:sz="0" w:space="0"/>
          <w:shd w:val="clear" w:fill="FFFFFF"/>
          <w:lang w:val="en-US" w:eastAsia="zh-CN" w:bidi="ar"/>
        </w:rPr>
        <w:t>三、</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收到和处理政府信息公开申请情况</w:t>
      </w:r>
    </w:p>
    <w:tbl>
      <w:tblPr>
        <w:tblStyle w:val="6"/>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688" w:type="dxa"/>
            <w:vMerge w:val="restart"/>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自然人</w:t>
            </w:r>
          </w:p>
        </w:tc>
        <w:tc>
          <w:tcPr>
            <w:tcW w:w="3440" w:type="dxa"/>
            <w:gridSpan w:val="5"/>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法人或其他组织</w:t>
            </w:r>
          </w:p>
        </w:tc>
        <w:tc>
          <w:tcPr>
            <w:tcW w:w="689" w:type="dxa"/>
            <w:vMerge w:val="restart"/>
            <w:tcBorders>
              <w:top w:val="single" w:color="auto" w:sz="8"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688" w:type="dxa"/>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商业</w:t>
            </w:r>
          </w:p>
          <w:p>
            <w:pPr>
              <w:widowControl/>
              <w:jc w:val="center"/>
              <w:rPr>
                <w:rFonts w:ascii="宋体" w:hAnsi="宋体" w:cs="宋体"/>
                <w:kern w:val="0"/>
                <w:sz w:val="24"/>
                <w:szCs w:val="24"/>
              </w:rPr>
            </w:pPr>
            <w:r>
              <w:rPr>
                <w:rFonts w:hint="eastAsia" w:ascii="宋体" w:hAnsi="宋体" w:cs="宋体"/>
                <w:kern w:val="0"/>
                <w:sz w:val="20"/>
              </w:rPr>
              <w:t>企业</w:t>
            </w:r>
          </w:p>
        </w:tc>
        <w:tc>
          <w:tcPr>
            <w:tcW w:w="688" w:type="dxa"/>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科研</w:t>
            </w:r>
          </w:p>
          <w:p>
            <w:pPr>
              <w:widowControl/>
              <w:jc w:val="center"/>
              <w:rPr>
                <w:rFonts w:ascii="宋体" w:hAnsi="宋体" w:cs="宋体"/>
                <w:kern w:val="0"/>
                <w:sz w:val="24"/>
                <w:szCs w:val="24"/>
              </w:rPr>
            </w:pPr>
            <w:r>
              <w:rPr>
                <w:rFonts w:hint="eastAsia" w:ascii="宋体" w:hAnsi="宋体" w:cs="宋体"/>
                <w:kern w:val="0"/>
                <w:sz w:val="20"/>
              </w:rPr>
              <w:t>机构</w:t>
            </w:r>
          </w:p>
        </w:tc>
        <w:tc>
          <w:tcPr>
            <w:tcW w:w="688"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社会公益组织</w:t>
            </w:r>
          </w:p>
        </w:tc>
        <w:tc>
          <w:tcPr>
            <w:tcW w:w="688"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法律服务机构</w:t>
            </w:r>
          </w:p>
        </w:tc>
        <w:tc>
          <w:tcPr>
            <w:tcW w:w="688"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其他</w:t>
            </w:r>
          </w:p>
        </w:tc>
        <w:tc>
          <w:tcPr>
            <w:tcW w:w="0" w:type="auto"/>
            <w:vMerge w:val="continue"/>
            <w:tcBorders>
              <w:top w:val="single"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一、本年新收政府信息公开申请数量</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lang w:val="en-US" w:eastAsia="zh-CN" w:bidi="ar-SA"/>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二、上年结转政府信息公开申请数量</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restart"/>
            <w:tcBorders>
              <w:top w:val="single" w:color="auto" w:sz="0" w:space="0"/>
              <w:left w:val="single" w:color="auto" w:sz="8"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三、本年度办理结果</w:t>
            </w:r>
          </w:p>
        </w:tc>
        <w:tc>
          <w:tcPr>
            <w:tcW w:w="416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（一）予以公开</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（二）部分公开</w:t>
            </w:r>
            <w:r>
              <w:rPr>
                <w:rFonts w:hint="eastAsia" w:ascii="楷体" w:hAnsi="楷体" w:eastAsia="楷体" w:cs="宋体"/>
                <w:kern w:val="0"/>
                <w:sz w:val="20"/>
              </w:rPr>
              <w:t>（区分处理的，只计这一情形，不计其他情形）</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（三）不予公开</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1.属于国家秘密</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lang w:val="en-US" w:eastAsia="zh-CN" w:bidi="ar-SA"/>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lang w:val="en-US" w:eastAsia="zh-CN" w:bidi="ar-SA"/>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9"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2.其他法律行政法规禁止公开</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3.危及“三安全一稳定”</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4.保护第三方合法权益</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5.属于三类内部事务信息</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lang w:val="en-US" w:eastAsia="zh-CN" w:bidi="ar-SA"/>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6.属于四类过程性信息</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7.属于行政执法案卷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8.属于行政查询事项</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（四）无法提供</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1.本机关不掌握相关政府信息</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lang w:val="en-US" w:eastAsia="zh-CN" w:bidi="ar-SA"/>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2.没有现成信息需要另行制作</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3.补正后申请内容仍不明确</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（五）不予处理</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1.信访举报投诉类申请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2.重复申请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lang w:val="en-US" w:eastAsia="zh-CN" w:bidi="ar-SA"/>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3.要求提供公开出版物</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4.无正当理由大量反复申请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trHeight w:val="779" w:hRule="atLeast"/>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rPr>
              <w:t>5.要求行政机关确认或重新出具已获取信息</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restart"/>
            <w:tcBorders>
              <w:top w:val="inset" w:color="auto" w:sz="8"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（六）其他处理</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lang w:val="en-US" w:eastAsia="zh-CN" w:bidi="ar-SA"/>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inset"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inset"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3.其他</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（七）总计</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cs="Calibri"/>
                <w:kern w:val="0"/>
                <w:sz w:val="20"/>
              </w:rPr>
              <w:t> </w:t>
            </w: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四、结转下年度继续办理</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cs="宋体"/>
                <w:kern w:val="0"/>
                <w:sz w:val="24"/>
                <w:szCs w:val="24"/>
                <w:lang w:val="en-US"/>
              </w:rPr>
            </w:pP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cs="宋体"/>
                <w:kern w:val="0"/>
                <w:sz w:val="24"/>
                <w:szCs w:val="24"/>
                <w:lang w:val="en-US"/>
              </w:rPr>
            </w:pPr>
            <w:r>
              <w:rPr>
                <w:rFonts w:hint="eastAsia" w:cs="Calibri"/>
                <w:kern w:val="0"/>
                <w:sz w:val="20"/>
                <w:lang w:val="en-US" w:eastAsia="zh-CN"/>
              </w:rPr>
              <w:t>0</w:t>
            </w:r>
            <w:r>
              <w:rPr>
                <w:rFonts w:hint="default" w:ascii="Calibri" w:hAnsi="Calibri" w:cs="Calibri"/>
                <w:kern w:val="0"/>
                <w:sz w:val="20"/>
                <w:lang w:val="en-US"/>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bidi="ar-SA"/>
              </w:rPr>
            </w:pPr>
            <w:r>
              <w:rPr>
                <w:rFonts w:hint="eastAsia" w:cs="Calibri"/>
                <w:kern w:val="0"/>
                <w:sz w:val="20"/>
                <w:lang w:val="en-US" w:eastAsia="zh-CN"/>
              </w:rPr>
              <w:t>0</w:t>
            </w:r>
            <w:r>
              <w:rPr>
                <w:rFonts w:hint="default" w:ascii="Calibri" w:hAnsi="Calibri" w:cs="Calibri"/>
                <w:kern w:val="0"/>
                <w:sz w:val="20"/>
                <w:lang w:val="en-US"/>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cs="宋体"/>
                <w:kern w:val="0"/>
                <w:sz w:val="24"/>
                <w:szCs w:val="24"/>
                <w:lang w:val="en-US"/>
              </w:rPr>
            </w:pPr>
            <w:r>
              <w:rPr>
                <w:rFonts w:hint="eastAsia" w:cs="Calibri"/>
                <w:kern w:val="0"/>
                <w:sz w:val="20"/>
                <w:lang w:val="en-US" w:eastAsia="zh-CN"/>
              </w:rPr>
              <w:t>0</w:t>
            </w:r>
            <w:r>
              <w:rPr>
                <w:rFonts w:hint="default" w:ascii="Calibri" w:hAnsi="Calibri" w:cs="Calibri"/>
                <w:kern w:val="0"/>
                <w:sz w:val="20"/>
                <w:lang w:val="en-US"/>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cs="宋体"/>
                <w:kern w:val="0"/>
                <w:sz w:val="24"/>
                <w:szCs w:val="24"/>
                <w:lang w:val="en-US"/>
              </w:rPr>
            </w:pPr>
            <w:r>
              <w:rPr>
                <w:rFonts w:hint="eastAsia" w:cs="Calibri"/>
                <w:kern w:val="0"/>
                <w:sz w:val="20"/>
                <w:lang w:val="en-US" w:eastAsia="zh-CN"/>
              </w:rPr>
              <w:t>0</w:t>
            </w:r>
            <w:r>
              <w:rPr>
                <w:rFonts w:hint="default" w:ascii="Calibri" w:hAnsi="Calibri" w:cs="Calibri"/>
                <w:kern w:val="0"/>
                <w:sz w:val="20"/>
                <w:lang w:val="en-US"/>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cs="宋体"/>
                <w:kern w:val="0"/>
                <w:sz w:val="24"/>
                <w:szCs w:val="24"/>
                <w:lang w:val="en-US"/>
              </w:rPr>
            </w:pPr>
            <w:r>
              <w:rPr>
                <w:rFonts w:hint="eastAsia" w:cs="Calibri"/>
                <w:kern w:val="0"/>
                <w:sz w:val="20"/>
                <w:lang w:val="en-US" w:eastAsia="zh-CN"/>
              </w:rPr>
              <w:t>0</w:t>
            </w:r>
            <w:r>
              <w:rPr>
                <w:rFonts w:hint="default" w:ascii="Calibri" w:hAnsi="Calibri" w:cs="Calibri"/>
                <w:kern w:val="0"/>
                <w:sz w:val="20"/>
                <w:lang w:val="en-US"/>
              </w:rPr>
              <w:t> </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cs="宋体"/>
                <w:kern w:val="0"/>
                <w:sz w:val="24"/>
                <w:szCs w:val="24"/>
                <w:lang w:val="en-US"/>
              </w:rPr>
            </w:pPr>
            <w:r>
              <w:rPr>
                <w:rFonts w:hint="eastAsia" w:cs="Calibri"/>
                <w:kern w:val="0"/>
                <w:sz w:val="20"/>
                <w:lang w:val="en-US" w:eastAsia="zh-CN"/>
              </w:rPr>
              <w:t>0</w:t>
            </w:r>
            <w:r>
              <w:rPr>
                <w:rFonts w:hint="default" w:ascii="Calibri" w:hAnsi="Calibri" w:cs="Calibri"/>
                <w:kern w:val="0"/>
                <w:sz w:val="20"/>
                <w:lang w:val="en-US"/>
              </w:rPr>
              <w:t> </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jc w:val="both"/>
        <w:textAlignment w:val="auto"/>
        <w:rPr>
          <w:rFonts w:hint="eastAsia" w:ascii="黑体" w:hAnsi="黑体" w:eastAsia="黑体" w:cs="黑体"/>
          <w:b w:val="0"/>
          <w:bCs w:val="0"/>
          <w:i w:val="0"/>
          <w:caps w:val="0"/>
          <w:color w:val="010000"/>
          <w:spacing w:val="0"/>
          <w:sz w:val="31"/>
          <w:szCs w:val="31"/>
          <w:u w:val="none"/>
          <w:shd w:val="clear" w:fill="FFFFFF"/>
        </w:rPr>
      </w:pPr>
      <w:r>
        <w:rPr>
          <w:rFonts w:hint="eastAsia" w:ascii="黑体" w:hAnsi="黑体" w:eastAsia="黑体" w:cs="黑体"/>
          <w:b w:val="0"/>
          <w:bCs w:val="0"/>
          <w:i w:val="0"/>
          <w:caps w:val="0"/>
          <w:color w:val="010000"/>
          <w:spacing w:val="0"/>
          <w:sz w:val="31"/>
          <w:szCs w:val="31"/>
          <w:u w:val="none"/>
          <w:shd w:val="clear" w:fill="FFFFFF"/>
        </w:rPr>
        <w:t>四、政府信息公开行政复议、行政诉讼情况</w:t>
      </w:r>
    </w:p>
    <w:tbl>
      <w:tblPr>
        <w:tblStyle w:val="6"/>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行政诉讼</w:t>
            </w:r>
          </w:p>
        </w:tc>
      </w:tr>
      <w:tr>
        <w:tblPrEx>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结果维持</w:t>
            </w:r>
          </w:p>
        </w:tc>
        <w:tc>
          <w:tcPr>
            <w:tcW w:w="649"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其他</w:t>
            </w:r>
            <w:r>
              <w:rPr>
                <w:rFonts w:hint="eastAsia" w:ascii="宋体" w:hAnsi="宋体" w:cs="宋体"/>
                <w:kern w:val="0"/>
                <w:sz w:val="20"/>
              </w:rPr>
              <w:br w:type="textWrapping"/>
            </w:r>
            <w:r>
              <w:rPr>
                <w:rFonts w:hint="eastAsia" w:ascii="宋体" w:hAnsi="宋体" w:cs="宋体"/>
                <w:kern w:val="0"/>
                <w:sz w:val="20"/>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尚未</w:t>
            </w:r>
            <w:r>
              <w:rPr>
                <w:rFonts w:hint="eastAsia" w:ascii="宋体" w:hAnsi="宋体" w:cs="宋体"/>
                <w:kern w:val="0"/>
                <w:sz w:val="20"/>
              </w:rPr>
              <w:br w:type="textWrapping"/>
            </w:r>
            <w:r>
              <w:rPr>
                <w:rFonts w:hint="eastAsia" w:ascii="宋体" w:hAnsi="宋体" w:cs="宋体"/>
                <w:kern w:val="0"/>
                <w:sz w:val="20"/>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维持</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纠正</w:t>
            </w:r>
          </w:p>
        </w:tc>
        <w:tc>
          <w:tcPr>
            <w:tcW w:w="65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其他</w:t>
            </w:r>
            <w:r>
              <w:rPr>
                <w:rFonts w:hint="eastAsia" w:ascii="宋体" w:hAnsi="宋体" w:cs="宋体"/>
                <w:kern w:val="0"/>
                <w:sz w:val="20"/>
              </w:rPr>
              <w:br w:type="textWrapping"/>
            </w:r>
            <w:r>
              <w:rPr>
                <w:rFonts w:hint="eastAsia" w:ascii="宋体" w:hAnsi="宋体" w:cs="宋体"/>
                <w:kern w:val="0"/>
                <w:sz w:val="20"/>
              </w:rPr>
              <w:t>结果</w:t>
            </w:r>
          </w:p>
        </w:tc>
        <w:tc>
          <w:tcPr>
            <w:tcW w:w="65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尚未</w:t>
            </w:r>
            <w:r>
              <w:rPr>
                <w:rFonts w:hint="eastAsia" w:ascii="宋体" w:hAnsi="宋体" w:cs="宋体"/>
                <w:kern w:val="0"/>
                <w:sz w:val="20"/>
              </w:rPr>
              <w:br w:type="textWrapping"/>
            </w:r>
            <w:r>
              <w:rPr>
                <w:rFonts w:hint="eastAsia" w:ascii="宋体" w:hAnsi="宋体" w:cs="宋体"/>
                <w:kern w:val="0"/>
                <w:sz w:val="20"/>
              </w:rPr>
              <w:t>审结</w:t>
            </w:r>
          </w:p>
        </w:tc>
        <w:tc>
          <w:tcPr>
            <w:tcW w:w="65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总计</w:t>
            </w:r>
          </w:p>
        </w:tc>
        <w:tc>
          <w:tcPr>
            <w:tcW w:w="6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维持</w:t>
            </w:r>
          </w:p>
        </w:tc>
        <w:tc>
          <w:tcPr>
            <w:tcW w:w="6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纠正</w:t>
            </w:r>
          </w:p>
        </w:tc>
        <w:tc>
          <w:tcPr>
            <w:tcW w:w="6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其他</w:t>
            </w:r>
            <w:r>
              <w:rPr>
                <w:rFonts w:hint="eastAsia" w:ascii="宋体" w:hAnsi="宋体" w:cs="宋体"/>
                <w:color w:val="000000"/>
                <w:kern w:val="0"/>
                <w:sz w:val="20"/>
              </w:rPr>
              <w:br w:type="textWrapping"/>
            </w:r>
            <w:r>
              <w:rPr>
                <w:rFonts w:hint="eastAsia" w:ascii="宋体" w:hAnsi="宋体" w:cs="宋体"/>
                <w:color w:val="000000"/>
                <w:kern w:val="0"/>
                <w:sz w:val="20"/>
              </w:rPr>
              <w:t>结果</w:t>
            </w:r>
          </w:p>
        </w:tc>
        <w:tc>
          <w:tcPr>
            <w:tcW w:w="6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尚未</w:t>
            </w:r>
            <w:r>
              <w:rPr>
                <w:rFonts w:hint="eastAsia" w:ascii="宋体" w:hAnsi="宋体" w:cs="宋体"/>
                <w:kern w:val="0"/>
                <w:sz w:val="20"/>
              </w:rPr>
              <w:br w:type="textWrapping"/>
            </w:r>
            <w:r>
              <w:rPr>
                <w:rFonts w:hint="eastAsia" w:ascii="宋体" w:hAnsi="宋体" w:cs="宋体"/>
                <w:kern w:val="0"/>
                <w:sz w:val="20"/>
              </w:rPr>
              <w:t>审结</w:t>
            </w:r>
          </w:p>
        </w:tc>
        <w:tc>
          <w:tcPr>
            <w:tcW w:w="6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总计</w:t>
            </w:r>
          </w:p>
        </w:tc>
      </w:tr>
      <w:tr>
        <w:tblPrEx>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jc w:val="both"/>
        <w:textAlignment w:val="auto"/>
        <w:rPr>
          <w:rFonts w:hint="eastAsia" w:ascii="黑体" w:hAnsi="黑体" w:eastAsia="黑体" w:cs="黑体"/>
          <w:b w:val="0"/>
          <w:bCs w:val="0"/>
          <w:i w:val="0"/>
          <w:caps w:val="0"/>
          <w:color w:val="010000"/>
          <w:spacing w:val="0"/>
          <w:sz w:val="31"/>
          <w:szCs w:val="31"/>
          <w:u w:val="none"/>
          <w:shd w:val="clear" w:fill="FFFFFF"/>
        </w:rPr>
      </w:pPr>
      <w:r>
        <w:rPr>
          <w:rFonts w:hint="eastAsia" w:ascii="黑体" w:hAnsi="黑体" w:eastAsia="黑体" w:cs="黑体"/>
          <w:b w:val="0"/>
          <w:bCs w:val="0"/>
          <w:i w:val="0"/>
          <w:caps w:val="0"/>
          <w:color w:val="010000"/>
          <w:spacing w:val="0"/>
          <w:sz w:val="31"/>
          <w:szCs w:val="31"/>
          <w:u w:val="none"/>
          <w:shd w:val="clear" w:fill="FFFFFF"/>
          <w:lang w:eastAsia="zh-CN"/>
        </w:rPr>
        <w:t>五</w:t>
      </w:r>
      <w:r>
        <w:rPr>
          <w:rFonts w:hint="eastAsia" w:ascii="黑体" w:hAnsi="黑体" w:eastAsia="黑体" w:cs="黑体"/>
          <w:b w:val="0"/>
          <w:bCs w:val="0"/>
          <w:i w:val="0"/>
          <w:caps w:val="0"/>
          <w:color w:val="010000"/>
          <w:spacing w:val="0"/>
          <w:sz w:val="31"/>
          <w:szCs w:val="31"/>
          <w:u w:val="none"/>
          <w:shd w:val="clear" w:fill="FFFFFF"/>
        </w:rPr>
        <w:t>、存在的主要问题及改进情况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0" w:firstLineChars="200"/>
        <w:jc w:val="both"/>
        <w:textAlignment w:val="auto"/>
        <w:rPr>
          <w:rFonts w:hint="eastAsia" w:ascii="仿宋_gb2312" w:hAnsi="仿宋_gb2312" w:eastAsia="仿宋_gb2312" w:cs="仿宋_gb2312"/>
          <w:b w:val="0"/>
          <w:i w:val="0"/>
          <w:caps w:val="0"/>
          <w:color w:val="auto"/>
          <w:spacing w:val="0"/>
          <w:sz w:val="31"/>
          <w:szCs w:val="31"/>
          <w:u w:val="none"/>
          <w:shd w:val="clear" w:fill="FFFFFF"/>
        </w:rPr>
      </w:pPr>
      <w:r>
        <w:rPr>
          <w:rFonts w:hint="eastAsia" w:ascii="仿宋_gb2312" w:hAnsi="仿宋_gb2312" w:eastAsia="仿宋_gb2312" w:cs="仿宋_gb2312"/>
          <w:b w:val="0"/>
          <w:i w:val="0"/>
          <w:caps w:val="0"/>
          <w:color w:val="auto"/>
          <w:spacing w:val="0"/>
          <w:sz w:val="31"/>
          <w:szCs w:val="31"/>
          <w:u w:val="none"/>
          <w:shd w:val="clear" w:fill="FFFFFF"/>
        </w:rPr>
        <w:t>2021年，尽管我镇在政务公开方面做了大量工作，取得了一定成效，但与上级要求和人民群众的期待相比，</w:t>
      </w:r>
      <w:r>
        <w:rPr>
          <w:rFonts w:hint="eastAsia" w:ascii="仿宋_gb2312" w:hAnsi="仿宋_gb2312" w:eastAsia="仿宋_gb2312" w:cs="仿宋_gb2312"/>
          <w:b w:val="0"/>
          <w:i w:val="0"/>
          <w:caps w:val="0"/>
          <w:color w:val="auto"/>
          <w:spacing w:val="0"/>
          <w:sz w:val="31"/>
          <w:szCs w:val="31"/>
          <w:u w:val="none"/>
          <w:shd w:val="clear" w:fill="FFFFFF"/>
          <w:lang w:eastAsia="zh-CN"/>
        </w:rPr>
        <w:t>存在</w:t>
      </w:r>
      <w:r>
        <w:rPr>
          <w:rFonts w:hint="default" w:ascii="仿宋_gb2312" w:hAnsi="仿宋_gb2312" w:eastAsia="仿宋_gb2312" w:cs="仿宋_gb2312"/>
          <w:b w:val="0"/>
          <w:i w:val="0"/>
          <w:caps w:val="0"/>
          <w:color w:val="auto"/>
          <w:spacing w:val="0"/>
          <w:sz w:val="31"/>
          <w:szCs w:val="31"/>
          <w:u w:val="none"/>
          <w:shd w:val="clear" w:fill="FFFFFF"/>
        </w:rPr>
        <w:t>主动公开政府信息量较少</w:t>
      </w:r>
      <w:r>
        <w:rPr>
          <w:rFonts w:hint="eastAsia" w:ascii="仿宋_gb2312" w:hAnsi="仿宋_gb2312" w:eastAsia="仿宋_gb2312" w:cs="仿宋_gb2312"/>
          <w:b w:val="0"/>
          <w:i w:val="0"/>
          <w:caps w:val="0"/>
          <w:color w:val="auto"/>
          <w:spacing w:val="0"/>
          <w:sz w:val="31"/>
          <w:szCs w:val="31"/>
          <w:u w:val="none"/>
          <w:shd w:val="clear" w:fill="FFFFFF"/>
          <w:lang w:eastAsia="zh-CN"/>
        </w:rPr>
        <w:t>、有</w:t>
      </w:r>
      <w:r>
        <w:rPr>
          <w:rFonts w:hint="default" w:ascii="仿宋_gb2312" w:hAnsi="仿宋_gb2312" w:eastAsia="仿宋_gb2312" w:cs="仿宋_gb2312"/>
          <w:b w:val="0"/>
          <w:i w:val="0"/>
          <w:caps w:val="0"/>
          <w:color w:val="auto"/>
          <w:spacing w:val="0"/>
          <w:sz w:val="31"/>
          <w:szCs w:val="31"/>
          <w:u w:val="none"/>
          <w:shd w:val="clear" w:fill="FFFFFF"/>
        </w:rPr>
        <w:t>些公开内容的时效性不够</w:t>
      </w:r>
      <w:r>
        <w:rPr>
          <w:rFonts w:hint="eastAsia" w:ascii="仿宋_gb2312" w:hAnsi="仿宋_gb2312" w:eastAsia="仿宋_gb2312" w:cs="仿宋_gb2312"/>
          <w:b w:val="0"/>
          <w:i w:val="0"/>
          <w:caps w:val="0"/>
          <w:color w:val="auto"/>
          <w:spacing w:val="0"/>
          <w:sz w:val="31"/>
          <w:szCs w:val="31"/>
          <w:u w:val="none"/>
          <w:shd w:val="clear" w:fill="FFFFFF"/>
          <w:lang w:eastAsia="zh-CN"/>
        </w:rPr>
        <w:t>、</w:t>
      </w:r>
      <w:r>
        <w:rPr>
          <w:rFonts w:hint="default" w:ascii="仿宋_gb2312" w:hAnsi="仿宋_gb2312" w:eastAsia="仿宋_gb2312" w:cs="仿宋_gb2312"/>
          <w:b w:val="0"/>
          <w:i w:val="0"/>
          <w:caps w:val="0"/>
          <w:color w:val="auto"/>
          <w:spacing w:val="0"/>
          <w:sz w:val="31"/>
          <w:szCs w:val="31"/>
          <w:u w:val="none"/>
          <w:shd w:val="clear" w:fill="FFFFFF"/>
        </w:rPr>
        <w:t>对于内容的保密性的审核，没有严格要求</w:t>
      </w:r>
      <w:r>
        <w:rPr>
          <w:rFonts w:hint="eastAsia" w:ascii="仿宋_gb2312" w:hAnsi="仿宋_gb2312" w:eastAsia="仿宋_gb2312" w:cs="仿宋_gb2312"/>
          <w:b w:val="0"/>
          <w:i w:val="0"/>
          <w:caps w:val="0"/>
          <w:color w:val="auto"/>
          <w:spacing w:val="0"/>
          <w:sz w:val="31"/>
          <w:szCs w:val="31"/>
          <w:u w:val="none"/>
          <w:shd w:val="clear" w:fill="FFFFFF"/>
          <w:lang w:eastAsia="zh-CN"/>
        </w:rPr>
        <w:t>等方面的问题</w:t>
      </w:r>
      <w:r>
        <w:rPr>
          <w:rFonts w:hint="eastAsia" w:ascii="仿宋_gb2312" w:hAnsi="仿宋_gb2312" w:eastAsia="仿宋_gb2312" w:cs="仿宋_gb2312"/>
          <w:b w:val="0"/>
          <w:i w:val="0"/>
          <w:caps w:val="0"/>
          <w:color w:val="auto"/>
          <w:spacing w:val="0"/>
          <w:sz w:val="31"/>
          <w:szCs w:val="31"/>
          <w:u w:val="none"/>
          <w:shd w:val="clear" w:fill="FFFFFF"/>
          <w:lang w:eastAsia="zh-CN"/>
        </w:rPr>
        <w:t>。</w:t>
      </w:r>
      <w:r>
        <w:rPr>
          <w:rFonts w:hint="eastAsia" w:ascii="仿宋_gb2312" w:hAnsi="仿宋_gb2312" w:eastAsia="仿宋_gb2312" w:cs="仿宋_gb2312"/>
          <w:b w:val="0"/>
          <w:i w:val="0"/>
          <w:caps w:val="0"/>
          <w:color w:val="auto"/>
          <w:spacing w:val="0"/>
          <w:sz w:val="31"/>
          <w:szCs w:val="31"/>
          <w:u w:val="none"/>
          <w:shd w:val="clear" w:fill="FFFFFF"/>
        </w:rPr>
        <w:t>针对以上存在的问题，我们将进一步采取有效措施，加大工作力度，推动政府信息公开工作再上新台阶：</w:t>
      </w:r>
      <w:r>
        <w:rPr>
          <w:rFonts w:hint="default" w:ascii="仿宋_gb2312" w:hAnsi="仿宋_gb2312" w:eastAsia="仿宋_gb2312" w:cs="仿宋_gb2312"/>
          <w:b w:val="0"/>
          <w:i w:val="0"/>
          <w:caps w:val="0"/>
          <w:color w:val="auto"/>
          <w:spacing w:val="0"/>
          <w:sz w:val="31"/>
          <w:szCs w:val="31"/>
          <w:u w:val="none"/>
          <w:shd w:val="clear" w:fill="FFFFFF"/>
        </w:rPr>
        <w:t>一是继续完善和</w:t>
      </w:r>
      <w:r>
        <w:rPr>
          <w:rFonts w:hint="default" w:ascii="仿宋_gb2312" w:hAnsi="仿宋_gb2312" w:eastAsia="仿宋_gb2312" w:cs="仿宋_gb2312"/>
          <w:b w:val="0"/>
          <w:i w:val="0"/>
          <w:caps w:val="0"/>
          <w:color w:val="auto"/>
          <w:spacing w:val="0"/>
          <w:sz w:val="31"/>
          <w:szCs w:val="31"/>
          <w:u w:val="none"/>
          <w:shd w:val="clear" w:fill="FFFFFF"/>
        </w:rPr>
        <w:t>落实各项规章制度。</w:t>
      </w:r>
      <w:r>
        <w:rPr>
          <w:rFonts w:hint="default" w:ascii="仿宋_gb2312" w:hAnsi="仿宋_gb2312" w:eastAsia="仿宋_gb2312" w:cs="仿宋_gb2312"/>
          <w:b w:val="0"/>
          <w:i w:val="0"/>
          <w:caps w:val="0"/>
          <w:color w:val="auto"/>
          <w:spacing w:val="0"/>
          <w:sz w:val="31"/>
          <w:szCs w:val="31"/>
          <w:u w:val="none"/>
          <w:shd w:val="clear" w:fill="FFFFFF"/>
        </w:rPr>
        <w:t>按照《条例》规定，政府信息公开保密审查制度，严格规范审查程序，确保涉密信息不公开，公开信息不涉密。加强对政府信息公开工作的考核评价，推动政府信息公开工作深入开展。同时，认真抓好现有各项制度的落实，促进政府信息公开工作更加科学化、制度化、规范化发展。 二是继续加大主动公开工作力度。</w:t>
      </w:r>
      <w:r>
        <w:rPr>
          <w:rFonts w:hint="default" w:ascii="仿宋_gb2312" w:hAnsi="仿宋_gb2312" w:eastAsia="仿宋_gb2312" w:cs="仿宋_gb2312"/>
          <w:b w:val="0"/>
          <w:i w:val="0"/>
          <w:caps w:val="0"/>
          <w:color w:val="auto"/>
          <w:spacing w:val="0"/>
          <w:sz w:val="31"/>
          <w:szCs w:val="31"/>
          <w:u w:val="none"/>
          <w:shd w:val="clear" w:fill="FFFFFF"/>
        </w:rPr>
        <w:t>进一步增强主动公开意识，加大公开力度，重点推进教育、医疗、社会保障、就业、环保、公共卫生、房屋拆迁及其补偿、征地使用及补偿等与人民群众利益切实相关信息的公开。 三是主动提升信息公开的质量。每个月强化亮化考核，</w:t>
      </w:r>
      <w:r>
        <w:rPr>
          <w:rFonts w:hint="eastAsia" w:ascii="仿宋_gb2312" w:hAnsi="仿宋_gb2312" w:eastAsia="仿宋_gb2312" w:cs="仿宋_gb2312"/>
          <w:b w:val="0"/>
          <w:i w:val="0"/>
          <w:caps w:val="0"/>
          <w:color w:val="auto"/>
          <w:spacing w:val="0"/>
          <w:sz w:val="31"/>
          <w:szCs w:val="31"/>
          <w:u w:val="none"/>
          <w:shd w:val="clear" w:fill="FFFFFF"/>
        </w:rPr>
        <w:t>及时发布更新政务平台栏目相关信息</w:t>
      </w:r>
      <w:r>
        <w:rPr>
          <w:rFonts w:hint="default" w:ascii="仿宋_gb2312" w:hAnsi="仿宋_gb2312" w:eastAsia="仿宋_gb2312" w:cs="仿宋_gb2312"/>
          <w:b w:val="0"/>
          <w:i w:val="0"/>
          <w:caps w:val="0"/>
          <w:color w:val="auto"/>
          <w:spacing w:val="0"/>
          <w:sz w:val="31"/>
          <w:szCs w:val="31"/>
          <w:u w:val="none"/>
          <w:shd w:val="clear" w:fill="FFFFFF"/>
        </w:rPr>
        <w:t>。在确保</w:t>
      </w:r>
      <w:r>
        <w:rPr>
          <w:rFonts w:hint="eastAsia" w:ascii="仿宋_gb2312" w:hAnsi="仿宋_gb2312" w:eastAsia="仿宋_gb2312" w:cs="仿宋_gb2312"/>
          <w:b w:val="0"/>
          <w:i w:val="0"/>
          <w:caps w:val="0"/>
          <w:color w:val="auto"/>
          <w:spacing w:val="0"/>
          <w:sz w:val="31"/>
          <w:szCs w:val="31"/>
          <w:u w:val="none"/>
          <w:shd w:val="clear" w:fill="FFFFFF"/>
          <w:lang w:eastAsia="zh-CN"/>
        </w:rPr>
        <w:t>数量</w:t>
      </w:r>
      <w:r>
        <w:rPr>
          <w:rFonts w:hint="default" w:ascii="仿宋_gb2312" w:hAnsi="仿宋_gb2312" w:eastAsia="仿宋_gb2312" w:cs="仿宋_gb2312"/>
          <w:b w:val="0"/>
          <w:i w:val="0"/>
          <w:caps w:val="0"/>
          <w:color w:val="auto"/>
          <w:spacing w:val="0"/>
          <w:sz w:val="31"/>
          <w:szCs w:val="31"/>
          <w:u w:val="none"/>
          <w:shd w:val="clear" w:fill="FFFFFF"/>
        </w:rPr>
        <w:t>的基础上，进一步提升信息质量，特别注重事关民生、农业、干部作风等方面的政策文件、工作举措、考核奖惩等方面的信息公开，保障群众群里，接受社会监督。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ascii="SourceHanSansCN-Regular" w:hAnsi="SourceHanSansCN-Regular" w:eastAsia="SourceHanSansCN-Regular" w:cs="SourceHanSansCN-Regular"/>
          <w:i w:val="0"/>
          <w:iCs w:val="0"/>
          <w:caps w:val="0"/>
          <w:color w:val="333333"/>
          <w:spacing w:val="0"/>
          <w:sz w:val="25"/>
          <w:szCs w:val="25"/>
        </w:rPr>
      </w:pPr>
      <w:r>
        <w:rPr>
          <w:rFonts w:ascii="黑体" w:hAnsi="宋体" w:eastAsia="黑体" w:cs="黑体"/>
          <w:i w:val="0"/>
          <w:iCs w:val="0"/>
          <w:caps w:val="0"/>
          <w:color w:val="333333"/>
          <w:spacing w:val="0"/>
          <w:kern w:val="0"/>
          <w:sz w:val="32"/>
          <w:szCs w:val="32"/>
          <w:bdr w:val="none" w:color="auto" w:sz="0" w:space="0"/>
          <w:shd w:val="clear" w:fill="FFFFFF"/>
          <w:lang w:val="en-US" w:eastAsia="zh-CN" w:bidi="ar"/>
        </w:rPr>
        <w:t>六、其他需要报告的事项</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rPr>
          <w:rFonts w:hint="default" w:ascii="SourceHanSansCN-Regular" w:hAnsi="SourceHanSansCN-Regular" w:eastAsia="SourceHanSansCN-Regular" w:cs="SourceHanSansCN-Regular"/>
          <w:b w:val="0"/>
          <w:bCs w:val="0"/>
          <w:i w:val="0"/>
          <w:iCs w:val="0"/>
          <w:caps w:val="0"/>
          <w:color w:val="333333"/>
          <w:spacing w:val="0"/>
          <w:sz w:val="25"/>
          <w:szCs w:val="25"/>
        </w:rPr>
      </w:pPr>
      <w:r>
        <w:rPr>
          <w:rFonts w:ascii="仿宋_gb2312" w:hAnsi="SourceHanSansCN-Regular" w:eastAsia="仿宋_gb2312" w:cs="仿宋_gb2312"/>
          <w:b w:val="0"/>
          <w:bCs w:val="0"/>
          <w:i w:val="0"/>
          <w:iCs w:val="0"/>
          <w:caps w:val="0"/>
          <w:color w:val="333333"/>
          <w:spacing w:val="0"/>
          <w:sz w:val="30"/>
          <w:szCs w:val="30"/>
          <w:bdr w:val="none" w:color="auto" w:sz="0" w:space="0"/>
          <w:shd w:val="clear" w:fill="FFFFFF"/>
        </w:rPr>
        <w:t>无其他需要报告的事项。</w:t>
      </w:r>
    </w:p>
    <w:p/>
    <w:p>
      <w:pPr>
        <w:pStyle w:val="2"/>
      </w:pPr>
    </w:p>
    <w:p>
      <w:pPr>
        <w:pageBreakBefore w:val="0"/>
        <w:widowControl w:val="0"/>
        <w:kinsoku/>
        <w:wordWrap/>
        <w:overflowPunct/>
        <w:topLinePunct w:val="0"/>
        <w:autoSpaceDE/>
        <w:autoSpaceDN/>
        <w:bidi w:val="0"/>
        <w:adjustRightInd/>
        <w:snapToGrid/>
        <w:ind w:firstLine="4650" w:firstLineChars="1500"/>
        <w:jc w:val="right"/>
        <w:textAlignment w:val="auto"/>
        <w:rPr>
          <w:rFonts w:hint="eastAsia" w:ascii="仿宋_gb2312" w:hAnsi="仿宋_gb2312" w:eastAsia="仿宋_gb2312" w:cs="仿宋_gb2312"/>
          <w:b w:val="0"/>
          <w:i w:val="0"/>
          <w:caps w:val="0"/>
          <w:color w:val="010000"/>
          <w:spacing w:val="0"/>
          <w:kern w:val="0"/>
          <w:sz w:val="31"/>
          <w:szCs w:val="31"/>
          <w:u w:val="none"/>
          <w:shd w:val="clear" w:fill="FFFFFF"/>
          <w:lang w:val="en-US" w:eastAsia="zh-CN" w:bidi="ar-SA"/>
        </w:rPr>
      </w:pPr>
      <w:r>
        <w:rPr>
          <w:rFonts w:hint="eastAsia" w:ascii="仿宋_gb2312" w:hAnsi="仿宋_gb2312" w:eastAsia="仿宋_gb2312" w:cs="仿宋_gb2312"/>
          <w:b w:val="0"/>
          <w:i w:val="0"/>
          <w:caps w:val="0"/>
          <w:color w:val="010000"/>
          <w:spacing w:val="0"/>
          <w:kern w:val="0"/>
          <w:sz w:val="31"/>
          <w:szCs w:val="31"/>
          <w:u w:val="none"/>
          <w:shd w:val="clear" w:fill="FFFFFF"/>
          <w:lang w:val="en-US" w:eastAsia="zh-CN" w:bidi="ar-SA"/>
        </w:rPr>
        <w:t>徐家渡镇人民政府</w:t>
      </w:r>
    </w:p>
    <w:p>
      <w:pPr>
        <w:pStyle w:val="2"/>
        <w:pageBreakBefore w:val="0"/>
        <w:widowControl w:val="0"/>
        <w:kinsoku/>
        <w:wordWrap/>
        <w:overflowPunct/>
        <w:topLinePunct w:val="0"/>
        <w:autoSpaceDE/>
        <w:autoSpaceDN/>
        <w:bidi w:val="0"/>
        <w:adjustRightInd/>
        <w:snapToGrid/>
        <w:spacing w:before="0" w:after="0"/>
        <w:jc w:val="right"/>
        <w:textAlignment w:val="auto"/>
        <w:rPr>
          <w:rFonts w:hint="default"/>
          <w:lang w:val="en-US" w:eastAsia="zh-CN"/>
        </w:rPr>
      </w:pPr>
      <w:r>
        <w:rPr>
          <w:rFonts w:hint="eastAsia" w:ascii="仿宋_gb2312" w:hAnsi="仿宋_gb2312" w:eastAsia="仿宋_gb2312" w:cs="仿宋_gb2312"/>
          <w:b w:val="0"/>
          <w:i w:val="0"/>
          <w:caps w:val="0"/>
          <w:color w:val="010000"/>
          <w:spacing w:val="0"/>
          <w:kern w:val="0"/>
          <w:sz w:val="31"/>
          <w:szCs w:val="31"/>
          <w:u w:val="none"/>
          <w:shd w:val="clear" w:fill="FFFFFF"/>
          <w:lang w:val="en-US" w:eastAsia="zh-CN" w:bidi="ar-SA"/>
        </w:rPr>
        <w:t xml:space="preserve">                              2022年1月14日</w:t>
      </w:r>
    </w:p>
    <w:sectPr>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SourceHanSansC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A8"/>
    <w:rsid w:val="0055359B"/>
    <w:rsid w:val="00B864DE"/>
    <w:rsid w:val="00BB01A8"/>
    <w:rsid w:val="0E661D7D"/>
    <w:rsid w:val="17855E45"/>
    <w:rsid w:val="190B5F73"/>
    <w:rsid w:val="293A7B45"/>
    <w:rsid w:val="2F96730D"/>
    <w:rsid w:val="307B0568"/>
    <w:rsid w:val="31094881"/>
    <w:rsid w:val="45082432"/>
    <w:rsid w:val="4E690129"/>
    <w:rsid w:val="57515C10"/>
    <w:rsid w:val="66883659"/>
    <w:rsid w:val="6C2F74BC"/>
    <w:rsid w:val="6F130714"/>
    <w:rsid w:val="711D3CF1"/>
    <w:rsid w:val="797C7880"/>
    <w:rsid w:val="7E704F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uiPriority w:val="0"/>
    <w:rPr>
      <w:rFonts w:ascii="Calibri" w:hAnsi="Calibri" w:cs="黑体"/>
      <w:kern w:val="2"/>
      <w:sz w:val="18"/>
      <w:szCs w:val="18"/>
    </w:rPr>
  </w:style>
  <w:style w:type="character" w:customStyle="1" w:styleId="10">
    <w:name w:val="页脚 Char"/>
    <w:basedOn w:val="7"/>
    <w:link w:val="3"/>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201</Words>
  <Characters>1146</Characters>
  <Lines>9</Lines>
  <Paragraphs>2</Paragraphs>
  <TotalTime>10</TotalTime>
  <ScaleCrop>false</ScaleCrop>
  <LinksUpToDate>false</LinksUpToDate>
  <CharactersWithSpaces>1345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2020-01-09T07:07:00Z</dcterms:created>
  <dc:creator>Administrator</dc:creator>
  <cp:lastModifiedBy>狐伍</cp:lastModifiedBy>
  <dcterms:modified xsi:type="dcterms:W3CDTF">2022-02-15T03:56:39Z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D36405DA21124761AEADE565A4DB4339</vt:lpwstr>
  </property>
</Properties>
</file>