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Autospacing="0" w:afterAutospacing="0" w:line="560" w:lineRule="exact"/>
        <w:ind w:firstLine="643" w:firstLineChars="200"/>
        <w:jc w:val="both"/>
        <w:rPr>
          <w:rFonts w:ascii="Times New Roman" w:hAnsi="Times New Roman" w:eastAsia="仿宋_GB2312"/>
          <w:color w:val="000000"/>
          <w:kern w:val="32"/>
          <w:sz w:val="32"/>
          <w:szCs w:val="32"/>
        </w:rPr>
      </w:pPr>
    </w:p>
    <w:p>
      <w:pPr>
        <w:pStyle w:val="2"/>
        <w:spacing w:beforeAutospacing="0" w:afterAutospacing="0" w:line="560" w:lineRule="exact"/>
        <w:jc w:val="center"/>
        <w:rPr>
          <w:rFonts w:ascii="方正小标宋简体" w:hAnsi="Times New Roman" w:eastAsia="方正小标宋简体"/>
          <w:b w:val="0"/>
          <w:color w:val="000000"/>
          <w:kern w:val="32"/>
          <w:sz w:val="44"/>
          <w:szCs w:val="44"/>
          <w:shd w:val="clear" w:color="auto" w:fill="FFFFFF"/>
        </w:rPr>
      </w:pPr>
      <w:r>
        <w:rPr>
          <w:rFonts w:hint="eastAsia" w:ascii="方正小标宋简体" w:hAnsi="Times New Roman" w:eastAsia="方正小标宋简体"/>
          <w:b w:val="0"/>
          <w:color w:val="000000"/>
          <w:kern w:val="32"/>
          <w:sz w:val="44"/>
          <w:szCs w:val="44"/>
          <w:lang w:eastAsia="zh-CN"/>
        </w:rPr>
        <w:t>田心镇</w:t>
      </w:r>
      <w:r>
        <w:rPr>
          <w:rFonts w:hint="eastAsia" w:ascii="方正小标宋简体" w:hAnsi="Times New Roman" w:eastAsia="方正小标宋简体"/>
          <w:b w:val="0"/>
          <w:color w:val="000000"/>
          <w:kern w:val="32"/>
          <w:sz w:val="44"/>
          <w:szCs w:val="44"/>
          <w:lang w:val="en-US" w:eastAsia="zh-CN"/>
        </w:rPr>
        <w:t>人民政府</w:t>
      </w:r>
      <w:r>
        <w:rPr>
          <w:rFonts w:ascii="方正小标宋简体" w:hAnsi="Times New Roman" w:eastAsia="方正小标宋简体"/>
          <w:b w:val="0"/>
          <w:color w:val="000000"/>
          <w:kern w:val="32"/>
          <w:sz w:val="44"/>
          <w:szCs w:val="44"/>
        </w:rPr>
        <w:t>202</w:t>
      </w:r>
      <w:r>
        <w:rPr>
          <w:rFonts w:hint="eastAsia" w:ascii="方正小标宋简体" w:hAnsi="Times New Roman" w:eastAsia="方正小标宋简体"/>
          <w:b w:val="0"/>
          <w:color w:val="000000"/>
          <w:kern w:val="32"/>
          <w:sz w:val="44"/>
          <w:szCs w:val="44"/>
          <w:lang w:val="en-US" w:eastAsia="zh-CN"/>
        </w:rPr>
        <w:t>2</w:t>
      </w:r>
      <w:r>
        <w:rPr>
          <w:rFonts w:hint="eastAsia" w:ascii="方正小标宋简体" w:hAnsi="Times New Roman" w:eastAsia="方正小标宋简体"/>
          <w:b w:val="0"/>
          <w:color w:val="000000"/>
          <w:kern w:val="32"/>
          <w:sz w:val="44"/>
          <w:szCs w:val="44"/>
        </w:rPr>
        <w:t>年信息公开工作年度报告</w:t>
      </w:r>
    </w:p>
    <w:p>
      <w:pPr>
        <w:pStyle w:val="5"/>
        <w:shd w:val="clear" w:color="auto" w:fill="FFFFFF"/>
        <w:spacing w:beforeAutospacing="0" w:afterAutospacing="0" w:line="560" w:lineRule="exact"/>
        <w:jc w:val="both"/>
        <w:rPr>
          <w:rFonts w:ascii="Times New Roman" w:hAnsi="Times New Roman" w:eastAsia="仿宋_GB2312"/>
          <w:color w:val="000000"/>
          <w:kern w:val="32"/>
          <w:sz w:val="32"/>
          <w:szCs w:val="32"/>
        </w:rPr>
      </w:pPr>
    </w:p>
    <w:p>
      <w:pPr>
        <w:pStyle w:val="5"/>
        <w:keepNext w:val="0"/>
        <w:keepLines w:val="0"/>
        <w:widowControl/>
        <w:suppressLineNumbers w:val="0"/>
        <w:shd w:val="clear" w:fill="FFFFFF"/>
        <w:spacing w:before="0" w:beforeAutospacing="1" w:after="0" w:afterAutospacing="1" w:line="560" w:lineRule="exact"/>
        <w:ind w:left="0" w:right="0" w:firstLine="640" w:firstLineChars="200"/>
        <w:jc w:val="both"/>
      </w:pPr>
      <w:r>
        <w:rPr>
          <w:rFonts w:ascii="仿宋_GB2312" w:hAnsi="Times New Roman" w:eastAsia="仿宋_GB2312" w:cs="仿宋_GB2312"/>
          <w:color w:val="000000"/>
          <w:kern w:val="32"/>
          <w:sz w:val="32"/>
          <w:szCs w:val="32"/>
          <w:shd w:val="clear" w:fill="FFFFFF"/>
          <w:lang w:val="en-US" w:eastAsia="zh-CN" w:bidi="ar"/>
        </w:rPr>
        <w:t>根据《中华人民共和国政府信息公开条例》（以下简称《条例》）</w:t>
      </w:r>
      <w:r>
        <w:rPr>
          <w:rFonts w:hint="eastAsia" w:ascii="仿宋_GB2312" w:hAnsi="Times New Roman" w:eastAsia="仿宋_GB2312" w:cs="仿宋_GB2312"/>
          <w:color w:val="000000"/>
          <w:kern w:val="32"/>
          <w:sz w:val="32"/>
          <w:szCs w:val="32"/>
          <w:shd w:val="clear" w:fill="FFFFFF"/>
          <w:lang w:val="en-US" w:eastAsia="zh-CN" w:bidi="ar"/>
        </w:rPr>
        <w:t>和《国务院办公厅关于印发政府网站发展指引的通知》、国务院办公厅政府信息与政务公开办公室国办公开办函〔</w:t>
      </w:r>
      <w:r>
        <w:rPr>
          <w:rFonts w:hint="default" w:ascii="Times New Roman" w:hAnsi="Times New Roman" w:eastAsia="仿宋_GB2312" w:cs="Times New Roman"/>
          <w:color w:val="000000"/>
          <w:kern w:val="32"/>
          <w:sz w:val="32"/>
          <w:szCs w:val="32"/>
          <w:shd w:val="clear" w:fill="FFFFFF"/>
          <w:lang w:val="en-US" w:eastAsia="zh-CN" w:bidi="ar"/>
        </w:rPr>
        <w:t>2021</w:t>
      </w:r>
      <w:r>
        <w:rPr>
          <w:rFonts w:hint="eastAsia" w:ascii="仿宋_GB2312" w:hAnsi="Times New Roman" w:eastAsia="仿宋_GB2312" w:cs="仿宋_GB2312"/>
          <w:color w:val="000000"/>
          <w:kern w:val="32"/>
          <w:sz w:val="32"/>
          <w:szCs w:val="32"/>
          <w:shd w:val="clear" w:fill="FFFFFF"/>
          <w:lang w:val="en-US" w:eastAsia="zh-CN" w:bidi="ar"/>
        </w:rPr>
        <w:t>〕</w:t>
      </w:r>
      <w:r>
        <w:rPr>
          <w:rFonts w:hint="default" w:ascii="Times New Roman" w:hAnsi="Times New Roman" w:eastAsia="仿宋_GB2312" w:cs="Times New Roman"/>
          <w:color w:val="000000"/>
          <w:kern w:val="32"/>
          <w:sz w:val="32"/>
          <w:szCs w:val="32"/>
          <w:shd w:val="clear" w:fill="FFFFFF"/>
          <w:lang w:val="en-US" w:eastAsia="zh-CN" w:bidi="ar"/>
        </w:rPr>
        <w:t>30</w:t>
      </w:r>
      <w:r>
        <w:rPr>
          <w:rFonts w:hint="eastAsia" w:ascii="仿宋_GB2312" w:hAnsi="Times New Roman" w:eastAsia="仿宋_GB2312" w:cs="仿宋_GB2312"/>
          <w:color w:val="000000"/>
          <w:kern w:val="32"/>
          <w:sz w:val="32"/>
          <w:szCs w:val="32"/>
          <w:shd w:val="clear" w:fill="FFFFFF"/>
          <w:lang w:val="en-US" w:eastAsia="zh-CN" w:bidi="ar"/>
        </w:rPr>
        <w:t>号等文件要求编制本报告。报告中所列数据统计期限从</w:t>
      </w:r>
      <w:r>
        <w:rPr>
          <w:rFonts w:hint="default" w:ascii="Times New Roman" w:hAnsi="Times New Roman" w:eastAsia="仿宋_GB2312" w:cs="Times New Roman"/>
          <w:color w:val="000000"/>
          <w:kern w:val="32"/>
          <w:sz w:val="32"/>
          <w:szCs w:val="32"/>
          <w:shd w:val="clear" w:fill="FFFFFF"/>
          <w:lang w:val="en-US" w:eastAsia="zh-CN" w:bidi="ar"/>
        </w:rPr>
        <w:t>2022</w:t>
      </w:r>
      <w:r>
        <w:rPr>
          <w:rFonts w:hint="eastAsia" w:ascii="仿宋_GB2312" w:hAnsi="Times New Roman" w:eastAsia="仿宋_GB2312" w:cs="仿宋_GB2312"/>
          <w:color w:val="000000"/>
          <w:kern w:val="32"/>
          <w:sz w:val="32"/>
          <w:szCs w:val="32"/>
          <w:shd w:val="clear" w:fill="FFFFFF"/>
          <w:lang w:val="en-US" w:eastAsia="zh-CN" w:bidi="ar"/>
        </w:rPr>
        <w:t>年</w:t>
      </w:r>
      <w:r>
        <w:rPr>
          <w:rFonts w:hint="default" w:ascii="Times New Roman" w:hAnsi="Times New Roman" w:eastAsia="仿宋_GB2312" w:cs="Times New Roman"/>
          <w:color w:val="000000"/>
          <w:kern w:val="32"/>
          <w:sz w:val="32"/>
          <w:szCs w:val="32"/>
          <w:shd w:val="clear" w:fill="FFFFFF"/>
          <w:lang w:val="en-US" w:eastAsia="zh-CN" w:bidi="ar"/>
        </w:rPr>
        <w:t>1</w:t>
      </w:r>
      <w:r>
        <w:rPr>
          <w:rFonts w:hint="eastAsia" w:ascii="仿宋_GB2312" w:hAnsi="Times New Roman" w:eastAsia="仿宋_GB2312" w:cs="仿宋_GB2312"/>
          <w:color w:val="000000"/>
          <w:kern w:val="32"/>
          <w:sz w:val="32"/>
          <w:szCs w:val="32"/>
          <w:shd w:val="clear" w:fill="FFFFFF"/>
          <w:lang w:val="en-US" w:eastAsia="zh-CN" w:bidi="ar"/>
        </w:rPr>
        <w:t>月</w:t>
      </w:r>
      <w:r>
        <w:rPr>
          <w:rFonts w:hint="default" w:ascii="Times New Roman" w:hAnsi="Times New Roman" w:eastAsia="仿宋_GB2312" w:cs="Times New Roman"/>
          <w:color w:val="000000"/>
          <w:kern w:val="32"/>
          <w:sz w:val="32"/>
          <w:szCs w:val="32"/>
          <w:shd w:val="clear" w:fill="FFFFFF"/>
          <w:lang w:val="en-US" w:eastAsia="zh-CN" w:bidi="ar"/>
        </w:rPr>
        <w:t>1</w:t>
      </w:r>
      <w:r>
        <w:rPr>
          <w:rFonts w:hint="eastAsia" w:ascii="仿宋_GB2312" w:hAnsi="Times New Roman" w:eastAsia="仿宋_GB2312" w:cs="仿宋_GB2312"/>
          <w:color w:val="000000"/>
          <w:kern w:val="32"/>
          <w:sz w:val="32"/>
          <w:szCs w:val="32"/>
          <w:shd w:val="clear" w:fill="FFFFFF"/>
          <w:lang w:val="en-US" w:eastAsia="zh-CN" w:bidi="ar"/>
        </w:rPr>
        <w:t>日到</w:t>
      </w:r>
      <w:r>
        <w:rPr>
          <w:rFonts w:hint="default" w:ascii="Times New Roman" w:hAnsi="Times New Roman" w:eastAsia="仿宋_GB2312" w:cs="Times New Roman"/>
          <w:color w:val="000000"/>
          <w:kern w:val="32"/>
          <w:sz w:val="32"/>
          <w:szCs w:val="32"/>
          <w:shd w:val="clear" w:fill="FFFFFF"/>
          <w:lang w:val="en-US" w:eastAsia="zh-CN" w:bidi="ar"/>
        </w:rPr>
        <w:t>2022</w:t>
      </w:r>
      <w:r>
        <w:rPr>
          <w:rFonts w:hint="eastAsia" w:ascii="仿宋_GB2312" w:hAnsi="Times New Roman" w:eastAsia="仿宋_GB2312" w:cs="仿宋_GB2312"/>
          <w:color w:val="000000"/>
          <w:kern w:val="32"/>
          <w:sz w:val="32"/>
          <w:szCs w:val="32"/>
          <w:shd w:val="clear" w:fill="FFFFFF"/>
          <w:lang w:val="en-US" w:eastAsia="zh-CN" w:bidi="ar"/>
        </w:rPr>
        <w:t>年</w:t>
      </w:r>
      <w:r>
        <w:rPr>
          <w:rFonts w:hint="default" w:ascii="Times New Roman" w:hAnsi="Times New Roman" w:eastAsia="仿宋_GB2312" w:cs="Times New Roman"/>
          <w:color w:val="000000"/>
          <w:kern w:val="32"/>
          <w:sz w:val="32"/>
          <w:szCs w:val="32"/>
          <w:shd w:val="clear" w:fill="FFFFFF"/>
          <w:lang w:val="en-US" w:eastAsia="zh-CN" w:bidi="ar"/>
        </w:rPr>
        <w:t>12</w:t>
      </w:r>
      <w:r>
        <w:rPr>
          <w:rFonts w:hint="eastAsia" w:ascii="仿宋_GB2312" w:hAnsi="Times New Roman" w:eastAsia="仿宋_GB2312" w:cs="仿宋_GB2312"/>
          <w:color w:val="000000"/>
          <w:kern w:val="32"/>
          <w:sz w:val="32"/>
          <w:szCs w:val="32"/>
          <w:shd w:val="clear" w:fill="FFFFFF"/>
          <w:lang w:val="en-US" w:eastAsia="zh-CN" w:bidi="ar"/>
        </w:rPr>
        <w:t>月</w:t>
      </w:r>
      <w:r>
        <w:rPr>
          <w:rFonts w:hint="default" w:ascii="Times New Roman" w:hAnsi="Times New Roman" w:eastAsia="仿宋_GB2312" w:cs="Times New Roman"/>
          <w:color w:val="000000"/>
          <w:kern w:val="32"/>
          <w:sz w:val="32"/>
          <w:szCs w:val="32"/>
          <w:shd w:val="clear" w:fill="FFFFFF"/>
          <w:lang w:val="en-US" w:eastAsia="zh-CN" w:bidi="ar"/>
        </w:rPr>
        <w:t>31</w:t>
      </w:r>
      <w:r>
        <w:rPr>
          <w:rFonts w:hint="eastAsia" w:ascii="仿宋_GB2312" w:hAnsi="Times New Roman" w:eastAsia="仿宋_GB2312" w:cs="仿宋_GB2312"/>
          <w:color w:val="000000"/>
          <w:kern w:val="32"/>
          <w:sz w:val="32"/>
          <w:szCs w:val="32"/>
          <w:shd w:val="clear" w:fill="FFFFFF"/>
          <w:lang w:val="en-US" w:eastAsia="zh-CN" w:bidi="ar"/>
        </w:rPr>
        <w:t>日止。</w:t>
      </w:r>
    </w:p>
    <w:p>
      <w:pPr>
        <w:pStyle w:val="5"/>
        <w:keepNext w:val="0"/>
        <w:keepLines w:val="0"/>
        <w:widowControl/>
        <w:suppressLineNumbers w:val="0"/>
        <w:shd w:val="clear" w:fill="FFFFFF"/>
        <w:spacing w:before="0" w:beforeAutospacing="1" w:after="0" w:afterAutospacing="1" w:line="560" w:lineRule="exact"/>
        <w:ind w:left="0" w:right="0" w:firstLine="640" w:firstLineChars="200"/>
        <w:jc w:val="both"/>
      </w:pPr>
      <w:r>
        <w:rPr>
          <w:rFonts w:ascii="黑体" w:hAnsi="宋体" w:eastAsia="黑体" w:cs="黑体"/>
          <w:bCs/>
          <w:color w:val="000000"/>
          <w:kern w:val="32"/>
          <w:sz w:val="32"/>
          <w:szCs w:val="32"/>
          <w:shd w:val="clear" w:fill="FFFFFF"/>
          <w:lang w:val="en-US" w:eastAsia="zh-CN" w:bidi="ar"/>
        </w:rPr>
        <w:t>一、总体情况</w:t>
      </w:r>
    </w:p>
    <w:p>
      <w:pPr>
        <w:pStyle w:val="5"/>
        <w:keepNext w:val="0"/>
        <w:keepLines w:val="0"/>
        <w:widowControl/>
        <w:suppressLineNumbers w:val="0"/>
        <w:shd w:val="clear" w:fill="FFFFFF"/>
        <w:spacing w:before="0" w:beforeAutospacing="1" w:after="0" w:afterAutospacing="1" w:line="560" w:lineRule="exact"/>
        <w:ind w:left="0" w:right="0" w:firstLine="640" w:firstLineChars="200"/>
        <w:jc w:val="both"/>
      </w:pPr>
      <w:r>
        <w:rPr>
          <w:rFonts w:hint="default" w:ascii="Times New Roman" w:hAnsi="Times New Roman" w:eastAsia="仿宋_GB2312" w:cs="Times New Roman"/>
          <w:color w:val="000000"/>
          <w:kern w:val="32"/>
          <w:sz w:val="32"/>
          <w:szCs w:val="32"/>
          <w:shd w:val="clear" w:fill="FFFFFF"/>
          <w:lang w:val="en-US" w:eastAsia="zh-CN" w:bidi="ar"/>
        </w:rPr>
        <w:t>2022</w:t>
      </w:r>
      <w:r>
        <w:rPr>
          <w:rFonts w:hint="eastAsia" w:ascii="仿宋_GB2312" w:hAnsi="Times New Roman" w:eastAsia="仿宋_GB2312" w:cs="仿宋_GB2312"/>
          <w:color w:val="000000"/>
          <w:kern w:val="32"/>
          <w:sz w:val="32"/>
          <w:szCs w:val="32"/>
          <w:shd w:val="clear" w:fill="FFFFFF"/>
          <w:lang w:val="en-US" w:eastAsia="zh-CN" w:bidi="ar"/>
        </w:rPr>
        <w:t>年，田心镇人民政府坚持以习近平新时代中国特色社会主义思想为指导，认真贯彻落实国家、省、市、县关于全面推进政务公开工作的重要部署，围绕镇委、镇政府中心工作和人民群众所需所盼，高质量推进政府信息公开工作，取得新的成效。</w:t>
      </w:r>
    </w:p>
    <w:p>
      <w:pPr>
        <w:pStyle w:val="5"/>
        <w:keepNext w:val="0"/>
        <w:keepLines w:val="0"/>
        <w:widowControl/>
        <w:numPr>
          <w:numId w:val="0"/>
        </w:numPr>
        <w:suppressLineNumbers w:val="0"/>
        <w:shd w:val="clear" w:fill="FFFFFF"/>
        <w:spacing w:before="0" w:beforeAutospacing="1" w:after="0" w:afterAutospacing="1" w:line="560" w:lineRule="exact"/>
        <w:ind w:left="0" w:right="0" w:firstLine="643" w:firstLineChars="200"/>
        <w:jc w:val="both"/>
      </w:pPr>
      <w:r>
        <w:rPr>
          <w:rFonts w:ascii="Times New Roman" w:hAnsi="Times New Roman" w:eastAsia="楷体_GB2312" w:cs="Times New Roman"/>
          <w:b/>
          <w:bCs/>
          <w:color w:val="000000"/>
          <w:kern w:val="32"/>
          <w:sz w:val="32"/>
          <w:szCs w:val="32"/>
          <w:shd w:val="clear" w:fill="FFFFFF"/>
          <w:lang w:val="en-US" w:eastAsia="zh-CN" w:bidi="ar"/>
        </w:rPr>
        <w:t>（一）</w:t>
      </w:r>
      <w:r>
        <w:rPr>
          <w:rFonts w:hint="eastAsia" w:ascii="楷体_GB2312" w:hAnsi="Times New Roman" w:eastAsia="楷体_GB2312" w:cs="楷体_GB2312"/>
          <w:b/>
          <w:bCs/>
          <w:color w:val="000000"/>
          <w:kern w:val="32"/>
          <w:sz w:val="32"/>
          <w:szCs w:val="32"/>
          <w:shd w:val="clear" w:fill="FFFFFF"/>
          <w:lang w:val="en-US" w:eastAsia="zh-CN" w:bidi="ar"/>
        </w:rPr>
        <w:t>主动公开。</w:t>
      </w:r>
    </w:p>
    <w:p>
      <w:pPr>
        <w:pStyle w:val="5"/>
        <w:keepNext w:val="0"/>
        <w:keepLines w:val="0"/>
        <w:widowControl/>
        <w:suppressLineNumbers w:val="0"/>
        <w:shd w:val="clear" w:fill="FFFFFF"/>
        <w:spacing w:before="0" w:beforeAutospacing="1" w:after="0" w:afterAutospacing="1" w:line="560" w:lineRule="exact"/>
        <w:ind w:left="0" w:right="0"/>
        <w:jc w:val="both"/>
      </w:pPr>
      <w:r>
        <w:rPr>
          <w:rFonts w:hint="eastAsia" w:ascii="Times New Roman" w:hAnsi="Times New Roman" w:eastAsia="仿宋_GB2312" w:cs="Times New Roman"/>
          <w:color w:val="000000"/>
          <w:kern w:val="32"/>
          <w:sz w:val="32"/>
          <w:szCs w:val="32"/>
          <w:shd w:val="clear" w:fill="FFFFFF"/>
          <w:lang w:val="en-US" w:eastAsia="zh-CN" w:bidi="ar"/>
        </w:rPr>
        <w:t>     </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我镇成立了政务信息公开工作领导小组，由镇党委副书记吴才检同志任组长，镇党委委员、宣传员卢星任副组长，成员：党政办常务副主任晏细明、党政办谢晶媛，具体工作由谢晶媛同志负责。公开工作按照“应公开、尽公开”的原则，实事求是地按照有关规定公布各类政府决策、决定以及群众关注的热点话题，以网上主动公开的形式，压实工作责任，明确公开主体、强化公开实效，落实好政务公开重点工作任务。2022年全镇政府信息公开信息45条。开设专栏集中公开机构设置、财政信息、政府信息公开指南、政府信息公开制度、政府信息公开年报、政府工作报告、会议开放、规划计划、人事信息、本级政府文件等。 </w:t>
      </w:r>
    </w:p>
    <w:p>
      <w:pPr>
        <w:pStyle w:val="5"/>
        <w:keepNext w:val="0"/>
        <w:keepLines w:val="0"/>
        <w:widowControl/>
        <w:numPr>
          <w:numId w:val="0"/>
        </w:numPr>
        <w:suppressLineNumbers w:val="0"/>
        <w:shd w:val="clear" w:fill="FFFFFF"/>
        <w:spacing w:before="0" w:beforeAutospacing="1" w:after="0" w:afterAutospacing="1" w:line="560" w:lineRule="exact"/>
        <w:ind w:left="0" w:right="0" w:firstLine="643" w:firstLineChars="200"/>
        <w:jc w:val="both"/>
      </w:pPr>
      <w:r>
        <w:rPr>
          <w:rFonts w:hint="eastAsia" w:ascii="Times New Roman" w:hAnsi="Times New Roman" w:eastAsia="楷体_GB2312" w:cs="Times New Roman"/>
          <w:b/>
          <w:bCs/>
          <w:color w:val="000000"/>
          <w:kern w:val="32"/>
          <w:sz w:val="32"/>
          <w:szCs w:val="32"/>
          <w:shd w:val="clear" w:fill="FFFFFF"/>
          <w:lang w:val="en-US" w:eastAsia="zh-CN" w:bidi="ar"/>
        </w:rPr>
        <w:t>（二）</w:t>
      </w:r>
      <w:r>
        <w:rPr>
          <w:rFonts w:hint="eastAsia" w:ascii="楷体_GB2312" w:hAnsi="Times New Roman" w:eastAsia="楷体_GB2312" w:cs="楷体_GB2312"/>
          <w:b/>
          <w:bCs/>
          <w:color w:val="000000"/>
          <w:kern w:val="32"/>
          <w:sz w:val="32"/>
          <w:szCs w:val="32"/>
          <w:shd w:val="clear" w:fill="FFFFFF"/>
          <w:lang w:val="en-US" w:eastAsia="zh-CN" w:bidi="ar"/>
        </w:rPr>
        <w:t>依申请公开。</w:t>
      </w:r>
    </w:p>
    <w:p>
      <w:pPr>
        <w:pStyle w:val="5"/>
        <w:keepNext w:val="0"/>
        <w:keepLines w:val="0"/>
        <w:widowControl/>
        <w:suppressLineNumbers w:val="0"/>
        <w:shd w:val="clear" w:fill="FFFFFF"/>
        <w:spacing w:before="0" w:beforeAutospacing="1" w:after="0" w:afterAutospacing="1" w:line="560" w:lineRule="exact"/>
        <w:ind w:left="0" w:right="0" w:firstLine="640" w:firstLineChars="200"/>
        <w:jc w:val="both"/>
      </w:pPr>
      <w:r>
        <w:rPr>
          <w:rFonts w:hint="eastAsia" w:ascii="仿宋_GB2312" w:hAnsi="宋体" w:eastAsia="仿宋_GB2312" w:cs="仿宋_GB2312"/>
          <w:i w:val="0"/>
          <w:iCs w:val="0"/>
          <w:caps w:val="0"/>
          <w:color w:val="333333"/>
          <w:spacing w:val="0"/>
          <w:kern w:val="0"/>
          <w:sz w:val="32"/>
          <w:szCs w:val="32"/>
          <w:shd w:val="clear" w:fill="FFFFFF"/>
          <w:lang w:val="en-US" w:eastAsia="zh-CN" w:bidi="ar"/>
        </w:rPr>
        <w:t>2022年共在田心镇人民政府门户网站发布政务信息45篇。依决策公开信息54条，其中更新本级政府文件15条，政府工作报告1条，会议开放17条；执行公开3条，其中规划计划1条；管理公开4条，其中主要职责1条，领导信息2条，内设机构1条；财政信息6条，其中部门预决算6条；服务公开1条，其中权责清单及动态调整1条；政府信息公开年报1条。全年无不予公开、无法提供、不予处理的情况。</w:t>
      </w:r>
    </w:p>
    <w:p>
      <w:pPr>
        <w:pStyle w:val="5"/>
        <w:keepNext w:val="0"/>
        <w:keepLines w:val="0"/>
        <w:widowControl/>
        <w:numPr>
          <w:numId w:val="0"/>
        </w:numPr>
        <w:suppressLineNumbers w:val="0"/>
        <w:shd w:val="clear" w:fill="FFFFFF"/>
        <w:spacing w:before="0" w:beforeAutospacing="1" w:after="0" w:afterAutospacing="1" w:line="560" w:lineRule="exact"/>
        <w:ind w:left="0" w:leftChars="0" w:right="0" w:firstLine="643" w:firstLineChars="200"/>
        <w:jc w:val="both"/>
      </w:pPr>
      <w:r>
        <w:rPr>
          <w:rFonts w:hint="eastAsia" w:ascii="Times New Roman" w:hAnsi="Times New Roman" w:eastAsia="楷体_GB2312" w:cs="Times New Roman"/>
          <w:b/>
          <w:bCs/>
          <w:color w:val="000000"/>
          <w:kern w:val="32"/>
          <w:sz w:val="32"/>
          <w:szCs w:val="32"/>
          <w:shd w:val="clear" w:fill="FFFFFF"/>
          <w:lang w:val="en-US" w:eastAsia="zh-CN" w:bidi="ar"/>
        </w:rPr>
        <w:t>（三）</w:t>
      </w:r>
      <w:r>
        <w:rPr>
          <w:rFonts w:hint="eastAsia" w:ascii="楷体_GB2312" w:hAnsi="Times New Roman" w:eastAsia="楷体_GB2312" w:cs="楷体_GB2312"/>
          <w:b/>
          <w:bCs/>
          <w:color w:val="000000"/>
          <w:kern w:val="32"/>
          <w:sz w:val="32"/>
          <w:szCs w:val="32"/>
          <w:shd w:val="clear" w:fill="FFFFFF"/>
          <w:lang w:val="en-US" w:eastAsia="zh-CN" w:bidi="ar"/>
        </w:rPr>
        <w:t>政府信息管理</w:t>
      </w:r>
      <w:r>
        <w:rPr>
          <w:rFonts w:hint="eastAsia" w:ascii="仿宋_GB2312" w:hAnsi="微软雅黑" w:eastAsia="仿宋_GB2312" w:cs="仿宋_GB2312"/>
          <w:b/>
          <w:bCs/>
          <w:i w:val="0"/>
          <w:iCs w:val="0"/>
          <w:caps w:val="0"/>
          <w:color w:val="333333"/>
          <w:spacing w:val="0"/>
          <w:kern w:val="0"/>
          <w:sz w:val="32"/>
          <w:szCs w:val="32"/>
          <w:shd w:val="clear" w:fill="FFFFFF"/>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both"/>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    </w:t>
      </w:r>
      <w:r>
        <w:rPr>
          <w:rFonts w:hint="eastAsia" w:ascii="仿宋_GB2312" w:hAnsi="SourceHanSansCN-Regular" w:eastAsia="仿宋_GB2312" w:cs="仿宋_GB2312"/>
          <w:i w:val="0"/>
          <w:iCs w:val="0"/>
          <w:caps w:val="0"/>
          <w:color w:val="333333"/>
          <w:spacing w:val="0"/>
          <w:kern w:val="0"/>
          <w:sz w:val="32"/>
          <w:szCs w:val="32"/>
          <w:bdr w:val="none" w:color="auto" w:sz="0" w:space="0"/>
          <w:shd w:val="clear" w:fill="FFFFFF"/>
          <w:lang w:val="en-US" w:eastAsia="zh-CN" w:bidi="ar"/>
        </w:rPr>
        <w:t>严格按照《中华人民共和国政府信息公开条例》和政务公开相关规定制度等有关要求，对政府信息进行相应的动态化规范化管理，对农业、扶贫政策、农村建设等与人民群众切身利益息息相关的政策加大数据公开力度，充分确保信息公开的及时性、有效性和全面性。</w:t>
      </w:r>
      <w:r>
        <w:rPr>
          <w:rFonts w:hint="default" w:ascii="SourceHanSansCN-Regular" w:hAnsi="SourceHanSansCN-Regular" w:eastAsia="SourceHanSansCN-Regular" w:cs="SourceHanSansCN-Regular"/>
          <w:i w:val="0"/>
          <w:iCs w:val="0"/>
          <w:caps w:val="0"/>
          <w:color w:val="333333"/>
          <w:spacing w:val="0"/>
          <w:kern w:val="0"/>
          <w:sz w:val="25"/>
          <w:szCs w:val="25"/>
          <w:bdr w:val="none" w:color="auto" w:sz="0" w:space="0"/>
          <w:shd w:val="clear" w:fill="FFFFFF"/>
          <w:lang w:val="en-US" w:eastAsia="zh-CN" w:bidi="ar"/>
        </w:rPr>
        <w:t> </w:t>
      </w:r>
    </w:p>
    <w:p>
      <w:pPr>
        <w:pStyle w:val="5"/>
        <w:keepNext w:val="0"/>
        <w:keepLines w:val="0"/>
        <w:widowControl/>
        <w:numPr>
          <w:numId w:val="0"/>
        </w:numPr>
        <w:suppressLineNumbers w:val="0"/>
        <w:shd w:val="clear" w:fill="FFFFFF"/>
        <w:spacing w:before="0" w:beforeAutospacing="1" w:after="0" w:afterAutospacing="1" w:line="560" w:lineRule="exact"/>
        <w:ind w:left="0" w:right="0" w:firstLine="643" w:firstLineChars="200"/>
        <w:jc w:val="both"/>
      </w:pPr>
      <w:r>
        <w:rPr>
          <w:rFonts w:hint="eastAsia" w:ascii="Times New Roman" w:hAnsi="Times New Roman" w:eastAsia="楷体_GB2312" w:cs="Times New Roman"/>
          <w:b/>
          <w:bCs/>
          <w:color w:val="000000"/>
          <w:kern w:val="32"/>
          <w:sz w:val="32"/>
          <w:szCs w:val="32"/>
          <w:shd w:val="clear" w:fill="FFFFFF"/>
          <w:lang w:val="en-US" w:eastAsia="zh-CN" w:bidi="ar"/>
        </w:rPr>
        <w:t>（四）</w:t>
      </w:r>
      <w:r>
        <w:rPr>
          <w:rFonts w:hint="eastAsia" w:ascii="楷体_GB2312" w:hAnsi="Times New Roman" w:eastAsia="楷体_GB2312" w:cs="楷体_GB2312"/>
          <w:b/>
          <w:bCs/>
          <w:color w:val="000000"/>
          <w:kern w:val="32"/>
          <w:sz w:val="32"/>
          <w:szCs w:val="32"/>
          <w:shd w:val="clear" w:fill="FFFFFF"/>
          <w:lang w:val="en-US" w:eastAsia="zh-CN" w:bidi="ar"/>
        </w:rPr>
        <w:t>政府信息公开平台建设。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20"/>
        <w:jc w:val="both"/>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以县政府门户网站为载体，做好政府信息公开各栏目内容保障工作。积极收集需主动公开的政府信息，认真校对，分门别类，及时更新至网站。同时结合本乡实际，增加一些与群众息息相关的信息，方便群众查询。一年来，通过开展政府信息公开工作，使公众通过更多的渠道了解相关政策、工作动态等，进一步提高了政府的公信度。</w:t>
      </w:r>
    </w:p>
    <w:p>
      <w:pPr>
        <w:pStyle w:val="5"/>
        <w:keepNext w:val="0"/>
        <w:keepLines w:val="0"/>
        <w:widowControl/>
        <w:numPr>
          <w:numId w:val="0"/>
        </w:numPr>
        <w:suppressLineNumbers w:val="0"/>
        <w:shd w:val="clear" w:fill="FFFFFF"/>
        <w:spacing w:before="0" w:beforeAutospacing="1" w:after="0" w:afterAutospacing="1" w:line="560" w:lineRule="exact"/>
        <w:ind w:left="0" w:right="0" w:firstLine="643" w:firstLineChars="200"/>
        <w:jc w:val="both"/>
      </w:pPr>
      <w:r>
        <w:rPr>
          <w:rFonts w:hint="eastAsia" w:ascii="Times New Roman" w:hAnsi="Times New Roman" w:eastAsia="楷体_GB2312" w:cs="Times New Roman"/>
          <w:b/>
          <w:bCs/>
          <w:color w:val="000000"/>
          <w:kern w:val="32"/>
          <w:sz w:val="32"/>
          <w:szCs w:val="32"/>
          <w:shd w:val="clear" w:fill="FFFFFF"/>
          <w:lang w:val="en-US" w:eastAsia="zh-CN" w:bidi="ar"/>
        </w:rPr>
        <w:t>（五）</w:t>
      </w:r>
      <w:r>
        <w:rPr>
          <w:rFonts w:hint="eastAsia" w:ascii="楷体_GB2312" w:hAnsi="Times New Roman" w:eastAsia="楷体_GB2312" w:cs="楷体_GB2312"/>
          <w:b/>
          <w:bCs/>
          <w:color w:val="000000"/>
          <w:kern w:val="32"/>
          <w:sz w:val="32"/>
          <w:szCs w:val="32"/>
          <w:shd w:val="clear" w:fill="FFFFFF"/>
          <w:lang w:val="en-US" w:eastAsia="zh-CN" w:bidi="ar"/>
        </w:rPr>
        <w:t>监督保障。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0"/>
        <w:jc w:val="both"/>
      </w:pPr>
      <w:r>
        <w:rPr>
          <w:rFonts w:hint="eastAsia" w:ascii="仿宋_GB2312" w:eastAsia="仿宋_GB2312" w:cs="仿宋_GB2312"/>
          <w:i w:val="0"/>
          <w:iCs w:val="0"/>
          <w:caps w:val="0"/>
          <w:color w:val="000000"/>
          <w:spacing w:val="0"/>
          <w:kern w:val="0"/>
          <w:sz w:val="32"/>
          <w:szCs w:val="32"/>
          <w:bdr w:val="none" w:color="auto" w:sz="0" w:space="0"/>
          <w:shd w:val="clear" w:fill="FFFFFF"/>
          <w:lang w:val="en-US" w:eastAsia="zh-CN" w:bidi="ar"/>
        </w:rPr>
        <w:t>按照上级工作要求，政务公开工作继续作为共性目标之一。进一步加强监督检查，坚持问题导向，不断提升工作水平。</w:t>
      </w:r>
    </w:p>
    <w:p>
      <w:pPr>
        <w:pStyle w:val="5"/>
        <w:keepNext w:val="0"/>
        <w:keepLines w:val="0"/>
        <w:widowControl/>
        <w:suppressLineNumbers w:val="0"/>
        <w:shd w:val="clear" w:fill="FFFFFF"/>
        <w:spacing w:before="0" w:beforeAutospacing="1" w:after="0" w:afterAutospacing="1" w:line="560" w:lineRule="exact"/>
        <w:ind w:left="0" w:right="0" w:firstLine="640" w:firstLineChars="200"/>
        <w:jc w:val="both"/>
      </w:pPr>
      <w:r>
        <w:rPr>
          <w:rFonts w:hint="eastAsia" w:ascii="黑体" w:hAnsi="宋体" w:eastAsia="黑体" w:cs="黑体"/>
          <w:bCs/>
          <w:color w:val="000000"/>
          <w:kern w:val="32"/>
          <w:sz w:val="32"/>
          <w:szCs w:val="32"/>
          <w:shd w:val="clear" w:fill="FFFFFF"/>
          <w:lang w:val="en-US" w:eastAsia="zh-CN" w:bidi="ar"/>
        </w:rPr>
        <w:t>二、主动公开政府信息情况</w:t>
      </w:r>
    </w:p>
    <w:tbl>
      <w:tblPr>
        <w:tblW w:w="912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435"/>
        <w:gridCol w:w="2156"/>
        <w:gridCol w:w="2410"/>
        <w:gridCol w:w="2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9127"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信息内容</w:t>
            </w:r>
          </w:p>
        </w:tc>
        <w:tc>
          <w:tcPr>
            <w:tcW w:w="2156"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本年制发件数</w:t>
            </w:r>
          </w:p>
        </w:tc>
        <w:tc>
          <w:tcPr>
            <w:tcW w:w="2410"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本年废止件数</w:t>
            </w:r>
          </w:p>
        </w:tc>
        <w:tc>
          <w:tcPr>
            <w:tcW w:w="2126"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规章</w:t>
            </w:r>
          </w:p>
        </w:tc>
        <w:tc>
          <w:tcPr>
            <w:tcW w:w="2156"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41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126"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行政规范性文件</w:t>
            </w:r>
          </w:p>
        </w:tc>
        <w:tc>
          <w:tcPr>
            <w:tcW w:w="2156"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41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126"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信息内容</w:t>
            </w:r>
          </w:p>
        </w:tc>
        <w:tc>
          <w:tcPr>
            <w:tcW w:w="6692"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行政许可</w:t>
            </w:r>
          </w:p>
        </w:tc>
        <w:tc>
          <w:tcPr>
            <w:tcW w:w="6692"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信息内容</w:t>
            </w:r>
          </w:p>
        </w:tc>
        <w:tc>
          <w:tcPr>
            <w:tcW w:w="6692" w:type="dxa"/>
            <w:gridSpan w:val="3"/>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行政处罚</w:t>
            </w:r>
          </w:p>
        </w:tc>
        <w:tc>
          <w:tcPr>
            <w:tcW w:w="6692"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行政强制</w:t>
            </w:r>
          </w:p>
        </w:tc>
        <w:tc>
          <w:tcPr>
            <w:tcW w:w="6692"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 w:hRule="atLeast"/>
          <w:jc w:val="center"/>
        </w:trPr>
        <w:tc>
          <w:tcPr>
            <w:tcW w:w="2435" w:type="dxa"/>
            <w:tcBorders>
              <w:top w:val="nil"/>
              <w:left w:val="single" w:color="auto" w:sz="8" w:space="0"/>
              <w:bottom w:val="single" w:color="auto" w:sz="4"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信息内容</w:t>
            </w:r>
          </w:p>
        </w:tc>
        <w:tc>
          <w:tcPr>
            <w:tcW w:w="6692" w:type="dxa"/>
            <w:gridSpan w:val="3"/>
            <w:tcBorders>
              <w:top w:val="nil"/>
              <w:left w:val="nil"/>
              <w:bottom w:val="single" w:color="auto" w:sz="4" w:space="0"/>
              <w:right w:val="single" w:color="000000" w:sz="8"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 w:hRule="atLeast"/>
          <w:jc w:val="center"/>
        </w:trPr>
        <w:tc>
          <w:tcPr>
            <w:tcW w:w="2435" w:type="dxa"/>
            <w:tcBorders>
              <w:top w:val="single" w:color="auto" w:sz="4" w:space="0"/>
              <w:left w:val="single" w:color="auto" w:sz="4" w:space="0"/>
              <w:bottom w:val="single" w:color="auto" w:sz="4" w:space="0"/>
              <w:right w:val="single" w:color="auto" w:sz="4"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 </w:t>
            </w:r>
          </w:p>
        </w:tc>
        <w:tc>
          <w:tcPr>
            <w:tcW w:w="6692" w:type="dxa"/>
            <w:gridSpan w:val="3"/>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bl>
    <w:p>
      <w:pPr>
        <w:pStyle w:val="5"/>
        <w:keepNext w:val="0"/>
        <w:keepLines w:val="0"/>
        <w:widowControl/>
        <w:suppressLineNumbers w:val="0"/>
        <w:shd w:val="clear" w:fill="FFFFFF"/>
        <w:spacing w:before="0" w:beforeAutospacing="1" w:after="0" w:afterAutospacing="1" w:line="240" w:lineRule="atLeast"/>
        <w:ind w:left="0" w:right="0" w:firstLine="420"/>
        <w:jc w:val="both"/>
      </w:pPr>
      <w:r>
        <w:rPr>
          <w:rFonts w:hint="eastAsia" w:ascii="黑体" w:hAnsi="宋体" w:eastAsia="黑体" w:cs="黑体"/>
          <w:b/>
          <w:bCs/>
          <w:color w:val="000000"/>
          <w:kern w:val="0"/>
          <w:sz w:val="32"/>
          <w:szCs w:val="32"/>
          <w:shd w:val="clear" w:fill="FFFFFF"/>
          <w:lang w:val="en-US" w:eastAsia="zh-CN" w:bidi="ar"/>
        </w:rPr>
        <w:t> </w:t>
      </w:r>
    </w:p>
    <w:p>
      <w:pPr>
        <w:pStyle w:val="5"/>
        <w:keepNext w:val="0"/>
        <w:keepLines w:val="0"/>
        <w:widowControl/>
        <w:suppressLineNumbers w:val="0"/>
        <w:shd w:val="clear" w:fill="FFFFFF"/>
        <w:spacing w:before="0" w:beforeAutospacing="1" w:after="0" w:afterAutospacing="1" w:line="560" w:lineRule="exact"/>
        <w:ind w:left="0" w:right="0" w:firstLine="640" w:firstLineChars="200"/>
        <w:jc w:val="both"/>
      </w:pPr>
      <w:r>
        <w:rPr>
          <w:rFonts w:hint="eastAsia" w:ascii="黑体" w:hAnsi="宋体" w:eastAsia="黑体" w:cs="黑体"/>
          <w:bCs/>
          <w:color w:val="000000"/>
          <w:kern w:val="32"/>
          <w:sz w:val="32"/>
          <w:szCs w:val="32"/>
          <w:shd w:val="clear" w:fill="FFFFFF"/>
          <w:lang w:val="en-US" w:eastAsia="zh-CN" w:bidi="ar"/>
        </w:rPr>
        <w:t>三、收到和处理政府信息公开申请情况</w:t>
      </w:r>
    </w:p>
    <w:tbl>
      <w:tblPr>
        <w:tblW w:w="482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60"/>
        <w:gridCol w:w="954"/>
        <w:gridCol w:w="3179"/>
        <w:gridCol w:w="482"/>
        <w:gridCol w:w="394"/>
        <w:gridCol w:w="407"/>
        <w:gridCol w:w="689"/>
        <w:gridCol w:w="697"/>
        <w:gridCol w:w="394"/>
        <w:gridCol w:w="5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8" w:hRule="atLeast"/>
          <w:jc w:val="center"/>
        </w:trPr>
        <w:tc>
          <w:tcPr>
            <w:tcW w:w="2930" w:type="pct"/>
            <w:gridSpan w:val="3"/>
            <w:vMerge w:val="restart"/>
            <w:tcBorders>
              <w:top w:val="single" w:color="auto" w:sz="8" w:space="0"/>
              <w:left w:val="single" w:color="auto" w:sz="8" w:space="0"/>
              <w:bottom w:val="inset"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left"/>
            </w:pPr>
            <w:r>
              <w:rPr>
                <w:rFonts w:hint="eastAsia" w:ascii="仿宋_GB2312" w:hAnsi="Times New Roman" w:eastAsia="仿宋_GB2312" w:cs="仿宋_GB2312"/>
                <w:color w:val="000000"/>
                <w:kern w:val="2"/>
                <w:sz w:val="28"/>
                <w:szCs w:val="28"/>
                <w:bdr w:val="none" w:color="auto" w:sz="0" w:space="0"/>
                <w:lang w:val="en-US" w:eastAsia="zh-CN" w:bidi="ar"/>
              </w:rPr>
              <w:t>（本列数据的勾稽关系为：第一项加第二项之和，等于第三项加第四项之和）</w:t>
            </w:r>
          </w:p>
        </w:tc>
        <w:tc>
          <w:tcPr>
            <w:tcW w:w="2069" w:type="pct"/>
            <w:gridSpan w:val="7"/>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 w:hRule="atLeast"/>
          <w:jc w:val="center"/>
        </w:trPr>
        <w:tc>
          <w:tcPr>
            <w:tcW w:w="2930" w:type="pct"/>
            <w:gridSpan w:val="3"/>
            <w:vMerge w:val="continue"/>
            <w:tcBorders>
              <w:top w:val="single" w:color="auto" w:sz="8" w:space="0"/>
              <w:left w:val="single" w:color="auto" w:sz="8" w:space="0"/>
              <w:bottom w:val="inset"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9" w:type="pct"/>
            <w:vMerge w:val="restart"/>
            <w:tcBorders>
              <w:top w:val="single" w:color="auto" w:sz="6" w:space="0"/>
              <w:left w:val="single" w:color="auto" w:sz="6"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4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自然人</w:t>
            </w:r>
          </w:p>
        </w:tc>
        <w:tc>
          <w:tcPr>
            <w:tcW w:w="1490" w:type="pct"/>
            <w:gridSpan w:val="5"/>
            <w:tcBorders>
              <w:top w:val="single" w:color="auto" w:sz="8" w:space="0"/>
              <w:left w:val="single" w:color="auto" w:sz="6"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4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法人或其他组织</w:t>
            </w:r>
          </w:p>
        </w:tc>
        <w:tc>
          <w:tcPr>
            <w:tcW w:w="299" w:type="pct"/>
            <w:vMerge w:val="restart"/>
            <w:tcBorders>
              <w:top w:val="single" w:color="auto" w:sz="8" w:space="0"/>
              <w:left w:val="single" w:color="auto" w:sz="6" w:space="0"/>
              <w:bottom w:val="in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 w:hRule="atLeast"/>
          <w:jc w:val="center"/>
        </w:trPr>
        <w:tc>
          <w:tcPr>
            <w:tcW w:w="2930" w:type="pct"/>
            <w:gridSpan w:val="3"/>
            <w:vMerge w:val="continue"/>
            <w:tcBorders>
              <w:top w:val="single" w:color="auto" w:sz="8" w:space="0"/>
              <w:left w:val="single" w:color="auto" w:sz="8" w:space="0"/>
              <w:bottom w:val="inset"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9" w:type="pct"/>
            <w:vMerge w:val="continue"/>
            <w:tcBorders>
              <w:top w:val="single" w:color="auto" w:sz="6" w:space="0"/>
              <w:left w:val="single" w:color="auto" w:sz="6" w:space="0"/>
              <w:bottom w:val="single" w:color="auto" w:sz="8" w:space="0"/>
              <w:right w:val="single" w:color="auto" w:sz="8" w:space="0"/>
            </w:tcBorders>
            <w:shd w:val="clear"/>
            <w:tcMar>
              <w:left w:w="57" w:type="dxa"/>
              <w:right w:w="57" w:type="dxa"/>
            </w:tcMar>
            <w:vAlign w:val="center"/>
          </w:tcPr>
          <w:p>
            <w:pPr>
              <w:rPr>
                <w:rFonts w:hint="eastAsia" w:ascii="宋体"/>
                <w:sz w:val="24"/>
                <w:szCs w:val="24"/>
              </w:rPr>
            </w:pPr>
          </w:p>
        </w:tc>
        <w:tc>
          <w:tcPr>
            <w:tcW w:w="225" w:type="pct"/>
            <w:tcBorders>
              <w:top w:val="single" w:color="auto" w:sz="6" w:space="0"/>
              <w:left w:val="single" w:color="auto" w:sz="6"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4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商业</w:t>
            </w:r>
          </w:p>
          <w:p>
            <w:pPr>
              <w:keepNext w:val="0"/>
              <w:keepLines w:val="0"/>
              <w:widowControl/>
              <w:suppressLineNumbers w:val="0"/>
              <w:spacing w:before="0" w:beforeAutospacing="1" w:after="0" w:afterAutospacing="1" w:line="44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企业</w:t>
            </w:r>
          </w:p>
        </w:tc>
        <w:tc>
          <w:tcPr>
            <w:tcW w:w="236" w:type="pct"/>
            <w:tcBorders>
              <w:top w:val="single" w:color="auto" w:sz="6" w:space="0"/>
              <w:left w:val="single" w:color="auto" w:sz="6"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4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科研</w:t>
            </w:r>
          </w:p>
          <w:p>
            <w:pPr>
              <w:keepNext w:val="0"/>
              <w:keepLines w:val="0"/>
              <w:widowControl/>
              <w:suppressLineNumbers w:val="0"/>
              <w:spacing w:before="0" w:beforeAutospacing="1" w:after="0" w:afterAutospacing="1" w:line="44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机构</w:t>
            </w:r>
          </w:p>
        </w:tc>
        <w:tc>
          <w:tcPr>
            <w:tcW w:w="398" w:type="pct"/>
            <w:tcBorders>
              <w:top w:val="single" w:color="auto" w:sz="8" w:space="0"/>
              <w:left w:val="single" w:color="auto" w:sz="6"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4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社会公益组织</w:t>
            </w:r>
          </w:p>
        </w:tc>
        <w:tc>
          <w:tcPr>
            <w:tcW w:w="403" w:type="pct"/>
            <w:tcBorders>
              <w:top w:val="single" w:color="auto" w:sz="8" w:space="0"/>
              <w:left w:val="single" w:color="auto" w:sz="6"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法律服务机构</w:t>
            </w:r>
          </w:p>
        </w:tc>
        <w:tc>
          <w:tcPr>
            <w:tcW w:w="225" w:type="pct"/>
            <w:tcBorders>
              <w:top w:val="single" w:color="auto" w:sz="8" w:space="0"/>
              <w:left w:val="single" w:color="auto" w:sz="6"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eastAsia" w:ascii="仿宋_GB2312" w:hAnsi="Times New Roman" w:eastAsia="仿宋_GB2312" w:cs="仿宋_GB2312"/>
                <w:color w:val="000000"/>
                <w:kern w:val="2"/>
                <w:sz w:val="28"/>
                <w:szCs w:val="28"/>
                <w:bdr w:val="none" w:color="auto" w:sz="0" w:space="0"/>
                <w:lang w:val="en-US" w:eastAsia="zh-CN" w:bidi="ar"/>
              </w:rPr>
              <w:t>其他</w:t>
            </w:r>
          </w:p>
        </w:tc>
        <w:tc>
          <w:tcPr>
            <w:tcW w:w="299" w:type="pct"/>
            <w:vMerge w:val="continue"/>
            <w:tcBorders>
              <w:top w:val="single" w:color="auto" w:sz="8" w:space="0"/>
              <w:left w:val="single" w:color="auto" w:sz="6"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8" w:hRule="atLeast"/>
          <w:jc w:val="center"/>
        </w:trPr>
        <w:tc>
          <w:tcPr>
            <w:tcW w:w="2930" w:type="pct"/>
            <w:gridSpan w:val="3"/>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eastAsia" w:ascii="仿宋_GB2312" w:hAnsi="Times New Roman" w:eastAsia="仿宋_GB2312" w:cs="仿宋_GB2312"/>
                <w:color w:val="000000"/>
                <w:kern w:val="2"/>
                <w:sz w:val="28"/>
                <w:szCs w:val="28"/>
                <w:bdr w:val="none" w:color="auto" w:sz="0" w:space="0"/>
                <w:lang w:val="en-US" w:eastAsia="zh-CN" w:bidi="ar"/>
              </w:rPr>
              <w:t>一、本年新收政府信息公开申请数量</w:t>
            </w:r>
          </w:p>
        </w:tc>
        <w:tc>
          <w:tcPr>
            <w:tcW w:w="279"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25"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36"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8"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403"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25"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99"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8" w:hRule="atLeast"/>
          <w:jc w:val="center"/>
        </w:trPr>
        <w:tc>
          <w:tcPr>
            <w:tcW w:w="2930" w:type="pct"/>
            <w:gridSpan w:val="3"/>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eastAsia" w:ascii="仿宋_GB2312" w:hAnsi="Times New Roman" w:eastAsia="仿宋_GB2312" w:cs="仿宋_GB2312"/>
                <w:color w:val="000000"/>
                <w:kern w:val="2"/>
                <w:sz w:val="28"/>
                <w:szCs w:val="28"/>
                <w:bdr w:val="none" w:color="auto" w:sz="0" w:space="0"/>
                <w:lang w:val="en-US" w:eastAsia="zh-CN" w:bidi="ar"/>
              </w:rPr>
              <w:t>二、上年结转政府信息公开申请数量</w:t>
            </w:r>
          </w:p>
        </w:tc>
        <w:tc>
          <w:tcPr>
            <w:tcW w:w="279"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25"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36"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8"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403"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25"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99"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3" w:hRule="atLeast"/>
          <w:jc w:val="center"/>
        </w:trPr>
        <w:tc>
          <w:tcPr>
            <w:tcW w:w="554" w:type="pct"/>
            <w:vMerge w:val="restart"/>
            <w:tcBorders>
              <w:top w:val="single" w:color="auto" w:sz="6" w:space="0"/>
              <w:left w:val="single" w:color="auto" w:sz="8" w:space="0"/>
              <w:bottom w:val="in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eastAsia" w:ascii="仿宋_GB2312" w:hAnsi="Times New Roman" w:eastAsia="仿宋_GB2312" w:cs="仿宋_GB2312"/>
                <w:color w:val="000000"/>
                <w:kern w:val="2"/>
                <w:sz w:val="28"/>
                <w:szCs w:val="28"/>
                <w:bdr w:val="none" w:color="auto" w:sz="0" w:space="0"/>
                <w:lang w:val="en-US" w:eastAsia="zh-CN" w:bidi="ar"/>
              </w:rPr>
              <w:t>三、本年度办理结果</w:t>
            </w:r>
          </w:p>
        </w:tc>
        <w:tc>
          <w:tcPr>
            <w:tcW w:w="2376" w:type="pct"/>
            <w:gridSpan w:val="2"/>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eastAsia" w:ascii="仿宋_GB2312" w:hAnsi="Times New Roman" w:eastAsia="仿宋_GB2312" w:cs="仿宋_GB2312"/>
                <w:color w:val="000000"/>
                <w:kern w:val="2"/>
                <w:sz w:val="28"/>
                <w:szCs w:val="28"/>
                <w:bdr w:val="none" w:color="auto" w:sz="0" w:space="0"/>
                <w:lang w:val="en-US" w:eastAsia="zh-CN" w:bidi="ar"/>
              </w:rPr>
              <w:t>（一）予以公开</w:t>
            </w:r>
          </w:p>
        </w:tc>
        <w:tc>
          <w:tcPr>
            <w:tcW w:w="279"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25"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36"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8"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403"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25"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99" w:type="pct"/>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9" w:hRule="atLeast"/>
          <w:jc w:val="center"/>
        </w:trPr>
        <w:tc>
          <w:tcPr>
            <w:tcW w:w="554" w:type="pct"/>
            <w:vMerge w:val="continue"/>
            <w:tcBorders>
              <w:top w:val="single" w:color="auto" w:sz="6"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2376" w:type="pct"/>
            <w:gridSpan w:val="2"/>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eastAsia" w:ascii="仿宋_GB2312" w:hAnsi="Times New Roman" w:eastAsia="仿宋_GB2312" w:cs="仿宋_GB2312"/>
                <w:color w:val="000000"/>
                <w:kern w:val="2"/>
                <w:sz w:val="28"/>
                <w:szCs w:val="28"/>
                <w:bdr w:val="none" w:color="auto" w:sz="0" w:space="0"/>
                <w:lang w:val="en-US" w:eastAsia="zh-CN" w:bidi="ar"/>
              </w:rPr>
              <w:t>（二）部分公开（区分处理的，只计这一情形，不计其他情形）</w:t>
            </w:r>
          </w:p>
        </w:tc>
        <w:tc>
          <w:tcPr>
            <w:tcW w:w="279"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25"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36"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8"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403"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25"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99"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atLeas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 0 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jc w:val="center"/>
        </w:trPr>
        <w:tc>
          <w:tcPr>
            <w:tcW w:w="554" w:type="pct"/>
            <w:vMerge w:val="continue"/>
            <w:tcBorders>
              <w:top w:val="single" w:color="auto" w:sz="6"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545" w:type="pct"/>
            <w:vMerge w:val="restart"/>
            <w:tcBorders>
              <w:top w:val="single" w:color="auto" w:sz="6" w:space="0"/>
              <w:left w:val="single" w:color="auto" w:sz="6" w:space="0"/>
              <w:bottom w:val="in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eastAsia" w:ascii="仿宋_GB2312" w:hAnsi="Times New Roman" w:eastAsia="仿宋_GB2312" w:cs="仿宋_GB2312"/>
                <w:color w:val="000000"/>
                <w:kern w:val="2"/>
                <w:sz w:val="28"/>
                <w:szCs w:val="28"/>
                <w:bdr w:val="none" w:color="auto" w:sz="0" w:space="0"/>
                <w:lang w:val="en-US" w:eastAsia="zh-CN" w:bidi="ar"/>
              </w:rPr>
              <w:t>（三）不予公开</w:t>
            </w:r>
          </w:p>
        </w:tc>
        <w:tc>
          <w:tcPr>
            <w:tcW w:w="318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bdr w:val="none" w:color="auto" w:sz="0" w:space="0"/>
                <w:lang w:val="en-US" w:eastAsia="zh-CN" w:bidi="ar"/>
              </w:rPr>
              <w:t>1.</w:t>
            </w:r>
            <w:r>
              <w:rPr>
                <w:rFonts w:hint="eastAsia" w:ascii="仿宋_GB2312" w:hAnsi="Times New Roman" w:eastAsia="仿宋_GB2312" w:cs="仿宋_GB2312"/>
                <w:color w:val="000000"/>
                <w:kern w:val="2"/>
                <w:sz w:val="28"/>
                <w:szCs w:val="28"/>
                <w:bdr w:val="none" w:color="auto" w:sz="0" w:space="0"/>
                <w:lang w:val="en-US" w:eastAsia="zh-CN" w:bidi="ar"/>
              </w:rPr>
              <w:t>属于国家秘密</w:t>
            </w:r>
          </w:p>
        </w:tc>
        <w:tc>
          <w:tcPr>
            <w:tcW w:w="279"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25"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36"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8"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403"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25"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99" w:type="pct"/>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 w:hRule="atLeast"/>
          <w:jc w:val="center"/>
        </w:trPr>
        <w:tc>
          <w:tcPr>
            <w:tcW w:w="554" w:type="pct"/>
            <w:vMerge w:val="continue"/>
            <w:tcBorders>
              <w:top w:val="single" w:color="auto" w:sz="6"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545" w:type="pct"/>
            <w:vMerge w:val="continue"/>
            <w:tcBorders>
              <w:top w:val="single" w:color="auto" w:sz="6" w:space="0"/>
              <w:left w:val="single" w:color="auto" w:sz="6"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18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bdr w:val="none" w:color="auto" w:sz="0" w:space="0"/>
                <w:lang w:val="en-US" w:eastAsia="zh-CN" w:bidi="ar"/>
              </w:rPr>
              <w:t>2.</w:t>
            </w:r>
            <w:r>
              <w:rPr>
                <w:rFonts w:hint="eastAsia" w:ascii="仿宋_GB2312" w:hAnsi="Times New Roman" w:eastAsia="仿宋_GB2312" w:cs="仿宋_GB2312"/>
                <w:color w:val="000000"/>
                <w:kern w:val="2"/>
                <w:sz w:val="28"/>
                <w:szCs w:val="28"/>
                <w:bdr w:val="none" w:color="auto" w:sz="0" w:space="0"/>
                <w:lang w:val="en-US" w:eastAsia="zh-CN" w:bidi="ar"/>
              </w:rPr>
              <w:t>其他法律行政法规禁止公开</w:t>
            </w:r>
          </w:p>
        </w:tc>
        <w:tc>
          <w:tcPr>
            <w:tcW w:w="279"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25"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36"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8"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403"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25"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99"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 w:hRule="atLeast"/>
          <w:jc w:val="center"/>
        </w:trPr>
        <w:tc>
          <w:tcPr>
            <w:tcW w:w="554" w:type="pct"/>
            <w:vMerge w:val="continue"/>
            <w:tcBorders>
              <w:top w:val="single" w:color="auto" w:sz="6"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545" w:type="pct"/>
            <w:vMerge w:val="continue"/>
            <w:tcBorders>
              <w:top w:val="single" w:color="auto" w:sz="6" w:space="0"/>
              <w:left w:val="single" w:color="auto" w:sz="6"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18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bdr w:val="none" w:color="auto" w:sz="0" w:space="0"/>
                <w:lang w:val="en-US" w:eastAsia="zh-CN" w:bidi="ar"/>
              </w:rPr>
              <w:t>3.</w:t>
            </w:r>
            <w:r>
              <w:rPr>
                <w:rFonts w:hint="eastAsia" w:ascii="仿宋_GB2312" w:hAnsi="Times New Roman" w:eastAsia="仿宋_GB2312" w:cs="仿宋_GB2312"/>
                <w:color w:val="000000"/>
                <w:kern w:val="2"/>
                <w:sz w:val="28"/>
                <w:szCs w:val="28"/>
                <w:bdr w:val="none" w:color="auto" w:sz="0" w:space="0"/>
                <w:lang w:val="en-US" w:eastAsia="zh-CN" w:bidi="ar"/>
              </w:rPr>
              <w:t>危及</w:t>
            </w:r>
            <w:r>
              <w:rPr>
                <w:rFonts w:hint="default" w:ascii="Times New Roman" w:hAnsi="Times New Roman" w:eastAsia="仿宋_GB2312" w:cs="Times New Roman"/>
                <w:color w:val="000000"/>
                <w:kern w:val="2"/>
                <w:sz w:val="28"/>
                <w:szCs w:val="28"/>
                <w:bdr w:val="none" w:color="auto" w:sz="0" w:space="0"/>
                <w:lang w:val="en-US" w:eastAsia="zh-CN" w:bidi="ar"/>
              </w:rPr>
              <w:t>“</w:t>
            </w:r>
            <w:r>
              <w:rPr>
                <w:rFonts w:hint="eastAsia" w:ascii="仿宋_GB2312" w:hAnsi="Times New Roman" w:eastAsia="仿宋_GB2312" w:cs="仿宋_GB2312"/>
                <w:color w:val="000000"/>
                <w:kern w:val="2"/>
                <w:sz w:val="28"/>
                <w:szCs w:val="28"/>
                <w:bdr w:val="none" w:color="auto" w:sz="0" w:space="0"/>
                <w:lang w:val="en-US" w:eastAsia="zh-CN" w:bidi="ar"/>
              </w:rPr>
              <w:t>三安全一稳定</w:t>
            </w:r>
            <w:r>
              <w:rPr>
                <w:rFonts w:hint="default" w:ascii="Times New Roman" w:hAnsi="Times New Roman" w:eastAsia="仿宋_GB2312" w:cs="Times New Roman"/>
                <w:color w:val="000000"/>
                <w:kern w:val="2"/>
                <w:sz w:val="28"/>
                <w:szCs w:val="28"/>
                <w:bdr w:val="none" w:color="auto" w:sz="0" w:space="0"/>
                <w:lang w:val="en-US" w:eastAsia="zh-CN" w:bidi="ar"/>
              </w:rPr>
              <w:t>”</w:t>
            </w:r>
          </w:p>
        </w:tc>
        <w:tc>
          <w:tcPr>
            <w:tcW w:w="279"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25"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36"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8"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403"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25"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99"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 w:hRule="atLeast"/>
          <w:jc w:val="center"/>
        </w:trPr>
        <w:tc>
          <w:tcPr>
            <w:tcW w:w="554" w:type="pct"/>
            <w:vMerge w:val="continue"/>
            <w:tcBorders>
              <w:top w:val="single" w:color="auto" w:sz="6"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545" w:type="pct"/>
            <w:vMerge w:val="continue"/>
            <w:tcBorders>
              <w:top w:val="single" w:color="auto" w:sz="6" w:space="0"/>
              <w:left w:val="single" w:color="auto" w:sz="6"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18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bdr w:val="none" w:color="auto" w:sz="0" w:space="0"/>
                <w:lang w:val="en-US" w:eastAsia="zh-CN" w:bidi="ar"/>
              </w:rPr>
              <w:t>4.</w:t>
            </w:r>
            <w:r>
              <w:rPr>
                <w:rFonts w:hint="eastAsia" w:ascii="仿宋_GB2312" w:hAnsi="Times New Roman" w:eastAsia="仿宋_GB2312" w:cs="仿宋_GB2312"/>
                <w:color w:val="000000"/>
                <w:kern w:val="2"/>
                <w:sz w:val="28"/>
                <w:szCs w:val="28"/>
                <w:bdr w:val="none" w:color="auto" w:sz="0" w:space="0"/>
                <w:lang w:val="en-US" w:eastAsia="zh-CN" w:bidi="ar"/>
              </w:rPr>
              <w:t>保护第三方合法权益</w:t>
            </w:r>
          </w:p>
        </w:tc>
        <w:tc>
          <w:tcPr>
            <w:tcW w:w="279"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25"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36"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8"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403"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25"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99"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 w:hRule="atLeast"/>
          <w:jc w:val="center"/>
        </w:trPr>
        <w:tc>
          <w:tcPr>
            <w:tcW w:w="554" w:type="pct"/>
            <w:vMerge w:val="continue"/>
            <w:tcBorders>
              <w:top w:val="single" w:color="auto" w:sz="6"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545" w:type="pct"/>
            <w:vMerge w:val="continue"/>
            <w:tcBorders>
              <w:top w:val="single" w:color="auto" w:sz="6" w:space="0"/>
              <w:left w:val="single" w:color="auto" w:sz="6"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181"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bdr w:val="none" w:color="auto" w:sz="0" w:space="0"/>
                <w:lang w:val="en-US" w:eastAsia="zh-CN" w:bidi="ar"/>
              </w:rPr>
              <w:t>5.</w:t>
            </w:r>
            <w:r>
              <w:rPr>
                <w:rFonts w:hint="eastAsia" w:ascii="仿宋_GB2312" w:hAnsi="Times New Roman" w:eastAsia="仿宋_GB2312" w:cs="仿宋_GB2312"/>
                <w:color w:val="000000"/>
                <w:kern w:val="2"/>
                <w:sz w:val="28"/>
                <w:szCs w:val="28"/>
                <w:bdr w:val="none" w:color="auto" w:sz="0" w:space="0"/>
                <w:lang w:val="en-US" w:eastAsia="zh-CN" w:bidi="ar"/>
              </w:rPr>
              <w:t>属于三类内部事务信息</w:t>
            </w:r>
          </w:p>
        </w:tc>
        <w:tc>
          <w:tcPr>
            <w:tcW w:w="279"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25"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36"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8"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403"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25"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99"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 w:hRule="atLeast"/>
          <w:jc w:val="center"/>
        </w:trPr>
        <w:tc>
          <w:tcPr>
            <w:tcW w:w="554" w:type="pct"/>
            <w:vMerge w:val="continue"/>
            <w:tcBorders>
              <w:top w:val="single" w:color="auto" w:sz="6"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545" w:type="pct"/>
            <w:vMerge w:val="continue"/>
            <w:tcBorders>
              <w:top w:val="single" w:color="auto" w:sz="6" w:space="0"/>
              <w:left w:val="single" w:color="auto" w:sz="6"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1830"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bdr w:val="none" w:color="auto" w:sz="0" w:space="0"/>
                <w:lang w:val="en-US" w:eastAsia="zh-CN" w:bidi="ar"/>
              </w:rPr>
              <w:t>6.</w:t>
            </w:r>
            <w:r>
              <w:rPr>
                <w:rFonts w:hint="eastAsia" w:ascii="仿宋_GB2312" w:hAnsi="Times New Roman" w:eastAsia="仿宋_GB2312" w:cs="仿宋_GB2312"/>
                <w:color w:val="000000"/>
                <w:kern w:val="2"/>
                <w:sz w:val="28"/>
                <w:szCs w:val="28"/>
                <w:bdr w:val="none" w:color="auto" w:sz="0" w:space="0"/>
                <w:lang w:val="en-US" w:eastAsia="zh-CN" w:bidi="ar"/>
              </w:rPr>
              <w:t>属于四类过程性信息</w:t>
            </w:r>
          </w:p>
        </w:tc>
        <w:tc>
          <w:tcPr>
            <w:tcW w:w="279"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25"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36"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8"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403"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25"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99"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 w:hRule="atLeast"/>
          <w:jc w:val="center"/>
        </w:trPr>
        <w:tc>
          <w:tcPr>
            <w:tcW w:w="554" w:type="pct"/>
            <w:vMerge w:val="continue"/>
            <w:tcBorders>
              <w:top w:val="single" w:color="auto" w:sz="6"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545" w:type="pct"/>
            <w:vMerge w:val="continue"/>
            <w:tcBorders>
              <w:top w:val="single" w:color="auto" w:sz="6" w:space="0"/>
              <w:left w:val="single" w:color="auto" w:sz="6"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1830"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bdr w:val="none" w:color="auto" w:sz="0" w:space="0"/>
                <w:lang w:val="en-US" w:eastAsia="zh-CN" w:bidi="ar"/>
              </w:rPr>
              <w:t>7.</w:t>
            </w:r>
            <w:r>
              <w:rPr>
                <w:rFonts w:hint="eastAsia" w:ascii="仿宋_GB2312" w:hAnsi="Times New Roman" w:eastAsia="仿宋_GB2312" w:cs="仿宋_GB2312"/>
                <w:color w:val="000000"/>
                <w:kern w:val="2"/>
                <w:sz w:val="28"/>
                <w:szCs w:val="28"/>
                <w:bdr w:val="none" w:color="auto" w:sz="0" w:space="0"/>
                <w:lang w:val="en-US" w:eastAsia="zh-CN" w:bidi="ar"/>
              </w:rPr>
              <w:t>属于行政执法案卷</w:t>
            </w:r>
          </w:p>
        </w:tc>
        <w:tc>
          <w:tcPr>
            <w:tcW w:w="279"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25"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36"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8"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403"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25"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99"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 w:hRule="atLeast"/>
          <w:jc w:val="center"/>
        </w:trPr>
        <w:tc>
          <w:tcPr>
            <w:tcW w:w="554" w:type="pct"/>
            <w:vMerge w:val="continue"/>
            <w:tcBorders>
              <w:top w:val="single" w:color="auto" w:sz="6"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545" w:type="pct"/>
            <w:vMerge w:val="continue"/>
            <w:tcBorders>
              <w:top w:val="single" w:color="auto" w:sz="6" w:space="0"/>
              <w:left w:val="single" w:color="auto" w:sz="6"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1830"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bdr w:val="none" w:color="auto" w:sz="0" w:space="0"/>
                <w:lang w:val="en-US" w:eastAsia="zh-CN" w:bidi="ar"/>
              </w:rPr>
              <w:t>8.</w:t>
            </w:r>
            <w:r>
              <w:rPr>
                <w:rFonts w:hint="eastAsia" w:ascii="仿宋_GB2312" w:hAnsi="Times New Roman" w:eastAsia="仿宋_GB2312" w:cs="仿宋_GB2312"/>
                <w:color w:val="000000"/>
                <w:kern w:val="2"/>
                <w:sz w:val="28"/>
                <w:szCs w:val="28"/>
                <w:bdr w:val="none" w:color="auto" w:sz="0" w:space="0"/>
                <w:lang w:val="en-US" w:eastAsia="zh-CN" w:bidi="ar"/>
              </w:rPr>
              <w:t>属于行政查询事项</w:t>
            </w:r>
          </w:p>
        </w:tc>
        <w:tc>
          <w:tcPr>
            <w:tcW w:w="279"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25"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36"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8"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403"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25"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99"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1" w:hRule="atLeast"/>
          <w:jc w:val="center"/>
        </w:trPr>
        <w:tc>
          <w:tcPr>
            <w:tcW w:w="554" w:type="pct"/>
            <w:vMerge w:val="continue"/>
            <w:tcBorders>
              <w:top w:val="single" w:color="auto" w:sz="6"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545" w:type="pct"/>
            <w:vMerge w:val="restart"/>
            <w:tcBorders>
              <w:top w:val="single" w:color="auto" w:sz="6" w:space="0"/>
              <w:left w:val="single" w:color="auto" w:sz="6" w:space="0"/>
              <w:bottom w:val="in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eastAsia" w:ascii="仿宋_GB2312" w:hAnsi="Times New Roman" w:eastAsia="仿宋_GB2312" w:cs="仿宋_GB2312"/>
                <w:color w:val="000000"/>
                <w:kern w:val="2"/>
                <w:sz w:val="28"/>
                <w:szCs w:val="28"/>
                <w:bdr w:val="none" w:color="auto" w:sz="0" w:space="0"/>
                <w:lang w:val="en-US" w:eastAsia="zh-CN" w:bidi="ar"/>
              </w:rPr>
              <w:t>（四）无法提供</w:t>
            </w:r>
          </w:p>
        </w:tc>
        <w:tc>
          <w:tcPr>
            <w:tcW w:w="1830"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40" w:lineRule="exact"/>
              <w:ind w:left="0" w:right="0"/>
              <w:jc w:val="left"/>
            </w:pPr>
            <w:r>
              <w:rPr>
                <w:rFonts w:hint="default" w:ascii="Times New Roman" w:hAnsi="Times New Roman" w:eastAsia="仿宋_GB2312" w:cs="Times New Roman"/>
                <w:color w:val="000000"/>
                <w:kern w:val="2"/>
                <w:sz w:val="28"/>
                <w:szCs w:val="28"/>
                <w:bdr w:val="none" w:color="auto" w:sz="0" w:space="0"/>
                <w:lang w:val="en-US" w:eastAsia="zh-CN" w:bidi="ar"/>
              </w:rPr>
              <w:t>1.</w:t>
            </w:r>
            <w:r>
              <w:rPr>
                <w:rFonts w:hint="eastAsia" w:ascii="仿宋_GB2312" w:hAnsi="Times New Roman" w:eastAsia="仿宋_GB2312" w:cs="仿宋_GB2312"/>
                <w:color w:val="000000"/>
                <w:kern w:val="2"/>
                <w:sz w:val="28"/>
                <w:szCs w:val="28"/>
                <w:bdr w:val="none" w:color="auto" w:sz="0" w:space="0"/>
                <w:lang w:val="en-US" w:eastAsia="zh-CN" w:bidi="ar"/>
              </w:rPr>
              <w:t>本机关不掌握相关政府信息</w:t>
            </w:r>
          </w:p>
        </w:tc>
        <w:tc>
          <w:tcPr>
            <w:tcW w:w="279"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25"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36"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8"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403"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25"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99"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 w:hRule="atLeast"/>
          <w:jc w:val="center"/>
        </w:trPr>
        <w:tc>
          <w:tcPr>
            <w:tcW w:w="554" w:type="pct"/>
            <w:vMerge w:val="continue"/>
            <w:tcBorders>
              <w:top w:val="single" w:color="auto" w:sz="6"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545" w:type="pct"/>
            <w:vMerge w:val="continue"/>
            <w:tcBorders>
              <w:top w:val="single" w:color="auto" w:sz="6" w:space="0"/>
              <w:left w:val="single" w:color="auto" w:sz="6"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1830"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40" w:lineRule="exact"/>
              <w:ind w:left="0" w:right="0"/>
              <w:jc w:val="left"/>
            </w:pPr>
            <w:r>
              <w:rPr>
                <w:rFonts w:hint="default" w:ascii="Times New Roman" w:hAnsi="Times New Roman" w:eastAsia="仿宋_GB2312" w:cs="Times New Roman"/>
                <w:color w:val="000000"/>
                <w:kern w:val="2"/>
                <w:sz w:val="28"/>
                <w:szCs w:val="28"/>
                <w:bdr w:val="none" w:color="auto" w:sz="0" w:space="0"/>
                <w:lang w:val="en-US" w:eastAsia="zh-CN" w:bidi="ar"/>
              </w:rPr>
              <w:t>2.</w:t>
            </w:r>
            <w:r>
              <w:rPr>
                <w:rFonts w:hint="eastAsia" w:ascii="仿宋_GB2312" w:hAnsi="Times New Roman" w:eastAsia="仿宋_GB2312" w:cs="仿宋_GB2312"/>
                <w:color w:val="000000"/>
                <w:kern w:val="2"/>
                <w:sz w:val="28"/>
                <w:szCs w:val="28"/>
                <w:bdr w:val="none" w:color="auto" w:sz="0" w:space="0"/>
                <w:lang w:val="en-US" w:eastAsia="zh-CN" w:bidi="ar"/>
              </w:rPr>
              <w:t>没有现成信息需要另行制作</w:t>
            </w:r>
          </w:p>
        </w:tc>
        <w:tc>
          <w:tcPr>
            <w:tcW w:w="279"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25"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36"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8"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403"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25"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99"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 w:hRule="atLeast"/>
          <w:jc w:val="center"/>
        </w:trPr>
        <w:tc>
          <w:tcPr>
            <w:tcW w:w="554" w:type="pct"/>
            <w:vMerge w:val="continue"/>
            <w:tcBorders>
              <w:top w:val="single" w:color="auto" w:sz="6"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545" w:type="pct"/>
            <w:vMerge w:val="continue"/>
            <w:tcBorders>
              <w:top w:val="single" w:color="auto" w:sz="6" w:space="0"/>
              <w:left w:val="single" w:color="auto" w:sz="6"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1830"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bdr w:val="none" w:color="auto" w:sz="0" w:space="0"/>
                <w:lang w:val="en-US" w:eastAsia="zh-CN" w:bidi="ar"/>
              </w:rPr>
              <w:t>3.</w:t>
            </w:r>
            <w:r>
              <w:rPr>
                <w:rFonts w:hint="eastAsia" w:ascii="仿宋_GB2312" w:hAnsi="Times New Roman" w:eastAsia="仿宋_GB2312" w:cs="仿宋_GB2312"/>
                <w:color w:val="000000"/>
                <w:kern w:val="2"/>
                <w:sz w:val="28"/>
                <w:szCs w:val="28"/>
                <w:bdr w:val="none" w:color="auto" w:sz="0" w:space="0"/>
                <w:lang w:val="en-US" w:eastAsia="zh-CN" w:bidi="ar"/>
              </w:rPr>
              <w:t>补正后申请内容仍不明确</w:t>
            </w:r>
          </w:p>
        </w:tc>
        <w:tc>
          <w:tcPr>
            <w:tcW w:w="279"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25"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36"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8"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403"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25"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99"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 w:hRule="atLeast"/>
          <w:jc w:val="center"/>
        </w:trPr>
        <w:tc>
          <w:tcPr>
            <w:tcW w:w="554" w:type="pct"/>
            <w:vMerge w:val="continue"/>
            <w:tcBorders>
              <w:top w:val="single" w:color="auto" w:sz="6"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545" w:type="pct"/>
            <w:vMerge w:val="restart"/>
            <w:tcBorders>
              <w:top w:val="single" w:color="auto" w:sz="6" w:space="0"/>
              <w:left w:val="single" w:color="auto" w:sz="6" w:space="0"/>
              <w:bottom w:val="in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eastAsia" w:ascii="仿宋_GB2312" w:hAnsi="Times New Roman" w:eastAsia="仿宋_GB2312" w:cs="仿宋_GB2312"/>
                <w:color w:val="000000"/>
                <w:kern w:val="2"/>
                <w:sz w:val="28"/>
                <w:szCs w:val="28"/>
                <w:bdr w:val="none" w:color="auto" w:sz="0" w:space="0"/>
                <w:lang w:val="en-US" w:eastAsia="zh-CN" w:bidi="ar"/>
              </w:rPr>
              <w:t>（五）不予处理</w:t>
            </w:r>
          </w:p>
        </w:tc>
        <w:tc>
          <w:tcPr>
            <w:tcW w:w="1830" w:type="pct"/>
            <w:tcBorders>
              <w:top w:val="single" w:color="auto" w:sz="4"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bdr w:val="none" w:color="auto" w:sz="0" w:space="0"/>
                <w:lang w:val="en-US" w:eastAsia="zh-CN" w:bidi="ar"/>
              </w:rPr>
              <w:t>1.</w:t>
            </w:r>
            <w:r>
              <w:rPr>
                <w:rFonts w:hint="eastAsia" w:ascii="仿宋_GB2312" w:hAnsi="Times New Roman" w:eastAsia="仿宋_GB2312" w:cs="仿宋_GB2312"/>
                <w:color w:val="000000"/>
                <w:kern w:val="2"/>
                <w:sz w:val="28"/>
                <w:szCs w:val="28"/>
                <w:bdr w:val="none" w:color="auto" w:sz="0" w:space="0"/>
                <w:lang w:val="en-US" w:eastAsia="zh-CN" w:bidi="ar"/>
              </w:rPr>
              <w:t>信访举报投诉类申请</w:t>
            </w:r>
          </w:p>
        </w:tc>
        <w:tc>
          <w:tcPr>
            <w:tcW w:w="279" w:type="pct"/>
            <w:tcBorders>
              <w:top w:val="single" w:color="auto" w:sz="4"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25" w:type="pct"/>
            <w:tcBorders>
              <w:top w:val="single" w:color="auto" w:sz="4"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36" w:type="pct"/>
            <w:tcBorders>
              <w:top w:val="single" w:color="auto" w:sz="4"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8" w:type="pct"/>
            <w:tcBorders>
              <w:top w:val="single" w:color="auto" w:sz="4"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403" w:type="pct"/>
            <w:tcBorders>
              <w:top w:val="single" w:color="auto" w:sz="4"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25" w:type="pct"/>
            <w:tcBorders>
              <w:top w:val="single" w:color="auto" w:sz="4"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99" w:type="pct"/>
            <w:tcBorders>
              <w:top w:val="single" w:color="auto" w:sz="4"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 w:hRule="atLeast"/>
          <w:jc w:val="center"/>
        </w:trPr>
        <w:tc>
          <w:tcPr>
            <w:tcW w:w="554" w:type="pct"/>
            <w:vMerge w:val="continue"/>
            <w:tcBorders>
              <w:top w:val="single" w:color="auto" w:sz="6"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545" w:type="pct"/>
            <w:vMerge w:val="continue"/>
            <w:tcBorders>
              <w:top w:val="single" w:color="auto" w:sz="6" w:space="0"/>
              <w:left w:val="single" w:color="auto" w:sz="6"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1830"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bdr w:val="none" w:color="auto" w:sz="0" w:space="0"/>
                <w:lang w:val="en-US" w:eastAsia="zh-CN" w:bidi="ar"/>
              </w:rPr>
              <w:t>2.</w:t>
            </w:r>
            <w:r>
              <w:rPr>
                <w:rFonts w:hint="eastAsia" w:ascii="仿宋_GB2312" w:hAnsi="Times New Roman" w:eastAsia="仿宋_GB2312" w:cs="仿宋_GB2312"/>
                <w:color w:val="000000"/>
                <w:kern w:val="2"/>
                <w:sz w:val="28"/>
                <w:szCs w:val="28"/>
                <w:bdr w:val="none" w:color="auto" w:sz="0" w:space="0"/>
                <w:lang w:val="en-US" w:eastAsia="zh-CN" w:bidi="ar"/>
              </w:rPr>
              <w:t>重复申请</w:t>
            </w:r>
          </w:p>
        </w:tc>
        <w:tc>
          <w:tcPr>
            <w:tcW w:w="279"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25"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36"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8"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403"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25"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99"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 w:hRule="atLeast"/>
          <w:jc w:val="center"/>
        </w:trPr>
        <w:tc>
          <w:tcPr>
            <w:tcW w:w="554" w:type="pct"/>
            <w:vMerge w:val="continue"/>
            <w:tcBorders>
              <w:top w:val="single" w:color="auto" w:sz="6"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545" w:type="pct"/>
            <w:vMerge w:val="continue"/>
            <w:tcBorders>
              <w:top w:val="single" w:color="auto" w:sz="6" w:space="0"/>
              <w:left w:val="single" w:color="auto" w:sz="6"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1830"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bdr w:val="none" w:color="auto" w:sz="0" w:space="0"/>
                <w:lang w:val="en-US" w:eastAsia="zh-CN" w:bidi="ar"/>
              </w:rPr>
              <w:t>3.</w:t>
            </w:r>
            <w:r>
              <w:rPr>
                <w:rFonts w:hint="eastAsia" w:ascii="仿宋_GB2312" w:hAnsi="Times New Roman" w:eastAsia="仿宋_GB2312" w:cs="仿宋_GB2312"/>
                <w:color w:val="000000"/>
                <w:kern w:val="2"/>
                <w:sz w:val="28"/>
                <w:szCs w:val="28"/>
                <w:bdr w:val="none" w:color="auto" w:sz="0" w:space="0"/>
                <w:lang w:val="en-US" w:eastAsia="zh-CN" w:bidi="ar"/>
              </w:rPr>
              <w:t>要求提供公开出版物</w:t>
            </w:r>
          </w:p>
        </w:tc>
        <w:tc>
          <w:tcPr>
            <w:tcW w:w="279"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25"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36"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8"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403"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25"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99"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 w:hRule="atLeast"/>
          <w:jc w:val="center"/>
        </w:trPr>
        <w:tc>
          <w:tcPr>
            <w:tcW w:w="554" w:type="pct"/>
            <w:vMerge w:val="continue"/>
            <w:tcBorders>
              <w:top w:val="single" w:color="auto" w:sz="6"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545" w:type="pct"/>
            <w:vMerge w:val="continue"/>
            <w:tcBorders>
              <w:top w:val="single" w:color="auto" w:sz="6" w:space="0"/>
              <w:left w:val="single" w:color="auto" w:sz="6"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1830"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bdr w:val="none" w:color="auto" w:sz="0" w:space="0"/>
                <w:lang w:val="en-US" w:eastAsia="zh-CN" w:bidi="ar"/>
              </w:rPr>
              <w:t>4.</w:t>
            </w:r>
            <w:r>
              <w:rPr>
                <w:rFonts w:hint="eastAsia" w:ascii="仿宋_GB2312" w:hAnsi="Times New Roman" w:eastAsia="仿宋_GB2312" w:cs="仿宋_GB2312"/>
                <w:color w:val="000000"/>
                <w:kern w:val="2"/>
                <w:sz w:val="28"/>
                <w:szCs w:val="28"/>
                <w:bdr w:val="none" w:color="auto" w:sz="0" w:space="0"/>
                <w:lang w:val="en-US" w:eastAsia="zh-CN" w:bidi="ar"/>
              </w:rPr>
              <w:t>无正当理由大量反复申请</w:t>
            </w:r>
          </w:p>
        </w:tc>
        <w:tc>
          <w:tcPr>
            <w:tcW w:w="279"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25"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36"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8"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403"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25"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99"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5" w:hRule="atLeast"/>
          <w:jc w:val="center"/>
        </w:trPr>
        <w:tc>
          <w:tcPr>
            <w:tcW w:w="554" w:type="pct"/>
            <w:vMerge w:val="continue"/>
            <w:tcBorders>
              <w:top w:val="single" w:color="auto" w:sz="6"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545" w:type="pct"/>
            <w:vMerge w:val="continue"/>
            <w:tcBorders>
              <w:top w:val="single" w:color="auto" w:sz="6" w:space="0"/>
              <w:left w:val="single" w:color="auto" w:sz="6"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1830" w:type="pct"/>
            <w:tcBorders>
              <w:top w:val="single" w:color="auto" w:sz="6" w:space="0"/>
              <w:left w:val="single" w:color="auto" w:sz="6" w:space="0"/>
              <w:bottom w:val="in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bdr w:val="none" w:color="auto" w:sz="0" w:space="0"/>
                <w:lang w:val="en-US" w:eastAsia="zh-CN" w:bidi="ar"/>
              </w:rPr>
              <w:t>5.</w:t>
            </w:r>
            <w:r>
              <w:rPr>
                <w:rFonts w:hint="eastAsia" w:ascii="仿宋_GB2312" w:hAnsi="Times New Roman" w:eastAsia="仿宋_GB2312" w:cs="仿宋_GB2312"/>
                <w:color w:val="000000"/>
                <w:kern w:val="2"/>
                <w:sz w:val="28"/>
                <w:szCs w:val="28"/>
                <w:bdr w:val="none" w:color="auto" w:sz="0" w:space="0"/>
                <w:lang w:val="en-US" w:eastAsia="zh-CN" w:bidi="ar"/>
              </w:rPr>
              <w:t>要求行政机关确认或重新出具已获取信息</w:t>
            </w:r>
          </w:p>
        </w:tc>
        <w:tc>
          <w:tcPr>
            <w:tcW w:w="279" w:type="pct"/>
            <w:tcBorders>
              <w:top w:val="single" w:color="auto" w:sz="6" w:space="0"/>
              <w:left w:val="single" w:color="auto" w:sz="6" w:space="0"/>
              <w:bottom w:val="in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25" w:type="pct"/>
            <w:tcBorders>
              <w:top w:val="single" w:color="auto" w:sz="6" w:space="0"/>
              <w:left w:val="single" w:color="auto" w:sz="6" w:space="0"/>
              <w:bottom w:val="in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36" w:type="pct"/>
            <w:tcBorders>
              <w:top w:val="single" w:color="auto" w:sz="6" w:space="0"/>
              <w:left w:val="single" w:color="auto" w:sz="6" w:space="0"/>
              <w:bottom w:val="in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8" w:type="pct"/>
            <w:tcBorders>
              <w:top w:val="single" w:color="auto" w:sz="6" w:space="0"/>
              <w:left w:val="single" w:color="auto" w:sz="6" w:space="0"/>
              <w:bottom w:val="in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403" w:type="pct"/>
            <w:tcBorders>
              <w:top w:val="single" w:color="auto" w:sz="6" w:space="0"/>
              <w:left w:val="single" w:color="auto" w:sz="6" w:space="0"/>
              <w:bottom w:val="in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25" w:type="pct"/>
            <w:tcBorders>
              <w:top w:val="single" w:color="auto" w:sz="6" w:space="0"/>
              <w:left w:val="single" w:color="auto" w:sz="6" w:space="0"/>
              <w:bottom w:val="in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99" w:type="pct"/>
            <w:tcBorders>
              <w:top w:val="single" w:color="auto" w:sz="6" w:space="0"/>
              <w:left w:val="single" w:color="auto" w:sz="6" w:space="0"/>
              <w:bottom w:val="in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 w:hRule="atLeast"/>
          <w:jc w:val="center"/>
        </w:trPr>
        <w:tc>
          <w:tcPr>
            <w:tcW w:w="554" w:type="pct"/>
            <w:vMerge w:val="continue"/>
            <w:tcBorders>
              <w:top w:val="single" w:color="auto" w:sz="6"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545" w:type="pct"/>
            <w:vMerge w:val="restart"/>
            <w:tcBorders>
              <w:top w:val="nil"/>
              <w:left w:val="single" w:color="auto" w:sz="6" w:space="0"/>
              <w:bottom w:val="in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eastAsia" w:ascii="仿宋_GB2312" w:hAnsi="Times New Roman" w:eastAsia="仿宋_GB2312" w:cs="仿宋_GB2312"/>
                <w:color w:val="000000"/>
                <w:kern w:val="2"/>
                <w:sz w:val="28"/>
                <w:szCs w:val="28"/>
                <w:bdr w:val="none" w:color="auto" w:sz="0" w:space="0"/>
                <w:lang w:val="en-US" w:eastAsia="zh-CN" w:bidi="ar"/>
              </w:rPr>
              <w:t>（六）其他处理</w:t>
            </w:r>
          </w:p>
        </w:tc>
        <w:tc>
          <w:tcPr>
            <w:tcW w:w="1830"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bdr w:val="none" w:color="auto" w:sz="0" w:space="0"/>
                <w:lang w:val="en-US" w:eastAsia="zh-CN" w:bidi="ar"/>
              </w:rPr>
              <w:t>1.</w:t>
            </w:r>
            <w:r>
              <w:rPr>
                <w:rFonts w:hint="eastAsia" w:ascii="仿宋_GB2312" w:hAnsi="Times New Roman" w:eastAsia="仿宋_GB2312" w:cs="仿宋_GB2312"/>
                <w:color w:val="000000"/>
                <w:kern w:val="2"/>
                <w:sz w:val="28"/>
                <w:szCs w:val="28"/>
                <w:bdr w:val="none" w:color="auto" w:sz="0" w:space="0"/>
                <w:lang w:val="en-US" w:eastAsia="zh-CN" w:bidi="ar"/>
              </w:rPr>
              <w:t>申请人无正当理由逾期不补正、行政机关不再处理其政府信息公开申请</w:t>
            </w:r>
          </w:p>
        </w:tc>
        <w:tc>
          <w:tcPr>
            <w:tcW w:w="279"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25"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36"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8"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403"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25"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99"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 w:hRule="atLeast"/>
          <w:jc w:val="center"/>
        </w:trPr>
        <w:tc>
          <w:tcPr>
            <w:tcW w:w="554" w:type="pct"/>
            <w:vMerge w:val="continue"/>
            <w:tcBorders>
              <w:top w:val="single" w:color="auto" w:sz="6"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545" w:type="pct"/>
            <w:vMerge w:val="continue"/>
            <w:tcBorders>
              <w:top w:val="nil"/>
              <w:left w:val="single" w:color="auto" w:sz="6"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1830"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bdr w:val="none" w:color="auto" w:sz="0" w:space="0"/>
                <w:lang w:val="en-US" w:eastAsia="zh-CN" w:bidi="ar"/>
              </w:rPr>
              <w:t>2.</w:t>
            </w:r>
            <w:r>
              <w:rPr>
                <w:rFonts w:hint="eastAsia" w:ascii="仿宋_GB2312" w:hAnsi="Times New Roman" w:eastAsia="仿宋_GB2312" w:cs="仿宋_GB2312"/>
                <w:color w:val="000000"/>
                <w:kern w:val="2"/>
                <w:sz w:val="28"/>
                <w:szCs w:val="28"/>
                <w:bdr w:val="none" w:color="auto" w:sz="0" w:space="0"/>
                <w:lang w:val="en-US" w:eastAsia="zh-CN" w:bidi="ar"/>
              </w:rPr>
              <w:t>申请人逾期未按收费通知要求缴纳费用、行政机关不再处理其政府信息公开申请</w:t>
            </w:r>
          </w:p>
        </w:tc>
        <w:tc>
          <w:tcPr>
            <w:tcW w:w="279"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25"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36"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8"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403"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25"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99"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 w:hRule="atLeast"/>
          <w:jc w:val="center"/>
        </w:trPr>
        <w:tc>
          <w:tcPr>
            <w:tcW w:w="554" w:type="pct"/>
            <w:vMerge w:val="continue"/>
            <w:tcBorders>
              <w:top w:val="single" w:color="auto" w:sz="6"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545" w:type="pct"/>
            <w:vMerge w:val="continue"/>
            <w:tcBorders>
              <w:top w:val="nil"/>
              <w:left w:val="single" w:color="auto" w:sz="6"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1830"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bdr w:val="none" w:color="auto" w:sz="0" w:space="0"/>
                <w:lang w:val="en-US" w:eastAsia="zh-CN" w:bidi="ar"/>
              </w:rPr>
              <w:t>3.</w:t>
            </w:r>
            <w:r>
              <w:rPr>
                <w:rFonts w:hint="eastAsia" w:ascii="仿宋_GB2312" w:hAnsi="Times New Roman" w:eastAsia="仿宋_GB2312" w:cs="仿宋_GB2312"/>
                <w:color w:val="000000"/>
                <w:kern w:val="2"/>
                <w:sz w:val="28"/>
                <w:szCs w:val="28"/>
                <w:bdr w:val="none" w:color="auto" w:sz="0" w:space="0"/>
                <w:lang w:val="en-US" w:eastAsia="zh-CN" w:bidi="ar"/>
              </w:rPr>
              <w:t>其他</w:t>
            </w:r>
          </w:p>
        </w:tc>
        <w:tc>
          <w:tcPr>
            <w:tcW w:w="279"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25"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36"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8"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403"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25"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99"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 w:hRule="atLeast"/>
          <w:jc w:val="center"/>
        </w:trPr>
        <w:tc>
          <w:tcPr>
            <w:tcW w:w="554" w:type="pct"/>
            <w:vMerge w:val="continue"/>
            <w:tcBorders>
              <w:top w:val="single" w:color="auto" w:sz="6"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2376" w:type="pct"/>
            <w:gridSpan w:val="2"/>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eastAsia" w:ascii="仿宋_GB2312" w:hAnsi="Times New Roman" w:eastAsia="仿宋_GB2312" w:cs="仿宋_GB2312"/>
                <w:color w:val="000000"/>
                <w:kern w:val="2"/>
                <w:sz w:val="28"/>
                <w:szCs w:val="28"/>
                <w:bdr w:val="none" w:color="auto" w:sz="0" w:space="0"/>
                <w:lang w:val="en-US" w:eastAsia="zh-CN" w:bidi="ar"/>
              </w:rPr>
              <w:t>（七）总计</w:t>
            </w:r>
          </w:p>
        </w:tc>
        <w:tc>
          <w:tcPr>
            <w:tcW w:w="279"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25"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36"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8"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403"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25"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99"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8" w:hRule="atLeast"/>
          <w:jc w:val="center"/>
        </w:trPr>
        <w:tc>
          <w:tcPr>
            <w:tcW w:w="2930" w:type="pct"/>
            <w:gridSpan w:val="3"/>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eastAsia" w:ascii="仿宋_GB2312" w:hAnsi="Times New Roman" w:eastAsia="仿宋_GB2312" w:cs="仿宋_GB2312"/>
                <w:color w:val="000000"/>
                <w:kern w:val="2"/>
                <w:sz w:val="28"/>
                <w:szCs w:val="28"/>
                <w:bdr w:val="none" w:color="auto" w:sz="0" w:space="0"/>
                <w:lang w:val="en-US" w:eastAsia="zh-CN" w:bidi="ar"/>
              </w:rPr>
              <w:t>四、结转下年度继续办理</w:t>
            </w:r>
          </w:p>
        </w:tc>
        <w:tc>
          <w:tcPr>
            <w:tcW w:w="279"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25"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36"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398"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403"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25"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c>
          <w:tcPr>
            <w:tcW w:w="299"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bdr w:val="none" w:color="auto" w:sz="0" w:space="0"/>
                <w:lang w:val="en-US" w:eastAsia="zh-CN" w:bidi="ar"/>
              </w:rPr>
              <w:t>0</w:t>
            </w:r>
          </w:p>
        </w:tc>
      </w:tr>
    </w:tbl>
    <w:p>
      <w:pPr>
        <w:pStyle w:val="5"/>
        <w:keepNext w:val="0"/>
        <w:keepLines w:val="0"/>
        <w:widowControl/>
        <w:suppressLineNumbers w:val="0"/>
        <w:shd w:val="clear" w:fill="FFFFFF"/>
        <w:spacing w:before="0" w:beforeAutospacing="1" w:after="0" w:afterAutospacing="1" w:line="560" w:lineRule="exact"/>
        <w:ind w:left="0" w:right="0" w:firstLine="640" w:firstLineChars="200"/>
        <w:jc w:val="both"/>
      </w:pPr>
      <w:r>
        <w:rPr>
          <w:rFonts w:hint="eastAsia" w:ascii="黑体" w:hAnsi="宋体" w:eastAsia="黑体" w:cs="Times New Roman"/>
          <w:bCs/>
          <w:color w:val="000000"/>
          <w:kern w:val="32"/>
          <w:sz w:val="32"/>
          <w:szCs w:val="32"/>
          <w:shd w:val="clear" w:fill="FFFFFF"/>
          <w:lang w:val="en-US" w:eastAsia="zh-CN" w:bidi="ar"/>
        </w:rPr>
        <w:t> </w:t>
      </w:r>
    </w:p>
    <w:p>
      <w:pPr>
        <w:pStyle w:val="5"/>
        <w:keepNext w:val="0"/>
        <w:keepLines w:val="0"/>
        <w:widowControl/>
        <w:suppressLineNumbers w:val="0"/>
        <w:shd w:val="clear" w:fill="FFFFFF"/>
        <w:spacing w:before="0" w:beforeAutospacing="1" w:after="0" w:afterAutospacing="1" w:line="560" w:lineRule="exact"/>
        <w:ind w:left="0" w:right="0" w:firstLine="640" w:firstLineChars="200"/>
        <w:jc w:val="both"/>
      </w:pPr>
      <w:r>
        <w:rPr>
          <w:rFonts w:hint="eastAsia" w:ascii="黑体" w:hAnsi="宋体" w:eastAsia="黑体" w:cs="Times New Roman"/>
          <w:bCs/>
          <w:color w:val="000000"/>
          <w:kern w:val="32"/>
          <w:sz w:val="32"/>
          <w:szCs w:val="32"/>
          <w:shd w:val="clear" w:fill="FFFFFF"/>
          <w:lang w:val="en-US" w:eastAsia="zh-CN" w:bidi="ar"/>
        </w:rPr>
        <w:t> </w:t>
      </w:r>
    </w:p>
    <w:p>
      <w:pPr>
        <w:pStyle w:val="5"/>
        <w:keepNext w:val="0"/>
        <w:keepLines w:val="0"/>
        <w:widowControl/>
        <w:suppressLineNumbers w:val="0"/>
        <w:shd w:val="clear" w:fill="FFFFFF"/>
        <w:spacing w:before="0" w:beforeAutospacing="1" w:after="0" w:afterAutospacing="1" w:line="560" w:lineRule="exact"/>
        <w:ind w:left="0" w:right="0" w:firstLine="640" w:firstLineChars="200"/>
        <w:jc w:val="both"/>
      </w:pPr>
      <w:r>
        <w:rPr>
          <w:rFonts w:hint="eastAsia" w:ascii="黑体" w:hAnsi="宋体" w:eastAsia="黑体" w:cs="黑体"/>
          <w:bCs/>
          <w:color w:val="000000"/>
          <w:kern w:val="32"/>
          <w:sz w:val="32"/>
          <w:szCs w:val="32"/>
          <w:shd w:val="clear" w:fill="FFFFFF"/>
          <w:lang w:val="en-US" w:eastAsia="zh-CN" w:bidi="ar"/>
        </w:rPr>
        <w:t>四、政府信息公开行政复议、行政诉讼情况</w:t>
      </w:r>
    </w:p>
    <w:tbl>
      <w:tblPr>
        <w:tblW w:w="482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80"/>
        <w:gridCol w:w="580"/>
        <w:gridCol w:w="580"/>
        <w:gridCol w:w="580"/>
        <w:gridCol w:w="587"/>
        <w:gridCol w:w="580"/>
        <w:gridCol w:w="580"/>
        <w:gridCol w:w="580"/>
        <w:gridCol w:w="580"/>
        <w:gridCol w:w="593"/>
        <w:gridCol w:w="580"/>
        <w:gridCol w:w="581"/>
        <w:gridCol w:w="581"/>
        <w:gridCol w:w="583"/>
        <w:gridCol w:w="5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7" w:hRule="atLeast"/>
          <w:jc w:val="center"/>
        </w:trPr>
        <w:tc>
          <w:tcPr>
            <w:tcW w:w="1664" w:type="pct"/>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eastAsia" w:ascii="仿宋_GB2312" w:hAnsi="Times New Roman" w:eastAsia="仿宋_GB2312" w:cs="仿宋_GB2312"/>
                <w:color w:val="000000"/>
                <w:kern w:val="0"/>
                <w:sz w:val="28"/>
                <w:szCs w:val="28"/>
                <w:bdr w:val="none" w:color="auto" w:sz="0" w:space="0"/>
                <w:lang w:val="en-US" w:eastAsia="zh-CN" w:bidi="ar"/>
              </w:rPr>
              <w:t>行政复议</w:t>
            </w:r>
          </w:p>
        </w:tc>
        <w:tc>
          <w:tcPr>
            <w:tcW w:w="3335" w:type="pct"/>
            <w:gridSpan w:val="10"/>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eastAsia" w:ascii="仿宋_GB2312" w:hAnsi="Times New Roman" w:eastAsia="仿宋_GB2312" w:cs="仿宋_GB2312"/>
                <w:color w:val="000000"/>
                <w:kern w:val="0"/>
                <w:sz w:val="28"/>
                <w:szCs w:val="28"/>
                <w:bdr w:val="none" w:color="auto" w:sz="0" w:space="0"/>
                <w:lang w:val="en-US" w:eastAsia="zh-CN" w:bidi="ar"/>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jc w:val="center"/>
        </w:trPr>
        <w:tc>
          <w:tcPr>
            <w:tcW w:w="332" w:type="pct"/>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eastAsia" w:ascii="仿宋_GB2312" w:hAnsi="Times New Roman" w:eastAsia="仿宋_GB2312" w:cs="仿宋_GB2312"/>
                <w:color w:val="000000"/>
                <w:kern w:val="0"/>
                <w:sz w:val="28"/>
                <w:szCs w:val="28"/>
                <w:bdr w:val="none" w:color="auto" w:sz="0" w:space="0"/>
                <w:lang w:val="en-US" w:eastAsia="zh-CN" w:bidi="ar"/>
              </w:rPr>
              <w:t>结果维持</w:t>
            </w:r>
          </w:p>
        </w:tc>
        <w:tc>
          <w:tcPr>
            <w:tcW w:w="332" w:type="pct"/>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eastAsia" w:ascii="仿宋_GB2312" w:hAnsi="Times New Roman" w:eastAsia="仿宋_GB2312" w:cs="仿宋_GB2312"/>
                <w:color w:val="000000"/>
                <w:kern w:val="0"/>
                <w:sz w:val="28"/>
                <w:szCs w:val="28"/>
                <w:bdr w:val="none" w:color="auto" w:sz="0" w:space="0"/>
                <w:lang w:val="en-US" w:eastAsia="zh-CN" w:bidi="ar"/>
              </w:rPr>
              <w:t>结果</w:t>
            </w:r>
            <w:r>
              <w:rPr>
                <w:rFonts w:hint="default" w:ascii="Times New Roman" w:hAnsi="Times New Roman" w:eastAsia="仿宋_GB2312" w:cs="Times New Roman"/>
                <w:color w:val="000000"/>
                <w:kern w:val="0"/>
                <w:sz w:val="28"/>
                <w:szCs w:val="28"/>
                <w:bdr w:val="none" w:color="auto" w:sz="0" w:space="0"/>
                <w:lang w:val="en-US" w:eastAsia="zh-CN" w:bidi="ar"/>
              </w:rPr>
              <w:br w:type="textWrapping"/>
            </w:r>
            <w:r>
              <w:rPr>
                <w:rFonts w:hint="eastAsia" w:ascii="仿宋_GB2312" w:hAnsi="Times New Roman" w:eastAsia="仿宋_GB2312" w:cs="仿宋_GB2312"/>
                <w:color w:val="000000"/>
                <w:kern w:val="0"/>
                <w:sz w:val="28"/>
                <w:szCs w:val="28"/>
                <w:bdr w:val="none" w:color="auto" w:sz="0" w:space="0"/>
                <w:lang w:val="en-US" w:eastAsia="zh-CN" w:bidi="ar"/>
              </w:rPr>
              <w:t>纠正</w:t>
            </w:r>
          </w:p>
        </w:tc>
        <w:tc>
          <w:tcPr>
            <w:tcW w:w="332" w:type="pct"/>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eastAsia" w:ascii="仿宋_GB2312" w:hAnsi="Times New Roman" w:eastAsia="仿宋_GB2312" w:cs="仿宋_GB2312"/>
                <w:color w:val="000000"/>
                <w:kern w:val="0"/>
                <w:sz w:val="28"/>
                <w:szCs w:val="28"/>
                <w:bdr w:val="none" w:color="auto" w:sz="0" w:space="0"/>
                <w:lang w:val="en-US" w:eastAsia="zh-CN" w:bidi="ar"/>
              </w:rPr>
              <w:t>其他</w:t>
            </w:r>
            <w:r>
              <w:rPr>
                <w:rFonts w:hint="default" w:ascii="Times New Roman" w:hAnsi="Times New Roman" w:eastAsia="仿宋_GB2312" w:cs="Times New Roman"/>
                <w:color w:val="000000"/>
                <w:kern w:val="0"/>
                <w:sz w:val="28"/>
                <w:szCs w:val="28"/>
                <w:bdr w:val="none" w:color="auto" w:sz="0" w:space="0"/>
                <w:lang w:val="en-US" w:eastAsia="zh-CN" w:bidi="ar"/>
              </w:rPr>
              <w:br w:type="textWrapping"/>
            </w:r>
            <w:r>
              <w:rPr>
                <w:rFonts w:hint="eastAsia" w:ascii="仿宋_GB2312" w:hAnsi="Times New Roman" w:eastAsia="仿宋_GB2312" w:cs="仿宋_GB2312"/>
                <w:color w:val="000000"/>
                <w:kern w:val="0"/>
                <w:sz w:val="28"/>
                <w:szCs w:val="28"/>
                <w:bdr w:val="none" w:color="auto" w:sz="0" w:space="0"/>
                <w:lang w:val="en-US" w:eastAsia="zh-CN" w:bidi="ar"/>
              </w:rPr>
              <w:t>结果</w:t>
            </w:r>
          </w:p>
        </w:tc>
        <w:tc>
          <w:tcPr>
            <w:tcW w:w="332" w:type="pct"/>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eastAsia" w:ascii="仿宋_GB2312" w:hAnsi="Times New Roman" w:eastAsia="仿宋_GB2312" w:cs="仿宋_GB2312"/>
                <w:color w:val="000000"/>
                <w:kern w:val="0"/>
                <w:sz w:val="28"/>
                <w:szCs w:val="28"/>
                <w:bdr w:val="none" w:color="auto" w:sz="0" w:space="0"/>
                <w:lang w:val="en-US" w:eastAsia="zh-CN" w:bidi="ar"/>
              </w:rPr>
              <w:t>尚未</w:t>
            </w:r>
            <w:r>
              <w:rPr>
                <w:rFonts w:hint="default" w:ascii="Times New Roman" w:hAnsi="Times New Roman" w:eastAsia="仿宋_GB2312" w:cs="Times New Roman"/>
                <w:color w:val="000000"/>
                <w:kern w:val="0"/>
                <w:sz w:val="28"/>
                <w:szCs w:val="28"/>
                <w:bdr w:val="none" w:color="auto" w:sz="0" w:space="0"/>
                <w:lang w:val="en-US" w:eastAsia="zh-CN" w:bidi="ar"/>
              </w:rPr>
              <w:br w:type="textWrapping"/>
            </w:r>
            <w:r>
              <w:rPr>
                <w:rFonts w:hint="eastAsia" w:ascii="仿宋_GB2312" w:hAnsi="Times New Roman" w:eastAsia="仿宋_GB2312" w:cs="仿宋_GB2312"/>
                <w:color w:val="000000"/>
                <w:kern w:val="0"/>
                <w:sz w:val="28"/>
                <w:szCs w:val="28"/>
                <w:bdr w:val="none" w:color="auto" w:sz="0" w:space="0"/>
                <w:lang w:val="en-US" w:eastAsia="zh-CN" w:bidi="ar"/>
              </w:rPr>
              <w:t>审结</w:t>
            </w:r>
          </w:p>
        </w:tc>
        <w:tc>
          <w:tcPr>
            <w:tcW w:w="332" w:type="pct"/>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eastAsia" w:ascii="仿宋_GB2312" w:hAnsi="Times New Roman" w:eastAsia="仿宋_GB2312" w:cs="仿宋_GB2312"/>
                <w:color w:val="000000"/>
                <w:kern w:val="0"/>
                <w:sz w:val="28"/>
                <w:szCs w:val="28"/>
                <w:bdr w:val="none" w:color="auto" w:sz="0" w:space="0"/>
                <w:lang w:val="en-US" w:eastAsia="zh-CN" w:bidi="ar"/>
              </w:rPr>
              <w:t>总计</w:t>
            </w:r>
          </w:p>
        </w:tc>
        <w:tc>
          <w:tcPr>
            <w:tcW w:w="1667" w:type="pct"/>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eastAsia" w:ascii="仿宋_GB2312" w:hAnsi="Times New Roman" w:eastAsia="仿宋_GB2312" w:cs="仿宋_GB2312"/>
                <w:color w:val="000000"/>
                <w:kern w:val="0"/>
                <w:sz w:val="28"/>
                <w:szCs w:val="28"/>
                <w:bdr w:val="none" w:color="auto" w:sz="0" w:space="0"/>
                <w:lang w:val="en-US" w:eastAsia="zh-CN" w:bidi="ar"/>
              </w:rPr>
              <w:t>未经复议直接起诉</w:t>
            </w:r>
          </w:p>
        </w:tc>
        <w:tc>
          <w:tcPr>
            <w:tcW w:w="1668" w:type="pct"/>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eastAsia" w:ascii="仿宋_GB2312" w:hAnsi="Times New Roman" w:eastAsia="仿宋_GB2312" w:cs="仿宋_GB2312"/>
                <w:color w:val="000000"/>
                <w:kern w:val="0"/>
                <w:sz w:val="28"/>
                <w:szCs w:val="28"/>
                <w:bdr w:val="none" w:color="auto" w:sz="0" w:space="0"/>
                <w:lang w:val="en-US" w:eastAsia="zh-CN" w:bidi="ar"/>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 w:hRule="atLeast"/>
          <w:jc w:val="center"/>
        </w:trPr>
        <w:tc>
          <w:tcPr>
            <w:tcW w:w="332"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32" w:type="pct"/>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32" w:type="pct"/>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32" w:type="pct"/>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32" w:type="pct"/>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32"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eastAsia" w:ascii="仿宋_GB2312" w:hAnsi="Times New Roman" w:eastAsia="仿宋_GB2312" w:cs="仿宋_GB2312"/>
                <w:color w:val="000000"/>
                <w:kern w:val="0"/>
                <w:sz w:val="28"/>
                <w:szCs w:val="28"/>
                <w:bdr w:val="none" w:color="auto" w:sz="0" w:space="0"/>
                <w:lang w:val="en-US" w:eastAsia="zh-CN" w:bidi="ar"/>
              </w:rPr>
              <w:t>结果</w:t>
            </w:r>
            <w:r>
              <w:rPr>
                <w:rFonts w:hint="default" w:ascii="Times New Roman" w:hAnsi="Times New Roman" w:eastAsia="仿宋_GB2312" w:cs="Times New Roman"/>
                <w:color w:val="000000"/>
                <w:kern w:val="0"/>
                <w:sz w:val="28"/>
                <w:szCs w:val="28"/>
                <w:bdr w:val="none" w:color="auto" w:sz="0" w:space="0"/>
                <w:lang w:val="en-US" w:eastAsia="zh-CN" w:bidi="ar"/>
              </w:rPr>
              <w:br w:type="textWrapping"/>
            </w:r>
            <w:r>
              <w:rPr>
                <w:rFonts w:hint="eastAsia" w:ascii="仿宋_GB2312" w:hAnsi="Times New Roman" w:eastAsia="仿宋_GB2312" w:cs="仿宋_GB2312"/>
                <w:color w:val="000000"/>
                <w:kern w:val="0"/>
                <w:sz w:val="28"/>
                <w:szCs w:val="28"/>
                <w:bdr w:val="none" w:color="auto" w:sz="0" w:space="0"/>
                <w:lang w:val="en-US" w:eastAsia="zh-CN" w:bidi="ar"/>
              </w:rPr>
              <w:t>维持</w:t>
            </w:r>
          </w:p>
        </w:tc>
        <w:tc>
          <w:tcPr>
            <w:tcW w:w="332"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eastAsia" w:ascii="仿宋_GB2312" w:hAnsi="Times New Roman" w:eastAsia="仿宋_GB2312" w:cs="仿宋_GB2312"/>
                <w:color w:val="000000"/>
                <w:kern w:val="0"/>
                <w:sz w:val="28"/>
                <w:szCs w:val="28"/>
                <w:bdr w:val="none" w:color="auto" w:sz="0" w:space="0"/>
                <w:lang w:val="en-US" w:eastAsia="zh-CN" w:bidi="ar"/>
              </w:rPr>
              <w:t>结果</w:t>
            </w:r>
            <w:r>
              <w:rPr>
                <w:rFonts w:hint="default" w:ascii="Times New Roman" w:hAnsi="Times New Roman" w:eastAsia="仿宋_GB2312" w:cs="Times New Roman"/>
                <w:color w:val="000000"/>
                <w:kern w:val="0"/>
                <w:sz w:val="28"/>
                <w:szCs w:val="28"/>
                <w:bdr w:val="none" w:color="auto" w:sz="0" w:space="0"/>
                <w:lang w:val="en-US" w:eastAsia="zh-CN" w:bidi="ar"/>
              </w:rPr>
              <w:br w:type="textWrapping"/>
            </w:r>
            <w:r>
              <w:rPr>
                <w:rFonts w:hint="eastAsia" w:ascii="仿宋_GB2312" w:hAnsi="Times New Roman" w:eastAsia="仿宋_GB2312" w:cs="仿宋_GB2312"/>
                <w:color w:val="000000"/>
                <w:kern w:val="0"/>
                <w:sz w:val="28"/>
                <w:szCs w:val="28"/>
                <w:bdr w:val="none" w:color="auto" w:sz="0" w:space="0"/>
                <w:lang w:val="en-US" w:eastAsia="zh-CN" w:bidi="ar"/>
              </w:rPr>
              <w:t>纠正</w:t>
            </w:r>
          </w:p>
        </w:tc>
        <w:tc>
          <w:tcPr>
            <w:tcW w:w="332" w:type="pc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eastAsia" w:ascii="仿宋_GB2312" w:hAnsi="Times New Roman" w:eastAsia="仿宋_GB2312" w:cs="仿宋_GB2312"/>
                <w:color w:val="000000"/>
                <w:kern w:val="0"/>
                <w:sz w:val="28"/>
                <w:szCs w:val="28"/>
                <w:bdr w:val="none" w:color="auto" w:sz="0" w:space="0"/>
                <w:lang w:val="en-US" w:eastAsia="zh-CN" w:bidi="ar"/>
              </w:rPr>
              <w:t>其他</w:t>
            </w:r>
            <w:r>
              <w:rPr>
                <w:rFonts w:hint="default" w:ascii="Times New Roman" w:hAnsi="Times New Roman" w:eastAsia="仿宋_GB2312" w:cs="Times New Roman"/>
                <w:color w:val="000000"/>
                <w:kern w:val="0"/>
                <w:sz w:val="28"/>
                <w:szCs w:val="28"/>
                <w:bdr w:val="none" w:color="auto" w:sz="0" w:space="0"/>
                <w:lang w:val="en-US" w:eastAsia="zh-CN" w:bidi="ar"/>
              </w:rPr>
              <w:br w:type="textWrapping"/>
            </w:r>
            <w:r>
              <w:rPr>
                <w:rFonts w:hint="eastAsia" w:ascii="仿宋_GB2312" w:hAnsi="Times New Roman" w:eastAsia="仿宋_GB2312" w:cs="仿宋_GB2312"/>
                <w:color w:val="000000"/>
                <w:kern w:val="0"/>
                <w:sz w:val="28"/>
                <w:szCs w:val="28"/>
                <w:bdr w:val="none" w:color="auto" w:sz="0" w:space="0"/>
                <w:lang w:val="en-US" w:eastAsia="zh-CN" w:bidi="ar"/>
              </w:rPr>
              <w:t>结果</w:t>
            </w:r>
          </w:p>
        </w:tc>
        <w:tc>
          <w:tcPr>
            <w:tcW w:w="332" w:type="pc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eastAsia" w:ascii="仿宋_GB2312" w:hAnsi="Times New Roman" w:eastAsia="仿宋_GB2312" w:cs="仿宋_GB2312"/>
                <w:color w:val="000000"/>
                <w:kern w:val="0"/>
                <w:sz w:val="28"/>
                <w:szCs w:val="28"/>
                <w:bdr w:val="none" w:color="auto" w:sz="0" w:space="0"/>
                <w:lang w:val="en-US" w:eastAsia="zh-CN" w:bidi="ar"/>
              </w:rPr>
              <w:t>尚未</w:t>
            </w:r>
            <w:r>
              <w:rPr>
                <w:rFonts w:hint="default" w:ascii="Times New Roman" w:hAnsi="Times New Roman" w:eastAsia="仿宋_GB2312" w:cs="Times New Roman"/>
                <w:color w:val="000000"/>
                <w:kern w:val="0"/>
                <w:sz w:val="28"/>
                <w:szCs w:val="28"/>
                <w:bdr w:val="none" w:color="auto" w:sz="0" w:space="0"/>
                <w:lang w:val="en-US" w:eastAsia="zh-CN" w:bidi="ar"/>
              </w:rPr>
              <w:br w:type="textWrapping"/>
            </w:r>
            <w:r>
              <w:rPr>
                <w:rFonts w:hint="eastAsia" w:ascii="仿宋_GB2312" w:hAnsi="Times New Roman" w:eastAsia="仿宋_GB2312" w:cs="仿宋_GB2312"/>
                <w:color w:val="000000"/>
                <w:kern w:val="0"/>
                <w:sz w:val="28"/>
                <w:szCs w:val="28"/>
                <w:bdr w:val="none" w:color="auto" w:sz="0" w:space="0"/>
                <w:lang w:val="en-US" w:eastAsia="zh-CN" w:bidi="ar"/>
              </w:rPr>
              <w:t>审结</w:t>
            </w:r>
          </w:p>
        </w:tc>
        <w:tc>
          <w:tcPr>
            <w:tcW w:w="335" w:type="pc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eastAsia" w:ascii="仿宋_GB2312" w:hAnsi="Times New Roman" w:eastAsia="仿宋_GB2312" w:cs="仿宋_GB2312"/>
                <w:color w:val="000000"/>
                <w:kern w:val="0"/>
                <w:sz w:val="28"/>
                <w:szCs w:val="28"/>
                <w:bdr w:val="none" w:color="auto" w:sz="0" w:space="0"/>
                <w:lang w:val="en-US" w:eastAsia="zh-CN" w:bidi="ar"/>
              </w:rPr>
              <w:t>总计</w:t>
            </w:r>
          </w:p>
        </w:tc>
        <w:tc>
          <w:tcPr>
            <w:tcW w:w="332" w:type="pc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eastAsia" w:ascii="仿宋_GB2312" w:hAnsi="Times New Roman" w:eastAsia="仿宋_GB2312" w:cs="仿宋_GB2312"/>
                <w:color w:val="000000"/>
                <w:kern w:val="0"/>
                <w:sz w:val="28"/>
                <w:szCs w:val="28"/>
                <w:bdr w:val="none" w:color="auto" w:sz="0" w:space="0"/>
                <w:lang w:val="en-US" w:eastAsia="zh-CN" w:bidi="ar"/>
              </w:rPr>
              <w:t>结果</w:t>
            </w:r>
            <w:r>
              <w:rPr>
                <w:rFonts w:hint="default" w:ascii="Times New Roman" w:hAnsi="Times New Roman" w:eastAsia="仿宋_GB2312" w:cs="Times New Roman"/>
                <w:color w:val="000000"/>
                <w:kern w:val="0"/>
                <w:sz w:val="28"/>
                <w:szCs w:val="28"/>
                <w:bdr w:val="none" w:color="auto" w:sz="0" w:space="0"/>
                <w:lang w:val="en-US" w:eastAsia="zh-CN" w:bidi="ar"/>
              </w:rPr>
              <w:br w:type="textWrapping"/>
            </w:r>
            <w:r>
              <w:rPr>
                <w:rFonts w:hint="eastAsia" w:ascii="仿宋_GB2312" w:hAnsi="Times New Roman" w:eastAsia="仿宋_GB2312" w:cs="仿宋_GB2312"/>
                <w:color w:val="000000"/>
                <w:kern w:val="0"/>
                <w:sz w:val="28"/>
                <w:szCs w:val="28"/>
                <w:bdr w:val="none" w:color="auto" w:sz="0" w:space="0"/>
                <w:lang w:val="en-US" w:eastAsia="zh-CN" w:bidi="ar"/>
              </w:rPr>
              <w:t>维持</w:t>
            </w:r>
          </w:p>
        </w:tc>
        <w:tc>
          <w:tcPr>
            <w:tcW w:w="332" w:type="pc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eastAsia" w:ascii="仿宋_GB2312" w:hAnsi="Times New Roman" w:eastAsia="仿宋_GB2312" w:cs="仿宋_GB2312"/>
                <w:color w:val="000000"/>
                <w:kern w:val="0"/>
                <w:sz w:val="28"/>
                <w:szCs w:val="28"/>
                <w:bdr w:val="none" w:color="auto" w:sz="0" w:space="0"/>
                <w:lang w:val="en-US" w:eastAsia="zh-CN" w:bidi="ar"/>
              </w:rPr>
              <w:t>结果</w:t>
            </w:r>
            <w:r>
              <w:rPr>
                <w:rFonts w:hint="default" w:ascii="Times New Roman" w:hAnsi="Times New Roman" w:eastAsia="仿宋_GB2312" w:cs="Times New Roman"/>
                <w:color w:val="000000"/>
                <w:kern w:val="0"/>
                <w:sz w:val="28"/>
                <w:szCs w:val="28"/>
                <w:bdr w:val="none" w:color="auto" w:sz="0" w:space="0"/>
                <w:lang w:val="en-US" w:eastAsia="zh-CN" w:bidi="ar"/>
              </w:rPr>
              <w:br w:type="textWrapping"/>
            </w:r>
            <w:r>
              <w:rPr>
                <w:rFonts w:hint="eastAsia" w:ascii="仿宋_GB2312" w:hAnsi="Times New Roman" w:eastAsia="仿宋_GB2312" w:cs="仿宋_GB2312"/>
                <w:color w:val="000000"/>
                <w:kern w:val="0"/>
                <w:sz w:val="28"/>
                <w:szCs w:val="28"/>
                <w:bdr w:val="none" w:color="auto" w:sz="0" w:space="0"/>
                <w:lang w:val="en-US" w:eastAsia="zh-CN" w:bidi="ar"/>
              </w:rPr>
              <w:t>纠正</w:t>
            </w:r>
          </w:p>
        </w:tc>
        <w:tc>
          <w:tcPr>
            <w:tcW w:w="332" w:type="pc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eastAsia" w:ascii="仿宋_GB2312" w:hAnsi="Times New Roman" w:eastAsia="仿宋_GB2312" w:cs="仿宋_GB2312"/>
                <w:color w:val="000000"/>
                <w:kern w:val="0"/>
                <w:sz w:val="28"/>
                <w:szCs w:val="28"/>
                <w:bdr w:val="none" w:color="auto" w:sz="0" w:space="0"/>
                <w:lang w:val="en-US" w:eastAsia="zh-CN" w:bidi="ar"/>
              </w:rPr>
              <w:t>其他</w:t>
            </w:r>
            <w:r>
              <w:rPr>
                <w:rFonts w:hint="default" w:ascii="Times New Roman" w:hAnsi="Times New Roman" w:eastAsia="仿宋_GB2312" w:cs="Times New Roman"/>
                <w:color w:val="000000"/>
                <w:kern w:val="0"/>
                <w:sz w:val="28"/>
                <w:szCs w:val="28"/>
                <w:bdr w:val="none" w:color="auto" w:sz="0" w:space="0"/>
                <w:lang w:val="en-US" w:eastAsia="zh-CN" w:bidi="ar"/>
              </w:rPr>
              <w:br w:type="textWrapping"/>
            </w:r>
            <w:r>
              <w:rPr>
                <w:rFonts w:hint="eastAsia" w:ascii="仿宋_GB2312" w:hAnsi="Times New Roman" w:eastAsia="仿宋_GB2312" w:cs="仿宋_GB2312"/>
                <w:color w:val="000000"/>
                <w:kern w:val="0"/>
                <w:sz w:val="28"/>
                <w:szCs w:val="28"/>
                <w:bdr w:val="none" w:color="auto" w:sz="0" w:space="0"/>
                <w:lang w:val="en-US" w:eastAsia="zh-CN" w:bidi="ar"/>
              </w:rPr>
              <w:t>结果</w:t>
            </w:r>
          </w:p>
        </w:tc>
        <w:tc>
          <w:tcPr>
            <w:tcW w:w="333" w:type="pc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eastAsia" w:ascii="仿宋_GB2312" w:hAnsi="Times New Roman" w:eastAsia="仿宋_GB2312" w:cs="仿宋_GB2312"/>
                <w:color w:val="000000"/>
                <w:kern w:val="0"/>
                <w:sz w:val="28"/>
                <w:szCs w:val="28"/>
                <w:bdr w:val="none" w:color="auto" w:sz="0" w:space="0"/>
                <w:lang w:val="en-US" w:eastAsia="zh-CN" w:bidi="ar"/>
              </w:rPr>
              <w:t>尚未</w:t>
            </w:r>
            <w:r>
              <w:rPr>
                <w:rFonts w:hint="default" w:ascii="Times New Roman" w:hAnsi="Times New Roman" w:eastAsia="仿宋_GB2312" w:cs="Times New Roman"/>
                <w:color w:val="000000"/>
                <w:kern w:val="0"/>
                <w:sz w:val="28"/>
                <w:szCs w:val="28"/>
                <w:bdr w:val="none" w:color="auto" w:sz="0" w:space="0"/>
                <w:lang w:val="en-US" w:eastAsia="zh-CN" w:bidi="ar"/>
              </w:rPr>
              <w:br w:type="textWrapping"/>
            </w:r>
            <w:r>
              <w:rPr>
                <w:rFonts w:hint="eastAsia" w:ascii="仿宋_GB2312" w:hAnsi="Times New Roman" w:eastAsia="仿宋_GB2312" w:cs="仿宋_GB2312"/>
                <w:color w:val="000000"/>
                <w:kern w:val="0"/>
                <w:sz w:val="28"/>
                <w:szCs w:val="28"/>
                <w:bdr w:val="none" w:color="auto" w:sz="0" w:space="0"/>
                <w:lang w:val="en-US" w:eastAsia="zh-CN" w:bidi="ar"/>
              </w:rPr>
              <w:t>审结</w:t>
            </w:r>
          </w:p>
        </w:tc>
        <w:tc>
          <w:tcPr>
            <w:tcW w:w="335" w:type="pc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eastAsia" w:ascii="仿宋_GB2312" w:hAnsi="Times New Roman" w:eastAsia="仿宋_GB2312" w:cs="仿宋_GB2312"/>
                <w:color w:val="000000"/>
                <w:kern w:val="0"/>
                <w:sz w:val="28"/>
                <w:szCs w:val="28"/>
                <w:bdr w:val="none" w:color="auto" w:sz="0" w:space="0"/>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6" w:hRule="atLeast"/>
          <w:jc w:val="center"/>
        </w:trPr>
        <w:tc>
          <w:tcPr>
            <w:tcW w:w="332" w:type="pc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Times New Roman" w:hAnsi="Times New Roman" w:eastAsia="仿宋_GB2312" w:cs="Times New Roman"/>
                <w:color w:val="000000"/>
                <w:kern w:val="0"/>
                <w:sz w:val="28"/>
                <w:szCs w:val="28"/>
                <w:bdr w:val="none" w:color="auto" w:sz="0" w:space="0"/>
                <w:lang w:val="en-US" w:eastAsia="zh-CN" w:bidi="ar"/>
              </w:rPr>
              <w:t>0</w:t>
            </w:r>
          </w:p>
        </w:tc>
        <w:tc>
          <w:tcPr>
            <w:tcW w:w="332"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Times New Roman" w:hAnsi="Times New Roman" w:eastAsia="仿宋_GB2312" w:cs="Times New Roman"/>
                <w:color w:val="000000"/>
                <w:kern w:val="0"/>
                <w:sz w:val="28"/>
                <w:szCs w:val="28"/>
                <w:bdr w:val="none" w:color="auto" w:sz="0" w:space="0"/>
                <w:lang w:val="en-US" w:eastAsia="zh-CN" w:bidi="ar"/>
              </w:rPr>
              <w:t>0</w:t>
            </w:r>
          </w:p>
        </w:tc>
        <w:tc>
          <w:tcPr>
            <w:tcW w:w="332"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Times New Roman" w:hAnsi="Times New Roman" w:eastAsia="仿宋_GB2312" w:cs="Times New Roman"/>
                <w:color w:val="000000"/>
                <w:kern w:val="0"/>
                <w:sz w:val="28"/>
                <w:szCs w:val="28"/>
                <w:bdr w:val="none" w:color="auto" w:sz="0" w:space="0"/>
                <w:lang w:val="en-US" w:eastAsia="zh-CN" w:bidi="ar"/>
              </w:rPr>
              <w:t>0</w:t>
            </w:r>
          </w:p>
        </w:tc>
        <w:tc>
          <w:tcPr>
            <w:tcW w:w="332"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Times New Roman" w:hAnsi="Times New Roman" w:eastAsia="仿宋_GB2312" w:cs="Times New Roman"/>
                <w:color w:val="000000"/>
                <w:kern w:val="0"/>
                <w:sz w:val="28"/>
                <w:szCs w:val="28"/>
                <w:bdr w:val="none" w:color="auto" w:sz="0" w:space="0"/>
                <w:lang w:val="en-US" w:eastAsia="zh-CN" w:bidi="ar"/>
              </w:rPr>
              <w:t>0</w:t>
            </w:r>
          </w:p>
        </w:tc>
        <w:tc>
          <w:tcPr>
            <w:tcW w:w="332"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Times New Roman" w:hAnsi="Times New Roman" w:eastAsia="仿宋_GB2312" w:cs="Times New Roman"/>
                <w:color w:val="000000"/>
                <w:kern w:val="0"/>
                <w:sz w:val="28"/>
                <w:szCs w:val="28"/>
                <w:bdr w:val="none" w:color="auto" w:sz="0" w:space="0"/>
                <w:lang w:val="en-US" w:eastAsia="zh-CN" w:bidi="ar"/>
              </w:rPr>
              <w:t>0</w:t>
            </w:r>
          </w:p>
        </w:tc>
        <w:tc>
          <w:tcPr>
            <w:tcW w:w="332"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Times New Roman" w:hAnsi="Times New Roman" w:eastAsia="仿宋_GB2312" w:cs="Times New Roman"/>
                <w:color w:val="000000"/>
                <w:kern w:val="0"/>
                <w:sz w:val="28"/>
                <w:szCs w:val="28"/>
                <w:bdr w:val="none" w:color="auto" w:sz="0" w:space="0"/>
                <w:lang w:val="en-US" w:eastAsia="zh-CN" w:bidi="ar"/>
              </w:rPr>
              <w:t>0</w:t>
            </w:r>
          </w:p>
        </w:tc>
        <w:tc>
          <w:tcPr>
            <w:tcW w:w="332"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Times New Roman" w:hAnsi="Times New Roman" w:eastAsia="仿宋_GB2312" w:cs="Times New Roman"/>
                <w:color w:val="000000"/>
                <w:kern w:val="0"/>
                <w:sz w:val="28"/>
                <w:szCs w:val="28"/>
                <w:bdr w:val="none" w:color="auto" w:sz="0" w:space="0"/>
                <w:lang w:val="en-US" w:eastAsia="zh-CN" w:bidi="ar"/>
              </w:rPr>
              <w:t>0</w:t>
            </w:r>
          </w:p>
        </w:tc>
        <w:tc>
          <w:tcPr>
            <w:tcW w:w="332"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Times New Roman" w:hAnsi="Times New Roman" w:eastAsia="仿宋_GB2312" w:cs="Times New Roman"/>
                <w:color w:val="000000"/>
                <w:kern w:val="0"/>
                <w:sz w:val="28"/>
                <w:szCs w:val="28"/>
                <w:bdr w:val="none" w:color="auto" w:sz="0" w:space="0"/>
                <w:lang w:val="en-US" w:eastAsia="zh-CN" w:bidi="ar"/>
              </w:rPr>
              <w:t>0</w:t>
            </w:r>
          </w:p>
        </w:tc>
        <w:tc>
          <w:tcPr>
            <w:tcW w:w="332"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Times New Roman" w:hAnsi="Times New Roman" w:eastAsia="仿宋_GB2312" w:cs="Times New Roman"/>
                <w:color w:val="000000"/>
                <w:kern w:val="0"/>
                <w:sz w:val="28"/>
                <w:szCs w:val="28"/>
                <w:bdr w:val="none" w:color="auto" w:sz="0" w:space="0"/>
                <w:lang w:val="en-US" w:eastAsia="zh-CN" w:bidi="ar"/>
              </w:rPr>
              <w:t>0</w:t>
            </w:r>
          </w:p>
        </w:tc>
        <w:tc>
          <w:tcPr>
            <w:tcW w:w="335"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Times New Roman" w:hAnsi="Times New Roman" w:eastAsia="仿宋_GB2312" w:cs="Times New Roman"/>
                <w:color w:val="000000"/>
                <w:kern w:val="0"/>
                <w:sz w:val="28"/>
                <w:szCs w:val="28"/>
                <w:bdr w:val="none" w:color="auto" w:sz="0" w:space="0"/>
                <w:lang w:val="en-US" w:eastAsia="zh-CN" w:bidi="ar"/>
              </w:rPr>
              <w:t>0</w:t>
            </w:r>
          </w:p>
        </w:tc>
        <w:tc>
          <w:tcPr>
            <w:tcW w:w="332"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Times New Roman" w:hAnsi="Times New Roman" w:eastAsia="仿宋_GB2312" w:cs="Times New Roman"/>
                <w:color w:val="000000"/>
                <w:kern w:val="0"/>
                <w:sz w:val="28"/>
                <w:szCs w:val="28"/>
                <w:bdr w:val="none" w:color="auto" w:sz="0" w:space="0"/>
                <w:lang w:val="en-US" w:eastAsia="zh-CN" w:bidi="ar"/>
              </w:rPr>
              <w:t>0</w:t>
            </w:r>
          </w:p>
        </w:tc>
        <w:tc>
          <w:tcPr>
            <w:tcW w:w="332"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Times New Roman" w:hAnsi="Times New Roman" w:eastAsia="仿宋_GB2312" w:cs="Times New Roman"/>
                <w:color w:val="000000"/>
                <w:kern w:val="0"/>
                <w:sz w:val="28"/>
                <w:szCs w:val="28"/>
                <w:bdr w:val="none" w:color="auto" w:sz="0" w:space="0"/>
                <w:lang w:val="en-US" w:eastAsia="zh-CN" w:bidi="ar"/>
              </w:rPr>
              <w:t>0</w:t>
            </w:r>
          </w:p>
        </w:tc>
        <w:tc>
          <w:tcPr>
            <w:tcW w:w="332"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Times New Roman" w:hAnsi="Times New Roman" w:eastAsia="仿宋_GB2312" w:cs="Times New Roman"/>
                <w:color w:val="000000"/>
                <w:kern w:val="0"/>
                <w:sz w:val="28"/>
                <w:szCs w:val="28"/>
                <w:bdr w:val="none" w:color="auto" w:sz="0" w:space="0"/>
                <w:lang w:val="en-US" w:eastAsia="zh-CN" w:bidi="ar"/>
              </w:rPr>
              <w:t>0</w:t>
            </w:r>
          </w:p>
        </w:tc>
        <w:tc>
          <w:tcPr>
            <w:tcW w:w="333"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Times New Roman" w:hAnsi="Times New Roman" w:eastAsia="仿宋_GB2312" w:cs="Times New Roman"/>
                <w:color w:val="000000"/>
                <w:kern w:val="0"/>
                <w:sz w:val="28"/>
                <w:szCs w:val="28"/>
                <w:bdr w:val="none" w:color="auto" w:sz="0" w:space="0"/>
                <w:lang w:val="en-US" w:eastAsia="zh-CN" w:bidi="ar"/>
              </w:rPr>
              <w:t>0</w:t>
            </w:r>
          </w:p>
        </w:tc>
        <w:tc>
          <w:tcPr>
            <w:tcW w:w="335"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Times New Roman" w:hAnsi="Times New Roman" w:eastAsia="仿宋_GB2312" w:cs="Times New Roman"/>
                <w:color w:val="000000"/>
                <w:kern w:val="0"/>
                <w:sz w:val="28"/>
                <w:szCs w:val="28"/>
                <w:bdr w:val="none" w:color="auto" w:sz="0" w:space="0"/>
                <w:lang w:val="en-US" w:eastAsia="zh-CN" w:bidi="ar"/>
              </w:rPr>
              <w:t>0</w:t>
            </w:r>
          </w:p>
        </w:tc>
      </w:tr>
    </w:tbl>
    <w:p>
      <w:pPr>
        <w:pStyle w:val="5"/>
        <w:keepNext w:val="0"/>
        <w:keepLines w:val="0"/>
        <w:widowControl/>
        <w:suppressLineNumbers w:val="0"/>
        <w:shd w:val="clear" w:fill="FFFFFF"/>
        <w:spacing w:before="0" w:beforeAutospacing="1" w:after="0" w:afterAutospacing="1" w:line="560" w:lineRule="exact"/>
        <w:ind w:left="0" w:right="0" w:firstLine="640" w:firstLineChars="200"/>
        <w:jc w:val="both"/>
      </w:pPr>
      <w:r>
        <w:rPr>
          <w:rFonts w:hint="eastAsia" w:ascii="黑体" w:hAnsi="宋体" w:eastAsia="黑体" w:cs="黑体"/>
          <w:bCs/>
          <w:color w:val="000000"/>
          <w:kern w:val="32"/>
          <w:sz w:val="32"/>
          <w:szCs w:val="32"/>
          <w:shd w:val="clear" w:fill="FFFFFF"/>
          <w:lang w:val="en-US" w:eastAsia="zh-CN" w:bidi="ar"/>
        </w:rPr>
        <w:t>五、存在的主要问题及改进情况</w:t>
      </w:r>
    </w:p>
    <w:p>
      <w:pPr>
        <w:keepNext w:val="0"/>
        <w:keepLines w:val="0"/>
        <w:widowControl/>
        <w:suppressLineNumbers w:val="0"/>
        <w:overflowPunct w:val="0"/>
        <w:adjustRightInd w:val="0"/>
        <w:spacing w:before="0" w:beforeAutospacing="1" w:after="0" w:afterAutospacing="1" w:line="500" w:lineRule="exact"/>
        <w:ind w:left="0" w:right="0" w:firstLine="643" w:firstLineChars="200"/>
        <w:jc w:val="left"/>
      </w:pPr>
      <w:r>
        <w:rPr>
          <w:rFonts w:hint="eastAsia" w:ascii="楷体_GB2312" w:hAnsi="Times New Roman" w:eastAsia="楷体_GB2312" w:cs="楷体_GB2312"/>
          <w:b/>
          <w:bCs w:val="0"/>
          <w:color w:val="000000"/>
          <w:kern w:val="2"/>
          <w:sz w:val="32"/>
          <w:szCs w:val="32"/>
          <w:lang w:val="en-US" w:eastAsia="zh-CN" w:bidi="ar"/>
        </w:rPr>
        <w:t>（一）存在的问题</w:t>
      </w:r>
    </w:p>
    <w:p>
      <w:pPr>
        <w:keepNext w:val="0"/>
        <w:keepLines w:val="0"/>
        <w:widowControl/>
        <w:suppressLineNumbers w:val="0"/>
        <w:spacing w:before="0" w:beforeAutospacing="1" w:after="0" w:afterAutospacing="1" w:line="480" w:lineRule="exact"/>
        <w:ind w:left="0" w:right="0" w:firstLine="640" w:firstLineChars="200"/>
        <w:jc w:val="left"/>
      </w:pPr>
      <w:r>
        <w:rPr>
          <w:rFonts w:hint="eastAsia" w:ascii="仿宋_GB2312" w:hAnsi="SourceHanSansCN-Regular" w:eastAsia="仿宋_GB2312" w:cs="仿宋_GB2312"/>
          <w:i w:val="0"/>
          <w:iCs w:val="0"/>
          <w:caps w:val="0"/>
          <w:color w:val="333333"/>
          <w:spacing w:val="0"/>
          <w:kern w:val="0"/>
          <w:sz w:val="32"/>
          <w:szCs w:val="32"/>
          <w:shd w:val="clear" w:fill="FFFFFF"/>
          <w:lang w:val="en-US" w:eastAsia="zh-CN" w:bidi="ar"/>
        </w:rPr>
        <w:t>在充分肯定成绩的同时，我们也要看到自己的不足。目前关于我乡政务公开工作与上级要求还存在一定的差距，主要是有些信息没能做到及时公开，信息公开形式较单调。</w:t>
      </w:r>
    </w:p>
    <w:p>
      <w:pPr>
        <w:keepNext w:val="0"/>
        <w:keepLines w:val="0"/>
        <w:widowControl/>
        <w:numPr>
          <w:numId w:val="0"/>
        </w:numPr>
        <w:suppressLineNumbers w:val="0"/>
        <w:overflowPunct w:val="0"/>
        <w:adjustRightInd w:val="0"/>
        <w:spacing w:before="0" w:beforeAutospacing="1" w:after="0" w:afterAutospacing="1" w:line="500" w:lineRule="exact"/>
        <w:ind w:left="0" w:right="0" w:firstLine="643" w:firstLineChars="200"/>
        <w:jc w:val="left"/>
      </w:pPr>
      <w:r>
        <w:rPr>
          <w:rFonts w:hint="eastAsia" w:ascii="Times New Roman" w:hAnsi="Times New Roman" w:eastAsia="楷体_GB2312" w:cs="Times New Roman"/>
          <w:b/>
          <w:color w:val="000000"/>
          <w:kern w:val="2"/>
          <w:sz w:val="32"/>
          <w:szCs w:val="32"/>
          <w:lang w:val="en-US" w:eastAsia="zh-CN" w:bidi="ar"/>
        </w:rPr>
        <w:t>（二）</w:t>
      </w:r>
      <w:r>
        <w:rPr>
          <w:rFonts w:hint="eastAsia" w:ascii="楷体_GB2312" w:hAnsi="Times New Roman" w:eastAsia="楷体_GB2312" w:cs="楷体_GB2312"/>
          <w:b/>
          <w:bCs w:val="0"/>
          <w:color w:val="000000"/>
          <w:kern w:val="2"/>
          <w:sz w:val="32"/>
          <w:szCs w:val="32"/>
          <w:lang w:val="en-US" w:eastAsia="zh-CN" w:bidi="ar"/>
        </w:rPr>
        <w:t>下一步打算</w:t>
      </w:r>
    </w:p>
    <w:p>
      <w:pPr>
        <w:keepNext w:val="0"/>
        <w:keepLines w:val="0"/>
        <w:widowControl/>
        <w:suppressLineNumbers w:val="0"/>
        <w:overflowPunct w:val="0"/>
        <w:adjustRightInd w:val="0"/>
        <w:spacing w:before="0" w:beforeAutospacing="1" w:after="0" w:afterAutospacing="1" w:line="500" w:lineRule="exact"/>
        <w:ind w:left="0" w:right="0"/>
        <w:jc w:val="left"/>
      </w:pPr>
      <w:r>
        <w:rPr>
          <w:rFonts w:hint="eastAsia" w:ascii="Times New Roman" w:hAnsi="Times New Roman" w:eastAsia="楷体_GB2312" w:cs="Times New Roman"/>
          <w:b/>
          <w:bCs w:val="0"/>
          <w:color w:val="000000"/>
          <w:kern w:val="2"/>
          <w:sz w:val="32"/>
          <w:szCs w:val="32"/>
          <w:lang w:val="en-US" w:eastAsia="zh-CN" w:bidi="ar"/>
        </w:rPr>
        <w:t>     </w:t>
      </w:r>
      <w:r>
        <w:rPr>
          <w:rFonts w:hint="eastAsia" w:ascii="仿宋_GB2312" w:hAnsi="Times New Roman" w:eastAsia="仿宋_GB2312" w:cs="仿宋_GB2312"/>
          <w:color w:val="000000"/>
          <w:kern w:val="32"/>
          <w:sz w:val="32"/>
          <w:szCs w:val="32"/>
          <w:lang w:val="en-US" w:eastAsia="zh-CN" w:bidi="ar"/>
        </w:rPr>
        <w:t>一是不断提高政策解读发布的质量，丰富解读的形式，发挥“两微一端”的信息推送支持，扩宽政务公开的展现形式，进一步提高政务公开工作水平，助力政务公开工作提质增效。</w:t>
      </w:r>
    </w:p>
    <w:p>
      <w:pPr>
        <w:keepNext w:val="0"/>
        <w:keepLines w:val="0"/>
        <w:widowControl/>
        <w:suppressLineNumbers w:val="0"/>
        <w:overflowPunct w:val="0"/>
        <w:adjustRightInd w:val="0"/>
        <w:spacing w:before="0" w:beforeAutospacing="1" w:after="0" w:afterAutospacing="1" w:line="500" w:lineRule="exact"/>
        <w:ind w:left="0" w:right="0" w:firstLine="640" w:firstLineChars="200"/>
        <w:jc w:val="left"/>
      </w:pPr>
      <w:r>
        <w:rPr>
          <w:rFonts w:hint="eastAsia" w:ascii="仿宋_GB2312" w:hAnsi="Times New Roman" w:eastAsia="仿宋_GB2312" w:cs="仿宋_GB2312"/>
          <w:color w:val="000000"/>
          <w:kern w:val="32"/>
          <w:sz w:val="32"/>
          <w:szCs w:val="32"/>
          <w:lang w:val="en-US" w:eastAsia="zh-CN" w:bidi="ar"/>
        </w:rPr>
        <w:t>二是进一步丰富信息公开渠道，通过召开新闻发布会、转载新闻媒体报道等多种形式围绕人民群众关注的重点进行主动回应，努力实现信息的及时性、有效性。</w:t>
      </w:r>
    </w:p>
    <w:p>
      <w:pPr>
        <w:keepNext w:val="0"/>
        <w:keepLines w:val="0"/>
        <w:widowControl/>
        <w:suppressLineNumbers w:val="0"/>
        <w:overflowPunct w:val="0"/>
        <w:adjustRightInd w:val="0"/>
        <w:spacing w:before="0" w:beforeAutospacing="1" w:after="0" w:afterAutospacing="1" w:line="500" w:lineRule="exact"/>
        <w:ind w:left="0" w:right="0" w:firstLine="640" w:firstLineChars="200"/>
        <w:jc w:val="left"/>
      </w:pPr>
      <w:r>
        <w:rPr>
          <w:rFonts w:hint="eastAsia" w:ascii="仿宋_GB2312" w:hAnsi="Times New Roman" w:eastAsia="仿宋_GB2312" w:cs="仿宋_GB2312"/>
          <w:color w:val="000000"/>
          <w:kern w:val="32"/>
          <w:sz w:val="32"/>
          <w:szCs w:val="32"/>
          <w:lang w:val="en-US" w:eastAsia="zh-CN" w:bidi="ar"/>
        </w:rPr>
        <w:t>三是加强业务学习和培训，进一步提高对办事公开工作重要性的认识，加强对政府信息公开和办事公开业务的熟练度。</w:t>
      </w:r>
    </w:p>
    <w:p>
      <w:pPr>
        <w:keepNext w:val="0"/>
        <w:keepLines w:val="0"/>
        <w:widowControl/>
        <w:suppressLineNumbers w:val="0"/>
        <w:overflowPunct w:val="0"/>
        <w:adjustRightInd w:val="0"/>
        <w:spacing w:before="0" w:beforeAutospacing="1" w:after="0" w:afterAutospacing="1" w:line="500" w:lineRule="exact"/>
        <w:ind w:left="0" w:right="0" w:firstLine="640" w:firstLineChars="200"/>
        <w:jc w:val="left"/>
      </w:pPr>
      <w:r>
        <w:rPr>
          <w:rFonts w:hint="eastAsia" w:ascii="仿宋_GB2312" w:hAnsi="Times New Roman" w:eastAsia="仿宋_GB2312" w:cs="仿宋_GB2312"/>
          <w:color w:val="000000"/>
          <w:kern w:val="32"/>
          <w:sz w:val="32"/>
          <w:szCs w:val="32"/>
          <w:lang w:val="en-US" w:eastAsia="zh-CN" w:bidi="ar"/>
        </w:rPr>
        <w:t>四是进一步规范政府信息公开工作流程，确保政府信息公开工作能按照既定的工作流程有效运作，使信息公开工作更具有操作性。同时加强对公开信息的保密审查工作，确保公开信息不涉及国家秘密、商业秘密和个人隐私。</w:t>
      </w:r>
    </w:p>
    <w:p>
      <w:pPr>
        <w:pStyle w:val="5"/>
        <w:keepNext w:val="0"/>
        <w:keepLines w:val="0"/>
        <w:widowControl/>
        <w:suppressLineNumbers w:val="0"/>
        <w:shd w:val="clear" w:fill="FFFFFF"/>
        <w:spacing w:before="0" w:beforeAutospacing="1" w:after="0" w:afterAutospacing="1" w:line="560" w:lineRule="exact"/>
        <w:ind w:left="0" w:right="0" w:firstLine="640" w:firstLineChars="200"/>
        <w:jc w:val="both"/>
      </w:pPr>
      <w:r>
        <w:rPr>
          <w:rFonts w:hint="eastAsia" w:ascii="黑体" w:hAnsi="宋体" w:eastAsia="黑体" w:cs="黑体"/>
          <w:bCs/>
          <w:color w:val="000000"/>
          <w:kern w:val="32"/>
          <w:sz w:val="32"/>
          <w:szCs w:val="32"/>
          <w:shd w:val="clear" w:fill="FFFFFF"/>
          <w:lang w:val="en-US" w:eastAsia="zh-CN" w:bidi="ar"/>
        </w:rPr>
        <w:t>六、其他需要报告的事项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0" w:firstLineChars="200"/>
        <w:jc w:val="left"/>
      </w:pPr>
      <w:r>
        <w:rPr>
          <w:rFonts w:hint="eastAsia" w:ascii="仿宋_GB2312" w:hAnsi="Times New Roman" w:eastAsia="仿宋_GB2312" w:cs="仿宋_GB2312"/>
          <w:color w:val="000000"/>
          <w:kern w:val="32"/>
          <w:sz w:val="32"/>
          <w:szCs w:val="32"/>
          <w:bdr w:val="none" w:color="auto" w:sz="0" w:space="0"/>
          <w:shd w:val="clear" w:fill="FFFFFF"/>
          <w:lang w:val="en-US" w:eastAsia="zh-CN" w:bidi="ar"/>
        </w:rPr>
        <w:t>本年度，本机关未收取信息公开处理费。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pPr>
      <w:r>
        <w:rPr>
          <w:rFonts w:hint="eastAsia" w:ascii="仿宋_GB2312" w:hAnsi="Times New Roman" w:eastAsia="仿宋_GB2312" w:cs="仿宋_GB2312"/>
          <w:color w:val="000000"/>
          <w:kern w:val="32"/>
          <w:sz w:val="32"/>
          <w:szCs w:val="32"/>
          <w:bdr w:val="none" w:color="auto" w:sz="0" w:space="0"/>
          <w:shd w:val="clear" w:fill="FFFFFF"/>
          <w:lang w:val="en-US" w:eastAsia="zh-CN" w:bidi="ar"/>
        </w:rPr>
        <w:t xml:space="preserve">  上高县人民政府网（</w:t>
      </w:r>
      <w:r>
        <w:rPr>
          <w:rFonts w:hint="default" w:ascii="Times New Roman" w:hAnsi="Times New Roman" w:eastAsia="仿宋_GB2312" w:cs="Times New Roman"/>
          <w:color w:val="000000"/>
          <w:kern w:val="32"/>
          <w:sz w:val="32"/>
          <w:szCs w:val="32"/>
          <w:bdr w:val="none" w:color="auto" w:sz="0" w:space="0"/>
          <w:shd w:val="clear" w:fill="FFFFFF"/>
          <w:lang w:val="en-US" w:eastAsia="zh-CN" w:bidi="ar"/>
        </w:rPr>
        <w:t>http://www.shanggao.gov.cn</w:t>
      </w:r>
      <w:r>
        <w:rPr>
          <w:rFonts w:hint="eastAsia" w:ascii="仿宋_GB2312" w:hAnsi="Times New Roman" w:eastAsia="仿宋_GB2312" w:cs="仿宋_GB2312"/>
          <w:color w:val="000000"/>
          <w:kern w:val="32"/>
          <w:sz w:val="32"/>
          <w:szCs w:val="32"/>
          <w:bdr w:val="none" w:color="auto" w:sz="0" w:space="0"/>
          <w:shd w:val="clear" w:fill="FFFFFF"/>
          <w:lang w:val="en-US" w:eastAsia="zh-CN" w:bidi="ar"/>
        </w:rPr>
        <w:t>），如需了解更多政府信息，请登录查询。</w:t>
      </w:r>
    </w:p>
    <w:p>
      <w:pPr>
        <w:pStyle w:val="5"/>
        <w:shd w:val="clear" w:color="auto" w:fill="FFFFFF"/>
        <w:spacing w:beforeAutospacing="0" w:afterAutospacing="0" w:line="560" w:lineRule="exact"/>
        <w:ind w:firstLine="640" w:firstLineChars="200"/>
        <w:jc w:val="both"/>
        <w:rPr>
          <w:rFonts w:hint="eastAsia" w:ascii="Times New Roman" w:hAnsi="仿宋" w:eastAsia="仿宋"/>
          <w:color w:val="000000"/>
          <w:sz w:val="32"/>
          <w:szCs w:val="32"/>
          <w:shd w:val="clear" w:color="auto" w:fill="FFFFFF"/>
        </w:rPr>
      </w:pPr>
      <w:bookmarkStart w:id="0" w:name="_GoBack"/>
      <w:bookmarkEnd w:id="0"/>
    </w:p>
    <w:sectPr>
      <w:pgSz w:w="11906" w:h="16838"/>
      <w:pgMar w:top="2098" w:right="1474" w:bottom="1985" w:left="158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ourceHanSansCN-Regular">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wODU4ZWRhZmZmNjc1YzkxYmYxYzUzODM4MmYwZGIifQ=="/>
  </w:docVars>
  <w:rsids>
    <w:rsidRoot w:val="006C3125"/>
    <w:rsid w:val="00002B5A"/>
    <w:rsid w:val="00007628"/>
    <w:rsid w:val="000212A0"/>
    <w:rsid w:val="000258F8"/>
    <w:rsid w:val="0003627E"/>
    <w:rsid w:val="0003703E"/>
    <w:rsid w:val="0004190C"/>
    <w:rsid w:val="00050700"/>
    <w:rsid w:val="000528BD"/>
    <w:rsid w:val="0008119A"/>
    <w:rsid w:val="00084A77"/>
    <w:rsid w:val="00086803"/>
    <w:rsid w:val="000A107D"/>
    <w:rsid w:val="000B42C2"/>
    <w:rsid w:val="000D46C7"/>
    <w:rsid w:val="000E0C8E"/>
    <w:rsid w:val="000E2C16"/>
    <w:rsid w:val="0010472D"/>
    <w:rsid w:val="001305BA"/>
    <w:rsid w:val="001354FE"/>
    <w:rsid w:val="00136084"/>
    <w:rsid w:val="00140C5F"/>
    <w:rsid w:val="00156BCB"/>
    <w:rsid w:val="001712C7"/>
    <w:rsid w:val="0018227C"/>
    <w:rsid w:val="001D1EED"/>
    <w:rsid w:val="00224C4D"/>
    <w:rsid w:val="00243D39"/>
    <w:rsid w:val="00247B66"/>
    <w:rsid w:val="002564CD"/>
    <w:rsid w:val="002728C2"/>
    <w:rsid w:val="002838E9"/>
    <w:rsid w:val="002A4E6C"/>
    <w:rsid w:val="002B6344"/>
    <w:rsid w:val="002C1C15"/>
    <w:rsid w:val="002E0FDA"/>
    <w:rsid w:val="0035024E"/>
    <w:rsid w:val="00353026"/>
    <w:rsid w:val="003537C1"/>
    <w:rsid w:val="0035705F"/>
    <w:rsid w:val="00363C33"/>
    <w:rsid w:val="0036723C"/>
    <w:rsid w:val="00371C2E"/>
    <w:rsid w:val="00377B03"/>
    <w:rsid w:val="00381870"/>
    <w:rsid w:val="0039555B"/>
    <w:rsid w:val="003B520C"/>
    <w:rsid w:val="003E344D"/>
    <w:rsid w:val="00400CE9"/>
    <w:rsid w:val="00403654"/>
    <w:rsid w:val="00423653"/>
    <w:rsid w:val="00473266"/>
    <w:rsid w:val="004B4752"/>
    <w:rsid w:val="004F13A9"/>
    <w:rsid w:val="005176FC"/>
    <w:rsid w:val="005228CD"/>
    <w:rsid w:val="00525951"/>
    <w:rsid w:val="00564DBF"/>
    <w:rsid w:val="00594CA9"/>
    <w:rsid w:val="005F290B"/>
    <w:rsid w:val="005F5F7F"/>
    <w:rsid w:val="006018F0"/>
    <w:rsid w:val="00620781"/>
    <w:rsid w:val="006416F4"/>
    <w:rsid w:val="00644F49"/>
    <w:rsid w:val="00656371"/>
    <w:rsid w:val="006903FC"/>
    <w:rsid w:val="00691BDF"/>
    <w:rsid w:val="00695830"/>
    <w:rsid w:val="006A0F9E"/>
    <w:rsid w:val="006A7F71"/>
    <w:rsid w:val="006C01BE"/>
    <w:rsid w:val="006C3125"/>
    <w:rsid w:val="006D06B8"/>
    <w:rsid w:val="006E4F0C"/>
    <w:rsid w:val="00723119"/>
    <w:rsid w:val="00757200"/>
    <w:rsid w:val="007826CA"/>
    <w:rsid w:val="00795B22"/>
    <w:rsid w:val="00795C58"/>
    <w:rsid w:val="007A5A9F"/>
    <w:rsid w:val="007B3DD1"/>
    <w:rsid w:val="007C1AEA"/>
    <w:rsid w:val="007E42B4"/>
    <w:rsid w:val="007E4612"/>
    <w:rsid w:val="007E6EAD"/>
    <w:rsid w:val="007F114A"/>
    <w:rsid w:val="00824556"/>
    <w:rsid w:val="00851B09"/>
    <w:rsid w:val="00891766"/>
    <w:rsid w:val="0089400F"/>
    <w:rsid w:val="008B7E9A"/>
    <w:rsid w:val="008C2F5F"/>
    <w:rsid w:val="008D6333"/>
    <w:rsid w:val="008E496B"/>
    <w:rsid w:val="0090375B"/>
    <w:rsid w:val="0091067C"/>
    <w:rsid w:val="00914206"/>
    <w:rsid w:val="00930EF4"/>
    <w:rsid w:val="0097297C"/>
    <w:rsid w:val="00980583"/>
    <w:rsid w:val="00981553"/>
    <w:rsid w:val="0098328B"/>
    <w:rsid w:val="009B5839"/>
    <w:rsid w:val="009C07F9"/>
    <w:rsid w:val="009D0206"/>
    <w:rsid w:val="009E3EB4"/>
    <w:rsid w:val="00A215A5"/>
    <w:rsid w:val="00A302FB"/>
    <w:rsid w:val="00AA5D9B"/>
    <w:rsid w:val="00AB3026"/>
    <w:rsid w:val="00AD0A6A"/>
    <w:rsid w:val="00AD39E5"/>
    <w:rsid w:val="00B230D9"/>
    <w:rsid w:val="00B478D6"/>
    <w:rsid w:val="00B7055C"/>
    <w:rsid w:val="00BA1010"/>
    <w:rsid w:val="00BC3F2A"/>
    <w:rsid w:val="00BE1984"/>
    <w:rsid w:val="00BE60DA"/>
    <w:rsid w:val="00BF478B"/>
    <w:rsid w:val="00C0609D"/>
    <w:rsid w:val="00C063A3"/>
    <w:rsid w:val="00C100F7"/>
    <w:rsid w:val="00C650DA"/>
    <w:rsid w:val="00C66258"/>
    <w:rsid w:val="00C70866"/>
    <w:rsid w:val="00C864AE"/>
    <w:rsid w:val="00C9412C"/>
    <w:rsid w:val="00CB3C3C"/>
    <w:rsid w:val="00CC102B"/>
    <w:rsid w:val="00CC1087"/>
    <w:rsid w:val="00CC322A"/>
    <w:rsid w:val="00CD2340"/>
    <w:rsid w:val="00CD32C2"/>
    <w:rsid w:val="00CD5265"/>
    <w:rsid w:val="00CE465A"/>
    <w:rsid w:val="00D36931"/>
    <w:rsid w:val="00D62A90"/>
    <w:rsid w:val="00D966FF"/>
    <w:rsid w:val="00DA2640"/>
    <w:rsid w:val="00DF0D1F"/>
    <w:rsid w:val="00E06B3B"/>
    <w:rsid w:val="00E11CE0"/>
    <w:rsid w:val="00E25BD3"/>
    <w:rsid w:val="00E30271"/>
    <w:rsid w:val="00E60568"/>
    <w:rsid w:val="00E62293"/>
    <w:rsid w:val="00EA0456"/>
    <w:rsid w:val="00EA7587"/>
    <w:rsid w:val="00EB02B3"/>
    <w:rsid w:val="00EB1D6F"/>
    <w:rsid w:val="00EB3E4F"/>
    <w:rsid w:val="00EC29A2"/>
    <w:rsid w:val="00EC7DE8"/>
    <w:rsid w:val="00EE0C88"/>
    <w:rsid w:val="00EF2861"/>
    <w:rsid w:val="00EF2DAF"/>
    <w:rsid w:val="00F0378A"/>
    <w:rsid w:val="00F371CA"/>
    <w:rsid w:val="00F51574"/>
    <w:rsid w:val="00F639EF"/>
    <w:rsid w:val="00FC48E4"/>
    <w:rsid w:val="00FC6E56"/>
    <w:rsid w:val="00FD21D5"/>
    <w:rsid w:val="00FD685A"/>
    <w:rsid w:val="00FD7479"/>
    <w:rsid w:val="00FF3C1E"/>
    <w:rsid w:val="01C26E13"/>
    <w:rsid w:val="024E4C05"/>
    <w:rsid w:val="038D43FE"/>
    <w:rsid w:val="04E43544"/>
    <w:rsid w:val="04F14A63"/>
    <w:rsid w:val="05F23F40"/>
    <w:rsid w:val="06EF4FF4"/>
    <w:rsid w:val="06F15717"/>
    <w:rsid w:val="08CB64DD"/>
    <w:rsid w:val="0BA323F2"/>
    <w:rsid w:val="0CA529EA"/>
    <w:rsid w:val="0D392A9D"/>
    <w:rsid w:val="0DF2282E"/>
    <w:rsid w:val="0E576B35"/>
    <w:rsid w:val="118009BA"/>
    <w:rsid w:val="11E4732B"/>
    <w:rsid w:val="12296E13"/>
    <w:rsid w:val="124341AB"/>
    <w:rsid w:val="1297170F"/>
    <w:rsid w:val="13D749A0"/>
    <w:rsid w:val="14EC5B4D"/>
    <w:rsid w:val="15333622"/>
    <w:rsid w:val="155913E5"/>
    <w:rsid w:val="17FC294A"/>
    <w:rsid w:val="18AF17FE"/>
    <w:rsid w:val="19772C68"/>
    <w:rsid w:val="1A0758B3"/>
    <w:rsid w:val="1AB4496C"/>
    <w:rsid w:val="1BEA22A4"/>
    <w:rsid w:val="1BF9747E"/>
    <w:rsid w:val="1D7D6135"/>
    <w:rsid w:val="1EE15FE8"/>
    <w:rsid w:val="1F3F5155"/>
    <w:rsid w:val="1F891BF3"/>
    <w:rsid w:val="1FEA7809"/>
    <w:rsid w:val="21696E53"/>
    <w:rsid w:val="21D85626"/>
    <w:rsid w:val="2299676A"/>
    <w:rsid w:val="25572DAC"/>
    <w:rsid w:val="259207B1"/>
    <w:rsid w:val="25C40AFC"/>
    <w:rsid w:val="26D829E9"/>
    <w:rsid w:val="27CB4854"/>
    <w:rsid w:val="28916513"/>
    <w:rsid w:val="28E63FBE"/>
    <w:rsid w:val="29A81E49"/>
    <w:rsid w:val="2A465F91"/>
    <w:rsid w:val="2C6A78FC"/>
    <w:rsid w:val="2E993699"/>
    <w:rsid w:val="2EEC536B"/>
    <w:rsid w:val="31871996"/>
    <w:rsid w:val="31E27909"/>
    <w:rsid w:val="32256B8B"/>
    <w:rsid w:val="327B14BC"/>
    <w:rsid w:val="3443325D"/>
    <w:rsid w:val="357165DC"/>
    <w:rsid w:val="374E461C"/>
    <w:rsid w:val="377D1455"/>
    <w:rsid w:val="37F80C39"/>
    <w:rsid w:val="3A8A0F8A"/>
    <w:rsid w:val="3B9C6DBC"/>
    <w:rsid w:val="3C123735"/>
    <w:rsid w:val="3CE23414"/>
    <w:rsid w:val="3D8802EA"/>
    <w:rsid w:val="40B0729A"/>
    <w:rsid w:val="40BF44BA"/>
    <w:rsid w:val="411F0E72"/>
    <w:rsid w:val="4185518C"/>
    <w:rsid w:val="42F93A27"/>
    <w:rsid w:val="44352E99"/>
    <w:rsid w:val="46FC1A4C"/>
    <w:rsid w:val="4792311A"/>
    <w:rsid w:val="485F6737"/>
    <w:rsid w:val="48D06BDA"/>
    <w:rsid w:val="4A5E1027"/>
    <w:rsid w:val="4C2C34BA"/>
    <w:rsid w:val="4C9F3297"/>
    <w:rsid w:val="4E1A1D63"/>
    <w:rsid w:val="4F4B79F8"/>
    <w:rsid w:val="533E62DD"/>
    <w:rsid w:val="5408251D"/>
    <w:rsid w:val="54730017"/>
    <w:rsid w:val="54B1145F"/>
    <w:rsid w:val="573B7B2C"/>
    <w:rsid w:val="582F5EE5"/>
    <w:rsid w:val="58760D79"/>
    <w:rsid w:val="596F2552"/>
    <w:rsid w:val="5BBB4694"/>
    <w:rsid w:val="5C003E28"/>
    <w:rsid w:val="5CE96632"/>
    <w:rsid w:val="5DAD53F7"/>
    <w:rsid w:val="5F1D65AC"/>
    <w:rsid w:val="612A3A23"/>
    <w:rsid w:val="61F726EF"/>
    <w:rsid w:val="62141EE8"/>
    <w:rsid w:val="62692834"/>
    <w:rsid w:val="631D02F6"/>
    <w:rsid w:val="644751C1"/>
    <w:rsid w:val="66580F9A"/>
    <w:rsid w:val="66712B6A"/>
    <w:rsid w:val="66A43744"/>
    <w:rsid w:val="67124879"/>
    <w:rsid w:val="67535261"/>
    <w:rsid w:val="68C857DA"/>
    <w:rsid w:val="69D41542"/>
    <w:rsid w:val="6AE95E56"/>
    <w:rsid w:val="6C963990"/>
    <w:rsid w:val="6CD04C5E"/>
    <w:rsid w:val="6CF52916"/>
    <w:rsid w:val="6F652F30"/>
    <w:rsid w:val="70E228B5"/>
    <w:rsid w:val="729F3C2B"/>
    <w:rsid w:val="7342505B"/>
    <w:rsid w:val="76EA412A"/>
    <w:rsid w:val="7720770B"/>
    <w:rsid w:val="78DD0E2E"/>
    <w:rsid w:val="7ABB5EAE"/>
    <w:rsid w:val="7C257CBE"/>
    <w:rsid w:val="7CE751A4"/>
    <w:rsid w:val="7EB3186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name="header" w:locked="1"/>
    <w:lsdException w:qFormat="1" w:unhideWhenUsed="0" w:uiPriority="99" w:name="footer" w:locked="1"/>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qFormat="1"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10"/>
    <w:qFormat/>
    <w:uiPriority w:val="99"/>
    <w:pPr>
      <w:spacing w:beforeAutospacing="1" w:afterAutospacing="1"/>
      <w:jc w:val="left"/>
      <w:outlineLvl w:val="2"/>
    </w:pPr>
    <w:rPr>
      <w:rFonts w:ascii="宋体" w:hAnsi="宋体"/>
      <w:b/>
      <w:bCs/>
      <w:kern w:val="0"/>
      <w:sz w:val="27"/>
      <w:szCs w:val="27"/>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semiHidden/>
    <w:qFormat/>
    <w:locked/>
    <w:uiPriority w:val="99"/>
    <w:pPr>
      <w:tabs>
        <w:tab w:val="center" w:pos="4153"/>
        <w:tab w:val="right" w:pos="8306"/>
      </w:tabs>
      <w:snapToGrid w:val="0"/>
      <w:jc w:val="left"/>
    </w:pPr>
    <w:rPr>
      <w:sz w:val="18"/>
      <w:szCs w:val="18"/>
    </w:rPr>
  </w:style>
  <w:style w:type="paragraph" w:styleId="4">
    <w:name w:val="header"/>
    <w:basedOn w:val="1"/>
    <w:link w:val="11"/>
    <w:semiHidden/>
    <w:qFormat/>
    <w:lock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kern w:val="0"/>
      <w:sz w:val="24"/>
    </w:rPr>
  </w:style>
  <w:style w:type="character" w:styleId="8">
    <w:name w:val="FollowedHyperlink"/>
    <w:basedOn w:val="7"/>
    <w:semiHidden/>
    <w:unhideWhenUsed/>
    <w:qFormat/>
    <w:locked/>
    <w:uiPriority w:val="99"/>
    <w:rPr>
      <w:color w:val="333333"/>
      <w:u w:val="none"/>
    </w:rPr>
  </w:style>
  <w:style w:type="character" w:styleId="9">
    <w:name w:val="Hyperlink"/>
    <w:basedOn w:val="7"/>
    <w:semiHidden/>
    <w:unhideWhenUsed/>
    <w:locked/>
    <w:uiPriority w:val="99"/>
    <w:rPr>
      <w:color w:val="333333"/>
      <w:u w:val="none"/>
    </w:rPr>
  </w:style>
  <w:style w:type="character" w:customStyle="1" w:styleId="10">
    <w:name w:val="Heading 3 Char"/>
    <w:basedOn w:val="7"/>
    <w:link w:val="2"/>
    <w:semiHidden/>
    <w:qFormat/>
    <w:locked/>
    <w:uiPriority w:val="99"/>
    <w:rPr>
      <w:rFonts w:ascii="Calibri" w:hAnsi="Calibri" w:cs="Times New Roman"/>
      <w:b/>
      <w:bCs/>
      <w:sz w:val="32"/>
      <w:szCs w:val="32"/>
    </w:rPr>
  </w:style>
  <w:style w:type="character" w:customStyle="1" w:styleId="11">
    <w:name w:val="Header Char"/>
    <w:basedOn w:val="7"/>
    <w:link w:val="4"/>
    <w:semiHidden/>
    <w:qFormat/>
    <w:locked/>
    <w:uiPriority w:val="99"/>
    <w:rPr>
      <w:rFonts w:ascii="Calibri" w:hAnsi="Calibri" w:cs="Times New Roman"/>
      <w:sz w:val="18"/>
      <w:szCs w:val="18"/>
    </w:rPr>
  </w:style>
  <w:style w:type="character" w:customStyle="1" w:styleId="12">
    <w:name w:val="Footer Char"/>
    <w:basedOn w:val="7"/>
    <w:link w:val="3"/>
    <w:semiHidden/>
    <w:qFormat/>
    <w:locked/>
    <w:uiPriority w:val="99"/>
    <w:rPr>
      <w:rFonts w:ascii="Calibri" w:hAnsi="Calibri" w:cs="Times New Roman"/>
      <w:sz w:val="18"/>
      <w:szCs w:val="18"/>
    </w:rPr>
  </w:style>
  <w:style w:type="character" w:customStyle="1" w:styleId="13">
    <w:name w:val="hover14"/>
    <w:basedOn w:val="7"/>
    <w:qFormat/>
    <w:uiPriority w:val="0"/>
    <w:rPr>
      <w:shd w:val="clear" w:fill="929292"/>
    </w:rPr>
  </w:style>
  <w:style w:type="character" w:customStyle="1" w:styleId="14">
    <w:name w:val="article-icon"/>
    <w:basedOn w:val="7"/>
    <w:qFormat/>
    <w:uiPriority w:val="0"/>
  </w:style>
  <w:style w:type="character" w:customStyle="1" w:styleId="15">
    <w:name w:val="hover13"/>
    <w:basedOn w:val="7"/>
    <w:qFormat/>
    <w:uiPriority w:val="0"/>
    <w:rPr>
      <w:shd w:val="clear" w:fill="92929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7</Pages>
  <Words>2531</Words>
  <Characters>2602</Characters>
  <Lines>0</Lines>
  <Paragraphs>0</Paragraphs>
  <TotalTime>1</TotalTime>
  <ScaleCrop>false</ScaleCrop>
  <LinksUpToDate>false</LinksUpToDate>
  <CharactersWithSpaces>2621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cp:lastPrinted>2022-02-07T06:36:00Z</cp:lastPrinted>
  <dcterms:modified xsi:type="dcterms:W3CDTF">2023-10-23T00:37:54Z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FF931B62CB33471FBC752E8CA0922FD0</vt:lpwstr>
  </property>
</Properties>
</file>