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44"/>
          <w:szCs w:val="44"/>
        </w:rPr>
      </w:pPr>
      <w:r>
        <w:rPr>
          <w:rFonts w:hint="eastAsia" w:ascii="宋体" w:hAnsi="宋体" w:eastAsia="宋体" w:cs="宋体"/>
          <w:b/>
          <w:i w:val="0"/>
          <w:caps w:val="0"/>
          <w:color w:val="333333"/>
          <w:spacing w:val="0"/>
          <w:sz w:val="44"/>
          <w:szCs w:val="44"/>
          <w:shd w:val="clear" w:fill="FFFFFF"/>
          <w:lang w:val="en-US" w:eastAsia="zh-CN"/>
        </w:rPr>
        <w:t>塔下乡202</w:t>
      </w:r>
      <w:bookmarkStart w:id="0" w:name="_GoBack"/>
      <w:r>
        <w:rPr>
          <w:rFonts w:hint="eastAsia" w:ascii="宋体" w:hAnsi="宋体" w:eastAsia="宋体" w:cs="宋体"/>
          <w:b/>
          <w:i w:val="0"/>
          <w:caps w:val="0"/>
          <w:color w:val="333333"/>
          <w:spacing w:val="0"/>
          <w:sz w:val="44"/>
          <w:szCs w:val="44"/>
          <w:shd w:val="clear" w:fill="FFFFFF"/>
          <w:lang w:val="en-US" w:eastAsia="zh-CN"/>
        </w:rPr>
        <w:t>1</w:t>
      </w:r>
      <w:bookmarkEnd w:id="0"/>
      <w:r>
        <w:rPr>
          <w:rFonts w:hint="eastAsia" w:ascii="宋体" w:hAnsi="宋体" w:eastAsia="宋体" w:cs="宋体"/>
          <w:b/>
          <w:i w:val="0"/>
          <w:caps w:val="0"/>
          <w:color w:val="333333"/>
          <w:spacing w:val="0"/>
          <w:sz w:val="44"/>
          <w:szCs w:val="44"/>
          <w:shd w:val="clear" w:fill="FFFFFF"/>
          <w:lang w:val="en-US" w:eastAsia="zh-CN"/>
        </w:rPr>
        <w:t>年</w:t>
      </w:r>
      <w:r>
        <w:rPr>
          <w:rFonts w:hint="eastAsia" w:ascii="宋体" w:hAnsi="宋体" w:eastAsia="宋体" w:cs="宋体"/>
          <w:b/>
          <w:i w:val="0"/>
          <w:caps w:val="0"/>
          <w:color w:val="333333"/>
          <w:spacing w:val="0"/>
          <w:sz w:val="44"/>
          <w:szCs w:val="44"/>
          <w:shd w:val="clear" w:fill="FFFFFF"/>
        </w:rPr>
        <w:t>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宋体" w:hAnsi="宋体" w:eastAsia="宋体" w:cs="宋体"/>
          <w:i w:val="0"/>
          <w:caps w:val="0"/>
          <w:color w:val="333333"/>
          <w:spacing w:val="0"/>
          <w:sz w:val="32"/>
          <w:szCs w:val="32"/>
        </w:rPr>
      </w:pPr>
      <w:r>
        <w:rPr>
          <w:rFonts w:hint="eastAsia" w:ascii="宋体" w:hAnsi="宋体" w:eastAsia="宋体" w:cs="宋体"/>
          <w:i w:val="0"/>
          <w:caps w:val="0"/>
          <w:color w:val="333333"/>
          <w:spacing w:val="0"/>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w:t>
      </w:r>
      <w:r>
        <w:rPr>
          <w:rFonts w:hint="eastAsia" w:ascii="宋体" w:hAnsi="宋体" w:eastAsia="宋体" w:cs="宋体"/>
          <w:i w:val="0"/>
          <w:caps w:val="0"/>
          <w:color w:val="333333"/>
          <w:spacing w:val="0"/>
          <w:sz w:val="32"/>
          <w:szCs w:val="32"/>
          <w:lang w:val="en-US" w:eastAsia="zh-CN"/>
        </w:rPr>
        <w:t>塔下乡人民政府</w:t>
      </w:r>
      <w:r>
        <w:rPr>
          <w:rFonts w:hint="eastAsia" w:ascii="宋体" w:hAnsi="宋体" w:eastAsia="宋体" w:cs="宋体"/>
          <w:i w:val="0"/>
          <w:caps w:val="0"/>
          <w:color w:val="333333"/>
          <w:spacing w:val="0"/>
          <w:sz w:val="32"/>
          <w:szCs w:val="32"/>
        </w:rPr>
        <w:t>结合有关统计数据编制。本年度报告中所列数据的统计期限自</w:t>
      </w:r>
      <w:r>
        <w:rPr>
          <w:rFonts w:hint="eastAsia" w:ascii="宋体" w:hAnsi="宋体" w:eastAsia="宋体" w:cs="宋体"/>
          <w:i w:val="0"/>
          <w:caps w:val="0"/>
          <w:color w:val="333333"/>
          <w:spacing w:val="0"/>
          <w:sz w:val="32"/>
          <w:szCs w:val="32"/>
          <w:lang w:val="en-US" w:eastAsia="zh-CN"/>
        </w:rPr>
        <w:t>2021</w:t>
      </w:r>
      <w:r>
        <w:rPr>
          <w:rFonts w:hint="eastAsia" w:ascii="宋体" w:hAnsi="宋体" w:eastAsia="宋体" w:cs="宋体"/>
          <w:i w:val="0"/>
          <w:caps w:val="0"/>
          <w:color w:val="333333"/>
          <w:spacing w:val="0"/>
          <w:sz w:val="32"/>
          <w:szCs w:val="32"/>
        </w:rPr>
        <w:t>年1月1日起至</w:t>
      </w:r>
      <w:r>
        <w:rPr>
          <w:rFonts w:hint="eastAsia" w:ascii="宋体" w:hAnsi="宋体" w:eastAsia="宋体" w:cs="宋体"/>
          <w:i w:val="0"/>
          <w:caps w:val="0"/>
          <w:color w:val="333333"/>
          <w:spacing w:val="0"/>
          <w:sz w:val="32"/>
          <w:szCs w:val="32"/>
          <w:lang w:val="en-US" w:eastAsia="zh-CN"/>
        </w:rPr>
        <w:t>2021</w:t>
      </w:r>
      <w:r>
        <w:rPr>
          <w:rFonts w:hint="eastAsia" w:ascii="宋体" w:hAnsi="宋体" w:eastAsia="宋体" w:cs="宋体"/>
          <w:i w:val="0"/>
          <w:caps w:val="0"/>
          <w:color w:val="333333"/>
          <w:spacing w:val="0"/>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w:t>
      </w:r>
      <w:r>
        <w:rPr>
          <w:rFonts w:hint="eastAsia" w:ascii="宋体" w:hAnsi="宋体" w:eastAsia="宋体" w:cs="宋体"/>
          <w:i w:val="0"/>
          <w:caps w:val="0"/>
          <w:color w:val="333333"/>
          <w:spacing w:val="0"/>
          <w:sz w:val="32"/>
          <w:szCs w:val="32"/>
          <w:lang w:val="en-US" w:eastAsia="zh-CN"/>
        </w:rPr>
        <w:t>上高县</w:t>
      </w:r>
      <w:r>
        <w:rPr>
          <w:rFonts w:hint="eastAsia" w:ascii="宋体" w:hAnsi="宋体" w:eastAsia="宋体" w:cs="宋体"/>
          <w:i w:val="0"/>
          <w:caps w:val="0"/>
          <w:color w:val="333333"/>
          <w:spacing w:val="0"/>
          <w:sz w:val="32"/>
          <w:szCs w:val="32"/>
        </w:rPr>
        <w:t>人民政府网站（http://www.shanggao.gov.cn/）下载。如对本报告有任何疑问，请与</w:t>
      </w:r>
      <w:r>
        <w:rPr>
          <w:rFonts w:hint="eastAsia" w:ascii="宋体" w:hAnsi="宋体" w:eastAsia="宋体" w:cs="宋体"/>
          <w:i w:val="0"/>
          <w:caps w:val="0"/>
          <w:color w:val="333333"/>
          <w:spacing w:val="0"/>
          <w:sz w:val="32"/>
          <w:szCs w:val="32"/>
          <w:lang w:eastAsia="zh-CN"/>
        </w:rPr>
        <w:t>上高县</w:t>
      </w:r>
      <w:r>
        <w:rPr>
          <w:rFonts w:hint="eastAsia" w:ascii="宋体" w:hAnsi="宋体" w:eastAsia="宋体" w:cs="宋体"/>
          <w:i w:val="0"/>
          <w:caps w:val="0"/>
          <w:color w:val="333333"/>
          <w:spacing w:val="0"/>
          <w:sz w:val="32"/>
          <w:szCs w:val="32"/>
          <w:lang w:val="en-US" w:eastAsia="zh-CN"/>
        </w:rPr>
        <w:t>塔下乡人民政府</w:t>
      </w:r>
      <w:r>
        <w:rPr>
          <w:rFonts w:hint="eastAsia" w:ascii="宋体" w:hAnsi="宋体" w:eastAsia="宋体" w:cs="宋体"/>
          <w:i w:val="0"/>
          <w:caps w:val="0"/>
          <w:color w:val="333333"/>
          <w:spacing w:val="0"/>
          <w:sz w:val="32"/>
          <w:szCs w:val="32"/>
        </w:rPr>
        <w:t>联系（地址：</w:t>
      </w:r>
      <w:r>
        <w:rPr>
          <w:rFonts w:hint="eastAsia" w:ascii="宋体" w:hAnsi="宋体" w:eastAsia="宋体" w:cs="宋体"/>
          <w:i w:val="0"/>
          <w:caps w:val="0"/>
          <w:color w:val="333333"/>
          <w:spacing w:val="0"/>
          <w:sz w:val="32"/>
          <w:szCs w:val="32"/>
          <w:lang w:val="en-US" w:eastAsia="zh-CN"/>
        </w:rPr>
        <w:t>上高县塔下乡大观大道408号</w:t>
      </w:r>
      <w:r>
        <w:rPr>
          <w:rFonts w:hint="eastAsia" w:ascii="宋体" w:hAnsi="宋体" w:eastAsia="宋体" w:cs="宋体"/>
          <w:i w:val="0"/>
          <w:caps w:val="0"/>
          <w:color w:val="333333"/>
          <w:spacing w:val="0"/>
          <w:sz w:val="32"/>
          <w:szCs w:val="32"/>
        </w:rPr>
        <w:t>，电话：</w:t>
      </w:r>
      <w:r>
        <w:rPr>
          <w:rFonts w:hint="eastAsia" w:ascii="宋体" w:hAnsi="宋体" w:eastAsia="宋体" w:cs="宋体"/>
          <w:i w:val="0"/>
          <w:caps w:val="0"/>
          <w:color w:val="333333"/>
          <w:spacing w:val="0"/>
          <w:sz w:val="32"/>
          <w:szCs w:val="32"/>
          <w:lang w:val="en-US" w:eastAsia="zh-CN"/>
        </w:rPr>
        <w:t>0795-2492155</w:t>
      </w:r>
      <w:r>
        <w:rPr>
          <w:rFonts w:hint="eastAsia" w:ascii="宋体" w:hAnsi="宋体" w:eastAsia="宋体" w:cs="宋体"/>
          <w:i w:val="0"/>
          <w:caps w:val="0"/>
          <w:color w:val="333333"/>
          <w:spacing w:val="0"/>
          <w:sz w:val="32"/>
          <w:szCs w:val="32"/>
        </w:rPr>
        <w:t>，邮编：</w:t>
      </w:r>
      <w:r>
        <w:rPr>
          <w:rFonts w:hint="eastAsia" w:ascii="宋体" w:hAnsi="宋体" w:eastAsia="宋体" w:cs="宋体"/>
          <w:i w:val="0"/>
          <w:caps w:val="0"/>
          <w:color w:val="333333"/>
          <w:spacing w:val="0"/>
          <w:sz w:val="32"/>
          <w:szCs w:val="32"/>
          <w:lang w:val="en-US" w:eastAsia="zh-CN"/>
        </w:rPr>
        <w:t>336401</w:t>
      </w:r>
      <w:r>
        <w:rPr>
          <w:rFonts w:hint="eastAsia" w:ascii="宋体" w:hAnsi="宋体" w:eastAsia="宋体" w:cs="宋体"/>
          <w:i w:val="0"/>
          <w:caps w:val="0"/>
          <w:color w:val="333333"/>
          <w:spacing w:val="0"/>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32"/>
          <w:szCs w:val="32"/>
        </w:rPr>
      </w:pPr>
    </w:p>
    <w:p>
      <w:pPr>
        <w:pStyle w:val="3"/>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总体情况</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eastAsia" w:ascii="宋体" w:hAnsi="宋体" w:eastAsia="宋体" w:cs="宋体"/>
          <w:i w:val="0"/>
          <w:caps w:val="0"/>
          <w:color w:val="333333"/>
          <w:spacing w:val="0"/>
          <w:sz w:val="32"/>
          <w:szCs w:val="32"/>
          <w:shd w:val="clear" w:fill="FFFFFF"/>
        </w:rPr>
      </w:pPr>
      <w:r>
        <w:rPr>
          <w:rFonts w:hint="eastAsia" w:ascii="宋体" w:hAnsi="宋体" w:eastAsia="宋体" w:cs="宋体"/>
          <w:i w:val="0"/>
          <w:caps w:val="0"/>
          <w:color w:val="333333"/>
          <w:spacing w:val="0"/>
          <w:sz w:val="32"/>
          <w:szCs w:val="32"/>
          <w:shd w:val="clear" w:fill="FFFFFF"/>
        </w:rPr>
        <w:t>在省、市</w:t>
      </w:r>
      <w:r>
        <w:rPr>
          <w:rFonts w:hint="eastAsia" w:ascii="宋体" w:hAnsi="宋体" w:eastAsia="宋体" w:cs="宋体"/>
          <w:i w:val="0"/>
          <w:caps w:val="0"/>
          <w:color w:val="333333"/>
          <w:spacing w:val="0"/>
          <w:sz w:val="32"/>
          <w:szCs w:val="32"/>
          <w:shd w:val="clear" w:fill="FFFFFF"/>
          <w:lang w:eastAsia="zh-CN"/>
        </w:rPr>
        <w:t>、县</w:t>
      </w:r>
      <w:r>
        <w:rPr>
          <w:rFonts w:hint="eastAsia" w:ascii="宋体" w:hAnsi="宋体" w:eastAsia="宋体" w:cs="宋体"/>
          <w:i w:val="0"/>
          <w:caps w:val="0"/>
          <w:color w:val="333333"/>
          <w:spacing w:val="0"/>
          <w:sz w:val="32"/>
          <w:szCs w:val="32"/>
          <w:shd w:val="clear" w:fill="FFFFFF"/>
        </w:rPr>
        <w:t>政务公开办的大力指导下，近年来，</w:t>
      </w:r>
      <w:r>
        <w:rPr>
          <w:rFonts w:hint="eastAsia" w:ascii="宋体" w:hAnsi="宋体" w:eastAsia="宋体" w:cs="宋体"/>
          <w:i w:val="0"/>
          <w:caps w:val="0"/>
          <w:color w:val="333333"/>
          <w:spacing w:val="0"/>
          <w:sz w:val="32"/>
          <w:szCs w:val="32"/>
          <w:shd w:val="clear" w:fill="FFFFFF"/>
          <w:lang w:eastAsia="zh-CN"/>
        </w:rPr>
        <w:t>塔下乡人民政府</w:t>
      </w:r>
      <w:r>
        <w:rPr>
          <w:rFonts w:hint="eastAsia" w:ascii="宋体" w:hAnsi="宋体" w:eastAsia="宋体" w:cs="宋体"/>
          <w:i w:val="0"/>
          <w:caps w:val="0"/>
          <w:color w:val="333333"/>
          <w:spacing w:val="0"/>
          <w:sz w:val="32"/>
          <w:szCs w:val="32"/>
          <w:shd w:val="clear" w:fill="FFFFFF"/>
        </w:rPr>
        <w:t>不断加强信息公开工作领导，坚持“以公开为常态、不公开为例外”的原则，全面推进信息公开标准化、规范化建设，取得了较明显的成绩。</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rightChars="0" w:firstLine="640" w:firstLineChars="200"/>
        <w:jc w:val="both"/>
        <w:rPr>
          <w:rFonts w:hint="default" w:ascii="宋体" w:hAnsi="宋体" w:eastAsia="宋体" w:cs="宋体"/>
          <w:i w:val="0"/>
          <w:caps w:val="0"/>
          <w:color w:val="333333"/>
          <w:spacing w:val="0"/>
          <w:sz w:val="32"/>
          <w:szCs w:val="32"/>
          <w:shd w:val="clear" w:fill="FFFFFF"/>
          <w:lang w:val="en-US" w:eastAsia="zh-CN"/>
        </w:rPr>
      </w:pPr>
      <w:r>
        <w:rPr>
          <w:rFonts w:hint="eastAsia" w:ascii="宋体" w:hAnsi="宋体" w:eastAsia="宋体" w:cs="宋体"/>
          <w:i w:val="0"/>
          <w:caps w:val="0"/>
          <w:color w:val="333333"/>
          <w:spacing w:val="0"/>
          <w:sz w:val="32"/>
          <w:szCs w:val="32"/>
          <w:shd w:val="clear" w:fill="FFFFFF"/>
        </w:rPr>
        <w:t>1.主动公开政府信息情况。</w:t>
      </w:r>
      <w:r>
        <w:rPr>
          <w:rFonts w:hint="eastAsia" w:ascii="宋体" w:hAnsi="宋体" w:eastAsia="宋体" w:cs="宋体"/>
          <w:i w:val="0"/>
          <w:caps w:val="0"/>
          <w:color w:val="333333"/>
          <w:spacing w:val="0"/>
          <w:sz w:val="32"/>
          <w:szCs w:val="32"/>
          <w:shd w:val="clear" w:fill="FFFFFF"/>
          <w:lang w:eastAsia="zh-CN"/>
        </w:rPr>
        <w:t>2021</w:t>
      </w:r>
      <w:r>
        <w:rPr>
          <w:rFonts w:hint="eastAsia" w:ascii="宋体" w:hAnsi="宋体" w:eastAsia="宋体" w:cs="宋体"/>
          <w:i w:val="0"/>
          <w:caps w:val="0"/>
          <w:color w:val="333333"/>
          <w:spacing w:val="0"/>
          <w:sz w:val="32"/>
          <w:szCs w:val="32"/>
          <w:shd w:val="clear" w:fill="FFFFFF"/>
        </w:rPr>
        <w:t>年</w:t>
      </w:r>
      <w:r>
        <w:rPr>
          <w:rFonts w:hint="eastAsia" w:ascii="宋体" w:hAnsi="宋体" w:eastAsia="宋体" w:cs="宋体"/>
          <w:i w:val="0"/>
          <w:caps w:val="0"/>
          <w:color w:val="333333"/>
          <w:spacing w:val="0"/>
          <w:sz w:val="32"/>
          <w:szCs w:val="32"/>
          <w:shd w:val="clear" w:fill="FFFFFF"/>
          <w:lang w:eastAsia="zh-CN"/>
        </w:rPr>
        <w:t>塔下乡</w:t>
      </w:r>
      <w:r>
        <w:rPr>
          <w:rFonts w:hint="eastAsia" w:ascii="宋体" w:hAnsi="宋体" w:eastAsia="宋体" w:cs="宋体"/>
          <w:i w:val="0"/>
          <w:caps w:val="0"/>
          <w:color w:val="333333"/>
          <w:spacing w:val="0"/>
          <w:sz w:val="32"/>
          <w:szCs w:val="32"/>
          <w:shd w:val="clear" w:fill="FFFFFF"/>
        </w:rPr>
        <w:t>政府信息公开信息</w:t>
      </w:r>
      <w:r>
        <w:rPr>
          <w:rFonts w:hint="eastAsia" w:ascii="宋体" w:hAnsi="宋体" w:eastAsia="宋体" w:cs="宋体"/>
          <w:i w:val="0"/>
          <w:caps w:val="0"/>
          <w:color w:val="333333"/>
          <w:spacing w:val="0"/>
          <w:sz w:val="32"/>
          <w:szCs w:val="32"/>
          <w:shd w:val="clear" w:fill="FFFFFF"/>
          <w:lang w:val="en-US" w:eastAsia="zh-CN"/>
        </w:rPr>
        <w:t>36</w:t>
      </w:r>
      <w:r>
        <w:rPr>
          <w:rFonts w:hint="eastAsia" w:ascii="宋体" w:hAnsi="宋体" w:eastAsia="宋体" w:cs="宋体"/>
          <w:i w:val="0"/>
          <w:caps w:val="0"/>
          <w:color w:val="333333"/>
          <w:spacing w:val="0"/>
          <w:sz w:val="32"/>
          <w:szCs w:val="32"/>
          <w:shd w:val="clear" w:fill="FFFFFF"/>
        </w:rPr>
        <w:t>条。开设专栏集中公开工作动态、</w:t>
      </w:r>
      <w:r>
        <w:rPr>
          <w:rFonts w:hint="eastAsia" w:ascii="宋体" w:hAnsi="宋体" w:eastAsia="宋体" w:cs="宋体"/>
          <w:i w:val="0"/>
          <w:caps w:val="0"/>
          <w:color w:val="333333"/>
          <w:spacing w:val="0"/>
          <w:sz w:val="32"/>
          <w:szCs w:val="32"/>
          <w:shd w:val="clear" w:fill="FFFFFF"/>
          <w:lang w:eastAsia="zh-CN"/>
        </w:rPr>
        <w:t>规划计划</w:t>
      </w:r>
      <w:r>
        <w:rPr>
          <w:rFonts w:hint="eastAsia" w:ascii="宋体" w:hAnsi="宋体" w:eastAsia="宋体" w:cs="宋体"/>
          <w:i w:val="0"/>
          <w:caps w:val="0"/>
          <w:color w:val="333333"/>
          <w:spacing w:val="0"/>
          <w:sz w:val="32"/>
          <w:szCs w:val="32"/>
          <w:shd w:val="clear" w:fill="FFFFFF"/>
        </w:rPr>
        <w:t>、政府文件、政府工作报告。</w:t>
      </w:r>
      <w:r>
        <w:rPr>
          <w:rFonts w:hint="eastAsia" w:ascii="宋体" w:hAnsi="宋体" w:eastAsia="宋体" w:cs="宋体"/>
          <w:i w:val="0"/>
          <w:caps w:val="0"/>
          <w:color w:val="333333"/>
          <w:spacing w:val="0"/>
          <w:sz w:val="32"/>
          <w:szCs w:val="32"/>
          <w:shd w:val="clear" w:fill="FFFFFF"/>
          <w:lang w:eastAsia="zh-CN"/>
        </w:rPr>
        <w:t>2021</w:t>
      </w:r>
      <w:r>
        <w:rPr>
          <w:rFonts w:hint="eastAsia" w:ascii="宋体" w:hAnsi="宋体" w:eastAsia="宋体" w:cs="宋体"/>
          <w:i w:val="0"/>
          <w:caps w:val="0"/>
          <w:color w:val="333333"/>
          <w:spacing w:val="0"/>
          <w:sz w:val="32"/>
          <w:szCs w:val="32"/>
          <w:shd w:val="clear" w:fill="FFFFFF"/>
        </w:rPr>
        <w:t>年，在主动公开的政府信息中，政务动态类信息</w:t>
      </w:r>
      <w:r>
        <w:rPr>
          <w:rFonts w:hint="eastAsia" w:ascii="宋体" w:hAnsi="宋体" w:eastAsia="宋体" w:cs="宋体"/>
          <w:i w:val="0"/>
          <w:caps w:val="0"/>
          <w:color w:val="333333"/>
          <w:spacing w:val="0"/>
          <w:sz w:val="32"/>
          <w:szCs w:val="32"/>
          <w:shd w:val="clear" w:fill="FFFFFF"/>
          <w:lang w:val="en-US" w:eastAsia="zh-CN"/>
        </w:rPr>
        <w:t>24</w:t>
      </w:r>
      <w:r>
        <w:rPr>
          <w:rFonts w:hint="eastAsia" w:ascii="宋体" w:hAnsi="宋体" w:eastAsia="宋体" w:cs="宋体"/>
          <w:i w:val="0"/>
          <w:caps w:val="0"/>
          <w:color w:val="333333"/>
          <w:spacing w:val="0"/>
          <w:sz w:val="32"/>
          <w:szCs w:val="32"/>
          <w:shd w:val="clear" w:fill="FFFFFF"/>
        </w:rPr>
        <w:t>条，本级政府文件</w:t>
      </w:r>
      <w:r>
        <w:rPr>
          <w:rFonts w:hint="eastAsia" w:ascii="宋体" w:hAnsi="宋体" w:eastAsia="宋体" w:cs="宋体"/>
          <w:i w:val="0"/>
          <w:caps w:val="0"/>
          <w:color w:val="333333"/>
          <w:spacing w:val="0"/>
          <w:sz w:val="32"/>
          <w:szCs w:val="32"/>
          <w:shd w:val="clear" w:fill="FFFFFF"/>
          <w:lang w:val="en-US" w:eastAsia="zh-CN"/>
        </w:rPr>
        <w:t>11</w:t>
      </w:r>
      <w:r>
        <w:rPr>
          <w:rFonts w:hint="eastAsia" w:ascii="宋体" w:hAnsi="宋体" w:eastAsia="宋体" w:cs="宋体"/>
          <w:i w:val="0"/>
          <w:caps w:val="0"/>
          <w:color w:val="333333"/>
          <w:spacing w:val="0"/>
          <w:sz w:val="32"/>
          <w:szCs w:val="32"/>
          <w:shd w:val="clear" w:fill="FFFFFF"/>
        </w:rPr>
        <w:t>条，政府工作报告</w:t>
      </w:r>
      <w:r>
        <w:rPr>
          <w:rFonts w:hint="eastAsia" w:ascii="宋体" w:hAnsi="宋体" w:eastAsia="宋体" w:cs="宋体"/>
          <w:i w:val="0"/>
          <w:caps w:val="0"/>
          <w:color w:val="333333"/>
          <w:spacing w:val="0"/>
          <w:sz w:val="32"/>
          <w:szCs w:val="32"/>
          <w:shd w:val="clear" w:fill="FFFFFF"/>
          <w:lang w:val="en-US" w:eastAsia="zh-CN"/>
        </w:rPr>
        <w:t>1</w:t>
      </w:r>
      <w:r>
        <w:rPr>
          <w:rFonts w:hint="eastAsia" w:ascii="宋体" w:hAnsi="宋体" w:eastAsia="宋体" w:cs="宋体"/>
          <w:i w:val="0"/>
          <w:caps w:val="0"/>
          <w:color w:val="333333"/>
          <w:spacing w:val="0"/>
          <w:sz w:val="32"/>
          <w:szCs w:val="32"/>
          <w:shd w:val="clear" w:fill="FFFFFF"/>
        </w:rPr>
        <w:t>条。全年无不予公开、无法提供、不予处理的情况。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0"/>
        <w:jc w:val="both"/>
        <w:rPr>
          <w:rFonts w:ascii="SourceHanSansCN-Regular" w:hAnsi="SourceHanSansCN-Regular" w:eastAsia="SourceHanSansCN-Regular" w:cs="SourceHanSansCN-Regular"/>
          <w:i w:val="0"/>
          <w:caps w:val="0"/>
          <w:color w:val="333333"/>
          <w:spacing w:val="0"/>
          <w:sz w:val="31"/>
          <w:szCs w:val="31"/>
        </w:rPr>
      </w:pPr>
      <w:r>
        <w:rPr>
          <w:rFonts w:hint="eastAsia" w:ascii="宋体" w:hAnsi="宋体" w:eastAsia="宋体" w:cs="宋体"/>
          <w:i w:val="0"/>
          <w:caps w:val="0"/>
          <w:color w:val="333333"/>
          <w:spacing w:val="0"/>
          <w:kern w:val="0"/>
          <w:sz w:val="32"/>
          <w:szCs w:val="32"/>
          <w:shd w:val="clear" w:fill="FFFFFF"/>
          <w:lang w:val="en-US" w:eastAsia="zh-CN" w:bidi="ar"/>
        </w:rPr>
        <w:t>2.政府信息管理全面标准。严格按照《中华人民共和国政府信息公开条例》和政务公开相关规定制度等有关要求进行政府各项工作的公开，严抓发布前核实、发布后更新及文件有效性管理。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SourceHanSansCN-Regular" w:hAnsi="SourceHanSansCN-Regular" w:eastAsia="SourceHanSansCN-Regular" w:cs="SourceHanSansCN-Regular"/>
          <w:i w:val="0"/>
          <w:caps w:val="0"/>
          <w:color w:val="333333"/>
          <w:spacing w:val="0"/>
          <w:sz w:val="31"/>
          <w:szCs w:val="31"/>
        </w:rPr>
      </w:pPr>
      <w:r>
        <w:rPr>
          <w:rFonts w:hint="eastAsia" w:ascii="宋体" w:hAnsi="宋体" w:eastAsia="宋体" w:cs="宋体"/>
          <w:i w:val="0"/>
          <w:caps w:val="0"/>
          <w:color w:val="333333"/>
          <w:spacing w:val="0"/>
          <w:kern w:val="0"/>
          <w:sz w:val="32"/>
          <w:szCs w:val="32"/>
          <w:shd w:val="clear" w:fill="FFFFFF"/>
          <w:lang w:val="en-US" w:eastAsia="zh-CN" w:bidi="ar"/>
        </w:rPr>
        <w:t>3.平台建设依法规范。坚持以政府网站为主要平台，做按照政府网站建设指引和考核要求，进一步提升信息公开平台发布功能，规范栏目设置。在便民服务中心设立政务公开体验区，提供公开的政府文件、报纸及相关宣传手册供办事群众传阅，有效扩大群众获取政府信息的渠道，切实提高政府工作的透明度，提高政府公信力、执行力，营造良好的信息公开氛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default" w:ascii="SourceHanSansCN-Regular" w:hAnsi="SourceHanSansCN-Regular" w:eastAsia="SourceHanSansCN-Regular" w:cs="SourceHanSansCN-Regular"/>
          <w:i w:val="0"/>
          <w:caps w:val="0"/>
          <w:color w:val="333333"/>
          <w:spacing w:val="0"/>
          <w:sz w:val="31"/>
          <w:szCs w:val="31"/>
        </w:rPr>
      </w:pPr>
      <w:r>
        <w:rPr>
          <w:rFonts w:hint="eastAsia" w:ascii="宋体" w:hAnsi="宋体" w:eastAsia="宋体" w:cs="宋体"/>
          <w:i w:val="0"/>
          <w:caps w:val="0"/>
          <w:color w:val="333333"/>
          <w:spacing w:val="0"/>
          <w:kern w:val="0"/>
          <w:sz w:val="32"/>
          <w:szCs w:val="32"/>
          <w:shd w:val="clear" w:fill="FFFFFF"/>
          <w:lang w:val="en-US" w:eastAsia="zh-CN" w:bidi="ar"/>
        </w:rPr>
        <w:t>4.监督保障逐步提升。根据《条例》规定，我乡在推进政府信息公开工作的过程中，严格执行信息发布审核机制，及时发现问题并整改，全面落实监督岗位责任，不断提高政府信息公开工作的质量和水平。</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420" w:leftChars="0" w:right="0" w:rightChars="0"/>
        <w:jc w:val="both"/>
        <w:rPr>
          <w:rFonts w:hint="eastAsia" w:ascii="宋体" w:hAnsi="宋体" w:eastAsia="宋体" w:cs="宋体"/>
          <w:i w:val="0"/>
          <w:caps w:val="0"/>
          <w:color w:val="333333"/>
          <w:spacing w:val="0"/>
          <w:sz w:val="32"/>
          <w:szCs w:val="32"/>
          <w:shd w:val="clear" w:fill="FFFFFF"/>
          <w:lang w:eastAsia="zh-CN"/>
        </w:rPr>
      </w:pPr>
    </w:p>
    <w:p>
      <w:pPr>
        <w:numPr>
          <w:ilvl w:val="0"/>
          <w:numId w:val="0"/>
        </w:numPr>
        <w:spacing w:line="54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主动公开政府信息情况</w:t>
      </w:r>
    </w:p>
    <w:tbl>
      <w:tblPr>
        <w:tblStyle w:val="4"/>
        <w:tblW w:w="84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9"/>
        <w:gridCol w:w="2115"/>
        <w:gridCol w:w="2025"/>
        <w:gridCol w:w="2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211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本年制发件数</w:t>
            </w:r>
          </w:p>
        </w:tc>
        <w:tc>
          <w:tcPr>
            <w:tcW w:w="202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本年废止件数</w:t>
            </w:r>
          </w:p>
        </w:tc>
        <w:tc>
          <w:tcPr>
            <w:tcW w:w="2295"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shd w:val="clear" w:color="auto" w:fill="auto"/>
            <w:vAlign w:val="center"/>
          </w:tcPr>
          <w:p>
            <w:pPr>
              <w:spacing w:line="460" w:lineRule="exact"/>
              <w:jc w:val="center"/>
              <w:rPr>
                <w:rFonts w:ascii="仿宋" w:hAnsi="仿宋" w:eastAsia="仿宋" w:cs="仿宋"/>
                <w:sz w:val="24"/>
              </w:rPr>
            </w:pPr>
            <w:r>
              <w:rPr>
                <w:rFonts w:hint="eastAsia" w:ascii="仿宋" w:hAnsi="仿宋" w:eastAsia="仿宋" w:cs="仿宋"/>
                <w:sz w:val="24"/>
              </w:rPr>
              <w:t>规    章</w:t>
            </w:r>
          </w:p>
        </w:tc>
        <w:tc>
          <w:tcPr>
            <w:tcW w:w="211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规范性文件</w:t>
            </w:r>
          </w:p>
        </w:tc>
        <w:tc>
          <w:tcPr>
            <w:tcW w:w="2115"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025"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295" w:type="dxa"/>
            <w:shd w:val="clear" w:color="auto" w:fill="auto"/>
          </w:tcPr>
          <w:p>
            <w:pPr>
              <w:spacing w:line="460" w:lineRule="exact"/>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435"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行政许可</w:t>
            </w:r>
          </w:p>
        </w:tc>
        <w:tc>
          <w:tcPr>
            <w:tcW w:w="6435" w:type="dxa"/>
            <w:gridSpan w:val="3"/>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435"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行政处罚</w:t>
            </w:r>
          </w:p>
        </w:tc>
        <w:tc>
          <w:tcPr>
            <w:tcW w:w="6435" w:type="dxa"/>
            <w:gridSpan w:val="3"/>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行政强制</w:t>
            </w:r>
          </w:p>
        </w:tc>
        <w:tc>
          <w:tcPr>
            <w:tcW w:w="6435" w:type="dxa"/>
            <w:gridSpan w:val="3"/>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84" w:type="dxa"/>
            <w:gridSpan w:val="4"/>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信息内容</w:t>
            </w:r>
          </w:p>
        </w:tc>
        <w:tc>
          <w:tcPr>
            <w:tcW w:w="6435" w:type="dxa"/>
            <w:gridSpan w:val="3"/>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9" w:type="dxa"/>
            <w:shd w:val="clear" w:color="auto" w:fill="auto"/>
          </w:tcPr>
          <w:p>
            <w:pPr>
              <w:spacing w:line="460" w:lineRule="exact"/>
              <w:jc w:val="center"/>
              <w:rPr>
                <w:rFonts w:ascii="仿宋" w:hAnsi="仿宋" w:eastAsia="仿宋" w:cs="仿宋"/>
                <w:sz w:val="24"/>
              </w:rPr>
            </w:pPr>
            <w:r>
              <w:rPr>
                <w:rFonts w:hint="eastAsia" w:ascii="仿宋" w:hAnsi="仿宋" w:eastAsia="仿宋" w:cs="仿宋"/>
                <w:sz w:val="24"/>
              </w:rPr>
              <w:t>行政事业性收费</w:t>
            </w:r>
          </w:p>
        </w:tc>
        <w:tc>
          <w:tcPr>
            <w:tcW w:w="6435" w:type="dxa"/>
            <w:gridSpan w:val="3"/>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r>
    </w:tbl>
    <w:p>
      <w:pPr>
        <w:spacing w:line="540" w:lineRule="exact"/>
        <w:rPr>
          <w:rFonts w:ascii="仿宋_GB2312" w:hAnsi="仿宋" w:eastAsia="仿宋_GB2312" w:cs="仿宋"/>
          <w:b/>
          <w:sz w:val="32"/>
          <w:szCs w:val="32"/>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三、</w:t>
      </w:r>
      <w:r>
        <w:rPr>
          <w:rFonts w:hint="eastAsia" w:ascii="黑体" w:hAnsi="黑体" w:eastAsia="黑体" w:cs="黑体"/>
          <w:b w:val="0"/>
          <w:bCs/>
          <w:sz w:val="32"/>
          <w:szCs w:val="32"/>
        </w:rPr>
        <w:t>收到和处理政府信息公开申请情况</w:t>
      </w:r>
    </w:p>
    <w:tbl>
      <w:tblPr>
        <w:tblStyle w:val="4"/>
        <w:tblW w:w="9046"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1053"/>
        <w:gridCol w:w="1134"/>
        <w:gridCol w:w="972"/>
        <w:gridCol w:w="1080"/>
        <w:gridCol w:w="1110"/>
        <w:gridCol w:w="80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vAlign w:val="center"/>
          </w:tcPr>
          <w:p>
            <w:pPr>
              <w:spacing w:line="460" w:lineRule="exact"/>
              <w:jc w:val="center"/>
              <w:rPr>
                <w:rFonts w:hint="eastAsia" w:ascii="仿宋" w:hAnsi="仿宋" w:eastAsia="仿宋" w:cs="仿宋"/>
                <w:sz w:val="24"/>
              </w:rPr>
            </w:pPr>
            <w:r>
              <w:rPr>
                <w:rFonts w:hint="eastAsia" w:ascii="仿宋" w:hAnsi="仿宋" w:eastAsia="仿宋" w:cs="仿宋"/>
                <w:sz w:val="24"/>
              </w:rPr>
              <w:t>本列数据的勾稽关系为：第一项加第二项之和，等于第三项加第四项之和</w:t>
            </w:r>
          </w:p>
        </w:tc>
        <w:tc>
          <w:tcPr>
            <w:tcW w:w="6865" w:type="dxa"/>
            <w:gridSpan w:val="7"/>
            <w:shd w:val="clear" w:color="auto" w:fill="auto"/>
            <w:vAlign w:val="center"/>
          </w:tcPr>
          <w:p>
            <w:pPr>
              <w:spacing w:line="460" w:lineRule="exact"/>
              <w:jc w:val="center"/>
              <w:rPr>
                <w:rFonts w:hint="eastAsia" w:ascii="仿宋" w:hAnsi="仿宋" w:eastAsia="仿宋" w:cs="仿宋"/>
                <w:sz w:val="24"/>
              </w:rPr>
            </w:pPr>
            <w:r>
              <w:rPr>
                <w:rFonts w:hint="eastAsia" w:ascii="仿宋" w:hAnsi="仿宋" w:eastAsia="仿宋" w:cs="仿宋"/>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vAlign w:val="center"/>
          </w:tcPr>
          <w:p>
            <w:pPr>
              <w:spacing w:line="460" w:lineRule="exact"/>
              <w:jc w:val="center"/>
              <w:rPr>
                <w:rFonts w:hint="eastAsia" w:ascii="仿宋" w:hAnsi="仿宋" w:eastAsia="仿宋" w:cs="仿宋"/>
                <w:sz w:val="24"/>
              </w:rPr>
            </w:pPr>
          </w:p>
        </w:tc>
        <w:tc>
          <w:tcPr>
            <w:tcW w:w="1053" w:type="dxa"/>
            <w:vMerge w:val="restart"/>
            <w:shd w:val="clear" w:color="auto" w:fill="auto"/>
            <w:vAlign w:val="center"/>
          </w:tcPr>
          <w:p>
            <w:pPr>
              <w:spacing w:line="460" w:lineRule="exact"/>
              <w:jc w:val="center"/>
              <w:rPr>
                <w:rFonts w:hint="eastAsia" w:ascii="仿宋" w:hAnsi="仿宋" w:eastAsia="仿宋" w:cs="仿宋"/>
                <w:sz w:val="24"/>
              </w:rPr>
            </w:pPr>
            <w:r>
              <w:rPr>
                <w:rFonts w:hint="eastAsia" w:ascii="仿宋" w:hAnsi="仿宋" w:eastAsia="仿宋" w:cs="仿宋"/>
                <w:sz w:val="24"/>
              </w:rPr>
              <w:t>自然人</w:t>
            </w:r>
          </w:p>
        </w:tc>
        <w:tc>
          <w:tcPr>
            <w:tcW w:w="5103" w:type="dxa"/>
            <w:gridSpan w:val="5"/>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法人或其他组织</w:t>
            </w:r>
          </w:p>
        </w:tc>
        <w:tc>
          <w:tcPr>
            <w:tcW w:w="709" w:type="dxa"/>
            <w:vMerge w:val="restart"/>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2181" w:type="dxa"/>
            <w:vMerge w:val="continue"/>
            <w:shd w:val="clear" w:color="auto" w:fill="auto"/>
            <w:vAlign w:val="center"/>
          </w:tcPr>
          <w:p>
            <w:pPr>
              <w:spacing w:line="300" w:lineRule="exact"/>
              <w:jc w:val="center"/>
              <w:rPr>
                <w:rFonts w:ascii="仿宋" w:hAnsi="仿宋" w:eastAsia="仿宋" w:cs="仿宋"/>
                <w:sz w:val="24"/>
                <w:szCs w:val="24"/>
              </w:rPr>
            </w:pPr>
          </w:p>
        </w:tc>
        <w:tc>
          <w:tcPr>
            <w:tcW w:w="1053" w:type="dxa"/>
            <w:vMerge w:val="continue"/>
            <w:shd w:val="clear" w:color="auto" w:fill="auto"/>
            <w:vAlign w:val="center"/>
          </w:tcPr>
          <w:p>
            <w:pPr>
              <w:spacing w:line="300" w:lineRule="exact"/>
              <w:jc w:val="center"/>
              <w:rPr>
                <w:rFonts w:ascii="仿宋" w:hAnsi="仿宋" w:eastAsia="仿宋" w:cs="仿宋"/>
                <w:sz w:val="24"/>
                <w:szCs w:val="24"/>
              </w:rPr>
            </w:pPr>
          </w:p>
        </w:tc>
        <w:tc>
          <w:tcPr>
            <w:tcW w:w="1134"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商业</w:t>
            </w:r>
          </w:p>
          <w:p>
            <w:pPr>
              <w:spacing w:line="300" w:lineRule="exact"/>
              <w:jc w:val="center"/>
              <w:rPr>
                <w:rFonts w:ascii="仿宋" w:hAnsi="仿宋" w:eastAsia="仿宋" w:cs="仿宋"/>
                <w:sz w:val="24"/>
                <w:szCs w:val="24"/>
              </w:rPr>
            </w:pPr>
            <w:r>
              <w:rPr>
                <w:rFonts w:hint="eastAsia" w:ascii="仿宋" w:hAnsi="仿宋" w:eastAsia="仿宋" w:cs="仿宋"/>
                <w:sz w:val="24"/>
                <w:szCs w:val="24"/>
              </w:rPr>
              <w:t>企业</w:t>
            </w:r>
          </w:p>
        </w:tc>
        <w:tc>
          <w:tcPr>
            <w:tcW w:w="972"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科研</w:t>
            </w:r>
          </w:p>
          <w:p>
            <w:pPr>
              <w:spacing w:line="300" w:lineRule="exact"/>
              <w:jc w:val="center"/>
              <w:rPr>
                <w:rFonts w:ascii="仿宋" w:hAnsi="仿宋" w:eastAsia="仿宋" w:cs="仿宋"/>
                <w:sz w:val="24"/>
                <w:szCs w:val="24"/>
              </w:rPr>
            </w:pPr>
            <w:r>
              <w:rPr>
                <w:rFonts w:hint="eastAsia" w:ascii="仿宋" w:hAnsi="仿宋" w:eastAsia="仿宋" w:cs="仿宋"/>
                <w:sz w:val="24"/>
                <w:szCs w:val="24"/>
              </w:rPr>
              <w:t>机构</w:t>
            </w:r>
          </w:p>
        </w:tc>
        <w:tc>
          <w:tcPr>
            <w:tcW w:w="108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社会公益组织</w:t>
            </w:r>
          </w:p>
        </w:tc>
        <w:tc>
          <w:tcPr>
            <w:tcW w:w="1110"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法律服务机构</w:t>
            </w:r>
          </w:p>
        </w:tc>
        <w:tc>
          <w:tcPr>
            <w:tcW w:w="807" w:type="dxa"/>
            <w:shd w:val="clear" w:color="auto" w:fill="auto"/>
            <w:vAlign w:val="center"/>
          </w:tcPr>
          <w:p>
            <w:pPr>
              <w:spacing w:line="300" w:lineRule="exact"/>
              <w:jc w:val="center"/>
              <w:rPr>
                <w:rFonts w:ascii="仿宋" w:hAnsi="仿宋" w:eastAsia="仿宋" w:cs="仿宋"/>
                <w:sz w:val="24"/>
                <w:szCs w:val="24"/>
              </w:rPr>
            </w:pPr>
            <w:r>
              <w:rPr>
                <w:rFonts w:hint="eastAsia" w:ascii="仿宋" w:hAnsi="仿宋" w:eastAsia="仿宋" w:cs="仿宋"/>
                <w:sz w:val="24"/>
                <w:szCs w:val="24"/>
              </w:rPr>
              <w:t>其他</w:t>
            </w:r>
          </w:p>
        </w:tc>
        <w:tc>
          <w:tcPr>
            <w:tcW w:w="709" w:type="dxa"/>
            <w:vMerge w:val="continue"/>
            <w:shd w:val="clear" w:color="auto" w:fill="auto"/>
            <w:vAlign w:val="center"/>
          </w:tcPr>
          <w:p>
            <w:pPr>
              <w:spacing w:line="30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rPr>
              <w:t>一、本</w:t>
            </w:r>
            <w:r>
              <w:rPr>
                <w:rFonts w:hint="eastAsia" w:ascii="仿宋" w:hAnsi="仿宋" w:eastAsia="仿宋" w:cs="仿宋"/>
                <w:sz w:val="24"/>
                <w:szCs w:val="24"/>
              </w:rPr>
              <w:t>年新收政府信息公开申请数量</w:t>
            </w:r>
          </w:p>
        </w:tc>
        <w:tc>
          <w:tcPr>
            <w:tcW w:w="1053"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34"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sz w:val="24"/>
                <w:szCs w:val="24"/>
              </w:rPr>
            </w:pPr>
            <w:r>
              <w:rPr>
                <w:rFonts w:hint="eastAsia" w:ascii="仿宋" w:hAnsi="仿宋" w:eastAsia="仿宋" w:cs="仿宋"/>
                <w:b/>
                <w:color w:val="auto"/>
                <w:sz w:val="24"/>
                <w:szCs w:val="24"/>
              </w:rPr>
              <w:t>二</w:t>
            </w:r>
            <w:r>
              <w:rPr>
                <w:rFonts w:hint="eastAsia" w:ascii="仿宋" w:hAnsi="仿宋" w:eastAsia="仿宋" w:cs="仿宋"/>
                <w:color w:val="auto"/>
                <w:sz w:val="24"/>
                <w:szCs w:val="24"/>
              </w:rPr>
              <w:t>、上</w:t>
            </w:r>
            <w:r>
              <w:rPr>
                <w:rFonts w:hint="eastAsia" w:ascii="仿宋" w:hAnsi="仿宋" w:eastAsia="仿宋" w:cs="仿宋"/>
                <w:sz w:val="24"/>
                <w:szCs w:val="24"/>
              </w:rPr>
              <w:t>年结转政府信息公开申请数量</w:t>
            </w:r>
          </w:p>
        </w:tc>
        <w:tc>
          <w:tcPr>
            <w:tcW w:w="1053"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34"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b/>
                <w:color w:val="auto"/>
                <w:sz w:val="24"/>
                <w:szCs w:val="24"/>
              </w:rPr>
              <w:t>三</w:t>
            </w:r>
            <w:r>
              <w:rPr>
                <w:rFonts w:hint="eastAsia" w:ascii="仿宋" w:hAnsi="仿宋" w:eastAsia="仿宋" w:cs="仿宋"/>
                <w:color w:val="auto"/>
                <w:sz w:val="24"/>
                <w:szCs w:val="24"/>
              </w:rPr>
              <w:t>、</w:t>
            </w:r>
            <w:r>
              <w:rPr>
                <w:rFonts w:hint="eastAsia" w:ascii="仿宋" w:hAnsi="仿宋" w:eastAsia="仿宋" w:cs="仿宋"/>
                <w:sz w:val="24"/>
                <w:szCs w:val="24"/>
              </w:rPr>
              <w:t>本年度办理结果</w:t>
            </w: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（一）予以公开</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2187"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（二）部分公开（区分处理的，只记这一情形，不记其他情形）</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vAlign w:val="center"/>
          </w:tcPr>
          <w:p>
            <w:pPr>
              <w:spacing w:line="300" w:lineRule="exact"/>
              <w:rPr>
                <w:rFonts w:ascii="仿宋" w:hAnsi="仿宋" w:eastAsia="仿宋" w:cs="仿宋"/>
                <w:sz w:val="24"/>
                <w:szCs w:val="24"/>
              </w:rPr>
            </w:pPr>
            <w:r>
              <w:rPr>
                <w:rFonts w:hint="eastAsia" w:ascii="仿宋" w:hAnsi="仿宋" w:eastAsia="仿宋" w:cs="仿宋"/>
                <w:sz w:val="24"/>
                <w:szCs w:val="24"/>
              </w:rPr>
              <w:t>（三）不予公开</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1.属于国家秘密</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2.其他法律行政法规禁止公开</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3.危及“三安全一稳定”</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jc w:val="center"/>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4.保护第三方合法权益</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5.属于三类内部事务信息</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6.属于四类过程性信息</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7.属于行政执法案卷</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8.属于行政查询事项</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（四）无法提供</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1.本机关不掌握相关政府信息</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2.没有现成信息需要另行制作</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3.补正后申请内容仍不明确</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（五）不予处理</w:t>
            </w: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1.信访投诉举报类申请</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2.重复申请</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3.要求提供公开出版物</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4.无正当理由大量反复申请</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continue"/>
            <w:shd w:val="clear" w:color="auto" w:fill="auto"/>
          </w:tcPr>
          <w:p>
            <w:pPr>
              <w:spacing w:line="300" w:lineRule="exact"/>
              <w:rPr>
                <w:rFonts w:ascii="仿宋" w:hAnsi="仿宋" w:eastAsia="仿宋" w:cs="仿宋"/>
                <w:sz w:val="24"/>
                <w:szCs w:val="24"/>
              </w:rPr>
            </w:pPr>
          </w:p>
        </w:tc>
        <w:tc>
          <w:tcPr>
            <w:tcW w:w="1134"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5.要求行政机关确认或重新出具已获取信息</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181" w:type="dxa"/>
            <w:vMerge w:val="continue"/>
            <w:shd w:val="clear" w:color="auto" w:fill="auto"/>
          </w:tcPr>
          <w:p>
            <w:pPr>
              <w:spacing w:line="300" w:lineRule="exact"/>
              <w:rPr>
                <w:rFonts w:ascii="仿宋" w:hAnsi="仿宋" w:eastAsia="仿宋" w:cs="仿宋"/>
                <w:sz w:val="24"/>
                <w:szCs w:val="24"/>
              </w:rPr>
            </w:pPr>
          </w:p>
        </w:tc>
        <w:tc>
          <w:tcPr>
            <w:tcW w:w="1053"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（六）其他处理</w:t>
            </w:r>
          </w:p>
        </w:tc>
        <w:tc>
          <w:tcPr>
            <w:tcW w:w="1134" w:type="dxa"/>
            <w:shd w:val="clear" w:color="auto" w:fill="auto"/>
          </w:tcPr>
          <w:p>
            <w:pPr>
              <w:spacing w:line="300" w:lineRule="exact"/>
              <w:rPr>
                <w:rFonts w:hint="eastAsia" w:ascii="仿宋" w:hAnsi="仿宋" w:eastAsia="仿宋" w:cs="仿宋"/>
                <w:sz w:val="24"/>
                <w:szCs w:val="24"/>
              </w:rPr>
            </w:pPr>
            <w:r>
              <w:rPr>
                <w:rFonts w:hint="eastAsia" w:ascii="仿宋" w:hAnsi="仿宋" w:eastAsia="仿宋" w:cs="仿宋"/>
                <w:sz w:val="24"/>
                <w:szCs w:val="24"/>
              </w:rPr>
              <w:t>1.申请人无正当理由逾期不补正、行政机关不再处理其政府信息公开申请</w:t>
            </w:r>
          </w:p>
        </w:tc>
        <w:tc>
          <w:tcPr>
            <w:tcW w:w="972" w:type="dxa"/>
            <w:vMerge w:val="restart"/>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vMerge w:val="restart"/>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vMerge w:val="restart"/>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vMerge w:val="restart"/>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vMerge w:val="restart"/>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2181" w:type="dxa"/>
            <w:vMerge w:val="continue"/>
            <w:shd w:val="clear" w:color="auto" w:fill="auto"/>
          </w:tcPr>
          <w:p>
            <w:pPr>
              <w:spacing w:line="300" w:lineRule="exact"/>
            </w:pPr>
          </w:p>
        </w:tc>
        <w:tc>
          <w:tcPr>
            <w:tcW w:w="1053" w:type="dxa"/>
            <w:vMerge w:val="continue"/>
            <w:shd w:val="clear" w:color="auto" w:fill="auto"/>
          </w:tcPr>
          <w:p>
            <w:pPr>
              <w:spacing w:line="300" w:lineRule="exact"/>
            </w:pPr>
          </w:p>
        </w:tc>
        <w:tc>
          <w:tcPr>
            <w:tcW w:w="1134" w:type="dxa"/>
            <w:shd w:val="clear" w:color="auto" w:fill="auto"/>
          </w:tcPr>
          <w:p>
            <w:pPr>
              <w:spacing w:line="300" w:lineRule="exact"/>
              <w:rPr>
                <w:rFonts w:hint="eastAsia" w:ascii="仿宋" w:hAnsi="仿宋" w:eastAsia="仿宋" w:cs="仿宋"/>
                <w:sz w:val="24"/>
                <w:szCs w:val="24"/>
              </w:rPr>
            </w:pPr>
            <w:r>
              <w:rPr>
                <w:rFonts w:hint="eastAsia" w:ascii="仿宋" w:hAnsi="仿宋" w:eastAsia="仿宋" w:cs="仿宋"/>
                <w:sz w:val="24"/>
                <w:szCs w:val="24"/>
              </w:rPr>
              <w:t>2.申请人逾期未按收费通知要求缴纳费用、行政机关不再处理其政府信息公开申请</w:t>
            </w:r>
          </w:p>
        </w:tc>
        <w:tc>
          <w:tcPr>
            <w:tcW w:w="972" w:type="dxa"/>
            <w:vMerge w:val="continue"/>
            <w:shd w:val="clear" w:color="auto" w:fill="auto"/>
          </w:tcPr>
          <w:p>
            <w:pPr>
              <w:spacing w:line="300" w:lineRule="exact"/>
              <w:rPr>
                <w:rFonts w:hint="eastAsia" w:ascii="仿宋" w:hAnsi="仿宋" w:eastAsia="仿宋" w:cs="仿宋"/>
                <w:sz w:val="24"/>
                <w:szCs w:val="24"/>
              </w:rPr>
            </w:pPr>
          </w:p>
        </w:tc>
        <w:tc>
          <w:tcPr>
            <w:tcW w:w="1080" w:type="dxa"/>
            <w:vMerge w:val="continue"/>
            <w:shd w:val="clear" w:color="auto" w:fill="auto"/>
          </w:tcPr>
          <w:p>
            <w:pPr>
              <w:spacing w:line="300" w:lineRule="exact"/>
              <w:rPr>
                <w:rFonts w:hint="eastAsia" w:ascii="仿宋" w:hAnsi="仿宋" w:eastAsia="仿宋" w:cs="仿宋"/>
                <w:sz w:val="24"/>
                <w:szCs w:val="24"/>
              </w:rPr>
            </w:pPr>
          </w:p>
        </w:tc>
        <w:tc>
          <w:tcPr>
            <w:tcW w:w="1110" w:type="dxa"/>
            <w:vMerge w:val="continue"/>
            <w:shd w:val="clear" w:color="auto" w:fill="auto"/>
          </w:tcPr>
          <w:p>
            <w:pPr>
              <w:spacing w:line="300" w:lineRule="exact"/>
              <w:rPr>
                <w:rFonts w:hint="eastAsia" w:ascii="仿宋" w:hAnsi="仿宋" w:eastAsia="仿宋" w:cs="仿宋"/>
                <w:sz w:val="24"/>
                <w:szCs w:val="24"/>
              </w:rPr>
            </w:pPr>
          </w:p>
        </w:tc>
        <w:tc>
          <w:tcPr>
            <w:tcW w:w="807" w:type="dxa"/>
            <w:vMerge w:val="continue"/>
            <w:shd w:val="clear" w:color="auto" w:fill="auto"/>
          </w:tcPr>
          <w:p>
            <w:pPr>
              <w:spacing w:line="300" w:lineRule="exact"/>
              <w:rPr>
                <w:rFonts w:hint="eastAsia" w:ascii="仿宋" w:hAnsi="仿宋" w:eastAsia="仿宋" w:cs="仿宋"/>
                <w:sz w:val="24"/>
                <w:szCs w:val="24"/>
              </w:rPr>
            </w:pPr>
          </w:p>
        </w:tc>
        <w:tc>
          <w:tcPr>
            <w:tcW w:w="709" w:type="dxa"/>
            <w:vMerge w:val="continue"/>
            <w:shd w:val="clear" w:color="auto" w:fill="auto"/>
          </w:tcPr>
          <w:p>
            <w:pPr>
              <w:spacing w:line="300" w:lineRule="exac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1" w:type="dxa"/>
            <w:shd w:val="clear" w:color="auto" w:fill="auto"/>
          </w:tcPr>
          <w:p>
            <w:pPr>
              <w:spacing w:line="300" w:lineRule="exact"/>
              <w:rPr>
                <w:rFonts w:ascii="仿宋" w:hAnsi="仿宋" w:eastAsia="仿宋" w:cs="仿宋"/>
                <w:color w:val="auto"/>
                <w:sz w:val="24"/>
                <w:szCs w:val="24"/>
              </w:rPr>
            </w:pPr>
          </w:p>
        </w:tc>
        <w:tc>
          <w:tcPr>
            <w:tcW w:w="2187" w:type="dxa"/>
            <w:gridSpan w:val="2"/>
            <w:shd w:val="clear" w:color="auto" w:fill="auto"/>
          </w:tcPr>
          <w:p>
            <w:pPr>
              <w:spacing w:line="300" w:lineRule="exact"/>
              <w:rPr>
                <w:rFonts w:hint="eastAsia" w:ascii="仿宋" w:hAnsi="仿宋" w:eastAsia="仿宋" w:cs="仿宋"/>
                <w:color w:val="auto"/>
                <w:sz w:val="24"/>
                <w:szCs w:val="24"/>
              </w:rPr>
            </w:pPr>
            <w:r>
              <w:rPr>
                <w:rFonts w:hint="eastAsia" w:ascii="仿宋" w:hAnsi="仿宋" w:eastAsia="仿宋" w:cs="仿宋"/>
                <w:color w:val="auto"/>
                <w:sz w:val="24"/>
                <w:szCs w:val="24"/>
              </w:rPr>
              <w:t>（七）总计</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68" w:type="dxa"/>
            <w:gridSpan w:val="3"/>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b/>
                <w:color w:val="auto"/>
                <w:sz w:val="24"/>
                <w:szCs w:val="24"/>
              </w:rPr>
              <w:t>四</w:t>
            </w:r>
            <w:r>
              <w:rPr>
                <w:rFonts w:hint="eastAsia" w:ascii="仿宋" w:hAnsi="仿宋" w:eastAsia="仿宋" w:cs="仿宋"/>
                <w:color w:val="auto"/>
                <w:sz w:val="24"/>
                <w:szCs w:val="24"/>
              </w:rPr>
              <w:t>、结转下年度继续办理</w:t>
            </w:r>
          </w:p>
        </w:tc>
        <w:tc>
          <w:tcPr>
            <w:tcW w:w="972"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8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110"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0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09"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spacing w:line="540" w:lineRule="exact"/>
        <w:ind w:left="640"/>
        <w:rPr>
          <w:rFonts w:ascii="仿宋" w:hAnsi="仿宋" w:eastAsia="仿宋" w:cs="仿宋"/>
        </w:rPr>
      </w:pPr>
    </w:p>
    <w:p>
      <w:pPr>
        <w:numPr>
          <w:ilvl w:val="0"/>
          <w:numId w:val="0"/>
        </w:numPr>
        <w:spacing w:line="540" w:lineRule="exact"/>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680"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trPr>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jc w:val="center"/>
              <w:rPr>
                <w:rFonts w:hint="default"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caps w:val="0"/>
          <w:color w:val="333333"/>
          <w:spacing w:val="0"/>
          <w:sz w:val="32"/>
          <w:szCs w:val="32"/>
        </w:rPr>
      </w:pPr>
    </w:p>
    <w:p>
      <w:pPr>
        <w:pStyle w:val="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shd w:val="clear" w:fill="FFFFFF"/>
        </w:rPr>
      </w:pPr>
      <w:r>
        <w:rPr>
          <w:rFonts w:hint="eastAsia" w:ascii="黑体" w:hAnsi="黑体" w:eastAsia="黑体" w:cs="黑体"/>
          <w:b w:val="0"/>
          <w:bCs/>
          <w:i w:val="0"/>
          <w:caps w:val="0"/>
          <w:color w:val="333333"/>
          <w:spacing w:val="0"/>
          <w:sz w:val="32"/>
          <w:szCs w:val="32"/>
          <w:shd w:val="clear" w:fill="FFFFFF"/>
        </w:rPr>
        <w:t>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存在的问题：一是政务公开信息内容单一、人民群众关心的热点问题公开信息不多。二是虽成立了信息公开工作机构，但是存在对信息公开政策领会不深、业务不精等现象，偶尔无法对信息公开的范围、内容、方式等作出准确的判断、对信息界定上有偏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Times New Roman" w:hAnsi="Times New Roman" w:eastAsia="仿宋_GB2312" w:cs="Times New Roman"/>
          <w:color w:val="000000"/>
          <w:kern w:val="0"/>
          <w:sz w:val="32"/>
          <w:szCs w:val="32"/>
          <w:lang w:val="en-US" w:eastAsia="zh-CN"/>
        </w:rPr>
      </w:pPr>
      <w:r>
        <w:rPr>
          <w:rFonts w:hint="eastAsia" w:ascii="Times New Roman" w:hAnsi="Times New Roman" w:eastAsia="仿宋_GB2312" w:cs="Times New Roman"/>
          <w:color w:val="000000"/>
          <w:kern w:val="0"/>
          <w:sz w:val="32"/>
          <w:szCs w:val="32"/>
          <w:lang w:val="en-US" w:eastAsia="zh-CN"/>
        </w:rPr>
        <w:t>改进措施：运用多形式加大信息公开力度，进一步建立健全内外并举的监督制约，督察督办工作机制。加强服务意识、提高专业技能，培养专业人才。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黑体" w:hAnsi="黑体" w:eastAsia="黑体" w:cs="黑体"/>
          <w:b w:val="0"/>
          <w:bCs/>
          <w:i w:val="0"/>
          <w:caps w:val="0"/>
          <w:color w:val="333333"/>
          <w:spacing w:val="0"/>
          <w:sz w:val="32"/>
          <w:szCs w:val="32"/>
        </w:rPr>
      </w:pPr>
      <w:r>
        <w:rPr>
          <w:rFonts w:hint="eastAsia" w:ascii="黑体" w:hAnsi="黑体" w:eastAsia="黑体" w:cs="黑体"/>
          <w:b w:val="0"/>
          <w:bCs/>
          <w:i w:val="0"/>
          <w:caps w:val="0"/>
          <w:color w:val="333333"/>
          <w:spacing w:val="0"/>
          <w:sz w:val="32"/>
          <w:szCs w:val="32"/>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sz w:val="32"/>
          <w:szCs w:val="32"/>
          <w:lang w:val="en-US" w:eastAsia="zh-CN"/>
        </w:rPr>
      </w:pPr>
      <w:r>
        <w:rPr>
          <w:rFonts w:hint="eastAsia" w:ascii="Times New Roman" w:hAnsi="Times New Roman" w:eastAsia="仿宋_GB2312" w:cs="Times New Roman"/>
          <w:color w:val="000000"/>
          <w:kern w:val="0"/>
          <w:sz w:val="32"/>
          <w:szCs w:val="32"/>
          <w:lang w:val="en-US" w:eastAsia="zh-CN"/>
        </w:rPr>
        <w:t>无其他需要报告的事项。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F25127"/>
    <w:multiLevelType w:val="singleLevel"/>
    <w:tmpl w:val="A3F25127"/>
    <w:lvl w:ilvl="0" w:tentative="0">
      <w:start w:val="5"/>
      <w:numFmt w:val="chineseCounting"/>
      <w:suff w:val="nothing"/>
      <w:lvlText w:val="%1、"/>
      <w:lvlJc w:val="left"/>
      <w:rPr>
        <w:rFonts w:hint="eastAsia"/>
      </w:rPr>
    </w:lvl>
  </w:abstractNum>
  <w:abstractNum w:abstractNumId="1">
    <w:nsid w:val="E49DB681"/>
    <w:multiLevelType w:val="singleLevel"/>
    <w:tmpl w:val="E49DB68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E7DFB"/>
    <w:rsid w:val="00C2189F"/>
    <w:rsid w:val="05CE19E6"/>
    <w:rsid w:val="072F4BA5"/>
    <w:rsid w:val="0F42566A"/>
    <w:rsid w:val="0FE32618"/>
    <w:rsid w:val="0FE520F3"/>
    <w:rsid w:val="15E61E56"/>
    <w:rsid w:val="17534F7D"/>
    <w:rsid w:val="1B931963"/>
    <w:rsid w:val="23B06487"/>
    <w:rsid w:val="2480713E"/>
    <w:rsid w:val="49D83095"/>
    <w:rsid w:val="4ADE6079"/>
    <w:rsid w:val="4E1451CD"/>
    <w:rsid w:val="519D4381"/>
    <w:rsid w:val="566E50F8"/>
    <w:rsid w:val="56857A37"/>
    <w:rsid w:val="5FCE6A83"/>
    <w:rsid w:val="60656BB8"/>
    <w:rsid w:val="668427A2"/>
    <w:rsid w:val="6EB526D3"/>
    <w:rsid w:val="6EC41F3F"/>
    <w:rsid w:val="71EE731E"/>
    <w:rsid w:val="78475974"/>
    <w:rsid w:val="7B440FF1"/>
    <w:rsid w:val="7D7C7DE7"/>
    <w:rsid w:val="7ED50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Administrator</cp:lastModifiedBy>
  <dcterms:modified xsi:type="dcterms:W3CDTF">2022-01-06T08:34:55Z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75CDBD6D28A24525B60B1CF8FB539A30</vt:lpwstr>
  </property>
</Properties>
</file>