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shd w:val="clear" w:color="auto" w:fill="FFFFFF"/>
        <w:spacing w:beforeAutospacing="0" w:afterAutospacing="0" w:line="560" w:lineRule="exact"/>
        <w:jc w:val="center"/>
        <w:rPr>
          <w:rFonts w:hint="eastAsia" w:ascii="宋体" w:hAnsi="宋体" w:eastAsia="宋体" w:cs="宋体"/>
          <w:color w:val="333333"/>
          <w:sz w:val="36"/>
          <w:szCs w:val="36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color w:val="333333"/>
          <w:sz w:val="44"/>
          <w:szCs w:val="44"/>
          <w:shd w:val="clear" w:color="auto" w:fill="FFFFFF"/>
          <w:lang w:val="en-US" w:eastAsia="zh-CN"/>
        </w:rPr>
        <w:t>上高县</w:t>
      </w:r>
      <w:r>
        <w:rPr>
          <w:rFonts w:hint="eastAsia" w:ascii="方正小标宋简体" w:hAnsi="方正小标宋简体" w:eastAsia="方正小标宋简体" w:cs="方正小标宋简体"/>
          <w:color w:val="333333"/>
          <w:sz w:val="44"/>
          <w:szCs w:val="44"/>
          <w:shd w:val="clear" w:color="auto" w:fill="FFFFFF"/>
          <w:lang w:val="en-US" w:eastAsia="zh-CN"/>
        </w:rPr>
        <w:t>锦阳</w:t>
      </w:r>
      <w:r>
        <w:rPr>
          <w:rFonts w:hint="eastAsia" w:ascii="方正小标宋简体" w:hAnsi="方正小标宋简体" w:eastAsia="方正小标宋简体" w:cs="方正小标宋简体"/>
          <w:color w:val="333333"/>
          <w:sz w:val="44"/>
          <w:szCs w:val="44"/>
          <w:shd w:val="clear" w:color="auto" w:fill="FFFFFF"/>
          <w:lang w:eastAsia="zh-CN"/>
        </w:rPr>
        <w:t>街道</w:t>
      </w:r>
      <w:r>
        <w:rPr>
          <w:rFonts w:hint="eastAsia" w:ascii="方正小标宋简体" w:hAnsi="方正小标宋简体" w:eastAsia="方正小标宋简体" w:cs="方正小标宋简体"/>
          <w:color w:val="333333"/>
          <w:sz w:val="44"/>
          <w:szCs w:val="44"/>
          <w:shd w:val="clear" w:color="auto" w:fill="FFFFFF"/>
          <w:lang w:val="en-US" w:eastAsia="zh-CN"/>
        </w:rPr>
        <w:t>办事处</w:t>
      </w:r>
      <w:r>
        <w:rPr>
          <w:rFonts w:hint="eastAsia" w:ascii="方正小标宋简体" w:hAnsi="方正小标宋简体" w:eastAsia="方正小标宋简体" w:cs="方正小标宋简体"/>
          <w:color w:val="333333"/>
          <w:sz w:val="44"/>
          <w:szCs w:val="44"/>
          <w:shd w:val="clear" w:color="auto" w:fill="FFFFFF"/>
        </w:rPr>
        <w:t>2023年政府信息公开工作年度报告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宋体" w:hAnsi="宋体" w:eastAsia="宋体" w:cs="宋体"/>
          <w:color w:val="333333"/>
          <w:sz w:val="32"/>
          <w:szCs w:val="32"/>
          <w:shd w:val="clear" w:color="auto" w:fill="FFFFFF"/>
        </w:rPr>
      </w:pP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本报告根据《中华人民共和国政府信息公开条例》（以下简称《条例》）、《中华人民共和国政府信息公开工作年度报告格式》（国办公开办函〔2021〕30号）要求，由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val="en-US" w:eastAsia="zh-CN"/>
        </w:rPr>
        <w:t>锦阳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eastAsia="zh-CN"/>
        </w:rPr>
        <w:t>街道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结合有关统计数据编制。本年度报告中所列数据的统计期限自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eastAsia="zh-CN"/>
        </w:rPr>
        <w:t>202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年1月1日起至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eastAsia="zh-CN"/>
        </w:rPr>
        <w:t>202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年12月31日止。如对本报告有任何疑问，请与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val="en-US" w:eastAsia="zh-CN"/>
        </w:rPr>
        <w:t>锦阳街道办事处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党政办公室联系（地址：上高县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val="en-US" w:eastAsia="zh-CN"/>
        </w:rPr>
        <w:t>镜山大道21号锦阳街道办事处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，电话：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val="en-US" w:eastAsia="zh-CN"/>
        </w:rPr>
        <w:t>0795-2508802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，邮编：336400）。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/>
        <w:ind w:firstLine="643" w:firstLineChars="200"/>
        <w:jc w:val="both"/>
        <w:textAlignment w:val="auto"/>
        <w:rPr>
          <w:rFonts w:hint="eastAsia" w:ascii="黑体" w:hAnsi="黑体" w:eastAsia="黑体" w:cs="黑体"/>
          <w:b/>
          <w:bCs w:val="0"/>
          <w:sz w:val="32"/>
          <w:szCs w:val="32"/>
        </w:rPr>
      </w:pPr>
      <w:r>
        <w:rPr>
          <w:rFonts w:hint="eastAsia" w:ascii="黑体" w:hAnsi="黑体" w:eastAsia="黑体" w:cs="黑体"/>
          <w:b/>
          <w:bCs w:val="0"/>
          <w:sz w:val="32"/>
          <w:szCs w:val="32"/>
          <w:lang w:val="en-US" w:eastAsia="zh-CN"/>
        </w:rPr>
        <w:t>一、</w:t>
      </w:r>
      <w:r>
        <w:rPr>
          <w:rFonts w:hint="eastAsia" w:ascii="黑体" w:hAnsi="黑体" w:eastAsia="黑体" w:cs="黑体"/>
          <w:b/>
          <w:bCs w:val="0"/>
          <w:sz w:val="32"/>
          <w:szCs w:val="32"/>
        </w:rPr>
        <w:t>总体情况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202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年，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val="en-US" w:eastAsia="zh-CN"/>
        </w:rPr>
        <w:t>锦阳街道办事处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坚持以习近平新时代中国特色社会主义思想为指导，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val="en-US" w:eastAsia="zh-CN"/>
        </w:rPr>
        <w:t>深入贯彻党的二十大精神以及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国家、省、市关于全面推进政务公开工作的重要部署，围绕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val="en-US" w:eastAsia="zh-CN"/>
        </w:rPr>
        <w:t>街道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中心工作和人民群众所需所盼，高质量推进政府信息公开工作，取得新的成效。截止202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年底，我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val="en-US" w:eastAsia="zh-CN"/>
        </w:rPr>
        <w:t>街道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信息公开工作运转正常。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3" w:firstLineChars="200"/>
        <w:jc w:val="both"/>
        <w:textAlignment w:val="auto"/>
        <w:rPr>
          <w:rFonts w:hint="eastAsia" w:ascii="仿宋" w:hAnsi="仿宋" w:eastAsia="仿宋" w:cs="仿宋"/>
          <w:b/>
          <w:color w:val="333333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b/>
          <w:color w:val="333333"/>
          <w:sz w:val="32"/>
          <w:szCs w:val="32"/>
          <w:shd w:val="clear" w:color="auto" w:fill="FFFFFF"/>
        </w:rPr>
        <w:t>（一）主动公</w:t>
      </w:r>
      <w:bookmarkStart w:id="0" w:name="_GoBack"/>
      <w:bookmarkEnd w:id="0"/>
      <w:r>
        <w:rPr>
          <w:rFonts w:hint="eastAsia" w:ascii="仿宋" w:hAnsi="仿宋" w:eastAsia="仿宋" w:cs="仿宋"/>
          <w:b/>
          <w:color w:val="333333"/>
          <w:sz w:val="32"/>
          <w:szCs w:val="32"/>
          <w:shd w:val="clear" w:color="auto" w:fill="FFFFFF"/>
        </w:rPr>
        <w:t>开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/>
          <w:bCs/>
          <w:i w:val="0"/>
          <w:iCs w:val="0"/>
          <w:caps w:val="0"/>
          <w:color w:val="FFFFFF"/>
          <w:spacing w:val="0"/>
          <w:sz w:val="32"/>
          <w:szCs w:val="32"/>
          <w:u w:val="single"/>
          <w:shd w:val="clear" w:fill="2D66A5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val="en-US" w:eastAsia="zh-CN"/>
        </w:rPr>
        <w:t>2023年，锦阳街道办事处信息公开工作按照“应公开、尽公开”的原则，以网上主动公开的形式，根据30个重点领域的标准公开目录进行任务分工和合理安排，压实工作责任，明确公开主体、强化公开实效。从决策公开、管理公开、服务公开、结果公开、执行公开五方面主动发布政府各类信息89条，进一步提高政府工作的透明度，更好地落实政府信息公开工作，更好地为人民服务。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3" w:firstLineChars="200"/>
        <w:jc w:val="both"/>
        <w:textAlignment w:val="auto"/>
        <w:rPr>
          <w:rFonts w:hint="eastAsia" w:ascii="仿宋" w:hAnsi="仿宋" w:eastAsia="仿宋" w:cs="仿宋"/>
          <w:b/>
          <w:color w:val="333333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b/>
          <w:color w:val="333333"/>
          <w:sz w:val="32"/>
          <w:szCs w:val="32"/>
          <w:shd w:val="clear" w:color="auto" w:fill="FFFFFF"/>
        </w:rPr>
        <w:t>（二）依申请公开情况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eastAsia="zh-CN"/>
        </w:rPr>
        <w:t>202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年我单位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val="en-US" w:eastAsia="zh-CN"/>
        </w:rPr>
        <w:t>未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收到依申请公开件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eastAsia="zh-CN"/>
        </w:rPr>
        <w:t>。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3" w:firstLineChars="200"/>
        <w:jc w:val="both"/>
        <w:textAlignment w:val="auto"/>
        <w:rPr>
          <w:rFonts w:hint="eastAsia" w:ascii="仿宋" w:hAnsi="仿宋" w:eastAsia="仿宋" w:cs="仿宋"/>
          <w:b/>
          <w:color w:val="333333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b/>
          <w:color w:val="333333"/>
          <w:sz w:val="32"/>
          <w:szCs w:val="32"/>
          <w:shd w:val="clear" w:color="auto" w:fill="FFFFFF"/>
        </w:rPr>
        <w:t>（三）政府信息管理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32"/>
          <w:szCs w:val="32"/>
          <w:u w:val="single"/>
          <w:shd w:val="clear" w:fill="FFFFFF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u w:val="none"/>
          <w:shd w:val="clear" w:color="auto" w:fill="FFFFFF"/>
          <w:lang w:val="en-US" w:eastAsia="zh-CN"/>
        </w:rPr>
        <w:t>严格按照《中华人民共和国政府信息公开条例》和政务公开相关规定制度等有关要求，对政府信息进行相应的动态化规范化管理，充分确保信息公开的及时性、有效性和全面性。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3" w:firstLineChars="200"/>
        <w:jc w:val="both"/>
        <w:textAlignment w:val="auto"/>
        <w:rPr>
          <w:rFonts w:hint="eastAsia" w:ascii="仿宋" w:hAnsi="仿宋" w:eastAsia="仿宋" w:cs="仿宋"/>
          <w:b/>
          <w:color w:val="333333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b/>
          <w:color w:val="333333"/>
          <w:sz w:val="32"/>
          <w:szCs w:val="32"/>
          <w:shd w:val="clear" w:color="auto" w:fill="FFFFFF"/>
        </w:rPr>
        <w:t>（四）平台建设情况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val="en-US" w:eastAsia="zh-CN"/>
        </w:rPr>
        <w:t>街道坚持做好政府门户网站的维护工作，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持续完善服务功能，在塑造政府形象、引导网上舆论、回应社会关切、服务群众办事等方面日益发挥重要作用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eastAsia="zh-CN"/>
        </w:rPr>
        <w:t>。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同时广泛宣传《中华人民共和国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eastAsia="zh-CN"/>
        </w:rPr>
        <w:t>政府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信息公开条例》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eastAsia="zh-CN"/>
        </w:rPr>
        <w:t>等内容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，不断细化政府信息分类、对栏目信息质量进行梳理、不断提高信息公开质量。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3" w:firstLineChars="200"/>
        <w:jc w:val="both"/>
        <w:textAlignment w:val="auto"/>
        <w:rPr>
          <w:rFonts w:hint="eastAsia" w:ascii="仿宋" w:hAnsi="仿宋" w:eastAsia="仿宋" w:cs="仿宋"/>
          <w:b/>
          <w:color w:val="333333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b/>
          <w:color w:val="333333"/>
          <w:sz w:val="32"/>
          <w:szCs w:val="32"/>
          <w:shd w:val="clear" w:color="auto" w:fill="FFFFFF"/>
        </w:rPr>
        <w:t>（五）监督保障情况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val="en-US" w:eastAsia="zh-CN"/>
        </w:rPr>
        <w:t>将政务公开纳入年度绩效考核内容，压实责任，负责干部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每周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val="en-US" w:eastAsia="zh-CN"/>
        </w:rPr>
        <w:t>收集相关公开信息做好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相应更新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val="en-US" w:eastAsia="zh-CN"/>
        </w:rPr>
        <w:t>工作的同时做到定期对网站内容进行自查，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确保信息更新及时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eastAsia="zh-CN"/>
        </w:rPr>
        <w:t>。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val="en-US" w:eastAsia="zh-CN"/>
        </w:rPr>
        <w:t>对照上级部门下发的错敏信息进行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梳理排查，及时反馈整改结果，确保我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val="en-US" w:eastAsia="zh-CN"/>
        </w:rPr>
        <w:t>街道办事处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信息发布规范、准确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eastAsia="zh-CN"/>
        </w:rPr>
        <w:t>。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val="en-US" w:eastAsia="zh-CN"/>
        </w:rPr>
        <w:t>政府信息公开工作满意度调查得到一致好评。2023年锦阳街道未出现因信息公开不到位需要进行责任追究的情况。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/>
        <w:ind w:firstLine="643" w:firstLineChars="200"/>
        <w:jc w:val="both"/>
        <w:textAlignment w:val="auto"/>
        <w:rPr>
          <w:rFonts w:hint="eastAsia" w:ascii="黑体" w:hAnsi="黑体" w:eastAsia="黑体" w:cs="黑体"/>
          <w:b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 w:val="0"/>
          <w:sz w:val="32"/>
          <w:szCs w:val="32"/>
          <w:lang w:val="en-US" w:eastAsia="zh-CN"/>
        </w:rPr>
        <w:t>二、主动公开政府信息情况</w:t>
      </w:r>
    </w:p>
    <w:tbl>
      <w:tblPr>
        <w:tblStyle w:val="4"/>
        <w:tblW w:w="9740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rPr>
          <w:trHeight w:val="732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现行有效件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/>
        <w:ind w:firstLine="643" w:firstLineChars="200"/>
        <w:jc w:val="both"/>
        <w:textAlignment w:val="auto"/>
        <w:rPr>
          <w:rFonts w:hint="eastAsia" w:ascii="宋体" w:hAnsi="宋体" w:eastAsia="宋体" w:cs="宋体"/>
          <w:b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 w:val="0"/>
          <w:sz w:val="32"/>
          <w:szCs w:val="32"/>
          <w:lang w:val="en-US" w:eastAsia="zh-CN"/>
        </w:rPr>
        <w:t>三、收到和处理政府信息公开申请情况</w:t>
      </w:r>
    </w:p>
    <w:tbl>
      <w:tblPr>
        <w:tblStyle w:val="4"/>
        <w:tblW w:w="9748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8"/>
        <w:gridCol w:w="943"/>
        <w:gridCol w:w="3220"/>
        <w:gridCol w:w="688"/>
        <w:gridCol w:w="688"/>
        <w:gridCol w:w="688"/>
        <w:gridCol w:w="688"/>
        <w:gridCol w:w="688"/>
        <w:gridCol w:w="688"/>
        <w:gridCol w:w="68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</w:rPr>
              <w:t>（本列数据的勾稽关系为：第一项加第二项之和，等于第三项加第四项之和）</w:t>
            </w:r>
          </w:p>
        </w:tc>
        <w:tc>
          <w:tcPr>
            <w:tcW w:w="4817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</w:rPr>
              <w:t>申请人情况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vMerge w:val="restart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</w:rPr>
              <w:t>自然人</w:t>
            </w:r>
          </w:p>
        </w:tc>
        <w:tc>
          <w:tcPr>
            <w:tcW w:w="3440" w:type="dxa"/>
            <w:gridSpan w:val="5"/>
            <w:tcBorders>
              <w:top w:val="single" w:color="auto" w:sz="8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</w:rPr>
              <w:t>法人或其他组织</w:t>
            </w:r>
          </w:p>
        </w:tc>
        <w:tc>
          <w:tcPr>
            <w:tcW w:w="689" w:type="dxa"/>
            <w:vMerge w:val="restart"/>
            <w:tcBorders>
              <w:top w:val="single" w:color="auto" w:sz="8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vMerge w:val="continue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</w:rPr>
              <w:t>商业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</w:rPr>
              <w:t>企业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</w:rPr>
              <w:t>科研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</w:rPr>
              <w:t>机构</w:t>
            </w:r>
          </w:p>
        </w:tc>
        <w:tc>
          <w:tcPr>
            <w:tcW w:w="688" w:type="dxa"/>
            <w:tcBorders>
              <w:top w:val="single" w:color="auto" w:sz="8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</w:rPr>
              <w:t>社会公益组织</w:t>
            </w:r>
          </w:p>
        </w:tc>
        <w:tc>
          <w:tcPr>
            <w:tcW w:w="688" w:type="dxa"/>
            <w:tcBorders>
              <w:top w:val="single" w:color="auto" w:sz="8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</w:rPr>
              <w:t>法律服务机构</w:t>
            </w:r>
          </w:p>
        </w:tc>
        <w:tc>
          <w:tcPr>
            <w:tcW w:w="688" w:type="dxa"/>
            <w:tcBorders>
              <w:top w:val="single" w:color="auto" w:sz="8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</w:rPr>
              <w:t>其他</w:t>
            </w:r>
          </w:p>
        </w:tc>
        <w:tc>
          <w:tcPr>
            <w:tcW w:w="689" w:type="dxa"/>
            <w:vMerge w:val="continue"/>
            <w:tcBorders>
              <w:top w:val="single" w:color="auto" w:sz="8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</w:rPr>
              <w:t>一、本年新收政府信息公开申请数量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</w:rPr>
              <w:t>二、上年结转政府信息公开申请数量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restart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</w:rPr>
              <w:t>三、本年度办理结果</w:t>
            </w: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</w:rPr>
              <w:t>（一）予以公开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</w:rPr>
              <w:t>（二）部分公开（区分处理的，只计这一情形，不计其他情形）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</w:rPr>
              <w:t>（三）不予公开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</w:rPr>
              <w:t>1.属于国家秘密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</w:rPr>
              <w:t>2.其他法律行政法规禁止公开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</w:rPr>
              <w:t>3.危及“三安全一稳定”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</w:rPr>
              <w:t>4.保护第三方合法权益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</w:rPr>
              <w:t>5.属于三类内部事务信息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</w:rPr>
              <w:t>6.属于四类过程性信息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</w:rPr>
              <w:t>7.属于行政执法案卷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</w:rPr>
              <w:t>8.属于行政查询事项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</w:rPr>
              <w:t>（四）无法提供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</w:rPr>
              <w:t>1.本机关不掌握相关政府信息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</w:rPr>
              <w:t>2.没有现成信息需要另行制作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</w:rPr>
              <w:t>3.补正后申请内容仍不明确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</w:rPr>
              <w:t>（五）不予处理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</w:rPr>
              <w:t>1.信访举报投诉类申请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</w:rPr>
              <w:t>2.重复申请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</w:rPr>
              <w:t>3.要求提供公开出版物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</w:rPr>
              <w:t>4.无正当理由大量反复申请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68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</w:rPr>
              <w:t>5.要求行政机关确认或重新出具已获取信息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inset" w:color="auto" w:sz="8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</w:rPr>
              <w:t>（六）其他处理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</w:rPr>
              <w:t>1.申请人无正当理由逾期不补正、行政机关不再处理其政府信息公开申请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inset" w:color="auto" w:sz="8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</w:rPr>
              <w:t>2.申请人逾期未按收费通知要求缴纳费用、行政机关不再处理其政府信息公开申请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inset" w:color="auto" w:sz="8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</w:rPr>
              <w:t>3.其他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</w:rPr>
              <w:t>（七）总计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</w:rPr>
              <w:t>四、结转下年度继续办理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lang w:val="en-US" w:eastAsia="zh-CN"/>
              </w:rPr>
              <w:t>0</w:t>
            </w:r>
          </w:p>
        </w:tc>
      </w:tr>
    </w:tbl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/>
        <w:ind w:firstLine="643" w:firstLineChars="200"/>
        <w:jc w:val="both"/>
        <w:textAlignment w:val="auto"/>
        <w:rPr>
          <w:rFonts w:hint="eastAsia" w:ascii="黑体" w:hAnsi="黑体" w:eastAsia="黑体" w:cs="黑体"/>
          <w:b/>
          <w:bCs w:val="0"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bCs w:val="0"/>
          <w:sz w:val="32"/>
          <w:szCs w:val="32"/>
          <w:lang w:val="en-US" w:eastAsia="zh-CN"/>
        </w:rPr>
        <w:t>四、政府信息公开行政复议、行政诉讼情况</w:t>
      </w:r>
    </w:p>
    <w:tbl>
      <w:tblPr>
        <w:tblStyle w:val="4"/>
        <w:tblW w:w="9748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1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</w:rPr>
              <w:t>行政复议</w:t>
            </w:r>
          </w:p>
        </w:tc>
        <w:tc>
          <w:tcPr>
            <w:tcW w:w="6428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</w:rPr>
              <w:t>行政诉讼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</w:rPr>
              <w:t>结果维持</w:t>
            </w:r>
          </w:p>
        </w:tc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</w:rPr>
              <w:t>结果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</w:rPr>
              <w:t>纠正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</w:rPr>
              <w:t>其他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</w:rPr>
              <w:t>结果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</w:rPr>
              <w:t>尚未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</w:rPr>
              <w:t>审结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</w:rPr>
              <w:t>总计</w:t>
            </w:r>
          </w:p>
        </w:tc>
        <w:tc>
          <w:tcPr>
            <w:tcW w:w="321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</w:rPr>
              <w:t>未经复议直接起诉</w:t>
            </w:r>
          </w:p>
        </w:tc>
        <w:tc>
          <w:tcPr>
            <w:tcW w:w="321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</w:rPr>
              <w:t>复议后起诉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</w:rPr>
              <w:t>结果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</w:rPr>
              <w:t>维持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</w:rPr>
              <w:t>结果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</w:rPr>
              <w:t>其他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</w:rPr>
              <w:t>尚未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总计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</w:rPr>
              <w:t>结果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</w:rPr>
              <w:t>维持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</w:rPr>
              <w:t>结果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其他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</w:rPr>
              <w:t>尚未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lang w:val="en-US" w:eastAsia="zh-CN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lang w:val="en-US" w:eastAsia="zh-CN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lang w:val="en-US" w:eastAsia="zh-CN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lang w:val="en-US" w:eastAsia="zh-CN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lang w:val="en-US" w:eastAsia="zh-CN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lang w:val="en-US" w:eastAsia="zh-CN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lang w:val="en-US" w:eastAsia="zh-CN"/>
              </w:rPr>
              <w:t>0</w:t>
            </w:r>
          </w:p>
        </w:tc>
      </w:tr>
    </w:tbl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/>
        <w:ind w:firstLine="643" w:firstLineChars="200"/>
        <w:jc w:val="both"/>
        <w:textAlignment w:val="auto"/>
        <w:rPr>
          <w:rFonts w:hint="eastAsia" w:ascii="黑体" w:hAnsi="黑体" w:eastAsia="黑体" w:cs="黑体"/>
          <w:b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 w:val="0"/>
          <w:sz w:val="32"/>
          <w:szCs w:val="32"/>
          <w:lang w:val="en-US" w:eastAsia="zh-CN"/>
        </w:rPr>
        <w:t>五、存在的主要问题及改进情况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3" w:firstLineChars="200"/>
        <w:jc w:val="both"/>
        <w:textAlignment w:val="auto"/>
        <w:rPr>
          <w:rFonts w:hint="eastAsia" w:ascii="仿宋" w:hAnsi="仿宋" w:eastAsia="仿宋" w:cs="仿宋"/>
          <w:b/>
          <w:bCs w:val="0"/>
          <w:color w:val="333333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b/>
          <w:bCs w:val="0"/>
          <w:color w:val="333333"/>
          <w:sz w:val="32"/>
          <w:szCs w:val="32"/>
          <w:shd w:val="clear" w:color="auto" w:fill="FFFFFF"/>
          <w:lang w:eastAsia="zh-CN"/>
        </w:rPr>
        <w:t>主要问题</w:t>
      </w:r>
      <w:r>
        <w:rPr>
          <w:rFonts w:hint="eastAsia" w:ascii="仿宋" w:hAnsi="仿宋" w:eastAsia="仿宋" w:cs="仿宋"/>
          <w:b/>
          <w:bCs w:val="0"/>
          <w:color w:val="333333"/>
          <w:sz w:val="32"/>
          <w:szCs w:val="32"/>
          <w:shd w:val="clear" w:color="auto" w:fill="FFFFFF"/>
        </w:rPr>
        <w:t>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3" w:firstLineChars="200"/>
        <w:jc w:val="both"/>
        <w:textAlignment w:val="auto"/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b/>
          <w:bCs w:val="0"/>
          <w:color w:val="333333"/>
          <w:sz w:val="32"/>
          <w:szCs w:val="32"/>
          <w:shd w:val="clear" w:color="auto" w:fill="FFFFFF"/>
          <w:lang w:val="en-US" w:eastAsia="zh-CN"/>
        </w:rPr>
        <w:t>一是</w:t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32"/>
          <w:szCs w:val="32"/>
          <w:shd w:val="clear" w:fill="FFFFFF"/>
          <w:lang w:eastAsia="zh-CN"/>
        </w:rPr>
        <w:t>政务公开</w:t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32"/>
          <w:szCs w:val="32"/>
          <w:shd w:val="clear" w:fill="FFFFFF"/>
          <w:lang w:val="en-US" w:eastAsia="zh-CN"/>
        </w:rPr>
        <w:t>平台初建，信息公开架构不够完善。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3" w:firstLineChars="20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shd w:val="clear" w:color="auto" w:fill="FFFFFF"/>
          <w:lang w:val="en-US" w:eastAsia="zh-CN"/>
        </w:rPr>
        <w:t>二是</w:t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32"/>
          <w:szCs w:val="32"/>
          <w:shd w:val="clear" w:fill="FFFFFF"/>
          <w:lang w:val="en-US" w:eastAsia="zh-CN"/>
        </w:rPr>
        <w:t>对已公开的政策性文件的政策解读工作不够到位，形式单一。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3" w:firstLineChars="20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" w:hAnsi="仿宋" w:eastAsia="仿宋" w:cs="仿宋"/>
          <w:b/>
          <w:bCs w:val="0"/>
          <w:color w:val="333333"/>
          <w:sz w:val="32"/>
          <w:szCs w:val="32"/>
          <w:shd w:val="clear" w:color="auto" w:fill="FFFFFF"/>
          <w:lang w:eastAsia="zh-CN"/>
        </w:rPr>
        <w:t>改进措施</w:t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32"/>
          <w:szCs w:val="32"/>
          <w:shd w:val="clear" w:fill="FFFFFF"/>
          <w:lang w:eastAsia="zh-CN"/>
        </w:rPr>
        <w:t>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3" w:firstLineChars="20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222222"/>
          <w:spacing w:val="0"/>
          <w:sz w:val="32"/>
          <w:szCs w:val="32"/>
          <w:shd w:val="clear" w:fill="FFFFFF"/>
          <w:lang w:val="en-US" w:eastAsia="zh-CN"/>
        </w:rPr>
        <w:t>一是</w:t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32"/>
          <w:szCs w:val="32"/>
          <w:shd w:val="clear" w:fill="FFFFFF"/>
          <w:lang w:eastAsia="zh-CN"/>
        </w:rPr>
        <w:t>推进清单管理、事项全量入驻、规范服务制度等建设。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3" w:firstLineChars="200"/>
        <w:jc w:val="both"/>
        <w:textAlignment w:val="auto"/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222222"/>
          <w:spacing w:val="0"/>
          <w:sz w:val="32"/>
          <w:szCs w:val="32"/>
          <w:shd w:val="clear" w:fill="FFFFFF"/>
          <w:lang w:val="en-US" w:eastAsia="zh-CN"/>
        </w:rPr>
        <w:t>二是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222222"/>
          <w:spacing w:val="0"/>
          <w:sz w:val="32"/>
          <w:szCs w:val="32"/>
          <w:shd w:val="clear" w:fill="FFFFFF"/>
          <w:lang w:val="en-US" w:eastAsia="zh-CN"/>
        </w:rPr>
        <w:t>持续</w:t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32"/>
          <w:szCs w:val="32"/>
          <w:shd w:val="clear" w:fill="FFFFFF"/>
          <w:lang w:val="en-US" w:eastAsia="zh-CN"/>
        </w:rPr>
        <w:t>提升工作</w:t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32"/>
          <w:szCs w:val="32"/>
          <w:shd w:val="clear" w:fill="FFFFFF"/>
          <w:lang w:eastAsia="zh-CN"/>
        </w:rPr>
        <w:t>人员业务</w:t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32"/>
          <w:szCs w:val="32"/>
          <w:shd w:val="clear" w:fill="FFFFFF"/>
          <w:lang w:val="en-US" w:eastAsia="zh-CN"/>
        </w:rPr>
        <w:t>能力</w:t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32"/>
          <w:szCs w:val="32"/>
          <w:shd w:val="clear" w:fill="FFFFFF"/>
          <w:lang w:val="en-US" w:eastAsia="zh-CN"/>
        </w:rPr>
        <w:t>加大政策解读力度。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/>
        <w:ind w:firstLine="643" w:firstLineChars="200"/>
        <w:jc w:val="both"/>
        <w:textAlignment w:val="auto"/>
        <w:rPr>
          <w:rFonts w:hint="eastAsia" w:ascii="黑体" w:hAnsi="黑体" w:eastAsia="黑体" w:cs="黑体"/>
          <w:b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 w:val="0"/>
          <w:sz w:val="32"/>
          <w:szCs w:val="32"/>
          <w:lang w:val="en-US" w:eastAsia="zh-CN"/>
        </w:rPr>
        <w:t>六、其他需要报告的事项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政务公开要点落实情况：一是加强</w:t>
      </w:r>
      <w:r>
        <w:rPr>
          <w:rFonts w:hint="eastAsia" w:ascii="仿宋" w:hAnsi="仿宋" w:eastAsia="仿宋" w:cs="仿宋"/>
          <w:sz w:val="32"/>
          <w:szCs w:val="32"/>
        </w:rPr>
        <w:t>组织领导，统筹政务公开事宜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二是常态开展培训</w:t>
      </w:r>
      <w:r>
        <w:rPr>
          <w:rFonts w:hint="eastAsia" w:ascii="仿宋" w:hAnsi="仿宋" w:eastAsia="仿宋" w:cs="仿宋"/>
          <w:sz w:val="32"/>
          <w:szCs w:val="32"/>
        </w:rPr>
        <w:t>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提升干部业务能力</w:t>
      </w:r>
      <w:r>
        <w:rPr>
          <w:rFonts w:hint="eastAsia" w:ascii="仿宋" w:hAnsi="仿宋" w:eastAsia="仿宋" w:cs="仿宋"/>
          <w:sz w:val="32"/>
          <w:szCs w:val="32"/>
        </w:rPr>
        <w:t>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三是全方位、多渠道发布，扩大服务辐射范围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2023年，本机关无收取信息处理费情况。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上高县人民政府网（</w:t>
      </w:r>
      <w:r>
        <w:rPr>
          <w:rFonts w:hint="eastAsia" w:ascii="仿宋" w:hAnsi="仿宋" w:eastAsia="仿宋" w:cs="仿宋"/>
          <w:sz w:val="32"/>
          <w:szCs w:val="32"/>
        </w:rPr>
        <w:t>http://www.shanggao.gov.cn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），如需了解过多政府信息，请登录查询。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32"/>
          <w:szCs w:val="32"/>
          <w:shd w:val="clear" w:color="auto" w:fill="FFFFFF"/>
          <w:lang w:val="en-US" w:eastAsia="zh-CN"/>
        </w:rPr>
      </w:pPr>
    </w:p>
    <w:p>
      <w:pPr>
        <w:rPr>
          <w:rFonts w:hint="eastAsia" w:ascii="宋体" w:hAnsi="宋体" w:eastAsia="宋体" w:cs="宋体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QwODlkMDNiZWFjOTJjOWJlMWYxYjk2YzYyZWU1MWMifQ=="/>
  </w:docVars>
  <w:rsids>
    <w:rsidRoot w:val="6C1E069B"/>
    <w:rsid w:val="02C667C0"/>
    <w:rsid w:val="0C3E3B36"/>
    <w:rsid w:val="13301FC2"/>
    <w:rsid w:val="187A1EA0"/>
    <w:rsid w:val="21617BA7"/>
    <w:rsid w:val="22681B28"/>
    <w:rsid w:val="285F57C0"/>
    <w:rsid w:val="2D8A311A"/>
    <w:rsid w:val="3187445B"/>
    <w:rsid w:val="32AF0A04"/>
    <w:rsid w:val="3A013F0A"/>
    <w:rsid w:val="3B842468"/>
    <w:rsid w:val="4E271560"/>
    <w:rsid w:val="5FD9742D"/>
    <w:rsid w:val="62D578C9"/>
    <w:rsid w:val="66F25A7D"/>
    <w:rsid w:val="67A82B60"/>
    <w:rsid w:val="6C1E069B"/>
    <w:rsid w:val="74150129"/>
    <w:rsid w:val="77F04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2"/>
    <w:basedOn w:val="1"/>
    <w:next w:val="1"/>
    <w:autoRedefine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autoRedefine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2024-01-02T02:56:00Z</dcterms:created>
  <dc:creator>张焱焱</dc:creator>
  <cp:lastModifiedBy>张焱焱</cp:lastModifiedBy>
  <dcterms:modified xsi:type="dcterms:W3CDTF">2024-01-12T07:34:28Z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E5517D96E0214FAEA4CCACA83258A786_11</vt:lpwstr>
  </property>
</Properties>
</file>