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上高县敖阳街道办事处</w:t>
      </w:r>
      <w:r>
        <w:rPr>
          <w:rFonts w:hint="eastAsia" w:ascii="Times New Roman" w:hAnsi="Times New Roman" w:eastAsia="方正小标宋简体" w:cs="方正小标宋简体"/>
          <w:sz w:val="44"/>
          <w:szCs w:val="44"/>
          <w:lang w:val="en-US" w:eastAsia="zh-CN"/>
        </w:rPr>
        <w:t>2023</w:t>
      </w:r>
      <w:r>
        <w:rPr>
          <w:rFonts w:hint="eastAsia" w:ascii="方正小标宋简体" w:hAnsi="方正小标宋简体" w:eastAsia="方正小标宋简体" w:cs="方正小标宋简体"/>
          <w:sz w:val="44"/>
          <w:szCs w:val="44"/>
          <w:lang w:val="en-US" w:eastAsia="zh-CN"/>
        </w:rPr>
        <w:t>年政府信息</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公开工作年度报告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宋体" w:eastAsia="仿宋_GB2312" w:cs="宋体"/>
          <w:color w:val="333333"/>
          <w:sz w:val="32"/>
          <w:szCs w:val="32"/>
          <w:shd w:val="clear" w:color="auto" w:fill="FFFFFF"/>
        </w:rPr>
      </w:pP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本报告依据《中华人民共和国政府信息公开条例》（国务院令第</w:t>
      </w:r>
      <w:r>
        <w:rPr>
          <w:rFonts w:hint="eastAsia" w:ascii="Times New Roman" w:hAnsi="Times New Roman" w:eastAsia="仿宋_GB2312" w:cs="仿宋_GB2312"/>
          <w:sz w:val="32"/>
          <w:szCs w:val="32"/>
          <w:lang w:val="en-US" w:eastAsia="zh-CN"/>
        </w:rPr>
        <w:t>711</w:t>
      </w:r>
      <w:r>
        <w:rPr>
          <w:rFonts w:hint="eastAsia" w:ascii="仿宋_GB2312" w:hAnsi="仿宋_GB2312" w:eastAsia="仿宋_GB2312" w:cs="仿宋_GB2312"/>
          <w:sz w:val="32"/>
          <w:szCs w:val="32"/>
          <w:lang w:val="en-US" w:eastAsia="zh-CN"/>
        </w:rPr>
        <w:t>号）和《国务院办公厅政府信息与政务公开办公室关于政府信息公开工作年度报告有关事项的通知》（国办公开办函〔</w:t>
      </w:r>
      <w:r>
        <w:rPr>
          <w:rFonts w:hint="eastAsia" w:ascii="Times New Roman" w:hAnsi="Times New Roman" w:eastAsia="仿宋_GB2312" w:cs="仿宋_GB2312"/>
          <w:sz w:val="32"/>
          <w:szCs w:val="32"/>
          <w:lang w:val="en-US" w:eastAsia="zh-CN"/>
        </w:rPr>
        <w:t>2019</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60</w:t>
      </w:r>
      <w:r>
        <w:rPr>
          <w:rFonts w:hint="eastAsia" w:ascii="仿宋_GB2312" w:hAnsi="仿宋_GB2312" w:eastAsia="仿宋_GB2312" w:cs="仿宋_GB2312"/>
          <w:sz w:val="32"/>
          <w:szCs w:val="32"/>
          <w:lang w:val="en-US" w:eastAsia="zh-CN"/>
        </w:rPr>
        <w:t>号）要求，突出推进重点领域信息公开和决策公开。</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bCs/>
          <w:sz w:val="32"/>
          <w:szCs w:val="32"/>
        </w:rPr>
      </w:pPr>
      <w:r>
        <w:rPr>
          <w:rFonts w:hint="eastAsia" w:ascii="黑体" w:hAnsi="黑体" w:eastAsia="黑体" w:cs="黑体"/>
          <w:bCs/>
          <w:sz w:val="32"/>
          <w:szCs w:val="32"/>
          <w:lang w:val="en-US" w:eastAsia="zh-CN"/>
        </w:rPr>
        <w:t>一、</w:t>
      </w:r>
      <w:r>
        <w:rPr>
          <w:rFonts w:hint="eastAsia" w:ascii="黑体" w:hAnsi="黑体" w:eastAsia="黑体" w:cs="黑体"/>
          <w:bCs/>
          <w:sz w:val="32"/>
          <w:szCs w:val="32"/>
        </w:rPr>
        <w:t>总体情况</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宋体" w:eastAsia="仿宋_GB2312" w:cs="宋体"/>
          <w:b/>
          <w:color w:val="333333"/>
          <w:sz w:val="32"/>
          <w:szCs w:val="32"/>
          <w:shd w:val="clear" w:color="auto" w:fill="FFFFFF"/>
        </w:rPr>
      </w:pPr>
      <w:r>
        <w:rPr>
          <w:rFonts w:hint="eastAsia" w:ascii="Times New Roman" w:hAnsi="Times New Roman" w:eastAsia="仿宋_GB2312" w:cs="仿宋_GB2312"/>
          <w:kern w:val="2"/>
          <w:sz w:val="32"/>
          <w:szCs w:val="32"/>
          <w:lang w:val="en-US" w:eastAsia="zh-CN" w:bidi="ar-SA"/>
        </w:rPr>
        <w:t>2023</w:t>
      </w:r>
      <w:r>
        <w:rPr>
          <w:rFonts w:hint="eastAsia" w:ascii="仿宋_GB2312" w:hAnsi="仿宋_GB2312" w:eastAsia="仿宋_GB2312" w:cs="仿宋_GB2312"/>
          <w:kern w:val="2"/>
          <w:sz w:val="32"/>
          <w:szCs w:val="32"/>
          <w:lang w:val="en-US" w:eastAsia="zh-CN" w:bidi="ar-SA"/>
        </w:rPr>
        <w:t>年敖阳街道坚持以习近平新时代中国特色社会主义思想及党的二十大为指导，深入学习贯彻习近平总书记考察江西重要讲话精神，坚持以人民为中心，围绕服务中央、省、市、县重点工作，聚焦经济平稳健康发展和社会和谐稳定目标，提高政策公开质量，夯实公开工作基础，全面深化政务公开，更好发挥以公开促落实、强监管功能。</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（一）主动公开</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敖阳街道</w:t>
      </w:r>
      <w:r>
        <w:rPr>
          <w:rFonts w:hint="eastAsia" w:ascii="仿宋_GB2312" w:hAnsi="仿宋_GB2312" w:eastAsia="仿宋_GB2312" w:cs="仿宋_GB2312"/>
          <w:sz w:val="32"/>
          <w:szCs w:val="32"/>
        </w:rPr>
        <w:t>信息公开工作严格按照</w:t>
      </w:r>
      <w:r>
        <w:rPr>
          <w:rFonts w:hint="eastAsia" w:ascii="仿宋_GB2312" w:hAnsi="仿宋_GB2312" w:eastAsia="仿宋_GB2312" w:cs="仿宋_GB2312"/>
          <w:sz w:val="32"/>
          <w:szCs w:val="32"/>
          <w:lang w:val="en-US" w:eastAsia="zh-CN"/>
        </w:rPr>
        <w:t>文件精神</w:t>
      </w:r>
      <w:r>
        <w:rPr>
          <w:rFonts w:hint="eastAsia" w:ascii="仿宋_GB2312" w:hAnsi="仿宋_GB2312" w:eastAsia="仿宋_GB2312" w:cs="仿宋_GB2312"/>
          <w:sz w:val="32"/>
          <w:szCs w:val="32"/>
        </w:rPr>
        <w:t>和县政府的总体要求，集中展示常态化工作，持续做好重大决策公开、重大会议信息、政府信息依申请公开、基层政务公开等各项政务公开工作，确保人民群众知情权、参与权和监督权。全年通过上高县政府门户网站公开各类信息</w:t>
      </w:r>
      <w:r>
        <w:rPr>
          <w:rFonts w:hint="eastAsia" w:ascii="Times New Roman" w:hAnsi="Times New Roman" w:eastAsia="仿宋_GB2312" w:cs="仿宋_GB2312"/>
          <w:sz w:val="32"/>
          <w:szCs w:val="32"/>
          <w:lang w:val="en-US" w:eastAsia="zh-CN"/>
        </w:rPr>
        <w:t>67</w:t>
      </w:r>
      <w:r>
        <w:rPr>
          <w:rFonts w:hint="eastAsia" w:ascii="仿宋_GB2312" w:hAnsi="仿宋_GB2312" w:eastAsia="仿宋_GB2312" w:cs="仿宋_GB2312"/>
          <w:sz w:val="32"/>
          <w:szCs w:val="32"/>
        </w:rPr>
        <w:t>条。</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（二）依申请公开情况</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仿宋_GB2312"/>
          <w:sz w:val="32"/>
          <w:szCs w:val="32"/>
        </w:rPr>
        <w:t>2023</w:t>
      </w:r>
      <w:r>
        <w:rPr>
          <w:rFonts w:hint="eastAsia" w:ascii="仿宋_GB2312" w:hAnsi="仿宋_GB2312" w:eastAsia="仿宋_GB2312" w:cs="仿宋_GB2312"/>
          <w:sz w:val="32"/>
          <w:szCs w:val="32"/>
        </w:rPr>
        <w:t>年</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月</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日至</w:t>
      </w:r>
      <w:r>
        <w:rPr>
          <w:rFonts w:hint="eastAsia" w:ascii="Times New Roman" w:hAnsi="Times New Roman" w:eastAsia="仿宋_GB2312" w:cs="仿宋_GB2312"/>
          <w:sz w:val="32"/>
          <w:szCs w:val="32"/>
        </w:rPr>
        <w:t>2023</w:t>
      </w:r>
      <w:r>
        <w:rPr>
          <w:rFonts w:hint="eastAsia" w:ascii="仿宋_GB2312" w:hAnsi="仿宋_GB2312" w:eastAsia="仿宋_GB2312" w:cs="仿宋_GB2312"/>
          <w:sz w:val="32"/>
          <w:szCs w:val="32"/>
        </w:rPr>
        <w:t>年</w:t>
      </w:r>
      <w:r>
        <w:rPr>
          <w:rFonts w:hint="eastAsia" w:ascii="Times New Roman" w:hAnsi="Times New Roman" w:eastAsia="仿宋_GB2312" w:cs="仿宋_GB2312"/>
          <w:sz w:val="32"/>
          <w:szCs w:val="32"/>
        </w:rPr>
        <w:t>12</w:t>
      </w:r>
      <w:r>
        <w:rPr>
          <w:rFonts w:hint="eastAsia" w:ascii="仿宋_GB2312" w:hAnsi="仿宋_GB2312" w:eastAsia="仿宋_GB2312" w:cs="仿宋_GB2312"/>
          <w:sz w:val="32"/>
          <w:szCs w:val="32"/>
        </w:rPr>
        <w:t>月</w:t>
      </w:r>
      <w:r>
        <w:rPr>
          <w:rFonts w:hint="eastAsia" w:ascii="Times New Roman" w:hAnsi="Times New Roman" w:eastAsia="仿宋_GB2312" w:cs="仿宋_GB2312"/>
          <w:sz w:val="32"/>
          <w:szCs w:val="32"/>
        </w:rPr>
        <w:t>31</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敖阳街道</w:t>
      </w:r>
      <w:r>
        <w:rPr>
          <w:rFonts w:hint="eastAsia" w:ascii="仿宋_GB2312" w:hAnsi="仿宋_GB2312" w:eastAsia="仿宋_GB2312" w:cs="仿宋_GB2312"/>
          <w:sz w:val="32"/>
          <w:szCs w:val="32"/>
        </w:rPr>
        <w:t>共接收群众要求公开政府信息的申请</w:t>
      </w:r>
      <w:r>
        <w:rPr>
          <w:rFonts w:hint="eastAsia" w:eastAsia="仿宋_GB2312" w:cs="仿宋_GB2312"/>
          <w:sz w:val="32"/>
          <w:szCs w:val="32"/>
          <w:lang w:val="en-US" w:eastAsia="zh-CN"/>
        </w:rPr>
        <w:t>1</w:t>
      </w:r>
      <w:r>
        <w:rPr>
          <w:rFonts w:hint="eastAsia" w:ascii="仿宋_GB2312" w:hAnsi="仿宋_GB2312" w:eastAsia="仿宋_GB2312" w:cs="仿宋_GB2312"/>
          <w:sz w:val="32"/>
          <w:szCs w:val="32"/>
        </w:rPr>
        <w:t>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收到线上依公开申请</w:t>
      </w:r>
      <w:r>
        <w:rPr>
          <w:rFonts w:hint="eastAsia" w:eastAsia="仿宋_GB2312" w:cs="仿宋_GB2312"/>
          <w:sz w:val="32"/>
          <w:szCs w:val="32"/>
          <w:lang w:val="en-US" w:eastAsia="zh-CN"/>
        </w:rPr>
        <w:t>1</w:t>
      </w:r>
      <w:r>
        <w:rPr>
          <w:rFonts w:hint="eastAsia" w:ascii="仿宋_GB2312" w:hAnsi="仿宋_GB2312" w:eastAsia="仿宋_GB2312" w:cs="仿宋_GB2312"/>
          <w:sz w:val="32"/>
          <w:szCs w:val="32"/>
        </w:rPr>
        <w:t>条，线下依申请公开</w:t>
      </w:r>
      <w:r>
        <w:rPr>
          <w:rFonts w:hint="eastAsia" w:ascii="Times New Roman" w:hAnsi="Times New Roman" w:eastAsia="仿宋_GB2312" w:cs="仿宋_GB2312"/>
          <w:sz w:val="32"/>
          <w:szCs w:val="32"/>
        </w:rPr>
        <w:t>0</w:t>
      </w:r>
      <w:r>
        <w:rPr>
          <w:rFonts w:hint="eastAsia" w:ascii="仿宋_GB2312" w:hAnsi="仿宋_GB2312" w:eastAsia="仿宋_GB2312" w:cs="仿宋_GB2312"/>
          <w:sz w:val="32"/>
          <w:szCs w:val="32"/>
        </w:rPr>
        <w:t>条。</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（三）政府信息管理</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仿宋_GB2312"/>
          <w:sz w:val="32"/>
          <w:szCs w:val="32"/>
          <w:lang w:val="en-US" w:eastAsia="zh-CN"/>
        </w:rPr>
        <w:t>2</w:t>
      </w:r>
      <w:r>
        <w:rPr>
          <w:rFonts w:hint="eastAsia" w:ascii="Times New Roman" w:hAnsi="Times New Roman" w:eastAsia="仿宋_GB2312" w:cs="仿宋_GB2312"/>
          <w:sz w:val="32"/>
          <w:szCs w:val="32"/>
          <w:lang w:eastAsia="zh-CN"/>
        </w:rPr>
        <w:t>02</w:t>
      </w:r>
      <w:r>
        <w:rPr>
          <w:rFonts w:hint="eastAsia" w:ascii="Times New Roman" w:hAnsi="Times New Roman"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敖阳街道将政务公开工作纳入重要议事日程，由党政办公室具体负责，明确专职工作人员负责日常具体工作，努力提升政务公开专业化水平。全面推进政务公开工作，对应当主动公开的政府信息，进行分类整理并及时公开。严格执行信息公开制度并做好信息公开及报送工作，保证政府信息与政务公开准确、及时、规范</w:t>
      </w:r>
      <w:r>
        <w:rPr>
          <w:rFonts w:hint="eastAsia" w:ascii="仿宋_GB2312" w:hAnsi="仿宋_GB2312" w:eastAsia="仿宋_GB2312" w:cs="仿宋_GB2312"/>
          <w:sz w:val="32"/>
          <w:szCs w:val="32"/>
        </w:rPr>
        <w:t>。</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（四）平台建设情况</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敖阳街道加强与上级部门的沟通，积极利用信息公开载体、微信公众号等，广泛宣传工作动态，使广大社会群众能够及时了解街道动态。</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（五）监督保障情况</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bCs/>
          <w:sz w:val="32"/>
          <w:szCs w:val="32"/>
          <w:lang w:val="en-US" w:eastAsia="zh-CN"/>
        </w:rPr>
      </w:pPr>
      <w:r>
        <w:rPr>
          <w:rFonts w:hint="eastAsia" w:ascii="仿宋_GB2312" w:hAnsi="仿宋_GB2312" w:eastAsia="仿宋_GB2312" w:cs="仿宋_GB2312"/>
          <w:sz w:val="32"/>
          <w:szCs w:val="32"/>
          <w:lang w:val="en-US" w:eastAsia="zh-CN"/>
        </w:rPr>
        <w:t>敖阳</w:t>
      </w:r>
      <w:r>
        <w:rPr>
          <w:rFonts w:hint="eastAsia" w:ascii="仿宋_GB2312" w:hAnsi="仿宋_GB2312" w:eastAsia="仿宋_GB2312" w:cs="仿宋_GB2312"/>
          <w:sz w:val="32"/>
          <w:szCs w:val="32"/>
          <w:lang w:eastAsia="zh-CN"/>
        </w:rPr>
        <w:t>街道明确工作责任，确定专职工作人员，及时将工作动态、群众办事指南、项目建设等最新信息及其他符合公开原则的信息及时公开，定期开展监督检查，发现问题及时整改。妥善处理好政务公开与保守国家秘密之间的关系，及时回应社会关切，接受群众监督。</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bCs/>
          <w:sz w:val="32"/>
          <w:szCs w:val="32"/>
          <w:lang w:val="en-US" w:eastAsia="zh-CN"/>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bCs/>
          <w:sz w:val="32"/>
          <w:szCs w:val="32"/>
          <w:lang w:val="en-US" w:eastAsia="zh-CN"/>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bCs/>
          <w:sz w:val="32"/>
          <w:szCs w:val="32"/>
          <w:lang w:val="en-US" w:eastAsia="zh-CN"/>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bCs/>
          <w:sz w:val="32"/>
          <w:szCs w:val="32"/>
          <w:lang w:val="en-US" w:eastAsia="zh-CN"/>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bCs/>
          <w:sz w:val="32"/>
          <w:szCs w:val="32"/>
          <w:lang w:val="en-US" w:eastAsia="zh-CN"/>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黑体" w:hAnsi="黑体" w:eastAsia="黑体" w:cs="黑体"/>
          <w:bCs/>
          <w:sz w:val="32"/>
          <w:szCs w:val="32"/>
          <w:lang w:val="en-US" w:eastAsia="zh-CN"/>
        </w:rPr>
      </w:pPr>
    </w:p>
    <w:p>
      <w:pPr>
        <w:pStyle w:val="7"/>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主动公开政府信息情况</w:t>
      </w:r>
    </w:p>
    <w:tbl>
      <w:tblPr>
        <w:tblStyle w:val="9"/>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732"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color w:val="000000"/>
                <w:kern w:val="0"/>
                <w:sz w:val="20"/>
              </w:rPr>
              <w:t>第二十条第（一）项</w:t>
            </w:r>
          </w:p>
        </w:tc>
      </w:tr>
      <w:tr>
        <w:tblPrEx>
          <w:tblCellMar>
            <w:top w:w="0" w:type="dxa"/>
            <w:left w:w="0" w:type="dxa"/>
            <w:bottom w:w="0" w:type="dxa"/>
            <w:right w:w="0" w:type="dxa"/>
          </w:tblCellMar>
        </w:tblPrEx>
        <w:trPr>
          <w:trHeight w:val="732"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color w:val="000000"/>
                <w:kern w:val="0"/>
                <w:sz w:val="20"/>
              </w:rPr>
              <w:t>信息内容</w:t>
            </w:r>
          </w:p>
        </w:tc>
        <w:tc>
          <w:tcPr>
            <w:tcW w:w="2435"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color w:val="000000"/>
                <w:kern w:val="0"/>
                <w:sz w:val="20"/>
              </w:rPr>
              <w:t>本年</w:t>
            </w:r>
            <w:r>
              <w:rPr>
                <w:rFonts w:ascii="宋体" w:hAnsi="宋体" w:cs="Calibri"/>
                <w:kern w:val="0"/>
                <w:sz w:val="20"/>
              </w:rPr>
              <w:t>制</w:t>
            </w:r>
            <w:r>
              <w:rPr>
                <w:rFonts w:hint="eastAsia" w:ascii="宋体" w:hAnsi="宋体" w:cs="宋体"/>
                <w:kern w:val="0"/>
                <w:sz w:val="20"/>
              </w:rPr>
              <w:t>发件</w:t>
            </w:r>
            <w:r>
              <w:rPr>
                <w:rFonts w:ascii="宋体" w:hAnsi="宋体" w:cs="Calibri"/>
                <w:kern w:val="0"/>
                <w:sz w:val="20"/>
              </w:rPr>
              <w:t>数</w:t>
            </w:r>
          </w:p>
        </w:tc>
        <w:tc>
          <w:tcPr>
            <w:tcW w:w="2435"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color w:val="000000"/>
                <w:kern w:val="0"/>
                <w:sz w:val="20"/>
              </w:rPr>
              <w:t>本年废止件数</w:t>
            </w:r>
          </w:p>
        </w:tc>
        <w:tc>
          <w:tcPr>
            <w:tcW w:w="2435"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color w:val="000000"/>
                <w:kern w:val="0"/>
                <w:sz w:val="20"/>
              </w:rPr>
              <w:t>现行有效件</w:t>
            </w:r>
            <w:r>
              <w:rPr>
                <w:rFonts w:ascii="宋体" w:hAnsi="宋体" w:cs="Calibri"/>
                <w:kern w:val="0"/>
                <w:sz w:val="20"/>
              </w:rPr>
              <w:t>数</w:t>
            </w:r>
          </w:p>
        </w:tc>
      </w:tr>
      <w:tr>
        <w:tblPrEx>
          <w:tblCellMar>
            <w:top w:w="0" w:type="dxa"/>
            <w:left w:w="0" w:type="dxa"/>
            <w:bottom w:w="0" w:type="dxa"/>
            <w:right w:w="0" w:type="dxa"/>
          </w:tblCellMar>
        </w:tblPrEx>
        <w:trPr>
          <w:trHeight w:val="732"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r>
              <w:rPr>
                <w:rFonts w:hint="eastAsia" w:ascii="宋体" w:hAnsi="宋体" w:cs="宋体"/>
                <w:color w:val="000000"/>
                <w:kern w:val="0"/>
                <w:sz w:val="20"/>
              </w:rPr>
              <w:t>规章</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kern w:val="0"/>
                <w:sz w:val="24"/>
                <w:szCs w:val="24"/>
                <w:lang w:val="en-US" w:eastAsia="zh-CN"/>
              </w:rPr>
            </w:pPr>
            <w:r>
              <w:rPr>
                <w:rFonts w:hint="eastAsia" w:ascii="Times New Roman" w:hAnsi="Times New Roman" w:cs="宋体"/>
                <w:color w:val="000000"/>
                <w:kern w:val="0"/>
                <w:sz w:val="20"/>
                <w:lang w:val="en-US" w:eastAsia="zh-CN"/>
              </w:rPr>
              <w:t>0</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kern w:val="0"/>
                <w:sz w:val="24"/>
                <w:szCs w:val="24"/>
                <w:lang w:val="en-US" w:eastAsia="zh-CN"/>
              </w:rPr>
            </w:pPr>
            <w:r>
              <w:rPr>
                <w:rFonts w:hint="eastAsia" w:ascii="Times New Roman" w:hAnsi="Times New Roman" w:cs="宋体"/>
                <w:color w:val="000000"/>
                <w:kern w:val="0"/>
                <w:sz w:val="20"/>
                <w:lang w:val="en-US" w:eastAsia="zh-CN"/>
              </w:rPr>
              <w:t>0</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kern w:val="0"/>
                <w:sz w:val="24"/>
                <w:szCs w:val="24"/>
                <w:lang w:val="en-US" w:eastAsia="zh-CN"/>
              </w:rPr>
            </w:pPr>
            <w:r>
              <w:rPr>
                <w:rFonts w:hint="eastAsia" w:ascii="Times New Roman" w:hAnsi="Times New Roman" w:cs="Calibri"/>
                <w:kern w:val="0"/>
                <w:szCs w:val="21"/>
                <w:lang w:val="en-US" w:eastAsia="zh-CN"/>
              </w:rPr>
              <w:t>0</w:t>
            </w:r>
          </w:p>
        </w:tc>
      </w:tr>
      <w:tr>
        <w:tblPrEx>
          <w:tblCellMar>
            <w:top w:w="0" w:type="dxa"/>
            <w:left w:w="0" w:type="dxa"/>
            <w:bottom w:w="0" w:type="dxa"/>
            <w:right w:w="0" w:type="dxa"/>
          </w:tblCellMar>
        </w:tblPrEx>
        <w:trPr>
          <w:trHeight w:val="732"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r>
              <w:rPr>
                <w:rFonts w:hint="eastAsia" w:ascii="宋体" w:hAnsi="宋体" w:cs="宋体"/>
                <w:color w:val="000000"/>
                <w:kern w:val="0"/>
                <w:sz w:val="20"/>
              </w:rPr>
              <w:t>行政规范性文件</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kern w:val="0"/>
                <w:sz w:val="24"/>
                <w:szCs w:val="24"/>
                <w:lang w:val="en-US" w:eastAsia="zh-CN"/>
              </w:rPr>
            </w:pPr>
            <w:r>
              <w:rPr>
                <w:rFonts w:hint="eastAsia" w:ascii="Times New Roman" w:hAnsi="Times New Roman" w:cs="宋体"/>
                <w:color w:val="000000"/>
                <w:kern w:val="0"/>
                <w:sz w:val="20"/>
                <w:lang w:val="en-US" w:eastAsia="zh-CN"/>
              </w:rPr>
              <w:t>0</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kern w:val="0"/>
                <w:sz w:val="24"/>
                <w:szCs w:val="24"/>
                <w:lang w:val="en-US" w:eastAsia="zh-CN"/>
              </w:rPr>
            </w:pPr>
            <w:r>
              <w:rPr>
                <w:rFonts w:hint="eastAsia" w:ascii="Times New Roman" w:hAnsi="Times New Roman" w:cs="宋体"/>
                <w:color w:val="000000"/>
                <w:kern w:val="0"/>
                <w:sz w:val="20"/>
                <w:lang w:val="en-US" w:eastAsia="zh-CN"/>
              </w:rPr>
              <w:t>0</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kern w:val="0"/>
                <w:sz w:val="24"/>
                <w:szCs w:val="24"/>
                <w:lang w:val="en-US" w:eastAsia="zh-CN"/>
              </w:rPr>
            </w:pPr>
            <w:r>
              <w:rPr>
                <w:rFonts w:hint="eastAsia" w:ascii="Times New Roman" w:hAnsi="Times New Roman" w:cs="Calibri"/>
                <w:kern w:val="0"/>
                <w:szCs w:val="21"/>
                <w:lang w:val="en-US" w:eastAsia="zh-CN"/>
              </w:rPr>
              <w:t>0</w:t>
            </w:r>
          </w:p>
        </w:tc>
      </w:tr>
      <w:tr>
        <w:tblPrEx>
          <w:tblCellMar>
            <w:top w:w="0" w:type="dxa"/>
            <w:left w:w="0" w:type="dxa"/>
            <w:bottom w:w="0" w:type="dxa"/>
            <w:right w:w="0" w:type="dxa"/>
          </w:tblCellMar>
        </w:tblPrEx>
        <w:trPr>
          <w:trHeight w:val="732"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color w:val="000000"/>
                <w:kern w:val="0"/>
                <w:sz w:val="20"/>
              </w:rPr>
              <w:t>第二十条第（五）项</w:t>
            </w:r>
          </w:p>
        </w:tc>
      </w:tr>
      <w:tr>
        <w:tblPrEx>
          <w:tblCellMar>
            <w:top w:w="0" w:type="dxa"/>
            <w:left w:w="0" w:type="dxa"/>
            <w:bottom w:w="0" w:type="dxa"/>
            <w:right w:w="0" w:type="dxa"/>
          </w:tblCellMar>
        </w:tblPrEx>
        <w:trPr>
          <w:trHeight w:val="732"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color w:val="000000"/>
                <w:kern w:val="0"/>
                <w:sz w:val="20"/>
              </w:rPr>
              <w:t>信息内容</w:t>
            </w:r>
          </w:p>
        </w:tc>
        <w:tc>
          <w:tcPr>
            <w:tcW w:w="7305"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color w:val="000000"/>
                <w:kern w:val="0"/>
                <w:sz w:val="20"/>
              </w:rPr>
              <w:t>本年处理决定数量</w:t>
            </w:r>
          </w:p>
        </w:tc>
      </w:tr>
      <w:tr>
        <w:tblPrEx>
          <w:tblCellMar>
            <w:top w:w="0" w:type="dxa"/>
            <w:left w:w="0" w:type="dxa"/>
            <w:bottom w:w="0" w:type="dxa"/>
            <w:right w:w="0" w:type="dxa"/>
          </w:tblCellMar>
        </w:tblPrEx>
        <w:trPr>
          <w:trHeight w:val="732"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r>
              <w:rPr>
                <w:rFonts w:hint="eastAsia" w:ascii="宋体" w:hAnsi="宋体" w:cs="宋体"/>
                <w:color w:val="000000"/>
                <w:kern w:val="0"/>
                <w:sz w:val="20"/>
              </w:rPr>
              <w:t>行政许可</w:t>
            </w:r>
          </w:p>
        </w:tc>
        <w:tc>
          <w:tcPr>
            <w:tcW w:w="7305"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kern w:val="0"/>
                <w:sz w:val="24"/>
                <w:szCs w:val="24"/>
                <w:lang w:val="en-US" w:eastAsia="zh-CN"/>
              </w:rPr>
            </w:pPr>
            <w:r>
              <w:rPr>
                <w:rFonts w:hint="eastAsia" w:ascii="Times New Roman" w:hAnsi="Times New Roman" w:cs="Calibri"/>
                <w:kern w:val="0"/>
                <w:szCs w:val="21"/>
                <w:lang w:val="en-US" w:eastAsia="zh-CN"/>
              </w:rPr>
              <w:t>0</w:t>
            </w:r>
          </w:p>
        </w:tc>
      </w:tr>
      <w:tr>
        <w:tblPrEx>
          <w:tblCellMar>
            <w:top w:w="0" w:type="dxa"/>
            <w:left w:w="0" w:type="dxa"/>
            <w:bottom w:w="0" w:type="dxa"/>
            <w:right w:w="0" w:type="dxa"/>
          </w:tblCellMar>
        </w:tblPrEx>
        <w:trPr>
          <w:trHeight w:val="732"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color w:val="000000"/>
                <w:kern w:val="0"/>
                <w:sz w:val="20"/>
              </w:rPr>
              <w:t>第二十条第（六）项</w:t>
            </w:r>
          </w:p>
        </w:tc>
      </w:tr>
      <w:tr>
        <w:tblPrEx>
          <w:tblCellMar>
            <w:top w:w="0" w:type="dxa"/>
            <w:left w:w="0" w:type="dxa"/>
            <w:bottom w:w="0" w:type="dxa"/>
            <w:right w:w="0" w:type="dxa"/>
          </w:tblCellMar>
        </w:tblPrEx>
        <w:trPr>
          <w:trHeight w:val="732"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color w:val="000000"/>
                <w:kern w:val="0"/>
                <w:sz w:val="20"/>
              </w:rPr>
              <w:t>信息内容</w:t>
            </w:r>
          </w:p>
        </w:tc>
        <w:tc>
          <w:tcPr>
            <w:tcW w:w="7305" w:type="dxa"/>
            <w:gridSpan w:val="3"/>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color w:val="000000"/>
                <w:kern w:val="0"/>
                <w:sz w:val="20"/>
              </w:rPr>
              <w:t>本年处理决定数量</w:t>
            </w:r>
          </w:p>
        </w:tc>
      </w:tr>
      <w:tr>
        <w:tblPrEx>
          <w:tblCellMar>
            <w:top w:w="0" w:type="dxa"/>
            <w:left w:w="0" w:type="dxa"/>
            <w:bottom w:w="0" w:type="dxa"/>
            <w:right w:w="0" w:type="dxa"/>
          </w:tblCellMar>
        </w:tblPrEx>
        <w:trPr>
          <w:trHeight w:val="732"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r>
              <w:rPr>
                <w:rFonts w:hint="eastAsia" w:ascii="宋体" w:hAnsi="宋体" w:cs="宋体"/>
                <w:color w:val="000000"/>
                <w:kern w:val="0"/>
                <w:sz w:val="20"/>
              </w:rPr>
              <w:t>行政处罚</w:t>
            </w:r>
          </w:p>
        </w:tc>
        <w:tc>
          <w:tcPr>
            <w:tcW w:w="7305"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kern w:val="0"/>
                <w:sz w:val="24"/>
                <w:szCs w:val="24"/>
                <w:lang w:val="en-US" w:eastAsia="zh-CN"/>
              </w:rPr>
            </w:pPr>
            <w:r>
              <w:rPr>
                <w:rFonts w:hint="eastAsia" w:ascii="Times New Roman" w:hAnsi="Times New Roman" w:cs="宋体"/>
                <w:color w:val="000000"/>
                <w:kern w:val="0"/>
                <w:sz w:val="20"/>
                <w:lang w:val="en-US" w:eastAsia="zh-CN"/>
              </w:rPr>
              <w:t>0</w:t>
            </w:r>
          </w:p>
        </w:tc>
      </w:tr>
      <w:tr>
        <w:tblPrEx>
          <w:tblCellMar>
            <w:top w:w="0" w:type="dxa"/>
            <w:left w:w="0" w:type="dxa"/>
            <w:bottom w:w="0" w:type="dxa"/>
            <w:right w:w="0" w:type="dxa"/>
          </w:tblCellMar>
        </w:tblPrEx>
        <w:trPr>
          <w:trHeight w:val="732"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r>
              <w:rPr>
                <w:rFonts w:hint="eastAsia" w:ascii="宋体" w:hAnsi="宋体" w:cs="宋体"/>
                <w:color w:val="000000"/>
                <w:kern w:val="0"/>
                <w:sz w:val="20"/>
              </w:rPr>
              <w:t>行政强制</w:t>
            </w:r>
          </w:p>
        </w:tc>
        <w:tc>
          <w:tcPr>
            <w:tcW w:w="7305"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kern w:val="0"/>
                <w:sz w:val="24"/>
                <w:szCs w:val="24"/>
                <w:lang w:val="en-US" w:eastAsia="zh-CN"/>
              </w:rPr>
            </w:pPr>
            <w:r>
              <w:rPr>
                <w:rFonts w:hint="eastAsia" w:ascii="Times New Roman" w:hAnsi="Times New Roman" w:cs="宋体"/>
                <w:color w:val="000000"/>
                <w:kern w:val="0"/>
                <w:sz w:val="20"/>
                <w:lang w:val="en-US" w:eastAsia="zh-CN"/>
              </w:rPr>
              <w:t>0</w:t>
            </w:r>
          </w:p>
        </w:tc>
      </w:tr>
      <w:tr>
        <w:tblPrEx>
          <w:tblCellMar>
            <w:top w:w="0" w:type="dxa"/>
            <w:left w:w="0" w:type="dxa"/>
            <w:bottom w:w="0" w:type="dxa"/>
            <w:right w:w="0" w:type="dxa"/>
          </w:tblCellMar>
        </w:tblPrEx>
        <w:trPr>
          <w:trHeight w:val="732"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color w:val="000000"/>
                <w:kern w:val="0"/>
                <w:sz w:val="20"/>
              </w:rPr>
              <w:t>第二十条第（八）项</w:t>
            </w:r>
          </w:p>
        </w:tc>
      </w:tr>
      <w:tr>
        <w:tblPrEx>
          <w:tblCellMar>
            <w:top w:w="0" w:type="dxa"/>
            <w:left w:w="0" w:type="dxa"/>
            <w:bottom w:w="0" w:type="dxa"/>
            <w:right w:w="0" w:type="dxa"/>
          </w:tblCellMar>
        </w:tblPrEx>
        <w:trPr>
          <w:trHeight w:val="732"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color w:val="000000"/>
                <w:kern w:val="0"/>
                <w:sz w:val="20"/>
              </w:rPr>
              <w:t>信息内容</w:t>
            </w:r>
          </w:p>
        </w:tc>
        <w:tc>
          <w:tcPr>
            <w:tcW w:w="7305" w:type="dxa"/>
            <w:gridSpan w:val="3"/>
            <w:tcBorders>
              <w:top w:val="nil"/>
              <w:left w:val="nil"/>
              <w:bottom w:val="single" w:color="auto" w:sz="8" w:space="0"/>
              <w:right w:val="single" w:color="000000"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color w:val="000000"/>
                <w:kern w:val="0"/>
                <w:sz w:val="20"/>
              </w:rPr>
              <w:t>本年收费金额（单位：万元）</w:t>
            </w:r>
          </w:p>
        </w:tc>
      </w:tr>
      <w:tr>
        <w:tblPrEx>
          <w:tblCellMar>
            <w:top w:w="0" w:type="dxa"/>
            <w:left w:w="0" w:type="dxa"/>
            <w:bottom w:w="0" w:type="dxa"/>
            <w:right w:w="0" w:type="dxa"/>
          </w:tblCellMar>
        </w:tblPrEx>
        <w:trPr>
          <w:trHeight w:val="732"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r>
              <w:rPr>
                <w:rFonts w:hint="eastAsia" w:ascii="宋体" w:hAnsi="宋体" w:cs="宋体"/>
                <w:color w:val="000000"/>
                <w:kern w:val="0"/>
                <w:sz w:val="20"/>
              </w:rPr>
              <w:t>行政事业性收费</w:t>
            </w:r>
          </w:p>
        </w:tc>
        <w:tc>
          <w:tcPr>
            <w:tcW w:w="7305" w:type="dxa"/>
            <w:gridSpan w:val="3"/>
            <w:tcBorders>
              <w:top w:val="nil"/>
              <w:left w:val="nil"/>
              <w:bottom w:val="single" w:color="auto" w:sz="8" w:space="0"/>
              <w:right w:val="single" w:color="000000"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kern w:val="0"/>
                <w:sz w:val="24"/>
                <w:szCs w:val="24"/>
                <w:lang w:val="en-US" w:eastAsia="zh-CN"/>
              </w:rPr>
            </w:pPr>
            <w:r>
              <w:rPr>
                <w:rFonts w:hint="eastAsia" w:ascii="Times New Roman" w:hAnsi="Times New Roman" w:cs="宋体"/>
                <w:kern w:val="0"/>
                <w:sz w:val="24"/>
                <w:szCs w:val="24"/>
                <w:lang w:val="en-US" w:eastAsia="zh-CN"/>
              </w:rPr>
              <w:t>0</w:t>
            </w:r>
          </w:p>
        </w:tc>
      </w:tr>
    </w:tbl>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hint="eastAsia" w:ascii="宋体" w:hAnsi="宋体" w:eastAsia="宋体" w:cs="宋体"/>
          <w:kern w:val="0"/>
          <w:sz w:val="24"/>
          <w:szCs w:val="24"/>
          <w:lang w:eastAsia="zh-CN"/>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bCs/>
          <w:sz w:val="32"/>
          <w:szCs w:val="32"/>
          <w:lang w:val="en-US" w:eastAsia="zh-CN"/>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bCs/>
          <w:sz w:val="32"/>
          <w:szCs w:val="32"/>
          <w:lang w:val="en-US" w:eastAsia="zh-CN"/>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bCs/>
          <w:sz w:val="32"/>
          <w:szCs w:val="32"/>
          <w:lang w:val="en-US" w:eastAsia="zh-CN"/>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bCs/>
          <w:sz w:val="32"/>
          <w:szCs w:val="32"/>
          <w:lang w:val="en-US" w:eastAsia="zh-CN"/>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宋体" w:hAnsi="宋体" w:eastAsia="宋体" w:cs="宋体"/>
          <w:color w:val="333333"/>
          <w:kern w:val="0"/>
          <w:sz w:val="24"/>
          <w:szCs w:val="24"/>
          <w:lang w:eastAsia="zh-CN"/>
        </w:rPr>
      </w:pPr>
      <w:r>
        <w:rPr>
          <w:rFonts w:hint="eastAsia" w:ascii="黑体" w:hAnsi="黑体" w:eastAsia="黑体" w:cs="黑体"/>
          <w:bCs/>
          <w:sz w:val="32"/>
          <w:szCs w:val="32"/>
          <w:lang w:val="en-US" w:eastAsia="zh-CN"/>
        </w:rPr>
        <w:t>三、收到和处理政府信息公开申请情况</w:t>
      </w:r>
    </w:p>
    <w:tbl>
      <w:tblPr>
        <w:tblStyle w:val="9"/>
        <w:tblW w:w="9748" w:type="dxa"/>
        <w:jc w:val="center"/>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inset"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r>
              <w:rPr>
                <w:rFonts w:hint="eastAsia" w:ascii="楷体" w:hAnsi="楷体" w:eastAsia="楷体" w:cs="宋体"/>
                <w:kern w:val="0"/>
                <w:sz w:val="20"/>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kern w:val="0"/>
                <w:sz w:val="20"/>
              </w:rPr>
              <w:t>申请人情况</w:t>
            </w:r>
          </w:p>
        </w:tc>
      </w:tr>
      <w:tr>
        <w:tblPrEx>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inset"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688" w:type="dxa"/>
            <w:vMerge w:val="restart"/>
            <w:tcBorders>
              <w:top w:val="single" w:color="auto" w:sz="0"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kern w:val="0"/>
                <w:sz w:val="20"/>
              </w:rPr>
              <w:t>自然人</w:t>
            </w:r>
          </w:p>
        </w:tc>
        <w:tc>
          <w:tcPr>
            <w:tcW w:w="3440" w:type="dxa"/>
            <w:gridSpan w:val="5"/>
            <w:tcBorders>
              <w:top w:val="single" w:color="auto" w:sz="8"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kern w:val="0"/>
                <w:sz w:val="20"/>
              </w:rPr>
              <w:t>法人或其他组织</w:t>
            </w:r>
          </w:p>
        </w:tc>
        <w:tc>
          <w:tcPr>
            <w:tcW w:w="689" w:type="dxa"/>
            <w:vMerge w:val="restart"/>
            <w:tcBorders>
              <w:top w:val="single" w:color="auto" w:sz="8"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kern w:val="0"/>
                <w:sz w:val="20"/>
              </w:rPr>
              <w:t>总计</w:t>
            </w:r>
          </w:p>
        </w:tc>
      </w:tr>
      <w:tr>
        <w:tblPrEx>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inset"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688" w:type="dxa"/>
            <w:vMerge w:val="continue"/>
            <w:tcBorders>
              <w:top w:val="single" w:color="auto" w:sz="0" w:space="0"/>
              <w:left w:val="single" w:color="auto" w:sz="0"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688" w:type="dxa"/>
            <w:tcBorders>
              <w:top w:val="single" w:color="auto" w:sz="0"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kern w:val="0"/>
                <w:sz w:val="20"/>
              </w:rPr>
              <w:t>商业</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kern w:val="0"/>
                <w:sz w:val="20"/>
              </w:rPr>
              <w:t>企业</w:t>
            </w:r>
          </w:p>
        </w:tc>
        <w:tc>
          <w:tcPr>
            <w:tcW w:w="688" w:type="dxa"/>
            <w:tcBorders>
              <w:top w:val="single" w:color="auto" w:sz="0"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kern w:val="0"/>
                <w:sz w:val="20"/>
              </w:rPr>
              <w:t>科研</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kern w:val="0"/>
                <w:sz w:val="20"/>
              </w:rPr>
              <w:t>机构</w:t>
            </w:r>
          </w:p>
        </w:tc>
        <w:tc>
          <w:tcPr>
            <w:tcW w:w="688" w:type="dxa"/>
            <w:tcBorders>
              <w:top w:val="single" w:color="auto" w:sz="8"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kern w:val="0"/>
                <w:sz w:val="20"/>
              </w:rPr>
              <w:t>社会公益组织</w:t>
            </w:r>
          </w:p>
        </w:tc>
        <w:tc>
          <w:tcPr>
            <w:tcW w:w="688" w:type="dxa"/>
            <w:tcBorders>
              <w:top w:val="single" w:color="auto" w:sz="8"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kern w:val="0"/>
                <w:sz w:val="20"/>
              </w:rPr>
              <w:t>法律服务机构</w:t>
            </w:r>
          </w:p>
        </w:tc>
        <w:tc>
          <w:tcPr>
            <w:tcW w:w="688" w:type="dxa"/>
            <w:tcBorders>
              <w:top w:val="single" w:color="auto" w:sz="8"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kern w:val="0"/>
                <w:sz w:val="20"/>
              </w:rPr>
              <w:t>其他</w:t>
            </w:r>
          </w:p>
        </w:tc>
        <w:tc>
          <w:tcPr>
            <w:tcW w:w="689" w:type="dxa"/>
            <w:vMerge w:val="continue"/>
            <w:tcBorders>
              <w:top w:val="single" w:color="auto" w:sz="8" w:space="0"/>
              <w:left w:val="single" w:color="auto" w:sz="0" w:space="0"/>
              <w:bottom w:val="inset"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r>
      <w:tr>
        <w:tblPrEx>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r>
              <w:rPr>
                <w:rFonts w:hint="eastAsia" w:ascii="宋体" w:hAnsi="宋体" w:cs="宋体"/>
                <w:kern w:val="0"/>
                <w:sz w:val="20"/>
              </w:rPr>
              <w:t>一、本年新收政府信息公开申请数量</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cs="Calibri"/>
                <w:kern w:val="0"/>
                <w:sz w:val="20"/>
                <w:lang w:val="en-US" w:eastAsia="zh-CN"/>
              </w:rPr>
              <w:t>1</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kern w:val="0"/>
                <w:sz w:val="24"/>
                <w:szCs w:val="24"/>
                <w:lang w:val="en-US" w:eastAsia="zh-CN"/>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kern w:val="0"/>
                <w:sz w:val="24"/>
                <w:szCs w:val="24"/>
                <w:lang w:val="en-US" w:eastAsia="zh-CN"/>
              </w:rPr>
            </w:pPr>
            <w:r>
              <w:rPr>
                <w:rFonts w:hint="eastAsia" w:cs="Calibri"/>
                <w:kern w:val="0"/>
                <w:sz w:val="20"/>
                <w:lang w:val="en-US" w:eastAsia="zh-CN"/>
              </w:rPr>
              <w:t>1</w:t>
            </w:r>
          </w:p>
        </w:tc>
      </w:tr>
      <w:tr>
        <w:tblPrEx>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r>
              <w:rPr>
                <w:rFonts w:hint="eastAsia" w:ascii="宋体" w:hAnsi="宋体" w:cs="宋体"/>
                <w:kern w:val="0"/>
                <w:sz w:val="20"/>
              </w:rPr>
              <w:t>二、上年结转政府信息公开申请数量</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kern w:val="0"/>
                <w:sz w:val="24"/>
                <w:szCs w:val="24"/>
                <w:lang w:val="en-US" w:eastAsia="zh-CN"/>
              </w:rPr>
            </w:pP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kern w:val="0"/>
                <w:sz w:val="24"/>
                <w:szCs w:val="24"/>
                <w:lang w:val="en-US" w:eastAsia="zh-CN"/>
              </w:rPr>
            </w:pPr>
            <w:r>
              <w:rPr>
                <w:rFonts w:hint="eastAsia" w:cs="Calibri"/>
                <w:kern w:val="0"/>
                <w:sz w:val="20"/>
                <w:lang w:val="en-US" w:eastAsia="zh-CN"/>
              </w:rPr>
              <w:t>0</w:t>
            </w:r>
          </w:p>
        </w:tc>
      </w:tr>
      <w:tr>
        <w:tblPrEx>
          <w:tblCellMar>
            <w:top w:w="0" w:type="dxa"/>
            <w:left w:w="0" w:type="dxa"/>
            <w:bottom w:w="0" w:type="dxa"/>
            <w:right w:w="0" w:type="dxa"/>
          </w:tblCellMar>
        </w:tblPrEx>
        <w:trPr>
          <w:jc w:val="center"/>
        </w:trPr>
        <w:tc>
          <w:tcPr>
            <w:tcW w:w="768" w:type="dxa"/>
            <w:vMerge w:val="restart"/>
            <w:tcBorders>
              <w:top w:val="single" w:color="auto" w:sz="0" w:space="0"/>
              <w:left w:val="single" w:color="auto" w:sz="8" w:space="0"/>
              <w:bottom w:val="inset"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r>
              <w:rPr>
                <w:rFonts w:hint="eastAsia" w:ascii="宋体" w:hAnsi="宋体" w:cs="宋体"/>
                <w:kern w:val="0"/>
                <w:sz w:val="20"/>
              </w:rPr>
              <w:t>三、本年度办理结果</w:t>
            </w:r>
          </w:p>
        </w:tc>
        <w:tc>
          <w:tcPr>
            <w:tcW w:w="4163"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r>
              <w:rPr>
                <w:rFonts w:hint="eastAsia" w:ascii="宋体" w:hAnsi="宋体" w:cs="宋体"/>
                <w:kern w:val="0"/>
                <w:sz w:val="20"/>
              </w:rPr>
              <w:t>（一）予以公开</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cs="Calibri"/>
                <w:kern w:val="0"/>
                <w:sz w:val="20"/>
                <w:lang w:val="en-US" w:eastAsia="zh-CN"/>
              </w:rPr>
              <w:t>1</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9"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kern w:val="0"/>
                <w:sz w:val="24"/>
                <w:szCs w:val="24"/>
                <w:lang w:val="en-US" w:eastAsia="zh-CN"/>
              </w:rPr>
            </w:pPr>
            <w:r>
              <w:rPr>
                <w:rFonts w:hint="eastAsia" w:cs="Calibri"/>
                <w:kern w:val="0"/>
                <w:sz w:val="20"/>
                <w:lang w:val="en-US" w:eastAsia="zh-CN"/>
              </w:rPr>
              <w:t>1</w:t>
            </w:r>
          </w:p>
        </w:tc>
      </w:tr>
      <w:tr>
        <w:tblPrEx>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4163"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r>
              <w:rPr>
                <w:rFonts w:hint="eastAsia" w:ascii="宋体" w:hAnsi="宋体" w:cs="宋体"/>
                <w:kern w:val="0"/>
                <w:sz w:val="20"/>
              </w:rPr>
              <w:t>（二）部分公开</w:t>
            </w:r>
            <w:r>
              <w:rPr>
                <w:rFonts w:hint="eastAsia" w:ascii="楷体" w:hAnsi="楷体" w:eastAsia="楷体" w:cs="宋体"/>
                <w:kern w:val="0"/>
                <w:sz w:val="20"/>
              </w:rPr>
              <w:t>（区分处理的，只计这一情形，不计其他情形）</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r>
      <w:tr>
        <w:tblPrEx>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943" w:type="dxa"/>
            <w:vMerge w:val="restart"/>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r>
              <w:rPr>
                <w:rFonts w:hint="eastAsia" w:ascii="宋体" w:hAnsi="宋体" w:cs="宋体"/>
                <w:kern w:val="0"/>
                <w:sz w:val="20"/>
              </w:rPr>
              <w:t>（三）不予公开</w:t>
            </w: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r>
              <w:rPr>
                <w:rFonts w:hint="eastAsia" w:ascii="Times New Roman" w:hAnsi="Times New Roman" w:cs="宋体"/>
                <w:kern w:val="0"/>
                <w:sz w:val="20"/>
              </w:rPr>
              <w:t>1</w:t>
            </w:r>
            <w:r>
              <w:rPr>
                <w:rFonts w:hint="eastAsia" w:ascii="宋体" w:hAnsi="宋体" w:cs="宋体"/>
                <w:kern w:val="0"/>
                <w:sz w:val="20"/>
              </w:rPr>
              <w:t>.属于国家秘密</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9"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r>
      <w:tr>
        <w:tblPrEx>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943" w:type="dxa"/>
            <w:vMerge w:val="continue"/>
            <w:tcBorders>
              <w:top w:val="single" w:color="auto" w:sz="0" w:space="0"/>
              <w:left w:val="single" w:color="auto" w:sz="0" w:space="0"/>
              <w:bottom w:val="inset"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r>
              <w:rPr>
                <w:rFonts w:hint="eastAsia" w:ascii="Times New Roman" w:hAnsi="Times New Roman" w:cs="宋体"/>
                <w:kern w:val="0"/>
                <w:sz w:val="20"/>
              </w:rPr>
              <w:t>2</w:t>
            </w:r>
            <w:r>
              <w:rPr>
                <w:rFonts w:hint="eastAsia" w:ascii="宋体" w:hAnsi="宋体" w:cs="宋体"/>
                <w:kern w:val="0"/>
                <w:sz w:val="20"/>
              </w:rPr>
              <w:t>.其他法律行政法规禁止公开</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r>
      <w:tr>
        <w:tblPrEx>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943" w:type="dxa"/>
            <w:vMerge w:val="continue"/>
            <w:tcBorders>
              <w:top w:val="single" w:color="auto" w:sz="0" w:space="0"/>
              <w:left w:val="single" w:color="auto" w:sz="0" w:space="0"/>
              <w:bottom w:val="inset"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r>
              <w:rPr>
                <w:rFonts w:hint="eastAsia" w:ascii="Times New Roman" w:hAnsi="Times New Roman" w:cs="宋体"/>
                <w:kern w:val="0"/>
                <w:sz w:val="20"/>
              </w:rPr>
              <w:t>3</w:t>
            </w:r>
            <w:r>
              <w:rPr>
                <w:rFonts w:hint="eastAsia" w:ascii="宋体" w:hAnsi="宋体" w:cs="宋体"/>
                <w:kern w:val="0"/>
                <w:sz w:val="20"/>
              </w:rPr>
              <w:t>.危及“三安全一稳定”</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r>
      <w:tr>
        <w:tblPrEx>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943" w:type="dxa"/>
            <w:vMerge w:val="continue"/>
            <w:tcBorders>
              <w:top w:val="single" w:color="auto" w:sz="0" w:space="0"/>
              <w:left w:val="single" w:color="auto" w:sz="0" w:space="0"/>
              <w:bottom w:val="inset"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r>
              <w:rPr>
                <w:rFonts w:hint="eastAsia" w:ascii="Times New Roman" w:hAnsi="Times New Roman" w:cs="宋体"/>
                <w:kern w:val="0"/>
                <w:sz w:val="20"/>
              </w:rPr>
              <w:t>4</w:t>
            </w:r>
            <w:r>
              <w:rPr>
                <w:rFonts w:hint="eastAsia" w:ascii="宋体" w:hAnsi="宋体" w:cs="宋体"/>
                <w:kern w:val="0"/>
                <w:sz w:val="20"/>
              </w:rPr>
              <w:t>.保护第三方合法权益</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r>
      <w:tr>
        <w:tblPrEx>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943" w:type="dxa"/>
            <w:vMerge w:val="continue"/>
            <w:tcBorders>
              <w:top w:val="single" w:color="auto" w:sz="0" w:space="0"/>
              <w:left w:val="single" w:color="auto" w:sz="0" w:space="0"/>
              <w:bottom w:val="inset"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r>
              <w:rPr>
                <w:rFonts w:hint="eastAsia" w:ascii="Times New Roman" w:hAnsi="Times New Roman" w:cs="宋体"/>
                <w:kern w:val="0"/>
                <w:sz w:val="20"/>
              </w:rPr>
              <w:t>5</w:t>
            </w:r>
            <w:r>
              <w:rPr>
                <w:rFonts w:hint="eastAsia" w:ascii="宋体" w:hAnsi="宋体" w:cs="宋体"/>
                <w:kern w:val="0"/>
                <w:sz w:val="20"/>
              </w:rPr>
              <w:t>.属于三类内部事务信息</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r>
      <w:tr>
        <w:tblPrEx>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943" w:type="dxa"/>
            <w:vMerge w:val="continue"/>
            <w:tcBorders>
              <w:top w:val="single" w:color="auto" w:sz="0" w:space="0"/>
              <w:left w:val="single" w:color="auto" w:sz="0" w:space="0"/>
              <w:bottom w:val="inset"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r>
              <w:rPr>
                <w:rFonts w:hint="eastAsia" w:ascii="Times New Roman" w:hAnsi="Times New Roman" w:cs="宋体"/>
                <w:kern w:val="0"/>
                <w:sz w:val="20"/>
              </w:rPr>
              <w:t>6</w:t>
            </w:r>
            <w:r>
              <w:rPr>
                <w:rFonts w:hint="eastAsia" w:ascii="宋体" w:hAnsi="宋体" w:cs="宋体"/>
                <w:kern w:val="0"/>
                <w:sz w:val="20"/>
              </w:rPr>
              <w:t>.属于四类过程性信息</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r>
      <w:tr>
        <w:tblPrEx>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943" w:type="dxa"/>
            <w:vMerge w:val="continue"/>
            <w:tcBorders>
              <w:top w:val="single" w:color="auto" w:sz="0" w:space="0"/>
              <w:left w:val="single" w:color="auto" w:sz="0" w:space="0"/>
              <w:bottom w:val="inset"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r>
              <w:rPr>
                <w:rFonts w:hint="eastAsia" w:ascii="Times New Roman" w:hAnsi="Times New Roman" w:cs="宋体"/>
                <w:kern w:val="0"/>
                <w:sz w:val="20"/>
              </w:rPr>
              <w:t>7</w:t>
            </w:r>
            <w:r>
              <w:rPr>
                <w:rFonts w:hint="eastAsia" w:ascii="宋体" w:hAnsi="宋体" w:cs="宋体"/>
                <w:kern w:val="0"/>
                <w:sz w:val="20"/>
              </w:rPr>
              <w:t>.属于行政执法案卷</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r>
      <w:tr>
        <w:tblPrEx>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943" w:type="dxa"/>
            <w:vMerge w:val="continue"/>
            <w:tcBorders>
              <w:top w:val="single" w:color="auto" w:sz="0" w:space="0"/>
              <w:left w:val="single" w:color="auto" w:sz="0" w:space="0"/>
              <w:bottom w:val="inset"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r>
              <w:rPr>
                <w:rFonts w:hint="eastAsia" w:ascii="Times New Roman" w:hAnsi="Times New Roman" w:cs="宋体"/>
                <w:kern w:val="0"/>
                <w:sz w:val="20"/>
              </w:rPr>
              <w:t>8</w:t>
            </w:r>
            <w:r>
              <w:rPr>
                <w:rFonts w:hint="eastAsia" w:ascii="宋体" w:hAnsi="宋体" w:cs="宋体"/>
                <w:kern w:val="0"/>
                <w:sz w:val="20"/>
              </w:rPr>
              <w:t>.属于行政查询事项</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r>
      <w:tr>
        <w:tblPrEx>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943" w:type="dxa"/>
            <w:vMerge w:val="restart"/>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r>
              <w:rPr>
                <w:rFonts w:hint="eastAsia" w:ascii="宋体" w:hAnsi="宋体" w:cs="宋体"/>
                <w:kern w:val="0"/>
                <w:sz w:val="20"/>
              </w:rPr>
              <w:t>（四）无法提供</w:t>
            </w: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r>
              <w:rPr>
                <w:rFonts w:hint="eastAsia" w:ascii="Times New Roman" w:hAnsi="Times New Roman" w:cs="宋体"/>
                <w:kern w:val="0"/>
                <w:sz w:val="20"/>
              </w:rPr>
              <w:t>1</w:t>
            </w:r>
            <w:r>
              <w:rPr>
                <w:rFonts w:hint="eastAsia" w:ascii="宋体" w:hAnsi="宋体" w:cs="宋体"/>
                <w:kern w:val="0"/>
                <w:sz w:val="20"/>
              </w:rPr>
              <w:t>.本机关不掌握相关政府信息</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r>
      <w:tr>
        <w:tblPrEx>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943" w:type="dxa"/>
            <w:vMerge w:val="continue"/>
            <w:tcBorders>
              <w:top w:val="single" w:color="auto" w:sz="0" w:space="0"/>
              <w:left w:val="single" w:color="auto" w:sz="0" w:space="0"/>
              <w:bottom w:val="inset"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r>
              <w:rPr>
                <w:rFonts w:hint="eastAsia" w:ascii="Times New Roman" w:hAnsi="Times New Roman" w:cs="宋体"/>
                <w:kern w:val="0"/>
                <w:sz w:val="20"/>
              </w:rPr>
              <w:t>2</w:t>
            </w:r>
            <w:r>
              <w:rPr>
                <w:rFonts w:hint="eastAsia" w:ascii="宋体" w:hAnsi="宋体" w:cs="宋体"/>
                <w:kern w:val="0"/>
                <w:sz w:val="20"/>
              </w:rPr>
              <w:t>.没有现成信息需要另行制作</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r>
      <w:tr>
        <w:tblPrEx>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943" w:type="dxa"/>
            <w:vMerge w:val="continue"/>
            <w:tcBorders>
              <w:top w:val="single" w:color="auto" w:sz="0" w:space="0"/>
              <w:left w:val="single" w:color="auto" w:sz="0" w:space="0"/>
              <w:bottom w:val="inset"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r>
              <w:rPr>
                <w:rFonts w:hint="eastAsia" w:ascii="Times New Roman" w:hAnsi="Times New Roman" w:cs="宋体"/>
                <w:kern w:val="0"/>
                <w:sz w:val="20"/>
              </w:rPr>
              <w:t>3</w:t>
            </w:r>
            <w:r>
              <w:rPr>
                <w:rFonts w:hint="eastAsia" w:ascii="宋体" w:hAnsi="宋体" w:cs="宋体"/>
                <w:kern w:val="0"/>
                <w:sz w:val="20"/>
              </w:rPr>
              <w:t>.补正后申请内容仍不明确</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r>
      <w:tr>
        <w:tblPrEx>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943" w:type="dxa"/>
            <w:vMerge w:val="restart"/>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r>
              <w:rPr>
                <w:rFonts w:hint="eastAsia" w:ascii="宋体" w:hAnsi="宋体" w:cs="宋体"/>
                <w:kern w:val="0"/>
                <w:sz w:val="20"/>
              </w:rPr>
              <w:t>（五）不予处理</w:t>
            </w: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r>
              <w:rPr>
                <w:rFonts w:hint="eastAsia" w:ascii="Times New Roman" w:hAnsi="Times New Roman" w:cs="宋体"/>
                <w:kern w:val="0"/>
                <w:sz w:val="20"/>
              </w:rPr>
              <w:t>1</w:t>
            </w:r>
            <w:r>
              <w:rPr>
                <w:rFonts w:hint="eastAsia" w:ascii="宋体" w:hAnsi="宋体" w:cs="宋体"/>
                <w:kern w:val="0"/>
                <w:sz w:val="20"/>
              </w:rPr>
              <w:t>.信访举报投诉类申请</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r>
      <w:tr>
        <w:tblPrEx>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943" w:type="dxa"/>
            <w:vMerge w:val="continue"/>
            <w:tcBorders>
              <w:top w:val="single" w:color="auto" w:sz="0" w:space="0"/>
              <w:left w:val="single" w:color="auto" w:sz="0" w:space="0"/>
              <w:bottom w:val="inset"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r>
              <w:rPr>
                <w:rFonts w:hint="eastAsia" w:ascii="Times New Roman" w:hAnsi="Times New Roman" w:cs="宋体"/>
                <w:kern w:val="0"/>
                <w:sz w:val="20"/>
              </w:rPr>
              <w:t>2</w:t>
            </w:r>
            <w:r>
              <w:rPr>
                <w:rFonts w:hint="eastAsia" w:ascii="宋体" w:hAnsi="宋体" w:cs="宋体"/>
                <w:kern w:val="0"/>
                <w:sz w:val="20"/>
              </w:rPr>
              <w:t>.重复申请</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r>
      <w:tr>
        <w:tblPrEx>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943" w:type="dxa"/>
            <w:vMerge w:val="continue"/>
            <w:tcBorders>
              <w:top w:val="single" w:color="auto" w:sz="0" w:space="0"/>
              <w:left w:val="single" w:color="auto" w:sz="0" w:space="0"/>
              <w:bottom w:val="inset"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r>
              <w:rPr>
                <w:rFonts w:hint="eastAsia" w:ascii="Times New Roman" w:hAnsi="Times New Roman" w:cs="宋体"/>
                <w:kern w:val="0"/>
                <w:sz w:val="20"/>
              </w:rPr>
              <w:t>3</w:t>
            </w:r>
            <w:r>
              <w:rPr>
                <w:rFonts w:hint="eastAsia" w:ascii="宋体" w:hAnsi="宋体" w:cs="宋体"/>
                <w:kern w:val="0"/>
                <w:sz w:val="20"/>
              </w:rPr>
              <w:t>.要求提供公开出版物</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r>
      <w:tr>
        <w:tblPrEx>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943" w:type="dxa"/>
            <w:vMerge w:val="continue"/>
            <w:tcBorders>
              <w:top w:val="single" w:color="auto" w:sz="0" w:space="0"/>
              <w:left w:val="single" w:color="auto" w:sz="0" w:space="0"/>
              <w:bottom w:val="inset"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r>
              <w:rPr>
                <w:rFonts w:hint="eastAsia" w:ascii="Times New Roman" w:hAnsi="Times New Roman" w:cs="宋体"/>
                <w:kern w:val="0"/>
                <w:sz w:val="20"/>
              </w:rPr>
              <w:t>4</w:t>
            </w:r>
            <w:r>
              <w:rPr>
                <w:rFonts w:hint="eastAsia" w:ascii="宋体" w:hAnsi="宋体" w:cs="宋体"/>
                <w:kern w:val="0"/>
                <w:sz w:val="20"/>
              </w:rPr>
              <w:t>.无正当理由大量反复申请</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r>
      <w:tr>
        <w:tblPrEx>
          <w:tblCellMar>
            <w:top w:w="0" w:type="dxa"/>
            <w:left w:w="0" w:type="dxa"/>
            <w:bottom w:w="0" w:type="dxa"/>
            <w:right w:w="0" w:type="dxa"/>
          </w:tblCellMar>
        </w:tblPrEx>
        <w:trPr>
          <w:trHeight w:val="779" w:hRule="atLeast"/>
          <w:jc w:val="center"/>
        </w:trPr>
        <w:tc>
          <w:tcPr>
            <w:tcW w:w="768" w:type="dxa"/>
            <w:vMerge w:val="continue"/>
            <w:tcBorders>
              <w:top w:val="single" w:color="auto" w:sz="0" w:space="0"/>
              <w:left w:val="single" w:color="auto" w:sz="8" w:space="0"/>
              <w:bottom w:val="inset"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943" w:type="dxa"/>
            <w:vMerge w:val="continue"/>
            <w:tcBorders>
              <w:top w:val="single" w:color="auto" w:sz="0" w:space="0"/>
              <w:left w:val="single" w:color="auto" w:sz="0" w:space="0"/>
              <w:bottom w:val="inset"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3220"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ascii="宋体" w:hAnsi="宋体" w:cs="宋体"/>
                <w:kern w:val="0"/>
                <w:sz w:val="24"/>
                <w:szCs w:val="24"/>
              </w:rPr>
            </w:pPr>
            <w:r>
              <w:rPr>
                <w:rFonts w:hint="eastAsia" w:ascii="Times New Roman" w:hAnsi="Times New Roman" w:cs="宋体"/>
                <w:kern w:val="0"/>
                <w:sz w:val="20"/>
              </w:rPr>
              <w:t>5</w:t>
            </w:r>
            <w:r>
              <w:rPr>
                <w:rFonts w:hint="eastAsia" w:ascii="宋体" w:hAnsi="宋体" w:cs="宋体"/>
                <w:kern w:val="0"/>
                <w:sz w:val="20"/>
              </w:rPr>
              <w:t>.要求行政机关确认或重新出具已获取信息</w:t>
            </w:r>
          </w:p>
        </w:tc>
        <w:tc>
          <w:tcPr>
            <w:tcW w:w="688"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9"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r>
      <w:tr>
        <w:tblPrEx>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943" w:type="dxa"/>
            <w:vMerge w:val="restart"/>
            <w:tcBorders>
              <w:top w:val="inset" w:color="auto" w:sz="8"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r>
              <w:rPr>
                <w:rFonts w:hint="eastAsia" w:ascii="宋体" w:hAnsi="宋体" w:cs="宋体"/>
                <w:kern w:val="0"/>
                <w:sz w:val="20"/>
              </w:rPr>
              <w:t>（六）其他处理</w:t>
            </w: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ascii="宋体" w:hAnsi="宋体" w:cs="宋体"/>
                <w:kern w:val="0"/>
                <w:sz w:val="24"/>
                <w:szCs w:val="24"/>
              </w:rPr>
            </w:pPr>
            <w:r>
              <w:rPr>
                <w:rFonts w:hint="eastAsia" w:ascii="Times New Roman" w:hAnsi="Times New Roman" w:cs="宋体"/>
                <w:kern w:val="0"/>
                <w:sz w:val="20"/>
              </w:rPr>
              <w:t>1</w:t>
            </w:r>
            <w:r>
              <w:rPr>
                <w:rFonts w:hint="eastAsia" w:ascii="宋体" w:hAnsi="宋体" w:cs="宋体"/>
                <w:kern w:val="0"/>
                <w:sz w:val="20"/>
              </w:rPr>
              <w:t>.申请人无正当理由逾期不补正、行政机关不再处理其政府信息公开申请</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r>
      <w:tr>
        <w:tblPrEx>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943" w:type="dxa"/>
            <w:vMerge w:val="continue"/>
            <w:tcBorders>
              <w:top w:val="inset" w:color="auto" w:sz="8" w:space="0"/>
              <w:left w:val="single" w:color="auto" w:sz="0" w:space="0"/>
              <w:bottom w:val="inset"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ascii="宋体" w:hAnsi="宋体" w:cs="宋体"/>
                <w:kern w:val="0"/>
                <w:sz w:val="24"/>
                <w:szCs w:val="24"/>
              </w:rPr>
            </w:pPr>
            <w:r>
              <w:rPr>
                <w:rFonts w:hint="eastAsia" w:ascii="Times New Roman" w:hAnsi="Times New Roman" w:cs="宋体"/>
                <w:kern w:val="0"/>
                <w:sz w:val="20"/>
              </w:rPr>
              <w:t>2</w:t>
            </w:r>
            <w:r>
              <w:rPr>
                <w:rFonts w:hint="eastAsia" w:ascii="宋体" w:hAnsi="宋体" w:cs="宋体"/>
                <w:kern w:val="0"/>
                <w:sz w:val="20"/>
              </w:rPr>
              <w:t>.申请人逾期未按收费通知要求缴纳费用、行政机关不再处理其政府信息公开申请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r>
      <w:tr>
        <w:tblPrEx>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943" w:type="dxa"/>
            <w:vMerge w:val="continue"/>
            <w:tcBorders>
              <w:top w:val="inset" w:color="auto" w:sz="8" w:space="0"/>
              <w:left w:val="single" w:color="auto" w:sz="0" w:space="0"/>
              <w:bottom w:val="inset"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r>
              <w:rPr>
                <w:rFonts w:hint="eastAsia" w:ascii="Times New Roman" w:hAnsi="Times New Roman" w:cs="宋体"/>
                <w:kern w:val="0"/>
                <w:sz w:val="20"/>
              </w:rPr>
              <w:t>3</w:t>
            </w:r>
            <w:r>
              <w:rPr>
                <w:rFonts w:hint="eastAsia" w:ascii="宋体" w:hAnsi="宋体" w:cs="宋体"/>
                <w:kern w:val="0"/>
                <w:sz w:val="20"/>
              </w:rPr>
              <w:t>.其他</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r>
      <w:tr>
        <w:tblPrEx>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4163"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r>
              <w:rPr>
                <w:rFonts w:hint="eastAsia" w:ascii="宋体" w:hAnsi="宋体" w:cs="宋体"/>
                <w:kern w:val="0"/>
                <w:sz w:val="20"/>
              </w:rPr>
              <w:t>（七）总计</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kern w:val="0"/>
                <w:sz w:val="24"/>
                <w:szCs w:val="24"/>
                <w:lang w:val="en-US" w:eastAsia="zh-CN"/>
              </w:rPr>
            </w:pPr>
            <w:r>
              <w:rPr>
                <w:rFonts w:hint="eastAsia" w:ascii="Times New Roman" w:hAnsi="Times New Roman" w:eastAsia="宋体"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r>
      <w:tr>
        <w:tblPrEx>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r>
              <w:rPr>
                <w:rFonts w:hint="eastAsia" w:ascii="宋体" w:hAnsi="宋体" w:cs="宋体"/>
                <w:kern w:val="0"/>
                <w:sz w:val="20"/>
              </w:rPr>
              <w:t>四、结转下年度继续办理</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r>
    </w:tbl>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bCs/>
          <w:sz w:val="32"/>
          <w:szCs w:val="32"/>
          <w:lang w:val="en-US" w:eastAsia="zh-CN"/>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宋体" w:hAnsi="宋体" w:cs="宋体"/>
          <w:color w:val="333333"/>
          <w:kern w:val="0"/>
          <w:sz w:val="24"/>
          <w:szCs w:val="24"/>
        </w:rPr>
      </w:pPr>
      <w:r>
        <w:rPr>
          <w:rFonts w:hint="eastAsia" w:ascii="黑体" w:hAnsi="黑体" w:eastAsia="黑体" w:cs="黑体"/>
          <w:bCs/>
          <w:sz w:val="32"/>
          <w:szCs w:val="32"/>
          <w:lang w:val="en-US" w:eastAsia="zh-CN"/>
        </w:rPr>
        <w:t>四、政府信息公开行政复议、行政诉讼情况</w:t>
      </w:r>
    </w:p>
    <w:tbl>
      <w:tblPr>
        <w:tblStyle w:val="9"/>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kern w:val="0"/>
                <w:sz w:val="20"/>
              </w:rPr>
              <w:t>行政复议</w:t>
            </w:r>
          </w:p>
        </w:tc>
        <w:tc>
          <w:tcPr>
            <w:tcW w:w="6428" w:type="dxa"/>
            <w:gridSpan w:val="10"/>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kern w:val="0"/>
                <w:sz w:val="20"/>
              </w:rPr>
              <w:t>行政诉讼</w:t>
            </w:r>
          </w:p>
        </w:tc>
      </w:tr>
      <w:tr>
        <w:tblPrEx>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kern w:val="0"/>
                <w:sz w:val="20"/>
              </w:rPr>
              <w:t>结果维持</w:t>
            </w:r>
          </w:p>
        </w:tc>
        <w:tc>
          <w:tcPr>
            <w:tcW w:w="642"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kern w:val="0"/>
                <w:sz w:val="20"/>
                <w:lang w:eastAsia="zh-CN"/>
              </w:rPr>
            </w:pPr>
            <w:r>
              <w:rPr>
                <w:rFonts w:hint="eastAsia" w:ascii="宋体" w:hAnsi="宋体" w:cs="宋体"/>
                <w:kern w:val="0"/>
                <w:sz w:val="20"/>
              </w:rPr>
              <w:t>结果</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kern w:val="0"/>
                <w:sz w:val="20"/>
              </w:rPr>
              <w:t>纠正</w:t>
            </w:r>
          </w:p>
        </w:tc>
        <w:tc>
          <w:tcPr>
            <w:tcW w:w="642"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kern w:val="0"/>
                <w:sz w:val="20"/>
                <w:lang w:eastAsia="zh-CN"/>
              </w:rPr>
            </w:pPr>
            <w:r>
              <w:rPr>
                <w:rFonts w:hint="eastAsia" w:ascii="宋体" w:hAnsi="宋体" w:cs="宋体"/>
                <w:kern w:val="0"/>
                <w:sz w:val="20"/>
              </w:rPr>
              <w:t>其他</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kern w:val="0"/>
                <w:sz w:val="20"/>
              </w:rPr>
              <w:t>结果</w:t>
            </w:r>
          </w:p>
        </w:tc>
        <w:tc>
          <w:tcPr>
            <w:tcW w:w="642"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kern w:val="0"/>
                <w:sz w:val="20"/>
                <w:lang w:eastAsia="zh-CN"/>
              </w:rPr>
            </w:pPr>
            <w:r>
              <w:rPr>
                <w:rFonts w:hint="eastAsia" w:ascii="宋体" w:hAnsi="宋体" w:cs="宋体"/>
                <w:kern w:val="0"/>
                <w:sz w:val="20"/>
              </w:rPr>
              <w:t>尚未</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kern w:val="0"/>
                <w:sz w:val="20"/>
              </w:rPr>
              <w:t>审结</w:t>
            </w:r>
          </w:p>
        </w:tc>
        <w:tc>
          <w:tcPr>
            <w:tcW w:w="642"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kern w:val="0"/>
                <w:sz w:val="20"/>
              </w:rPr>
              <w:t>总计</w:t>
            </w:r>
          </w:p>
        </w:tc>
        <w:tc>
          <w:tcPr>
            <w:tcW w:w="3213"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kern w:val="0"/>
                <w:sz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kern w:val="0"/>
                <w:sz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0" w:type="auto"/>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kern w:val="0"/>
                <w:sz w:val="20"/>
                <w:lang w:eastAsia="zh-CN"/>
              </w:rPr>
            </w:pPr>
            <w:r>
              <w:rPr>
                <w:rFonts w:hint="eastAsia" w:ascii="宋体" w:hAnsi="宋体" w:cs="宋体"/>
                <w:kern w:val="0"/>
                <w:sz w:val="20"/>
              </w:rPr>
              <w:t>结果</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kern w:val="0"/>
                <w:sz w:val="20"/>
              </w:rPr>
              <w:t>维持</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kern w:val="0"/>
                <w:sz w:val="20"/>
                <w:lang w:eastAsia="zh-CN"/>
              </w:rPr>
            </w:pPr>
            <w:r>
              <w:rPr>
                <w:rFonts w:hint="eastAsia" w:ascii="宋体" w:hAnsi="宋体" w:cs="宋体"/>
                <w:kern w:val="0"/>
                <w:sz w:val="20"/>
              </w:rPr>
              <w:t>结果</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kern w:val="0"/>
                <w:sz w:val="20"/>
              </w:rPr>
              <w:t>纠正</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kern w:val="0"/>
                <w:sz w:val="20"/>
                <w:lang w:eastAsia="zh-CN"/>
              </w:rPr>
            </w:pPr>
            <w:r>
              <w:rPr>
                <w:rFonts w:hint="eastAsia" w:ascii="宋体" w:hAnsi="宋体" w:cs="宋体"/>
                <w:kern w:val="0"/>
                <w:sz w:val="20"/>
              </w:rPr>
              <w:t>其他</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kern w:val="0"/>
                <w:sz w:val="20"/>
              </w:rPr>
              <w:t>结果</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kern w:val="0"/>
                <w:sz w:val="20"/>
                <w:lang w:eastAsia="zh-CN"/>
              </w:rPr>
            </w:pPr>
            <w:r>
              <w:rPr>
                <w:rFonts w:hint="eastAsia" w:ascii="宋体" w:hAnsi="宋体" w:cs="宋体"/>
                <w:kern w:val="0"/>
                <w:sz w:val="20"/>
              </w:rPr>
              <w:t>尚未</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kern w:val="0"/>
                <w:sz w:val="20"/>
              </w:rPr>
              <w:t>审结</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color w:val="000000"/>
                <w:kern w:val="0"/>
                <w:sz w:val="20"/>
              </w:rPr>
              <w:t>总计</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kern w:val="0"/>
                <w:sz w:val="20"/>
                <w:lang w:eastAsia="zh-CN"/>
              </w:rPr>
            </w:pPr>
            <w:r>
              <w:rPr>
                <w:rFonts w:hint="eastAsia" w:ascii="宋体" w:hAnsi="宋体" w:cs="宋体"/>
                <w:kern w:val="0"/>
                <w:sz w:val="20"/>
              </w:rPr>
              <w:t>结果</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kern w:val="0"/>
                <w:sz w:val="20"/>
              </w:rPr>
              <w:t>维持</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kern w:val="0"/>
                <w:sz w:val="20"/>
                <w:lang w:eastAsia="zh-CN"/>
              </w:rPr>
            </w:pPr>
            <w:r>
              <w:rPr>
                <w:rFonts w:hint="eastAsia" w:ascii="宋体" w:hAnsi="宋体" w:cs="宋体"/>
                <w:kern w:val="0"/>
                <w:sz w:val="20"/>
              </w:rPr>
              <w:t>结果</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kern w:val="0"/>
                <w:sz w:val="20"/>
              </w:rPr>
              <w:t>纠正</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color w:val="000000"/>
                <w:kern w:val="0"/>
                <w:sz w:val="20"/>
                <w:lang w:eastAsia="zh-CN"/>
              </w:rPr>
            </w:pPr>
            <w:r>
              <w:rPr>
                <w:rFonts w:hint="eastAsia" w:ascii="宋体" w:hAnsi="宋体" w:cs="宋体"/>
                <w:color w:val="000000"/>
                <w:kern w:val="0"/>
                <w:sz w:val="20"/>
              </w:rPr>
              <w:t>其他</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color w:val="000000"/>
                <w:kern w:val="0"/>
                <w:sz w:val="20"/>
              </w:rPr>
              <w:t>结果</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kern w:val="0"/>
                <w:sz w:val="20"/>
                <w:lang w:eastAsia="zh-CN"/>
              </w:rPr>
            </w:pPr>
            <w:r>
              <w:rPr>
                <w:rFonts w:hint="eastAsia" w:ascii="宋体" w:hAnsi="宋体" w:cs="宋体"/>
                <w:kern w:val="0"/>
                <w:sz w:val="20"/>
              </w:rPr>
              <w:t>尚未</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kern w:val="0"/>
                <w:sz w:val="20"/>
              </w:rPr>
              <w:t>审结</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color w:val="000000"/>
                <w:kern w:val="0"/>
                <w:sz w:val="20"/>
              </w:rPr>
              <w:t>总计</w:t>
            </w:r>
          </w:p>
        </w:tc>
      </w:tr>
      <w:tr>
        <w:tblPrEx>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r>
    </w:tbl>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黑体" w:hAnsi="黑体" w:eastAsia="黑体" w:cs="黑体"/>
          <w:bCs/>
          <w:sz w:val="32"/>
          <w:szCs w:val="32"/>
          <w:lang w:val="en-US" w:eastAsia="zh-CN"/>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黑体" w:hAnsi="黑体" w:eastAsia="黑体" w:cs="黑体"/>
          <w:bCs/>
          <w:sz w:val="32"/>
          <w:szCs w:val="32"/>
          <w:lang w:val="en-US" w:eastAsia="zh-CN"/>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黑体" w:hAnsi="黑体" w:eastAsia="黑体" w:cs="黑体"/>
          <w:bCs/>
          <w:sz w:val="32"/>
          <w:szCs w:val="32"/>
          <w:lang w:val="en-US" w:eastAsia="zh-CN"/>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黑体" w:hAnsi="黑体" w:eastAsia="黑体" w:cs="黑体"/>
          <w:bCs/>
          <w:sz w:val="32"/>
          <w:szCs w:val="32"/>
          <w:lang w:val="en-US" w:eastAsia="zh-CN"/>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五、存在的主要问题及改进情况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敖阳政务公开工作总体运行状况良好，建立了较为完善的各项工作制度，有力推进了政务公开工作的开展，但仍然存在一些问题：</w:t>
      </w:r>
      <w:r>
        <w:rPr>
          <w:rFonts w:hint="eastAsia" w:ascii="仿宋_GB2312" w:hAnsi="仿宋_GB2312" w:eastAsia="仿宋_GB2312" w:cs="仿宋_GB2312"/>
          <w:b/>
          <w:bCs/>
          <w:kern w:val="2"/>
          <w:sz w:val="32"/>
          <w:szCs w:val="32"/>
          <w:lang w:val="en-US" w:eastAsia="zh-CN" w:bidi="ar-SA"/>
        </w:rPr>
        <w:t>一是</w:t>
      </w:r>
      <w:r>
        <w:rPr>
          <w:rFonts w:hint="eastAsia" w:ascii="仿宋_GB2312" w:hAnsi="仿宋_GB2312" w:eastAsia="仿宋_GB2312" w:cs="仿宋_GB2312"/>
          <w:kern w:val="2"/>
          <w:sz w:val="32"/>
          <w:szCs w:val="32"/>
          <w:lang w:val="en-US" w:eastAsia="zh-CN" w:bidi="ar-SA"/>
        </w:rPr>
        <w:t>政务公开工作人员更换较为频繁，导致新的工作人员对政务公开的业务知识掌握不够熟练；</w:t>
      </w:r>
      <w:r>
        <w:rPr>
          <w:rFonts w:hint="eastAsia" w:ascii="仿宋_GB2312" w:hAnsi="仿宋_GB2312" w:eastAsia="仿宋_GB2312" w:cs="仿宋_GB2312"/>
          <w:b/>
          <w:bCs/>
          <w:kern w:val="2"/>
          <w:sz w:val="32"/>
          <w:szCs w:val="32"/>
          <w:lang w:val="en-US" w:eastAsia="zh-CN" w:bidi="ar-SA"/>
        </w:rPr>
        <w:t>二是</w:t>
      </w:r>
      <w:r>
        <w:rPr>
          <w:rFonts w:hint="eastAsia" w:ascii="仿宋_GB2312" w:hAnsi="仿宋_GB2312" w:eastAsia="仿宋_GB2312" w:cs="仿宋_GB2312"/>
          <w:kern w:val="2"/>
          <w:sz w:val="32"/>
          <w:szCs w:val="32"/>
          <w:lang w:val="en-US" w:eastAsia="zh-CN" w:bidi="ar-SA"/>
        </w:rPr>
        <w:t>信息公开目录、内容、流程等有待进一步完善。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按照上级有关部署安排，进一步做好政务公开各项工作。</w:t>
      </w:r>
      <w:r>
        <w:rPr>
          <w:rFonts w:hint="eastAsia" w:ascii="仿宋_GB2312" w:hAnsi="仿宋_GB2312" w:eastAsia="仿宋_GB2312" w:cs="仿宋_GB2312"/>
          <w:b/>
          <w:bCs/>
          <w:kern w:val="2"/>
          <w:sz w:val="32"/>
          <w:szCs w:val="32"/>
          <w:lang w:val="en-US" w:eastAsia="zh-CN" w:bidi="ar-SA"/>
        </w:rPr>
        <w:t>一是</w:t>
      </w:r>
      <w:r>
        <w:rPr>
          <w:rFonts w:hint="eastAsia" w:ascii="仿宋_GB2312" w:hAnsi="仿宋_GB2312" w:eastAsia="仿宋_GB2312" w:cs="仿宋_GB2312"/>
          <w:kern w:val="2"/>
          <w:sz w:val="32"/>
          <w:szCs w:val="32"/>
          <w:lang w:val="en-US" w:eastAsia="zh-CN" w:bidi="ar-SA"/>
        </w:rPr>
        <w:t>进一步强化教育与培训，积极参加上级和组织本级培训，提升业务能力和水平，确保政务公开工作高效运作。</w:t>
      </w:r>
      <w:r>
        <w:rPr>
          <w:rFonts w:hint="eastAsia" w:ascii="仿宋_GB2312" w:hAnsi="仿宋_GB2312" w:eastAsia="仿宋_GB2312" w:cs="仿宋_GB2312"/>
          <w:b/>
          <w:bCs/>
          <w:kern w:val="2"/>
          <w:sz w:val="32"/>
          <w:szCs w:val="32"/>
          <w:lang w:val="en-US" w:eastAsia="zh-CN" w:bidi="ar-SA"/>
        </w:rPr>
        <w:t>二是</w:t>
      </w:r>
      <w:r>
        <w:rPr>
          <w:rFonts w:hint="eastAsia" w:ascii="仿宋_GB2312" w:hAnsi="仿宋_GB2312" w:eastAsia="仿宋_GB2312" w:cs="仿宋_GB2312"/>
          <w:kern w:val="2"/>
          <w:sz w:val="32"/>
          <w:szCs w:val="32"/>
          <w:lang w:val="en-US" w:eastAsia="zh-CN" w:bidi="ar-SA"/>
        </w:rPr>
        <w:t>进一步梳理信息公开目录内容，根据实际情况及时调整完善信息公开目录和内容更新，积极提出合理化建议，确保政府公开信息“应公开、尽公开”。</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bCs/>
          <w:sz w:val="32"/>
          <w:szCs w:val="32"/>
          <w:lang w:val="en-US" w:eastAsia="zh-CN"/>
        </w:rPr>
        <w:t>六、其他需要报告的事项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政务公开要点落实情况：</w:t>
      </w:r>
      <w:r>
        <w:rPr>
          <w:rFonts w:hint="eastAsia" w:ascii="仿宋_GB2312" w:hAnsi="仿宋_GB2312" w:eastAsia="仿宋_GB2312" w:cs="仿宋_GB2312"/>
          <w:b/>
          <w:bCs/>
          <w:kern w:val="2"/>
          <w:sz w:val="32"/>
          <w:szCs w:val="32"/>
          <w:lang w:val="en-US" w:eastAsia="zh-CN" w:bidi="ar-SA"/>
        </w:rPr>
        <w:t>一是将</w:t>
      </w:r>
      <w:r>
        <w:rPr>
          <w:rFonts w:hint="eastAsia" w:ascii="仿宋_GB2312" w:hAnsi="仿宋_GB2312" w:eastAsia="仿宋_GB2312" w:cs="仿宋_GB2312"/>
          <w:kern w:val="2"/>
          <w:sz w:val="32"/>
          <w:szCs w:val="32"/>
          <w:lang w:val="en-US" w:eastAsia="zh-CN" w:bidi="ar-SA"/>
        </w:rPr>
        <w:t>政务公开与街道工作相结合，将实事求是、与时俱进的作风贯彻到政务公开工作中去，及时公开涉及民生的各项政策法规、办事程序、办事结果、服务承诺等事项。</w:t>
      </w:r>
      <w:r>
        <w:rPr>
          <w:rFonts w:hint="eastAsia" w:ascii="仿宋_GB2312" w:hAnsi="仿宋_GB2312" w:eastAsia="仿宋_GB2312" w:cs="仿宋_GB2312"/>
          <w:b/>
          <w:bCs/>
          <w:kern w:val="2"/>
          <w:sz w:val="32"/>
          <w:szCs w:val="32"/>
          <w:lang w:val="en-US" w:eastAsia="zh-CN" w:bidi="ar-SA"/>
        </w:rPr>
        <w:t>二是</w:t>
      </w:r>
      <w:r>
        <w:rPr>
          <w:rFonts w:hint="eastAsia" w:ascii="仿宋_GB2312" w:hAnsi="仿宋_GB2312" w:eastAsia="仿宋_GB2312" w:cs="仿宋_GB2312"/>
          <w:kern w:val="2"/>
          <w:sz w:val="32"/>
          <w:szCs w:val="32"/>
          <w:lang w:val="en-US" w:eastAsia="zh-CN" w:bidi="ar-SA"/>
        </w:rPr>
        <w:t>将政务公开与街道部门法定职责、工作目标、政务进程以及政务结果紧紧结合在一起，主动回应群众关切问题。</w:t>
      </w:r>
      <w:r>
        <w:rPr>
          <w:rFonts w:hint="eastAsia" w:ascii="仿宋_GB2312" w:hAnsi="仿宋_GB2312" w:eastAsia="仿宋_GB2312" w:cs="仿宋_GB2312"/>
          <w:b/>
          <w:bCs/>
          <w:kern w:val="2"/>
          <w:sz w:val="32"/>
          <w:szCs w:val="32"/>
          <w:lang w:val="en-US" w:eastAsia="zh-CN" w:bidi="ar-SA"/>
        </w:rPr>
        <w:t>三是</w:t>
      </w:r>
      <w:r>
        <w:rPr>
          <w:rFonts w:hint="eastAsia" w:ascii="仿宋_GB2312" w:hAnsi="仿宋_GB2312" w:eastAsia="仿宋_GB2312" w:cs="仿宋_GB2312"/>
          <w:kern w:val="2"/>
          <w:sz w:val="32"/>
          <w:szCs w:val="32"/>
          <w:lang w:val="en-US" w:eastAsia="zh-CN" w:bidi="ar-SA"/>
        </w:rPr>
        <w:t>配合做好各项综合协调、督促检查等工作。</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2023</w:t>
      </w:r>
      <w:r>
        <w:rPr>
          <w:rFonts w:hint="eastAsia" w:ascii="仿宋_GB2312" w:hAnsi="仿宋_GB2312" w:eastAsia="仿宋_GB2312" w:cs="仿宋_GB2312"/>
          <w:kern w:val="2"/>
          <w:sz w:val="32"/>
          <w:szCs w:val="32"/>
          <w:lang w:val="en-US" w:eastAsia="zh-CN" w:bidi="ar-SA"/>
        </w:rPr>
        <w:t>年，敖阳街道办事处无收取信息处理费情况。</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上高县人民政府网站网址为：</w:t>
      </w:r>
      <w:bookmarkStart w:id="0" w:name="_GoBack"/>
      <w:bookmarkEnd w:id="0"/>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宋体"/>
          <w:color w:val="000000"/>
          <w:sz w:val="32"/>
          <w:szCs w:val="32"/>
          <w:shd w:val="clear" w:color="auto" w:fill="FFFFFF"/>
          <w:lang w:val="en-US" w:eastAsia="zh-CN"/>
        </w:rPr>
      </w:pPr>
      <w:r>
        <w:rPr>
          <w:rFonts w:hint="eastAsia" w:ascii="仿宋_GB2312" w:hAnsi="仿宋_GB2312" w:eastAsia="仿宋_GB2312" w:cs="仿宋_GB2312"/>
          <w:kern w:val="2"/>
          <w:sz w:val="32"/>
          <w:szCs w:val="32"/>
          <w:lang w:val="en-US" w:eastAsia="zh-CN" w:bidi="ar-SA"/>
        </w:rPr>
        <w:t>http://www.shanggao.gov.cn。如需了解更多政府信息，请登录查询。</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0E1BDB"/>
    <w:multiLevelType w:val="singleLevel"/>
    <w:tmpl w:val="B20E1BD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zYWU2YmY5YzhmZTg3NzAwZTQ2YTEwODg0MGQzZDEifQ=="/>
  </w:docVars>
  <w:rsids>
    <w:rsidRoot w:val="00172A27"/>
    <w:rsid w:val="005B471B"/>
    <w:rsid w:val="008D7BE0"/>
    <w:rsid w:val="00D5063D"/>
    <w:rsid w:val="02127037"/>
    <w:rsid w:val="031F3DF1"/>
    <w:rsid w:val="03FA2051"/>
    <w:rsid w:val="0431725D"/>
    <w:rsid w:val="09630EDC"/>
    <w:rsid w:val="0A165F7E"/>
    <w:rsid w:val="0C12771E"/>
    <w:rsid w:val="0CB6739E"/>
    <w:rsid w:val="0FBC247C"/>
    <w:rsid w:val="13F90F83"/>
    <w:rsid w:val="1A810C64"/>
    <w:rsid w:val="1D3D4645"/>
    <w:rsid w:val="237B69CA"/>
    <w:rsid w:val="26DE174A"/>
    <w:rsid w:val="291B1DBE"/>
    <w:rsid w:val="2EF55EFA"/>
    <w:rsid w:val="300028BC"/>
    <w:rsid w:val="322A30CD"/>
    <w:rsid w:val="32B23DB6"/>
    <w:rsid w:val="33453126"/>
    <w:rsid w:val="33F56A3A"/>
    <w:rsid w:val="399A36EB"/>
    <w:rsid w:val="3EFD0EAF"/>
    <w:rsid w:val="40740966"/>
    <w:rsid w:val="492179E9"/>
    <w:rsid w:val="492434DC"/>
    <w:rsid w:val="4BDF69E5"/>
    <w:rsid w:val="5029018E"/>
    <w:rsid w:val="521A7591"/>
    <w:rsid w:val="55D1679A"/>
    <w:rsid w:val="561F12B3"/>
    <w:rsid w:val="58B92E72"/>
    <w:rsid w:val="5D5A7075"/>
    <w:rsid w:val="622F0AD0"/>
    <w:rsid w:val="67A755AC"/>
    <w:rsid w:val="69AC6C0B"/>
    <w:rsid w:val="6AD01C83"/>
    <w:rsid w:val="6B68554D"/>
    <w:rsid w:val="6C425E1B"/>
    <w:rsid w:val="714D010D"/>
    <w:rsid w:val="753A6E5F"/>
    <w:rsid w:val="78237172"/>
    <w:rsid w:val="7B6F5B11"/>
    <w:rsid w:val="7C0F50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2"/>
    <w:basedOn w:val="1"/>
    <w:next w:val="1"/>
    <w:autoRedefine/>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link w:val="11"/>
    <w:autoRedefine/>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10">
    <w:name w:val="Default Paragraph Font"/>
    <w:autoRedefine/>
    <w:qFormat/>
    <w:uiPriority w:val="0"/>
  </w:style>
  <w:style w:type="table" w:default="1" w:styleId="9">
    <w:name w:val="Normal Table"/>
    <w:autoRedefine/>
    <w:unhideWhenUsed/>
    <w:qFormat/>
    <w:uiPriority w:val="99"/>
    <w:tblPr>
      <w:tblCellMar>
        <w:top w:w="0" w:type="dxa"/>
        <w:left w:w="108" w:type="dxa"/>
        <w:bottom w:w="0" w:type="dxa"/>
        <w:right w:w="108" w:type="dxa"/>
      </w:tblCellMar>
    </w:tblPr>
  </w:style>
  <w:style w:type="paragraph" w:styleId="2">
    <w:name w:val="Normal Indent"/>
    <w:basedOn w:val="1"/>
    <w:autoRedefine/>
    <w:qFormat/>
    <w:uiPriority w:val="0"/>
    <w:pPr>
      <w:spacing w:line="560" w:lineRule="exact"/>
      <w:ind w:firstLine="420" w:firstLineChars="200"/>
    </w:pPr>
    <w:rPr>
      <w:rFonts w:ascii="Times New Roman" w:hAnsi="Times New Roman" w:eastAsia="仿宋" w:cs="Times New Roman"/>
      <w:szCs w:val="24"/>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7">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paragraph" w:styleId="8">
    <w:name w:val="Body Text First Indent 2"/>
    <w:basedOn w:val="1"/>
    <w:next w:val="1"/>
    <w:autoRedefine/>
    <w:qFormat/>
    <w:uiPriority w:val="0"/>
    <w:pPr>
      <w:ind w:left="420" w:leftChars="200" w:firstLine="210"/>
    </w:pPr>
  </w:style>
  <w:style w:type="character" w:customStyle="1" w:styleId="11">
    <w:name w:val="标题 3 Char"/>
    <w:link w:val="4"/>
    <w:autoRedefine/>
    <w:qFormat/>
    <w:uiPriority w:val="9"/>
    <w:rPr>
      <w:rFonts w:ascii="宋体" w:hAnsi="宋体" w:cs="宋体"/>
      <w:b/>
      <w:bCs/>
      <w:sz w:val="27"/>
      <w:szCs w:val="27"/>
    </w:rPr>
  </w:style>
  <w:style w:type="paragraph" w:customStyle="1" w:styleId="12">
    <w:name w:val="正-文"/>
    <w:basedOn w:val="1"/>
    <w:autoRedefine/>
    <w:qFormat/>
    <w:uiPriority w:val="0"/>
    <w:pPr>
      <w:ind w:firstLine="640"/>
    </w:pPr>
    <w:rPr>
      <w:rFonts w:cstheme="minorBidi"/>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Normal.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2654</Words>
  <Characters>2760</Characters>
  <Lines>34</Lines>
  <Paragraphs>9</Paragraphs>
  <TotalTime>21</TotalTime>
  <ScaleCrop>false</ScaleCrop>
  <LinksUpToDate>false</LinksUpToDate>
  <CharactersWithSpaces>2760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2021-11-09T00:17:00Z</dcterms:created>
  <dc:creator>1</dc:creator>
  <cp:lastModifiedBy>My</cp:lastModifiedBy>
  <dcterms:modified xsi:type="dcterms:W3CDTF">2024-01-16T01:13:57Z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5F2C26442A4549209434EC3D83ED3CDB_13</vt:lpwstr>
  </property>
</Properties>
</file>