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上高县</w:t>
      </w:r>
      <w:r>
        <w:rPr>
          <w:rFonts w:hint="default" w:ascii="Times New Roman" w:hAnsi="Times New Roman" w:eastAsia="方正小标宋简体" w:cs="Times New Roman"/>
          <w:sz w:val="44"/>
          <w:szCs w:val="44"/>
          <w:lang w:val="en-US" w:eastAsia="zh-CN"/>
        </w:rPr>
        <w:t>野市乡人民政府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2023年政府信息公开工作年度报告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bookmarkStart w:id="0" w:name="_GoBack"/>
      <w:r>
        <w:rPr>
          <w:rFonts w:hint="default" w:ascii="Times New Roman" w:hAnsi="Times New Roman" w:eastAsia="仿宋_GB2312" w:cs="Times New Roman"/>
          <w:sz w:val="32"/>
          <w:szCs w:val="32"/>
        </w:rPr>
        <w:t>根据《中华人民共和国政府信息公开条例》（以下简称《条例》）</w:t>
      </w:r>
      <w:r>
        <w:rPr>
          <w:rFonts w:hint="eastAsia" w:ascii="Times New Roman" w:hAnsi="Times New Roman" w:eastAsia="仿宋_GB2312" w:cs="Times New Roman"/>
          <w:sz w:val="32"/>
          <w:szCs w:val="32"/>
        </w:rPr>
        <w:t>和《国务院办公厅关于印发政府网站发展指引的通知》、国务院办公厅政府信息与政务公开办公室国办公开办函〔2021〕30号等文件要求编制本报告。报告中所列数据统计期限从2022年1月1日到2022年12月31日止。</w:t>
      </w:r>
      <w:r>
        <w:rPr>
          <w:rFonts w:hint="default" w:ascii="Times New Roman" w:hAnsi="Times New Roman" w:eastAsia="仿宋_GB2312" w:cs="Times New Roman"/>
          <w:sz w:val="32"/>
          <w:szCs w:val="32"/>
        </w:rPr>
        <w:t>若对报告有任何疑问，请与</w:t>
      </w:r>
      <w:r>
        <w:rPr>
          <w:rFonts w:hint="eastAsia" w:ascii="Times New Roman" w:hAnsi="Times New Roman" w:eastAsia="仿宋_GB2312" w:cs="Times New Roman"/>
          <w:sz w:val="32"/>
          <w:szCs w:val="32"/>
          <w:lang w:val="en-US" w:eastAsia="zh-CN"/>
        </w:rPr>
        <w:t>野市乡</w:t>
      </w:r>
      <w:r>
        <w:rPr>
          <w:rFonts w:hint="default" w:ascii="Times New Roman" w:hAnsi="Times New Roman" w:eastAsia="仿宋_GB2312" w:cs="Times New Roman"/>
          <w:sz w:val="32"/>
          <w:szCs w:val="32"/>
        </w:rPr>
        <w:t>党政办公室联系</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地址：</w:t>
      </w:r>
      <w:r>
        <w:rPr>
          <w:rFonts w:hint="eastAsia" w:ascii="Times New Roman" w:hAnsi="Times New Roman" w:eastAsia="仿宋_GB2312" w:cs="Times New Roman"/>
          <w:sz w:val="32"/>
          <w:szCs w:val="32"/>
          <w:lang w:val="en-US" w:eastAsia="zh-CN"/>
        </w:rPr>
        <w:t>上高县野市乡野市大道47号</w:t>
      </w:r>
      <w:r>
        <w:rPr>
          <w:rFonts w:hint="default" w:ascii="Times New Roman" w:hAnsi="Times New Roman" w:eastAsia="仿宋_GB2312" w:cs="Times New Roman"/>
          <w:sz w:val="32"/>
          <w:szCs w:val="32"/>
        </w:rPr>
        <w:t>，电话：</w:t>
      </w:r>
      <w:r>
        <w:rPr>
          <w:rFonts w:hint="eastAsia" w:ascii="Times New Roman" w:hAnsi="Times New Roman" w:eastAsia="仿宋_GB2312" w:cs="Times New Roman"/>
          <w:sz w:val="32"/>
          <w:szCs w:val="32"/>
          <w:lang w:val="en-US" w:eastAsia="zh-CN"/>
        </w:rPr>
        <w:t>07952462018</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野市乡坚持以习近平新时代中国特色社会主义思想为指导，</w:t>
      </w:r>
      <w:r>
        <w:rPr>
          <w:rFonts w:hint="default" w:ascii="Times New Roman" w:hAnsi="Times New Roman" w:eastAsia="仿宋_GB2312" w:cs="Times New Roman"/>
          <w:sz w:val="32"/>
          <w:szCs w:val="32"/>
        </w:rPr>
        <w:t>认真贯彻落实《中华人民共和国政府信息公开条例》规定和省市</w:t>
      </w:r>
      <w:r>
        <w:rPr>
          <w:rFonts w:hint="default"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政府信息公开工作要求，</w:t>
      </w:r>
      <w:r>
        <w:rPr>
          <w:rFonts w:hint="default" w:ascii="Times New Roman" w:hAnsi="Times New Roman" w:eastAsia="仿宋_GB2312" w:cs="Times New Roman"/>
          <w:sz w:val="32"/>
          <w:szCs w:val="32"/>
          <w:lang w:val="en-US" w:eastAsia="zh-CN"/>
        </w:rPr>
        <w:t>坚持以人民为中心，不断深化政务公开，推动政府信息公开工作不断走深走实。</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lang w:val="en-US" w:eastAsia="zh-CN"/>
        </w:rPr>
        <w:t>一</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主动公开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2023年我</w:t>
      </w:r>
      <w:r>
        <w:rPr>
          <w:rFonts w:hint="default" w:ascii="Times New Roman" w:hAnsi="Times New Roman" w:eastAsia="仿宋_GB2312" w:cs="Times New Roman"/>
          <w:sz w:val="32"/>
          <w:szCs w:val="32"/>
          <w:lang w:val="en-US" w:eastAsia="zh-CN"/>
        </w:rPr>
        <w:t>乡</w:t>
      </w:r>
      <w:r>
        <w:rPr>
          <w:rFonts w:hint="default" w:ascii="Times New Roman" w:hAnsi="Times New Roman" w:eastAsia="仿宋_GB2312" w:cs="Times New Roman"/>
          <w:sz w:val="32"/>
          <w:szCs w:val="32"/>
        </w:rPr>
        <w:t>认真贯彻落实各项规定，确保工作落实到位，信息公开及时、准确，扎实推动政府信息公开工作有序开展。全年通过</w:t>
      </w:r>
      <w:r>
        <w:rPr>
          <w:rFonts w:hint="default" w:ascii="Times New Roman" w:hAnsi="Times New Roman" w:eastAsia="仿宋_GB2312" w:cs="Times New Roman"/>
          <w:sz w:val="32"/>
          <w:szCs w:val="32"/>
          <w:lang w:val="en-US" w:eastAsia="zh-CN"/>
        </w:rPr>
        <w:t>上高县</w:t>
      </w:r>
      <w:r>
        <w:rPr>
          <w:rFonts w:hint="default" w:ascii="Times New Roman" w:hAnsi="Times New Roman" w:eastAsia="仿宋_GB2312" w:cs="Times New Roman"/>
          <w:sz w:val="32"/>
          <w:szCs w:val="32"/>
        </w:rPr>
        <w:t>政府门户网站公开各类信息</w:t>
      </w:r>
      <w:r>
        <w:rPr>
          <w:rFonts w:hint="eastAsia" w:ascii="Times New Roman" w:hAnsi="Times New Roman" w:eastAsia="仿宋_GB2312" w:cs="Times New Roman"/>
          <w:sz w:val="32"/>
          <w:szCs w:val="32"/>
          <w:lang w:val="en-US" w:eastAsia="zh-CN"/>
        </w:rPr>
        <w:t>103</w:t>
      </w:r>
      <w:r>
        <w:rPr>
          <w:rFonts w:hint="default" w:ascii="Times New Roman" w:hAnsi="Times New Roman" w:eastAsia="仿宋_GB2312" w:cs="Times New Roman"/>
          <w:sz w:val="32"/>
          <w:szCs w:val="32"/>
          <w:lang w:val="en-US" w:eastAsia="zh-CN"/>
        </w:rPr>
        <w:t>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（二）依申请公开</w:t>
      </w:r>
      <w:r>
        <w:rPr>
          <w:rFonts w:hint="default" w:ascii="Times New Roman" w:hAnsi="Times New Roman" w:eastAsia="仿宋_GB2312"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w:t>
      </w:r>
      <w:r>
        <w:rPr>
          <w:rFonts w:hint="default" w:ascii="Times New Roman" w:hAnsi="Times New Roman" w:eastAsia="仿宋_GB2312" w:cs="Times New Roman"/>
          <w:sz w:val="32"/>
          <w:szCs w:val="32"/>
          <w:lang w:val="en-US" w:eastAsia="zh-CN"/>
        </w:rPr>
        <w:t>乡</w:t>
      </w:r>
      <w:r>
        <w:rPr>
          <w:rFonts w:hint="default" w:ascii="Times New Roman" w:hAnsi="Times New Roman" w:eastAsia="仿宋_GB2312" w:cs="Times New Roman"/>
          <w:sz w:val="32"/>
          <w:szCs w:val="32"/>
        </w:rPr>
        <w:t>共接收到群众要求公开政府信息的申请</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例。收到线上依公开申请</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条，线下依申请公开0条。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（三）政府信息管理 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成立了信息公开工作领导小组，明确了工作分工及职责，</w:t>
      </w:r>
      <w:r>
        <w:rPr>
          <w:rFonts w:hint="default" w:ascii="Times New Roman" w:hAnsi="Times New Roman" w:eastAsia="仿宋_GB2312" w:cs="Times New Roman"/>
          <w:sz w:val="32"/>
          <w:szCs w:val="32"/>
        </w:rPr>
        <w:t>进一步提升了政府信息公开工作的领导水平，切实保证了政府信息公开的领导力量，并结合我</w:t>
      </w:r>
      <w:r>
        <w:rPr>
          <w:rFonts w:hint="eastAsia" w:ascii="Times New Roman" w:hAnsi="Times New Roman" w:eastAsia="仿宋_GB2312" w:cs="Times New Roman"/>
          <w:sz w:val="32"/>
          <w:szCs w:val="32"/>
          <w:lang w:val="en-US" w:eastAsia="zh-CN"/>
        </w:rPr>
        <w:t>乡</w:t>
      </w:r>
      <w:r>
        <w:rPr>
          <w:rFonts w:hint="default" w:ascii="Times New Roman" w:hAnsi="Times New Roman" w:eastAsia="仿宋_GB2312" w:cs="Times New Roman"/>
          <w:sz w:val="32"/>
          <w:szCs w:val="32"/>
        </w:rPr>
        <w:t>实际，提出了推进政府信息公开工作的若干措施，明确政务信息发布审核流程，严把审查关，严厉杜绝涉密涉敏信息的公开，政府信息公开工作得到了有效</w:t>
      </w:r>
      <w:r>
        <w:rPr>
          <w:rFonts w:hint="eastAsia" w:ascii="Times New Roman" w:hAnsi="Times New Roman" w:eastAsia="仿宋_GB2312" w:cs="Times New Roman"/>
          <w:sz w:val="32"/>
          <w:szCs w:val="32"/>
          <w:lang w:eastAsia="zh-CN"/>
        </w:rPr>
        <w:t>地</w:t>
      </w:r>
      <w:r>
        <w:rPr>
          <w:rFonts w:hint="default" w:ascii="Times New Roman" w:hAnsi="Times New Roman" w:eastAsia="仿宋_GB2312" w:cs="Times New Roman"/>
          <w:sz w:val="32"/>
          <w:szCs w:val="32"/>
        </w:rPr>
        <w:t>贯彻落实。</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（四）政府信息公开平台建设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按照政务公开</w:t>
      </w:r>
      <w:r>
        <w:rPr>
          <w:rFonts w:hint="eastAsia" w:ascii="Times New Roman" w:hAnsi="Times New Roman" w:eastAsia="仿宋_GB2312" w:cs="Times New Roman"/>
          <w:sz w:val="32"/>
          <w:szCs w:val="32"/>
          <w:lang w:val="en-US" w:eastAsia="zh-CN"/>
        </w:rPr>
        <w:t>有关</w:t>
      </w:r>
      <w:r>
        <w:rPr>
          <w:rFonts w:hint="default" w:ascii="Times New Roman" w:hAnsi="Times New Roman" w:eastAsia="仿宋_GB2312" w:cs="Times New Roman"/>
          <w:sz w:val="32"/>
          <w:szCs w:val="32"/>
        </w:rPr>
        <w:t>工作要求，我</w:t>
      </w:r>
      <w:r>
        <w:rPr>
          <w:rFonts w:hint="eastAsia" w:ascii="Times New Roman" w:hAnsi="Times New Roman" w:eastAsia="仿宋_GB2312" w:cs="Times New Roman"/>
          <w:sz w:val="32"/>
          <w:szCs w:val="32"/>
          <w:lang w:val="en-US" w:eastAsia="zh-CN"/>
        </w:rPr>
        <w:t>乡</w:t>
      </w:r>
      <w:r>
        <w:rPr>
          <w:rFonts w:hint="default" w:ascii="Times New Roman" w:hAnsi="Times New Roman" w:eastAsia="仿宋_GB2312" w:cs="Times New Roman"/>
          <w:sz w:val="32"/>
          <w:szCs w:val="32"/>
        </w:rPr>
        <w:t>在政府信息平台上基层政务公开标准化规范化等相关栏目进行了调整增加，规范了政府信息公开平台设置，提升了主动公开工作实效，加强了政府信息日常管理。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（五）监督保障 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建立健全发布信息监管机制和工作考核机制，并参加政务公开业务培训会，提高业务素质，增强业务能力。根据县政府信息公开工作统一部署和要求，</w:t>
      </w:r>
      <w:r>
        <w:rPr>
          <w:rFonts w:hint="eastAsia" w:ascii="Times New Roman" w:hAnsi="Times New Roman" w:eastAsia="仿宋_GB2312" w:cs="Times New Roman"/>
          <w:sz w:val="32"/>
          <w:szCs w:val="32"/>
          <w:lang w:val="en-US" w:eastAsia="zh-CN"/>
        </w:rPr>
        <w:t>我乡</w:t>
      </w:r>
      <w:r>
        <w:rPr>
          <w:rFonts w:hint="default" w:ascii="Times New Roman" w:hAnsi="Times New Roman" w:eastAsia="仿宋_GB2312" w:cs="Times New Roman"/>
          <w:sz w:val="32"/>
          <w:szCs w:val="32"/>
          <w:lang w:val="en-US" w:eastAsia="zh-CN"/>
        </w:rPr>
        <w:t>把信息公开工作列入重要议事议程，</w:t>
      </w:r>
      <w:r>
        <w:rPr>
          <w:rFonts w:hint="default" w:ascii="Times New Roman" w:hAnsi="Times New Roman" w:eastAsia="仿宋_GB2312" w:cs="Times New Roman"/>
          <w:sz w:val="32"/>
          <w:szCs w:val="32"/>
        </w:rPr>
        <w:t>建立分管负责人</w:t>
      </w:r>
      <w:r>
        <w:rPr>
          <w:rFonts w:hint="default" w:ascii="Times New Roman" w:hAnsi="Times New Roman" w:eastAsia="仿宋_GB2312" w:cs="Times New Roman"/>
          <w:sz w:val="32"/>
          <w:szCs w:val="32"/>
          <w:lang w:val="en-US" w:eastAsia="zh-CN"/>
        </w:rPr>
        <w:t>统一领导、党政办牵头组织协调、</w:t>
      </w:r>
      <w:r>
        <w:rPr>
          <w:rFonts w:hint="default" w:ascii="Times New Roman" w:hAnsi="Times New Roman" w:eastAsia="仿宋_GB2312" w:cs="Times New Roman"/>
          <w:sz w:val="32"/>
          <w:szCs w:val="32"/>
          <w:lang w:val="en-US" w:eastAsia="zh-CN"/>
        </w:rPr>
        <w:t>相关站所各司其职的工作机制。截至2023年12月31日，本单位政府信息公开工作运行正常有序，信息更新及时，栏目内容丰富，不存在侵权违法行为，未收到群众举报事项。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二、</w:t>
      </w:r>
      <w:r>
        <w:rPr>
          <w:rFonts w:hint="default" w:ascii="Times New Roman" w:hAnsi="Times New Roman" w:eastAsia="黑体" w:cs="Times New Roman"/>
          <w:sz w:val="32"/>
          <w:szCs w:val="32"/>
        </w:rPr>
        <w:t>主动公开政府信息情况</w:t>
      </w:r>
    </w:p>
    <w:tbl>
      <w:tblPr>
        <w:tblStyle w:val="7"/>
        <w:tblW w:w="9740" w:type="dxa"/>
        <w:jc w:val="center"/>
        <w:tblLayout w:type="autofit"/>
        <w:tblCellMar>
          <w:top w:w="15" w:type="dxa"/>
          <w:left w:w="15" w:type="dxa"/>
          <w:bottom w:w="15" w:type="dxa"/>
          <w:right w:w="15" w:type="dxa"/>
        </w:tblCellMar>
      </w:tblPr>
      <w:tblGrid>
        <w:gridCol w:w="2435"/>
        <w:gridCol w:w="2435"/>
        <w:gridCol w:w="2435"/>
        <w:gridCol w:w="2435"/>
      </w:tblGrid>
      <w:tr>
        <w:tblPrEx>
          <w:tblCellMar>
            <w:top w:w="15" w:type="dxa"/>
            <w:left w:w="15" w:type="dxa"/>
            <w:bottom w:w="15" w:type="dxa"/>
            <w:right w:w="15"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rPr>
            </w:pPr>
            <w:r>
              <w:rPr>
                <w:rFonts w:hint="default" w:ascii="Times New Roman" w:hAnsi="Times New Roman" w:eastAsia="宋体" w:cs="Times New Roman"/>
                <w:color w:val="000000"/>
                <w:kern w:val="0"/>
                <w:sz w:val="20"/>
                <w:szCs w:val="20"/>
              </w:rPr>
              <w:t>第二十条第（一）项</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rPr>
            </w:pPr>
            <w:r>
              <w:rPr>
                <w:rFonts w:hint="default" w:ascii="Times New Roman" w:hAnsi="Times New Roman" w:eastAsia="宋体" w:cs="Times New Roman"/>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rPr>
            </w:pPr>
            <w:r>
              <w:rPr>
                <w:rFonts w:hint="default" w:ascii="Times New Roman" w:hAnsi="Times New Roman" w:eastAsia="宋体" w:cs="Times New Roman"/>
                <w:color w:val="000000"/>
                <w:kern w:val="0"/>
                <w:sz w:val="20"/>
                <w:szCs w:val="20"/>
              </w:rPr>
              <w:t>本年</w:t>
            </w:r>
            <w:r>
              <w:rPr>
                <w:rFonts w:hint="default" w:ascii="Times New Roman" w:hAnsi="Times New Roman" w:eastAsia="宋体" w:cs="Times New Roman"/>
                <w:kern w:val="0"/>
                <w:sz w:val="20"/>
                <w:szCs w:val="20"/>
              </w:rPr>
              <w:t>制发件数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rPr>
            </w:pPr>
            <w:r>
              <w:rPr>
                <w:rFonts w:hint="default" w:ascii="Times New Roman" w:hAnsi="Times New Roman" w:eastAsia="宋体" w:cs="Times New Roman"/>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rPr>
            </w:pPr>
            <w:r>
              <w:rPr>
                <w:rFonts w:hint="default" w:ascii="Times New Roman" w:hAnsi="Times New Roman" w:eastAsia="宋体" w:cs="Times New Roman"/>
                <w:color w:val="000000"/>
                <w:kern w:val="0"/>
                <w:sz w:val="20"/>
                <w:szCs w:val="20"/>
              </w:rPr>
              <w:t>现行有效件</w:t>
            </w:r>
            <w:r>
              <w:rPr>
                <w:rFonts w:hint="default" w:ascii="Times New Roman" w:hAnsi="Times New Roman" w:eastAsia="宋体" w:cs="Times New Roman"/>
                <w:kern w:val="0"/>
                <w:sz w:val="20"/>
                <w:szCs w:val="20"/>
              </w:rPr>
              <w:t>数</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r>
              <w:rPr>
                <w:rFonts w:hint="default" w:ascii="Times New Roman" w:hAnsi="Times New Roman" w:eastAsia="宋体" w:cs="Times New Roman"/>
                <w:color w:val="000000"/>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r>
              <w:rPr>
                <w:rFonts w:hint="default" w:ascii="Times New Roman" w:hAnsi="Times New Roman" w:eastAsia="宋体" w:cs="Times New Roman"/>
                <w:color w:val="000000"/>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r>
      <w:tr>
        <w:tblPrEx>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rPr>
            </w:pPr>
            <w:r>
              <w:rPr>
                <w:rFonts w:hint="default" w:ascii="Times New Roman" w:hAnsi="Times New Roman" w:eastAsia="宋体" w:cs="Times New Roman"/>
                <w:color w:val="000000"/>
                <w:kern w:val="0"/>
                <w:sz w:val="20"/>
                <w:szCs w:val="20"/>
              </w:rPr>
              <w:t>第二十条第（五）项</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rPr>
            </w:pPr>
            <w:r>
              <w:rPr>
                <w:rFonts w:hint="default" w:ascii="Times New Roman" w:hAnsi="Times New Roman" w:eastAsia="宋体" w:cs="Times New Roman"/>
                <w:color w:val="000000"/>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rPr>
            </w:pPr>
            <w:r>
              <w:rPr>
                <w:rFonts w:hint="default" w:ascii="Times New Roman" w:hAnsi="Times New Roman" w:eastAsia="宋体" w:cs="Times New Roman"/>
                <w:color w:val="000000"/>
                <w:kern w:val="0"/>
                <w:sz w:val="20"/>
                <w:szCs w:val="20"/>
              </w:rPr>
              <w:t>本年处理决定数量</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r>
              <w:rPr>
                <w:rFonts w:hint="default" w:ascii="Times New Roman" w:hAnsi="Times New Roman" w:eastAsia="宋体" w:cs="Times New Roman"/>
                <w:color w:val="000000"/>
                <w:kern w:val="0"/>
                <w:sz w:val="20"/>
                <w:szCs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r>
      <w:tr>
        <w:tblPrEx>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4"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rPr>
            </w:pPr>
            <w:r>
              <w:rPr>
                <w:rFonts w:hint="default" w:ascii="Times New Roman" w:hAnsi="Times New Roman" w:eastAsia="宋体" w:cs="Times New Roman"/>
                <w:color w:val="000000"/>
                <w:kern w:val="0"/>
                <w:sz w:val="20"/>
                <w:szCs w:val="20"/>
              </w:rPr>
              <w:t>第二十条第（六）项</w:t>
            </w:r>
          </w:p>
        </w:tc>
      </w:tr>
      <w:tr>
        <w:tblPrEx>
          <w:tblCellMar>
            <w:top w:w="15" w:type="dxa"/>
            <w:left w:w="15" w:type="dxa"/>
            <w:bottom w:w="15" w:type="dxa"/>
            <w:right w:w="15" w:type="dxa"/>
          </w:tblCellMar>
        </w:tblPrEx>
        <w:trPr>
          <w:trHeight w:val="340" w:hRule="atLeast"/>
          <w:jc w:val="center"/>
        </w:trPr>
        <w:tc>
          <w:tcPr>
            <w:tcW w:w="2435" w:type="dxa"/>
            <w:tcBorders>
              <w:top w:val="single" w:color="auto" w:sz="4" w:space="0"/>
              <w:left w:val="single" w:color="auto" w:sz="4"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rPr>
            </w:pPr>
            <w:r>
              <w:rPr>
                <w:rFonts w:hint="default" w:ascii="Times New Roman" w:hAnsi="Times New Roman" w:eastAsia="宋体" w:cs="Times New Roman"/>
                <w:color w:val="000000"/>
                <w:kern w:val="0"/>
                <w:sz w:val="20"/>
                <w:szCs w:val="20"/>
              </w:rPr>
              <w:t>信息内容</w:t>
            </w:r>
          </w:p>
        </w:tc>
        <w:tc>
          <w:tcPr>
            <w:tcW w:w="7305" w:type="dxa"/>
            <w:gridSpan w:val="3"/>
            <w:tcBorders>
              <w:top w:val="single" w:color="auto" w:sz="4" w:space="0"/>
              <w:left w:val="nil"/>
              <w:bottom w:val="single" w:color="auto" w:sz="8" w:space="0"/>
              <w:right w:val="single" w:color="auto" w:sz="4"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rPr>
            </w:pPr>
            <w:r>
              <w:rPr>
                <w:rFonts w:hint="default" w:ascii="Times New Roman" w:hAnsi="Times New Roman" w:eastAsia="宋体" w:cs="Times New Roman"/>
                <w:color w:val="000000"/>
                <w:kern w:val="0"/>
                <w:sz w:val="20"/>
                <w:szCs w:val="20"/>
              </w:rPr>
              <w:t>本年处理决定数量</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4"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r>
              <w:rPr>
                <w:rFonts w:hint="default" w:ascii="Times New Roman" w:hAnsi="Times New Roman" w:eastAsia="宋体" w:cs="Times New Roman"/>
                <w:color w:val="000000"/>
                <w:kern w:val="0"/>
                <w:sz w:val="20"/>
                <w:szCs w:val="20"/>
              </w:rPr>
              <w:t>行政处罚</w:t>
            </w:r>
          </w:p>
        </w:tc>
        <w:tc>
          <w:tcPr>
            <w:tcW w:w="7305" w:type="dxa"/>
            <w:gridSpan w:val="3"/>
            <w:tcBorders>
              <w:top w:val="nil"/>
              <w:left w:val="nil"/>
              <w:bottom w:val="single" w:color="auto" w:sz="8" w:space="0"/>
              <w:right w:val="single" w:color="auto" w:sz="4"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color w:val="000000"/>
                <w:kern w:val="0"/>
                <w:sz w:val="20"/>
                <w:szCs w:val="20"/>
                <w:lang w:val="en-US" w:eastAsia="zh-CN"/>
              </w:rPr>
              <w:t>0</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4" w:space="0"/>
              <w:bottom w:val="single" w:color="auto" w:sz="4"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r>
              <w:rPr>
                <w:rFonts w:hint="default" w:ascii="Times New Roman" w:hAnsi="Times New Roman" w:eastAsia="宋体" w:cs="Times New Roman"/>
                <w:color w:val="000000"/>
                <w:kern w:val="0"/>
                <w:sz w:val="20"/>
                <w:szCs w:val="20"/>
              </w:rPr>
              <w:t>行政强制</w:t>
            </w:r>
          </w:p>
        </w:tc>
        <w:tc>
          <w:tcPr>
            <w:tcW w:w="7305" w:type="dxa"/>
            <w:gridSpan w:val="3"/>
            <w:tcBorders>
              <w:top w:val="nil"/>
              <w:left w:val="nil"/>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color w:val="000000"/>
                <w:kern w:val="0"/>
                <w:sz w:val="20"/>
                <w:szCs w:val="20"/>
                <w:lang w:val="en-US" w:eastAsia="zh-CN"/>
              </w:rPr>
              <w:t>0</w:t>
            </w:r>
          </w:p>
        </w:tc>
      </w:tr>
      <w:tr>
        <w:tblPrEx>
          <w:tblCellMar>
            <w:top w:w="15" w:type="dxa"/>
            <w:left w:w="15" w:type="dxa"/>
            <w:bottom w:w="15" w:type="dxa"/>
            <w:right w:w="15" w:type="dxa"/>
          </w:tblCellMar>
        </w:tblPrEx>
        <w:trPr>
          <w:trHeight w:val="340" w:hRule="atLeast"/>
          <w:jc w:val="center"/>
        </w:trPr>
        <w:tc>
          <w:tcPr>
            <w:tcW w:w="9740" w:type="dxa"/>
            <w:gridSpan w:val="4"/>
            <w:tcBorders>
              <w:top w:val="single" w:color="auto" w:sz="4"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rPr>
            </w:pPr>
            <w:r>
              <w:rPr>
                <w:rFonts w:hint="default" w:ascii="Times New Roman" w:hAnsi="Times New Roman" w:eastAsia="宋体" w:cs="Times New Roman"/>
                <w:color w:val="000000"/>
                <w:kern w:val="0"/>
                <w:sz w:val="20"/>
                <w:szCs w:val="20"/>
              </w:rPr>
              <w:t>第二十条第（八）项</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rPr>
            </w:pPr>
            <w:r>
              <w:rPr>
                <w:rFonts w:hint="default" w:ascii="Times New Roman" w:hAnsi="Times New Roman" w:eastAsia="宋体" w:cs="Times New Roman"/>
                <w:color w:val="000000"/>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rPr>
            </w:pPr>
            <w:r>
              <w:rPr>
                <w:rFonts w:hint="default" w:ascii="Times New Roman" w:hAnsi="Times New Roman" w:eastAsia="宋体" w:cs="Times New Roman"/>
                <w:color w:val="000000"/>
                <w:kern w:val="0"/>
                <w:sz w:val="20"/>
                <w:szCs w:val="20"/>
              </w:rPr>
              <w:t>本年收费金额（单位：万元）</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r>
              <w:rPr>
                <w:rFonts w:hint="default" w:ascii="Times New Roman" w:hAnsi="Times New Roman" w:eastAsia="宋体" w:cs="Times New Roman"/>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三、收到和处理政府信息公开申请情况</w:t>
      </w:r>
    </w:p>
    <w:tbl>
      <w:tblPr>
        <w:tblStyle w:val="7"/>
        <w:tblW w:w="9748" w:type="dxa"/>
        <w:jc w:val="center"/>
        <w:tblLayout w:type="autofit"/>
        <w:tblCellMar>
          <w:top w:w="15" w:type="dxa"/>
          <w:left w:w="15" w:type="dxa"/>
          <w:bottom w:w="15" w:type="dxa"/>
          <w:right w:w="15" w:type="dxa"/>
        </w:tblCellMar>
      </w:tblPr>
      <w:tblGrid>
        <w:gridCol w:w="768"/>
        <w:gridCol w:w="943"/>
        <w:gridCol w:w="3220"/>
        <w:gridCol w:w="688"/>
        <w:gridCol w:w="688"/>
        <w:gridCol w:w="688"/>
        <w:gridCol w:w="688"/>
        <w:gridCol w:w="688"/>
        <w:gridCol w:w="688"/>
        <w:gridCol w:w="689"/>
      </w:tblGrid>
      <w:tr>
        <w:tblPrEx>
          <w:tblCellMar>
            <w:top w:w="15" w:type="dxa"/>
            <w:left w:w="15" w:type="dxa"/>
            <w:bottom w:w="15" w:type="dxa"/>
            <w:right w:w="15" w:type="dxa"/>
          </w:tblCellMar>
        </w:tblPrEx>
        <w:trPr>
          <w:jc w:val="center"/>
        </w:trPr>
        <w:tc>
          <w:tcPr>
            <w:tcW w:w="4931"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r>
              <w:rPr>
                <w:rFonts w:hint="default" w:ascii="Times New Roman" w:hAnsi="Times New Roman" w:eastAsia="楷体" w:cs="Times New Roman"/>
                <w:kern w:val="0"/>
                <w:sz w:val="20"/>
                <w:szCs w:val="20"/>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0"/>
                <w:szCs w:val="20"/>
              </w:rPr>
              <w:t>申请人情况</w:t>
            </w:r>
          </w:p>
        </w:tc>
      </w:tr>
      <w:tr>
        <w:tblPrEx>
          <w:tblCellMar>
            <w:top w:w="15" w:type="dxa"/>
            <w:left w:w="15" w:type="dxa"/>
            <w:bottom w:w="15" w:type="dxa"/>
            <w:right w:w="15"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p>
        </w:tc>
        <w:tc>
          <w:tcPr>
            <w:tcW w:w="688"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0"/>
                <w:szCs w:val="20"/>
              </w:rPr>
              <w:t>自然人</w:t>
            </w:r>
          </w:p>
        </w:tc>
        <w:tc>
          <w:tcPr>
            <w:tcW w:w="344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0"/>
                <w:szCs w:val="20"/>
              </w:rPr>
              <w:t>法人或其他组织</w:t>
            </w:r>
          </w:p>
        </w:tc>
        <w:tc>
          <w:tcPr>
            <w:tcW w:w="689"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0"/>
                <w:szCs w:val="20"/>
              </w:rPr>
              <w:t>总计</w:t>
            </w:r>
          </w:p>
        </w:tc>
      </w:tr>
      <w:tr>
        <w:tblPrEx>
          <w:tblCellMar>
            <w:top w:w="15" w:type="dxa"/>
            <w:left w:w="15" w:type="dxa"/>
            <w:bottom w:w="15" w:type="dxa"/>
            <w:right w:w="15"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0"/>
                <w:szCs w:val="20"/>
              </w:rPr>
              <w:t>商业</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0"/>
                <w:szCs w:val="20"/>
              </w:rPr>
              <w:t>企业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0"/>
                <w:szCs w:val="20"/>
              </w:rPr>
              <w:t>科研</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0"/>
                <w:szCs w:val="20"/>
              </w:rPr>
              <w:t>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0"/>
                <w:szCs w:val="20"/>
              </w:rPr>
              <w:t>社会公益组织</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0"/>
                <w:szCs w:val="20"/>
              </w:rPr>
              <w:t>法律服务机构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0"/>
                <w:szCs w:val="20"/>
              </w:rPr>
              <w:t>其他</w:t>
            </w:r>
          </w:p>
        </w:tc>
        <w:tc>
          <w:tcPr>
            <w:tcW w:w="0" w:type="auto"/>
            <w:vMerge w:val="continue"/>
            <w:tcBorders>
              <w:top w:val="single" w:color="auto" w:sz="8" w:space="0"/>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p>
        </w:tc>
      </w:tr>
      <w:tr>
        <w:tblPrEx>
          <w:tblCellMar>
            <w:top w:w="15" w:type="dxa"/>
            <w:left w:w="15" w:type="dxa"/>
            <w:bottom w:w="15" w:type="dxa"/>
            <w:right w:w="15"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0"/>
                <w:szCs w:val="20"/>
              </w:rPr>
              <w:t>一、本年新收政府信息公开申请数量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r>
      <w:tr>
        <w:tblPrEx>
          <w:tblCellMar>
            <w:top w:w="15" w:type="dxa"/>
            <w:left w:w="15" w:type="dxa"/>
            <w:bottom w:w="15" w:type="dxa"/>
            <w:right w:w="15"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0"/>
                <w:szCs w:val="20"/>
              </w:rPr>
              <w:t>二、上年结转政府信息公开申请数量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r>
      <w:tr>
        <w:tblPrEx>
          <w:tblCellMar>
            <w:top w:w="15" w:type="dxa"/>
            <w:left w:w="15" w:type="dxa"/>
            <w:bottom w:w="15" w:type="dxa"/>
            <w:right w:w="15"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0"/>
                <w:szCs w:val="20"/>
              </w:rPr>
              <w:t>三、本年度办理结果</w:t>
            </w: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0"/>
                <w:szCs w:val="20"/>
              </w:rPr>
              <w:t>（一）予以公开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0"/>
                <w:szCs w:val="20"/>
              </w:rPr>
              <w:t>（二）部分公开</w:t>
            </w:r>
            <w:r>
              <w:rPr>
                <w:rFonts w:hint="default" w:ascii="Times New Roman" w:hAnsi="Times New Roman" w:eastAsia="楷体" w:cs="Times New Roman"/>
                <w:kern w:val="0"/>
                <w:sz w:val="20"/>
                <w:szCs w:val="20"/>
              </w:rPr>
              <w:t>（区分处理的，只计这一情形，不计其他情形）</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0"/>
                <w:szCs w:val="20"/>
              </w:rPr>
              <w:t>（三）不予公开</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0"/>
                <w:szCs w:val="20"/>
              </w:rPr>
              <w:t>1.属于国家秘密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0"/>
                <w:szCs w:val="20"/>
              </w:rPr>
              <w:t>2.其他法律行政法规禁止公开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0"/>
                <w:szCs w:val="20"/>
              </w:rPr>
              <w:t>3.危及“三安全一稳定”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0"/>
                <w:szCs w:val="20"/>
              </w:rPr>
              <w:t>4.保护第三方合法权益</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0"/>
                <w:szCs w:val="20"/>
              </w:rPr>
              <w:t>5.属于三类内部事务信息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0"/>
                <w:szCs w:val="20"/>
              </w:rPr>
              <w:t>6.属于四类过程性信息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0"/>
                <w:szCs w:val="20"/>
              </w:rPr>
              <w:t>7.属于行政执法案卷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0"/>
                <w:szCs w:val="20"/>
              </w:rPr>
              <w:t>8.属于行政查询事项</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0"/>
                <w:szCs w:val="20"/>
              </w:rPr>
              <w:t>（四）无法提供</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0"/>
                <w:szCs w:val="20"/>
              </w:rPr>
              <w:t>1.本机关不掌握相关政府信息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0"/>
                <w:szCs w:val="20"/>
              </w:rPr>
              <w:t>2.没有现成信息需要另行制作</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0"/>
                <w:szCs w:val="20"/>
              </w:rPr>
              <w:t>3.补正后申请内容仍不明确</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0"/>
                <w:szCs w:val="20"/>
              </w:rPr>
              <w:t>（五）不予处理</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0"/>
                <w:szCs w:val="20"/>
              </w:rPr>
              <w:t>1.信访举报投诉类申请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0"/>
                <w:szCs w:val="20"/>
              </w:rPr>
              <w:t>2.重复申请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0"/>
                <w:szCs w:val="20"/>
              </w:rPr>
              <w:t>3.要求提供公开出版物</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0"/>
                <w:szCs w:val="20"/>
              </w:rPr>
              <w:t>4.无正当理由大量反复申请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r>
      <w:tr>
        <w:tblPrEx>
          <w:tblCellMar>
            <w:top w:w="15" w:type="dxa"/>
            <w:left w:w="15" w:type="dxa"/>
            <w:bottom w:w="15" w:type="dxa"/>
            <w:right w:w="15"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p>
        </w:tc>
        <w:tc>
          <w:tcPr>
            <w:tcW w:w="0" w:type="auto"/>
            <w:vMerge w:val="continue"/>
            <w:tcBorders>
              <w:top w:val="nil"/>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p>
        </w:tc>
        <w:tc>
          <w:tcPr>
            <w:tcW w:w="3220" w:type="dxa"/>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0"/>
                <w:szCs w:val="20"/>
              </w:rPr>
              <w:t>5.要求行政机关确认或重新出具已获取信息</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9" w:type="dxa"/>
            <w:tcBorders>
              <w:top w:val="nil"/>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0"/>
                <w:szCs w:val="20"/>
              </w:rPr>
              <w:t>（六）其他处理</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p>
        </w:tc>
        <w:tc>
          <w:tcPr>
            <w:tcW w:w="0" w:type="auto"/>
            <w:vMerge w:val="continue"/>
            <w:tcBorders>
              <w:top w:val="inset" w:color="auto" w:sz="8" w:space="0"/>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p>
        </w:tc>
        <w:tc>
          <w:tcPr>
            <w:tcW w:w="0" w:type="auto"/>
            <w:vMerge w:val="continue"/>
            <w:tcBorders>
              <w:top w:val="inset" w:color="auto" w:sz="8" w:space="0"/>
              <w:left w:val="nil"/>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0"/>
                <w:szCs w:val="20"/>
              </w:rPr>
              <w:t>3.其他</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0"/>
                <w:szCs w:val="20"/>
              </w:rPr>
              <w:t>（七）总计</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r>
      <w:tr>
        <w:tblPrEx>
          <w:tblCellMar>
            <w:top w:w="15" w:type="dxa"/>
            <w:left w:w="15" w:type="dxa"/>
            <w:bottom w:w="15" w:type="dxa"/>
            <w:right w:w="15"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0"/>
                <w:szCs w:val="20"/>
              </w:rPr>
              <w:t>四、结转下年度继续办理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四、政府信息公开行政复议、行政诉讼情况</w:t>
      </w:r>
    </w:p>
    <w:tbl>
      <w:tblPr>
        <w:tblStyle w:val="7"/>
        <w:tblW w:w="9748" w:type="dxa"/>
        <w:jc w:val="center"/>
        <w:tblLayout w:type="autofit"/>
        <w:tblCellMar>
          <w:top w:w="15" w:type="dxa"/>
          <w:left w:w="15" w:type="dxa"/>
          <w:bottom w:w="15" w:type="dxa"/>
          <w:right w:w="15"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15" w:type="dxa"/>
            <w:left w:w="15" w:type="dxa"/>
            <w:bottom w:w="15" w:type="dxa"/>
            <w:right w:w="15"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0"/>
                <w:szCs w:val="20"/>
              </w:rPr>
              <w:t>行政复议</w:t>
            </w:r>
          </w:p>
        </w:tc>
        <w:tc>
          <w:tcPr>
            <w:tcW w:w="642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0"/>
                <w:szCs w:val="20"/>
              </w:rPr>
              <w:t>行政诉讼</w:t>
            </w:r>
          </w:p>
        </w:tc>
      </w:tr>
      <w:tr>
        <w:tblPrEx>
          <w:tblCellMar>
            <w:top w:w="15" w:type="dxa"/>
            <w:left w:w="15" w:type="dxa"/>
            <w:bottom w:w="15" w:type="dxa"/>
            <w:right w:w="15" w:type="dxa"/>
          </w:tblCellMar>
        </w:tblPrEx>
        <w:trPr>
          <w:jc w:val="center"/>
        </w:trPr>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0"/>
                <w:szCs w:val="20"/>
              </w:rPr>
              <w:t>结果维持</w:t>
            </w:r>
          </w:p>
        </w:tc>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0"/>
                <w:szCs w:val="20"/>
              </w:rPr>
              <w:t>结果</w:t>
            </w: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纠正</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0"/>
                <w:szCs w:val="20"/>
              </w:rPr>
              <w:t>其他</w:t>
            </w: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结果</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0"/>
                <w:szCs w:val="20"/>
              </w:rPr>
              <w:t>尚未</w:t>
            </w: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审结</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0"/>
                <w:szCs w:val="20"/>
              </w:rPr>
              <w:t>总计</w:t>
            </w:r>
          </w:p>
        </w:tc>
        <w:tc>
          <w:tcPr>
            <w:tcW w:w="321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0"/>
                <w:szCs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0"/>
                <w:szCs w:val="20"/>
              </w:rPr>
              <w:t>复议后起诉</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p>
        </w:tc>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宋体" w:cs="Times New Roman"/>
                <w:kern w:val="0"/>
                <w:sz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0"/>
                <w:szCs w:val="20"/>
              </w:rPr>
              <w:t>结果</w:t>
            </w: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维持</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0"/>
                <w:szCs w:val="20"/>
              </w:rPr>
              <w:t>结果</w:t>
            </w: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0"/>
                <w:szCs w:val="20"/>
              </w:rPr>
              <w:t>其他</w:t>
            </w: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0"/>
                <w:szCs w:val="20"/>
              </w:rPr>
              <w:t>尚未</w:t>
            </w: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rPr>
            </w:pPr>
            <w:r>
              <w:rPr>
                <w:rFonts w:hint="default" w:ascii="Times New Roman" w:hAnsi="Times New Roman" w:eastAsia="宋体" w:cs="Times New Roman"/>
                <w:color w:val="000000"/>
                <w:kern w:val="0"/>
                <w:sz w:val="20"/>
                <w:szCs w:val="20"/>
              </w:rPr>
              <w:t>总计</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0"/>
                <w:szCs w:val="20"/>
              </w:rPr>
              <w:t>结果</w:t>
            </w: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维持</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0"/>
                <w:szCs w:val="20"/>
              </w:rPr>
              <w:t>结果</w:t>
            </w: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rPr>
            </w:pPr>
            <w:r>
              <w:rPr>
                <w:rFonts w:hint="default" w:ascii="Times New Roman" w:hAnsi="Times New Roman" w:eastAsia="宋体" w:cs="Times New Roman"/>
                <w:color w:val="000000"/>
                <w:kern w:val="0"/>
                <w:sz w:val="20"/>
                <w:szCs w:val="20"/>
              </w:rPr>
              <w:t>其他</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rPr>
            </w:pPr>
            <w:r>
              <w:rPr>
                <w:rFonts w:hint="default" w:ascii="Times New Roman" w:hAnsi="Times New Roman" w:eastAsia="宋体" w:cs="Times New Roman"/>
                <w:kern w:val="0"/>
                <w:sz w:val="20"/>
                <w:szCs w:val="20"/>
              </w:rPr>
              <w:t>尚未</w:t>
            </w: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rPr>
            </w:pPr>
            <w:r>
              <w:rPr>
                <w:rFonts w:hint="default" w:ascii="Times New Roman" w:hAnsi="Times New Roman" w:eastAsia="宋体" w:cs="Times New Roman"/>
                <w:color w:val="000000"/>
                <w:kern w:val="0"/>
                <w:sz w:val="20"/>
                <w:szCs w:val="20"/>
              </w:rPr>
              <w:t>总计</w:t>
            </w:r>
          </w:p>
        </w:tc>
      </w:tr>
      <w:tr>
        <w:tblPrEx>
          <w:tblCellMar>
            <w:top w:w="15" w:type="dxa"/>
            <w:left w:w="15" w:type="dxa"/>
            <w:bottom w:w="15" w:type="dxa"/>
            <w:right w:w="15"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kern w:val="0"/>
                <w:sz w:val="24"/>
                <w:lang w:val="en-US" w:eastAsia="zh-CN"/>
              </w:rPr>
            </w:pPr>
            <w:r>
              <w:rPr>
                <w:rFonts w:hint="default" w:ascii="Times New Roman" w:hAnsi="Times New Roman" w:eastAsia="宋体" w:cs="Times New Roman"/>
                <w:kern w:val="0"/>
                <w:sz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（一）存在问题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1.工作业务培训不到位。村一级对政务公开工作认识不足，缺乏主动申请公开意识。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2.在公开信息实效性和公开内容全面性方面有待提高。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.政务</w:t>
      </w:r>
      <w:r>
        <w:rPr>
          <w:rFonts w:hint="eastAsia" w:ascii="Times New Roman" w:hAnsi="Times New Roman" w:eastAsia="仿宋_GB2312" w:cs="Times New Roman"/>
          <w:sz w:val="32"/>
          <w:szCs w:val="32"/>
          <w:lang w:val="en-US" w:eastAsia="zh-CN"/>
        </w:rPr>
        <w:t>公开工作特色亮点较少</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_GB2312" w:hAnsi="楷体_GB2312" w:eastAsia="楷体_GB2312" w:cs="楷体_GB2312"/>
          <w:b/>
          <w:bCs/>
          <w:sz w:val="32"/>
          <w:szCs w:val="32"/>
          <w:lang w:val="en-US" w:eastAsia="zh-CN"/>
        </w:rPr>
      </w:pPr>
      <w:r>
        <w:rPr>
          <w:rFonts w:hint="default" w:ascii="楷体_GB2312" w:hAnsi="楷体_GB2312" w:eastAsia="楷体_GB2312" w:cs="楷体_GB2312"/>
          <w:b/>
          <w:bCs/>
          <w:sz w:val="32"/>
          <w:szCs w:val="32"/>
          <w:lang w:val="en-US" w:eastAsia="zh-CN"/>
        </w:rPr>
        <w:t>（二）改进措施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1.加强学习培训，提升工作参与度。认真组织</w:t>
      </w:r>
      <w:r>
        <w:rPr>
          <w:rFonts w:hint="eastAsia" w:ascii="Times New Roman" w:hAnsi="Times New Roman" w:eastAsia="仿宋_GB2312" w:cs="Times New Roman"/>
          <w:sz w:val="32"/>
          <w:szCs w:val="32"/>
          <w:lang w:val="en-US" w:eastAsia="zh-CN"/>
        </w:rPr>
        <w:t>乡</w:t>
      </w:r>
      <w:r>
        <w:rPr>
          <w:rFonts w:hint="default" w:ascii="Times New Roman" w:hAnsi="Times New Roman" w:eastAsia="仿宋_GB2312" w:cs="Times New Roman"/>
          <w:sz w:val="32"/>
          <w:szCs w:val="32"/>
          <w:lang w:val="en-US" w:eastAsia="zh-CN"/>
        </w:rPr>
        <w:t>、村对政务公开工作开展专题学习，加深干部职工对政务公开工作的了解。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2.优化制度、加强管理，</w:t>
      </w:r>
      <w:r>
        <w:rPr>
          <w:rFonts w:hint="eastAsia" w:ascii="Times New Roman" w:hAnsi="Times New Roman" w:eastAsia="仿宋_GB2312" w:cs="Times New Roman"/>
          <w:sz w:val="32"/>
          <w:szCs w:val="32"/>
          <w:lang w:val="en-US" w:eastAsia="zh-CN"/>
        </w:rPr>
        <w:t>进一步</w:t>
      </w:r>
      <w:r>
        <w:rPr>
          <w:rFonts w:hint="default" w:ascii="Times New Roman" w:hAnsi="Times New Roman" w:eastAsia="仿宋_GB2312" w:cs="Times New Roman"/>
          <w:sz w:val="32"/>
          <w:szCs w:val="32"/>
          <w:lang w:val="en-US" w:eastAsia="zh-CN"/>
        </w:rPr>
        <w:t>压实责任。对民生关切问题、群众诉求回复等做进一步的要求，确保回复及时、流程规范、结果满意。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3.严格落实上级要求，围绕群众关注的大事、实事，关系群众切身利益的事，进一步创新政务公开方式，扩大公开范围，优化公开内容。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政务公开要点落实情况：</w:t>
      </w:r>
      <w:r>
        <w:rPr>
          <w:rFonts w:hint="eastAsia" w:ascii="Times New Roman" w:hAnsi="Times New Roman" w:eastAsia="仿宋_GB2312" w:cs="Times New Roman"/>
          <w:sz w:val="32"/>
          <w:szCs w:val="32"/>
          <w:lang w:val="en-US" w:eastAsia="zh-CN"/>
        </w:rPr>
        <w:t>一是</w:t>
      </w:r>
      <w:r>
        <w:rPr>
          <w:rFonts w:hint="default" w:ascii="Times New Roman" w:hAnsi="Times New Roman" w:eastAsia="仿宋_GB2312" w:cs="Times New Roman"/>
          <w:sz w:val="32"/>
          <w:szCs w:val="32"/>
          <w:lang w:val="en-US" w:eastAsia="zh-CN"/>
        </w:rPr>
        <w:t>加强组织领导，压实工作责任。</w:t>
      </w:r>
      <w:r>
        <w:rPr>
          <w:rFonts w:hint="eastAsia" w:ascii="Times New Roman" w:hAnsi="Times New Roman" w:eastAsia="仿宋_GB2312" w:cs="Times New Roman"/>
          <w:sz w:val="32"/>
          <w:szCs w:val="32"/>
          <w:lang w:val="en-US" w:eastAsia="zh-CN"/>
        </w:rPr>
        <w:t>二是</w:t>
      </w:r>
      <w:r>
        <w:rPr>
          <w:rFonts w:hint="default" w:ascii="Times New Roman" w:hAnsi="Times New Roman" w:eastAsia="仿宋_GB2312" w:cs="Times New Roman"/>
          <w:sz w:val="32"/>
          <w:szCs w:val="32"/>
          <w:lang w:val="en-US" w:eastAsia="zh-CN"/>
        </w:rPr>
        <w:t>加强制度建设，全面提升标准化规范化水平。</w:t>
      </w:r>
      <w:r>
        <w:rPr>
          <w:rFonts w:hint="eastAsia" w:ascii="Times New Roman" w:hAnsi="Times New Roman" w:eastAsia="仿宋_GB2312" w:cs="Times New Roman"/>
          <w:sz w:val="32"/>
          <w:szCs w:val="32"/>
          <w:lang w:val="en-US" w:eastAsia="zh-CN"/>
        </w:rPr>
        <w:t>三是</w:t>
      </w:r>
      <w:r>
        <w:rPr>
          <w:rFonts w:hint="default" w:ascii="Times New Roman" w:hAnsi="Times New Roman" w:eastAsia="仿宋_GB2312" w:cs="Times New Roman"/>
          <w:sz w:val="32"/>
          <w:szCs w:val="32"/>
          <w:lang w:val="en-US" w:eastAsia="zh-CN"/>
        </w:rPr>
        <w:t>积极主动，认真做好</w:t>
      </w:r>
      <w:r>
        <w:rPr>
          <w:rFonts w:hint="eastAsia" w:ascii="Times New Roman" w:hAnsi="Times New Roman" w:eastAsia="仿宋_GB2312" w:cs="Times New Roman"/>
          <w:sz w:val="32"/>
          <w:szCs w:val="32"/>
          <w:lang w:val="en-US" w:eastAsia="zh-CN"/>
        </w:rPr>
        <w:t>政务</w:t>
      </w:r>
      <w:r>
        <w:rPr>
          <w:rFonts w:hint="default" w:ascii="Times New Roman" w:hAnsi="Times New Roman" w:eastAsia="仿宋_GB2312" w:cs="Times New Roman"/>
          <w:sz w:val="32"/>
          <w:szCs w:val="32"/>
          <w:lang w:val="en-US" w:eastAsia="zh-CN"/>
        </w:rPr>
        <w:t>信息公开更新。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2023年，</w:t>
      </w:r>
      <w:r>
        <w:rPr>
          <w:rFonts w:hint="eastAsia" w:ascii="Times New Roman" w:hAnsi="Times New Roman" w:eastAsia="仿宋_GB2312" w:cs="Times New Roman"/>
          <w:sz w:val="32"/>
          <w:szCs w:val="32"/>
          <w:lang w:val="en-US" w:eastAsia="zh-CN"/>
        </w:rPr>
        <w:t>野市乡</w:t>
      </w:r>
      <w:r>
        <w:rPr>
          <w:rFonts w:hint="default" w:ascii="Times New Roman" w:hAnsi="Times New Roman" w:eastAsia="仿宋_GB2312" w:cs="Times New Roman"/>
          <w:sz w:val="32"/>
          <w:szCs w:val="32"/>
          <w:lang w:val="en-US" w:eastAsia="zh-CN"/>
        </w:rPr>
        <w:t>人民政府</w:t>
      </w:r>
      <w:r>
        <w:rPr>
          <w:rFonts w:hint="default" w:ascii="Times New Roman" w:hAnsi="Times New Roman" w:eastAsia="仿宋_GB2312" w:cs="Times New Roman"/>
          <w:sz w:val="32"/>
          <w:szCs w:val="32"/>
        </w:rPr>
        <w:t>无收取信息处理费情况。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上高县人民政府网站网址为http://www.shanggao.gov.cn。如需了解更多政府信息，请登录查询。</w:t>
      </w:r>
    </w:p>
    <w:bookmarkEnd w:id="0"/>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jYTAyNTM5NmRkNWYxMjIxMzRiNWZkMTJlZDE2MzMifQ=="/>
  </w:docVars>
  <w:rsids>
    <w:rsidRoot w:val="00190156"/>
    <w:rsid w:val="00176226"/>
    <w:rsid w:val="00190156"/>
    <w:rsid w:val="00843675"/>
    <w:rsid w:val="03262429"/>
    <w:rsid w:val="038114D7"/>
    <w:rsid w:val="0AF17958"/>
    <w:rsid w:val="26B07208"/>
    <w:rsid w:val="2C871359"/>
    <w:rsid w:val="30DA76A0"/>
    <w:rsid w:val="34243328"/>
    <w:rsid w:val="345A70FB"/>
    <w:rsid w:val="4E796078"/>
    <w:rsid w:val="52514318"/>
    <w:rsid w:val="5A474701"/>
    <w:rsid w:val="629A4CBB"/>
    <w:rsid w:val="631A1A84"/>
    <w:rsid w:val="67E4235D"/>
    <w:rsid w:val="6C093BA2"/>
    <w:rsid w:val="6CD97FB6"/>
    <w:rsid w:val="77585F7B"/>
    <w:rsid w:val="7F0548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autoRedefine/>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autoRedefine/>
    <w:qFormat/>
    <w:uiPriority w:val="0"/>
    <w:pPr>
      <w:tabs>
        <w:tab w:val="center" w:pos="4153"/>
        <w:tab w:val="right" w:pos="8306"/>
      </w:tabs>
      <w:snapToGrid w:val="0"/>
      <w:jc w:val="left"/>
    </w:pPr>
    <w:rPr>
      <w:sz w:val="18"/>
      <w:szCs w:val="18"/>
    </w:rPr>
  </w:style>
  <w:style w:type="paragraph" w:styleId="5">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Autospacing="1" w:afterAutospacing="1"/>
      <w:jc w:val="left"/>
    </w:pPr>
    <w:rPr>
      <w:rFonts w:cs="Times New Roman"/>
      <w:kern w:val="0"/>
      <w:sz w:val="24"/>
    </w:rPr>
  </w:style>
  <w:style w:type="character" w:styleId="9">
    <w:name w:val="Strong"/>
    <w:basedOn w:val="8"/>
    <w:autoRedefine/>
    <w:qFormat/>
    <w:uiPriority w:val="0"/>
    <w:rPr>
      <w:b/>
    </w:rPr>
  </w:style>
  <w:style w:type="character" w:customStyle="1" w:styleId="10">
    <w:name w:val="页眉 Char"/>
    <w:basedOn w:val="8"/>
    <w:link w:val="5"/>
    <w:autoRedefine/>
    <w:qFormat/>
    <w:uiPriority w:val="0"/>
    <w:rPr>
      <w:rFonts w:asciiTheme="minorHAnsi" w:hAnsiTheme="minorHAnsi" w:eastAsiaTheme="minorEastAsia" w:cstheme="minorBidi"/>
      <w:kern w:val="2"/>
      <w:sz w:val="18"/>
      <w:szCs w:val="18"/>
    </w:rPr>
  </w:style>
  <w:style w:type="character" w:customStyle="1" w:styleId="11">
    <w:name w:val="页脚 Char"/>
    <w:basedOn w:val="8"/>
    <w:link w:val="4"/>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368</Words>
  <Characters>2101</Characters>
  <Lines>17</Lines>
  <Paragraphs>4</Paragraphs>
  <TotalTime>13</TotalTime>
  <ScaleCrop>false</ScaleCrop>
  <LinksUpToDate>false</LinksUpToDate>
  <CharactersWithSpaces>2465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2024-01-09T03:34:00Z</dcterms:created>
  <dc:creator>LENOVO</dc:creator>
  <cp:lastModifiedBy>DLH</cp:lastModifiedBy>
  <dcterms:modified xsi:type="dcterms:W3CDTF">2024-01-12T01:59:08Z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F23AFE5792C44CAD9F68DAFD20F26060_13</vt:lpwstr>
  </property>
</Properties>
</file>