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auto"/>
          <w:spacing w:val="0"/>
          <w:sz w:val="44"/>
          <w:szCs w:val="44"/>
          <w:highlight w:val="none"/>
          <w:shd w:val="clear" w:fill="FFFFFF"/>
          <w:lang w:val="en-US" w:eastAsia="zh-CN"/>
        </w:rPr>
        <w:t>泗溪镇</w:t>
      </w:r>
      <w:r>
        <w:rPr>
          <w:rFonts w:hint="eastAsia" w:ascii="宋体" w:hAnsi="宋体" w:eastAsia="宋体" w:cs="宋体"/>
          <w:b/>
          <w:i w:val="0"/>
          <w:caps w:val="0"/>
          <w:color w:val="333333"/>
          <w:spacing w:val="0"/>
          <w:sz w:val="44"/>
          <w:szCs w:val="44"/>
          <w:shd w:val="clear" w:fill="FFFFFF"/>
          <w:lang w:val="en-US" w:eastAsia="zh-CN"/>
        </w:rPr>
        <w:t>2021年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highlight w:val="none"/>
          <w:lang w:val="en-US" w:eastAsia="zh-CN"/>
        </w:rPr>
        <w:t>泗溪镇</w:t>
      </w:r>
      <w:r>
        <w:rPr>
          <w:rFonts w:hint="eastAsia" w:ascii="宋体" w:hAnsi="宋体" w:eastAsia="宋体" w:cs="宋体"/>
          <w:i w:val="0"/>
          <w:caps w:val="0"/>
          <w:color w:val="333333"/>
          <w:spacing w:val="0"/>
          <w:sz w:val="32"/>
          <w:szCs w:val="32"/>
        </w:rPr>
        <w:t>结合有关统计数据编制。</w:t>
      </w:r>
      <w:r>
        <w:rPr>
          <w:rFonts w:hint="eastAsia" w:ascii="宋体" w:hAnsi="宋体" w:eastAsia="宋体" w:cs="宋体"/>
          <w:i w:val="0"/>
          <w:caps w:val="0"/>
          <w:color w:val="333333"/>
          <w:spacing w:val="0"/>
          <w:sz w:val="32"/>
          <w:szCs w:val="32"/>
          <w:lang w:eastAsia="zh-CN"/>
        </w:rPr>
        <w:t>本年度报告内容由</w:t>
      </w:r>
      <w:r>
        <w:rPr>
          <w:rFonts w:hint="eastAsia" w:ascii="宋体" w:hAnsi="宋体" w:eastAsia="宋体" w:cs="宋体"/>
          <w:i w:val="0"/>
          <w:caps w:val="0"/>
          <w:color w:val="333333"/>
          <w:spacing w:val="0"/>
          <w:sz w:val="32"/>
          <w:szCs w:val="32"/>
        </w:rPr>
        <w:t>总体情况</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rPr>
        <w:t>主动公开政府信息情况、收到和处理政府信息公开申请情况、政府信息公开行政复议</w:t>
      </w:r>
      <w:r>
        <w:rPr>
          <w:rFonts w:hint="eastAsia" w:ascii="宋体" w:hAnsi="宋体" w:eastAsia="宋体" w:cs="宋体"/>
          <w:i w:val="0"/>
          <w:caps w:val="0"/>
          <w:color w:val="333333"/>
          <w:spacing w:val="0"/>
          <w:sz w:val="32"/>
          <w:szCs w:val="32"/>
          <w:lang w:eastAsia="zh-CN"/>
        </w:rPr>
        <w:t>和</w:t>
      </w:r>
      <w:r>
        <w:rPr>
          <w:rFonts w:hint="eastAsia" w:ascii="宋体" w:hAnsi="宋体" w:eastAsia="宋体" w:cs="宋体"/>
          <w:i w:val="0"/>
          <w:caps w:val="0"/>
          <w:color w:val="333333"/>
          <w:spacing w:val="0"/>
          <w:sz w:val="32"/>
          <w:szCs w:val="32"/>
        </w:rPr>
        <w:t>行政诉讼情况、存在的主要问题及改进情况、其他需要报告的事项</w:t>
      </w:r>
      <w:r>
        <w:rPr>
          <w:rFonts w:hint="eastAsia" w:ascii="宋体" w:hAnsi="宋体" w:eastAsia="宋体" w:cs="宋体"/>
          <w:i w:val="0"/>
          <w:caps w:val="0"/>
          <w:color w:val="333333"/>
          <w:spacing w:val="0"/>
          <w:sz w:val="32"/>
          <w:szCs w:val="32"/>
          <w:lang w:eastAsia="zh-CN"/>
        </w:rPr>
        <w:t>六部分组成</w:t>
      </w:r>
      <w:r>
        <w:rPr>
          <w:rFonts w:hint="eastAsia" w:ascii="宋体" w:hAnsi="宋体" w:eastAsia="宋体" w:cs="宋体"/>
          <w:i w:val="0"/>
          <w:caps w:val="0"/>
          <w:color w:val="333333"/>
          <w:spacing w:val="0"/>
          <w:sz w:val="32"/>
          <w:szCs w:val="32"/>
        </w:rPr>
        <w:t>。本年度报告中所列数据的统计期限自</w:t>
      </w:r>
      <w:r>
        <w:rPr>
          <w:rFonts w:hint="eastAsia" w:ascii="宋体" w:hAnsi="宋体" w:eastAsia="宋体" w:cs="宋体"/>
          <w:i w:val="0"/>
          <w:caps w:val="0"/>
          <w:color w:val="333333"/>
          <w:spacing w:val="0"/>
          <w:sz w:val="32"/>
          <w:szCs w:val="32"/>
          <w:lang w:val="en-US" w:eastAsia="zh-CN"/>
        </w:rPr>
        <w:t>2021</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2021</w:t>
      </w:r>
      <w:r>
        <w:rPr>
          <w:rFonts w:hint="eastAsia" w:ascii="宋体" w:hAnsi="宋体" w:eastAsia="宋体" w:cs="宋体"/>
          <w:i w:val="0"/>
          <w:caps w:val="0"/>
          <w:color w:val="333333"/>
          <w:spacing w:val="0"/>
          <w:sz w:val="32"/>
          <w:szCs w:val="32"/>
        </w:rPr>
        <w:t>年12月31日止。本年度报告的电子版可以从</w:t>
      </w:r>
      <w:r>
        <w:rPr>
          <w:rFonts w:hint="eastAsia" w:ascii="宋体" w:hAnsi="宋体" w:eastAsia="宋体" w:cs="宋体"/>
          <w:i w:val="0"/>
          <w:caps w:val="0"/>
          <w:color w:val="333333"/>
          <w:spacing w:val="0"/>
          <w:sz w:val="32"/>
          <w:szCs w:val="32"/>
          <w:highlight w:val="none"/>
          <w:lang w:val="en-US" w:eastAsia="zh-CN"/>
        </w:rPr>
        <w:t>上高县</w:t>
      </w:r>
      <w:r>
        <w:rPr>
          <w:rFonts w:hint="eastAsia" w:ascii="宋体" w:hAnsi="宋体" w:eastAsia="宋体" w:cs="宋体"/>
          <w:i w:val="0"/>
          <w:caps w:val="0"/>
          <w:color w:val="333333"/>
          <w:spacing w:val="0"/>
          <w:sz w:val="32"/>
          <w:szCs w:val="32"/>
        </w:rPr>
        <w:t>人民政府网站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宋体" w:hAnsi="宋体" w:eastAsia="宋体" w:cs="宋体"/>
          <w:i w:val="0"/>
          <w:caps w:val="0"/>
          <w:color w:val="333333"/>
          <w:spacing w:val="0"/>
          <w:sz w:val="32"/>
          <w:szCs w:val="32"/>
          <w:lang w:eastAsia="zh-CN"/>
        </w:rPr>
      </w:pP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iCs w:val="0"/>
          <w:caps w:val="0"/>
          <w:spacing w:val="0"/>
          <w:sz w:val="32"/>
          <w:szCs w:val="32"/>
          <w:u w:val="none"/>
          <w:shd w:val="clear" w:fill="FFFFFF"/>
        </w:rPr>
        <w:fldChar w:fldCharType="begin"/>
      </w:r>
      <w:r>
        <w:rPr>
          <w:rFonts w:hint="eastAsia" w:ascii="宋体" w:hAnsi="宋体" w:eastAsia="宋体" w:cs="宋体"/>
          <w:i w:val="0"/>
          <w:iCs w:val="0"/>
          <w:caps w:val="0"/>
          <w:spacing w:val="0"/>
          <w:sz w:val="32"/>
          <w:szCs w:val="32"/>
          <w:u w:val="none"/>
          <w:shd w:val="clear" w:fill="FFFFFF"/>
        </w:rPr>
        <w:instrText xml:space="preserve"> HYPERLINK "http://www.shanggao.gov.cn/" </w:instrText>
      </w:r>
      <w:r>
        <w:rPr>
          <w:rFonts w:hint="eastAsia" w:ascii="宋体" w:hAnsi="宋体" w:eastAsia="宋体" w:cs="宋体"/>
          <w:i w:val="0"/>
          <w:iCs w:val="0"/>
          <w:caps w:val="0"/>
          <w:spacing w:val="0"/>
          <w:sz w:val="32"/>
          <w:szCs w:val="32"/>
          <w:u w:val="none"/>
          <w:shd w:val="clear" w:fill="FFFFFF"/>
        </w:rPr>
        <w:fldChar w:fldCharType="separate"/>
      </w:r>
      <w:r>
        <w:rPr>
          <w:rStyle w:val="13"/>
          <w:rFonts w:hint="eastAsia" w:ascii="宋体" w:hAnsi="宋体" w:eastAsia="宋体" w:cs="宋体"/>
          <w:i w:val="0"/>
          <w:iCs w:val="0"/>
          <w:caps w:val="0"/>
          <w:spacing w:val="0"/>
          <w:sz w:val="32"/>
          <w:szCs w:val="32"/>
          <w:u w:val="none"/>
          <w:shd w:val="clear" w:fill="FFFFFF"/>
        </w:rPr>
        <w:t>http://www.shanggao.gov.cn/</w:t>
      </w:r>
      <w:r>
        <w:rPr>
          <w:rFonts w:hint="eastAsia" w:ascii="宋体" w:hAnsi="宋体" w:eastAsia="宋体" w:cs="宋体"/>
          <w:i w:val="0"/>
          <w:iCs w:val="0"/>
          <w:caps w:val="0"/>
          <w:spacing w:val="0"/>
          <w:sz w:val="32"/>
          <w:szCs w:val="32"/>
          <w:u w:val="none"/>
          <w:shd w:val="clear" w:fill="FFFFFF"/>
        </w:rPr>
        <w:fldChar w:fldCharType="end"/>
      </w: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caps w:val="0"/>
          <w:color w:val="333333"/>
          <w:spacing w:val="0"/>
          <w:sz w:val="32"/>
          <w:szCs w:val="32"/>
        </w:rPr>
        <w:t>下载。</w:t>
      </w:r>
      <w:r>
        <w:rPr>
          <w:rFonts w:hint="eastAsia" w:ascii="宋体" w:hAnsi="宋体" w:eastAsia="宋体" w:cs="宋体"/>
          <w:i w:val="0"/>
          <w:caps w:val="0"/>
          <w:color w:val="333333"/>
          <w:spacing w:val="0"/>
          <w:sz w:val="32"/>
          <w:szCs w:val="32"/>
          <w:shd w:val="clear" w:fill="FFFFFF"/>
        </w:rPr>
        <w:t>如对本</w:t>
      </w:r>
      <w:r>
        <w:rPr>
          <w:rFonts w:hint="eastAsia" w:ascii="宋体" w:hAnsi="宋体" w:eastAsia="宋体" w:cs="宋体"/>
          <w:i w:val="0"/>
          <w:caps w:val="0"/>
          <w:color w:val="333333"/>
          <w:spacing w:val="0"/>
          <w:sz w:val="32"/>
          <w:szCs w:val="32"/>
          <w:shd w:val="clear" w:fill="FFFFFF"/>
          <w:lang w:eastAsia="zh-CN"/>
        </w:rPr>
        <w:t>年度</w:t>
      </w:r>
      <w:r>
        <w:rPr>
          <w:rFonts w:hint="eastAsia" w:ascii="宋体" w:hAnsi="宋体" w:eastAsia="宋体" w:cs="宋体"/>
          <w:i w:val="0"/>
          <w:caps w:val="0"/>
          <w:color w:val="333333"/>
          <w:spacing w:val="0"/>
          <w:sz w:val="32"/>
          <w:szCs w:val="32"/>
          <w:shd w:val="clear" w:fill="FFFFFF"/>
        </w:rPr>
        <w:t>报告有疑问，请与上高县泗溪镇人民政府联系（地址：上高县泗溪镇园丁路6幢附6号，电话：0795-2562136，邮编：336415</w:t>
      </w:r>
      <w:r>
        <w:rPr>
          <w:rFonts w:hint="eastAsia" w:ascii="宋体" w:hAnsi="宋体" w:eastAsia="宋体" w:cs="宋体"/>
          <w:i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黑体" w:hAnsi="黑体" w:eastAsia="黑体" w:cs="黑体"/>
          <w:b/>
          <w:bCs w:val="0"/>
          <w:i w:val="0"/>
          <w:caps w:val="0"/>
          <w:color w:val="333333"/>
          <w:spacing w:val="0"/>
          <w:sz w:val="32"/>
          <w:szCs w:val="32"/>
          <w:shd w:val="clear" w:fill="FFFFFF"/>
        </w:rPr>
      </w:pPr>
      <w:r>
        <w:rPr>
          <w:rFonts w:hint="eastAsia" w:ascii="黑体" w:hAnsi="黑体" w:eastAsia="黑体" w:cs="黑体"/>
          <w:b/>
          <w:bCs w:val="0"/>
          <w:i w:val="0"/>
          <w:caps w:val="0"/>
          <w:color w:val="333333"/>
          <w:spacing w:val="0"/>
          <w:sz w:val="32"/>
          <w:szCs w:val="32"/>
          <w:shd w:val="clear" w:fill="FFFFFF"/>
          <w:lang w:eastAsia="zh-CN"/>
        </w:rPr>
        <w:t>一、</w:t>
      </w:r>
      <w:r>
        <w:rPr>
          <w:rFonts w:hint="eastAsia" w:ascii="黑体" w:hAnsi="黑体" w:eastAsia="黑体" w:cs="黑体"/>
          <w:b/>
          <w:bCs w:val="0"/>
          <w:i w:val="0"/>
          <w:caps w:val="0"/>
          <w:color w:val="333333"/>
          <w:spacing w:val="0"/>
          <w:sz w:val="32"/>
          <w:szCs w:val="32"/>
          <w:shd w:val="clear" w:fill="FFFFFF"/>
        </w:rPr>
        <w:t>总体情况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2021年，泗溪镇认真贯彻落实《国务院办公厅印发〈关于全面推进政务公开工作的意见〉实施细则的通知》（国办发〔2016〕80号）和《国务院办公厅关于印发2020年政务公开工作要点的通知》（国办发〔2020〕17号）等文件要求，强化组织建设，完善工作机制，拓宽信息公开渠道，加大重点领域信息公开，妥善处理依申请公开，加强政策解读及回应关切力度，不断创新信息公开形式、扩大公开范围、细化公开内容，进一步提升工作透明度，切实满足社会公众获取和利用政府信息的需求，持续推动打造服务型政府，促进全镇经济社会健康发展。按照“明确行政权责、优化权力运行、简化办理流程、方便群众办事”原则，公开运行流程、办事指南等信息公开力度，提高政务信息公开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（一）主动公开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2021年，泗溪镇政府按照“应公开、尽公开”的原则，主动公开各类政务信息87条，涉及规划计划、会议开放、财政预算、机构设置等多个方面。所有公开信息在规定时间内及时向社会公布，不存在信息虚假、信息出错或不完整的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（二）依申请公开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今年以来，我镇高度重视依申请公开工作，严格按照中央和省市相关法律法规和办法条例要求，做好依申请公开答复工作。明确申请接收渠道，通过政府信息公开网设依申请公开专栏，严格按照依申请公开流程规范办理，实现网上申请公开在线提交、受理。2021年，我镇未收到公开申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（三）政府信息管理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不断完善政务信息常态化管理机制，建立健全政务信息制作、公开、存档等制度，加强日常工作监督管理。严格履行保密制度，发布前履行保密审批程序，严格把关信息发布内容。提高政务信息公开实效性，做到相关信息网上及时公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楷体" w:hAnsi="楷体" w:eastAsia="楷体" w:cs="楷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（四）平台建设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根据国家及省市有关文件精神，我镇不断完善政府信息公开平台，及时调整更新政府信息公开页面设置，高质量完成更新工作，进一步丰富完善政府信息公开内容。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宋体" w:hAnsi="宋体" w:eastAsia="宋体" w:cs="宋体"/>
          <w:b/>
          <w:bCs/>
          <w:i w:val="0"/>
          <w:caps w:val="0"/>
          <w:color w:val="333333"/>
          <w:spacing w:val="0"/>
          <w:sz w:val="32"/>
          <w:szCs w:val="32"/>
          <w:shd w:val="clear" w:fill="FFFFFF"/>
          <w:lang w:eastAsia="zh-CN"/>
        </w:rPr>
      </w:pPr>
      <w:r>
        <w:rPr>
          <w:rFonts w:hint="eastAsia" w:ascii="楷体" w:hAnsi="楷体" w:eastAsia="楷体" w:cs="楷体"/>
          <w:b/>
          <w:bCs/>
          <w:i w:val="0"/>
          <w:caps w:val="0"/>
          <w:color w:val="333333"/>
          <w:spacing w:val="0"/>
          <w:sz w:val="32"/>
          <w:szCs w:val="32"/>
          <w:shd w:val="clear" w:fill="FFFFFF"/>
          <w:lang w:eastAsia="zh-CN"/>
        </w:rPr>
        <w:t>（五）监督保障</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我镇明确信息公开工作分管和具体工作人员，组织人员积极参加培训会，提高业务人员专业水平，加强与上级部门的沟通协调，推动政务公开工作进展。对照工作要求，做到日常自查与部门检查相结合，及时更新发布目录、完善发布内容，提升政务公开工作水平。</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pPr w:leftFromText="180" w:rightFromText="180" w:vertAnchor="text" w:tblpXSpec="center" w:tblpY="1"/>
        <w:tblOverlap w:val="never"/>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748"/>
        <w:gridCol w:w="1854"/>
        <w:gridCol w:w="2192"/>
        <w:gridCol w:w="2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jc w:val="center"/>
        </w:trPr>
        <w:tc>
          <w:tcPr>
            <w:tcW w:w="17220" w:type="dxa"/>
            <w:gridSpan w:val="4"/>
            <w:tcBorders>
              <w:top w:val="single" w:color="000000" w:sz="8" w:space="0"/>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3450"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36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本年制发件数</w:t>
            </w:r>
          </w:p>
        </w:tc>
        <w:tc>
          <w:tcPr>
            <w:tcW w:w="4455"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本年废止件数</w:t>
            </w:r>
          </w:p>
        </w:tc>
        <w:tc>
          <w:tcPr>
            <w:tcW w:w="5625" w:type="dxa"/>
            <w:vMerge w:val="restart"/>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jc w:val="center"/>
        </w:trPr>
        <w:tc>
          <w:tcPr>
            <w:tcW w:w="345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369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4455"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c>
          <w:tcPr>
            <w:tcW w:w="5625" w:type="dxa"/>
            <w:vMerge w:val="continue"/>
            <w:tcBorders>
              <w:top w:val="single" w:color="000000" w:sz="8" w:space="0"/>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b/>
                <w:bCs/>
                <w:i w:val="0"/>
                <w:iCs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规章</w:t>
            </w:r>
          </w:p>
        </w:tc>
        <w:tc>
          <w:tcPr>
            <w:tcW w:w="369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445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56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规范性文件</w:t>
            </w:r>
          </w:p>
        </w:tc>
        <w:tc>
          <w:tcPr>
            <w:tcW w:w="369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445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562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行政许可</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行政处罚</w:t>
            </w:r>
          </w:p>
        </w:tc>
        <w:tc>
          <w:tcPr>
            <w:tcW w:w="13770" w:type="dxa"/>
            <w:gridSpan w:val="3"/>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行政强制</w:t>
            </w:r>
          </w:p>
        </w:tc>
        <w:tc>
          <w:tcPr>
            <w:tcW w:w="1377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7220" w:type="dxa"/>
            <w:gridSpan w:val="4"/>
            <w:tcBorders>
              <w:top w:val="nil"/>
              <w:left w:val="single" w:color="000000" w:sz="8" w:space="0"/>
              <w:bottom w:val="single" w:color="000000" w:sz="8" w:space="0"/>
              <w:right w:val="single" w:color="000000" w:sz="8" w:space="0"/>
            </w:tcBorders>
            <w:shd w:val="clear" w:color="auto" w:fill="C6D9F1"/>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3450" w:type="dxa"/>
            <w:tcBorders>
              <w:top w:val="nil"/>
              <w:left w:val="single" w:color="000000" w:sz="8" w:space="0"/>
              <w:bottom w:val="single" w:color="000000" w:sz="8" w:space="0"/>
              <w:right w:val="nil"/>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信息内容</w:t>
            </w:r>
          </w:p>
        </w:tc>
        <w:tc>
          <w:tcPr>
            <w:tcW w:w="13770" w:type="dxa"/>
            <w:gridSpan w:val="3"/>
            <w:tcBorders>
              <w:top w:val="single" w:color="000000" w:sz="8" w:space="0"/>
              <w:left w:val="single" w:color="000000" w:sz="8" w:space="0"/>
              <w:bottom w:val="single" w:color="000000" w:sz="8" w:space="0"/>
              <w:right w:val="single" w:color="000000" w:sz="4"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3450" w:type="dxa"/>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b/>
                <w:bCs/>
                <w:i w:val="0"/>
                <w:iCs w:val="0"/>
                <w:color w:val="333333"/>
                <w:sz w:val="18"/>
                <w:szCs w:val="18"/>
                <w:u w:val="none"/>
              </w:rPr>
            </w:pPr>
            <w:r>
              <w:rPr>
                <w:rFonts w:hint="eastAsia" w:ascii="宋体" w:hAnsi="宋体" w:eastAsia="宋体" w:cs="宋体"/>
                <w:b/>
                <w:bCs/>
                <w:i w:val="0"/>
                <w:iCs w:val="0"/>
                <w:color w:val="333333"/>
                <w:kern w:val="0"/>
                <w:sz w:val="18"/>
                <w:szCs w:val="18"/>
                <w:u w:val="none"/>
                <w:bdr w:val="none" w:color="auto" w:sz="0" w:space="0"/>
                <w:lang w:val="en-US" w:eastAsia="zh-CN" w:bidi="ar"/>
              </w:rPr>
              <w:t>行政事业性收费</w:t>
            </w:r>
          </w:p>
        </w:tc>
        <w:tc>
          <w:tcPr>
            <w:tcW w:w="13770" w:type="dxa"/>
            <w:gridSpan w:val="3"/>
            <w:tcBorders>
              <w:top w:val="nil"/>
              <w:left w:val="nil"/>
              <w:bottom w:val="single" w:color="000000" w:sz="8" w:space="0"/>
              <w:right w:val="single" w:color="000000" w:sz="8" w:space="0"/>
            </w:tcBorders>
            <w:shd w:val="clear" w:color="auto" w:fill="DAEEF3"/>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bl>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lang w:eastAsia="zh-CN"/>
        </w:rPr>
      </w:pP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W w:w="85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16"/>
        <w:gridCol w:w="1152"/>
        <w:gridCol w:w="1410"/>
        <w:gridCol w:w="699"/>
        <w:gridCol w:w="692"/>
        <w:gridCol w:w="713"/>
        <w:gridCol w:w="795"/>
        <w:gridCol w:w="801"/>
        <w:gridCol w:w="713"/>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0" w:hRule="atLeast"/>
          <w:jc w:val="center"/>
        </w:trPr>
        <w:tc>
          <w:tcPr>
            <w:tcW w:w="5055" w:type="dxa"/>
            <w:gridSpan w:val="3"/>
            <w:vMerge w:val="restart"/>
            <w:tcBorders>
              <w:top w:val="single" w:color="000000" w:sz="8" w:space="0"/>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bdr w:val="none" w:color="auto" w:sz="0" w:space="0"/>
                <w:lang w:val="en-US" w:eastAsia="zh-CN" w:bidi="ar"/>
              </w:rPr>
              <w:t>（本列数据的勾稽关系为：第一项加第二项之和，等于第三项加第四项之和）</w:t>
            </w:r>
          </w:p>
        </w:tc>
        <w:tc>
          <w:tcPr>
            <w:tcW w:w="7860" w:type="dxa"/>
            <w:gridSpan w:val="7"/>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jc w:val="center"/>
        </w:trPr>
        <w:tc>
          <w:tcPr>
            <w:tcW w:w="5055"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105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自然人</w:t>
            </w:r>
          </w:p>
        </w:tc>
        <w:tc>
          <w:tcPr>
            <w:tcW w:w="5730" w:type="dxa"/>
            <w:gridSpan w:val="5"/>
            <w:tcBorders>
              <w:top w:val="single" w:color="000000" w:sz="8" w:space="0"/>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法人或其他组织</w:t>
            </w:r>
          </w:p>
        </w:tc>
        <w:tc>
          <w:tcPr>
            <w:tcW w:w="108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5055" w:type="dxa"/>
            <w:gridSpan w:val="3"/>
            <w:vMerge w:val="continue"/>
            <w:tcBorders>
              <w:top w:val="single" w:color="000000" w:sz="8" w:space="0"/>
              <w:left w:val="single" w:color="000000" w:sz="8" w:space="0"/>
              <w:bottom w:val="single" w:color="000000" w:sz="8" w:space="0"/>
              <w:right w:val="single" w:color="000000" w:sz="8" w:space="0"/>
            </w:tcBorders>
            <w:shd w:val="clear" w:color="auto" w:fill="E6F4FF"/>
            <w:vAlign w:val="center"/>
          </w:tcPr>
          <w:p>
            <w:pPr>
              <w:rPr>
                <w:rFonts w:hint="eastAsia" w:ascii="宋体" w:hAnsi="宋体" w:eastAsia="宋体" w:cs="宋体"/>
                <w:i w:val="0"/>
                <w:iCs w:val="0"/>
                <w:color w:val="333333"/>
                <w:sz w:val="18"/>
                <w:szCs w:val="18"/>
                <w:u w:val="none"/>
              </w:rPr>
            </w:pPr>
          </w:p>
        </w:tc>
        <w:tc>
          <w:tcPr>
            <w:tcW w:w="105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商业企业</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科研机构</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社会公益组织</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法律服务机构</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其他</w:t>
            </w:r>
          </w:p>
        </w:tc>
        <w:tc>
          <w:tcPr>
            <w:tcW w:w="108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5055"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一、本年新收政府信息公开申请数量</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5055"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二、上年结转政府信息公开申请数量</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5"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三、本年度办理结果</w:t>
            </w:r>
          </w:p>
        </w:tc>
        <w:tc>
          <w:tcPr>
            <w:tcW w:w="3975"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（一）予以公开</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75"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3975"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（二）部分公开（区分处理的，只计这一情形，不计其他情形）</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（三）不予公开</w:t>
            </w: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1.属于国家秘密</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2.其他法律行政法规禁止公开</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3.危及“三安全一稳定”</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4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4.保护第三方合法权益</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5.属于三类内部事务信息</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6.属于四类过程性信息</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7.属于行政执法案卷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仿宋" w:hAnsi="仿宋" w:eastAsia="仿宋" w:cs="仿宋"/>
                <w:i w:val="0"/>
                <w:iCs w:val="0"/>
                <w:color w:val="333333"/>
                <w:sz w:val="19"/>
                <w:szCs w:val="19"/>
                <w:u w:val="none"/>
              </w:rPr>
            </w:pPr>
            <w:r>
              <w:rPr>
                <w:rFonts w:hint="eastAsia" w:ascii="仿宋" w:hAnsi="仿宋" w:eastAsia="仿宋" w:cs="仿宋"/>
                <w:i w:val="0"/>
                <w:iCs w:val="0"/>
                <w:color w:val="333333"/>
                <w:kern w:val="0"/>
                <w:sz w:val="19"/>
                <w:szCs w:val="19"/>
                <w:u w:val="none"/>
                <w:bdr w:val="none" w:color="auto" w:sz="0" w:space="0"/>
                <w:lang w:val="en-US" w:eastAsia="zh-CN" w:bidi="ar"/>
              </w:rPr>
              <w:t>8.属于行政查询事项</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（四）无法提供</w:t>
            </w: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1.本机关不掌握相关政府信息</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2.没有现成信息需要另行制作</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3.补正后申请内容仍不明确</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（五）不予处理</w:t>
            </w: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1.信访举报投诉类申请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2.重复申请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3.要求提供公开出版物</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4.无正当理由大量反复申请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5.要求行政机关确认或重新出具已获取信息</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6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restart"/>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（六）其他处理</w:t>
            </w: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1.申请人无正当理由逾期不补正、行政机关不再处理其政府信息公开申请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1590" w:type="dxa"/>
            <w:vMerge w:val="continue"/>
            <w:tcBorders>
              <w:top w:val="nil"/>
              <w:left w:val="nil"/>
              <w:bottom w:val="single" w:color="000000" w:sz="8" w:space="0"/>
              <w:right w:val="single" w:color="000000" w:sz="8" w:space="0"/>
            </w:tcBorders>
            <w:shd w:val="clear" w:color="auto" w:fill="E6F4FF"/>
            <w:vAlign w:val="center"/>
          </w:tcPr>
          <w:p>
            <w:pPr>
              <w:jc w:val="center"/>
              <w:rPr>
                <w:rFonts w:hint="eastAsia" w:ascii="楷体" w:hAnsi="楷体" w:eastAsia="楷体" w:cs="楷体"/>
                <w:i w:val="0"/>
                <w:iCs w:val="0"/>
                <w:color w:val="333333"/>
                <w:sz w:val="19"/>
                <w:szCs w:val="19"/>
                <w:u w:val="none"/>
              </w:rPr>
            </w:pPr>
          </w:p>
        </w:tc>
        <w:tc>
          <w:tcPr>
            <w:tcW w:w="238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2.申请人逾期未按收费通知要求缴纳费用、行政机关不再处理其政府信息公开申请</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E6F4FF"/>
            <w:vAlign w:val="center"/>
          </w:tcPr>
          <w:p>
            <w:pPr>
              <w:jc w:val="center"/>
              <w:rPr>
                <w:rFonts w:hint="eastAsia" w:ascii="宋体" w:hAnsi="宋体" w:eastAsia="宋体" w:cs="宋体"/>
                <w:i w:val="0"/>
                <w:iCs w:val="0"/>
                <w:color w:val="333333"/>
                <w:sz w:val="19"/>
                <w:szCs w:val="19"/>
                <w:u w:val="none"/>
              </w:rPr>
            </w:pPr>
          </w:p>
        </w:tc>
        <w:tc>
          <w:tcPr>
            <w:tcW w:w="3975" w:type="dxa"/>
            <w:gridSpan w:val="2"/>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楷体" w:hAnsi="楷体" w:eastAsia="楷体" w:cs="楷体"/>
                <w:i w:val="0"/>
                <w:iCs w:val="0"/>
                <w:color w:val="333333"/>
                <w:sz w:val="19"/>
                <w:szCs w:val="19"/>
                <w:u w:val="none"/>
              </w:rPr>
            </w:pPr>
            <w:r>
              <w:rPr>
                <w:rFonts w:hint="eastAsia" w:ascii="楷体" w:hAnsi="楷体" w:eastAsia="楷体" w:cs="楷体"/>
                <w:i w:val="0"/>
                <w:iCs w:val="0"/>
                <w:color w:val="333333"/>
                <w:kern w:val="0"/>
                <w:sz w:val="19"/>
                <w:szCs w:val="19"/>
                <w:u w:val="none"/>
                <w:bdr w:val="none" w:color="auto" w:sz="0" w:space="0"/>
                <w:lang w:val="en-US" w:eastAsia="zh-CN" w:bidi="ar"/>
              </w:rPr>
              <w:t>（七）总计</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5055" w:type="dxa"/>
            <w:gridSpan w:val="3"/>
            <w:tcBorders>
              <w:top w:val="nil"/>
              <w:left w:val="single" w:color="000000" w:sz="8" w:space="0"/>
              <w:bottom w:val="single" w:color="000000" w:sz="8" w:space="0"/>
              <w:right w:val="single" w:color="000000" w:sz="8" w:space="0"/>
            </w:tcBorders>
            <w:shd w:val="clear" w:color="auto" w:fill="E6F4FF"/>
            <w:vAlign w:val="center"/>
          </w:tcPr>
          <w:p>
            <w:pPr>
              <w:keepNext w:val="0"/>
              <w:keepLines w:val="0"/>
              <w:widowControl/>
              <w:suppressLineNumbers w:val="0"/>
              <w:jc w:val="left"/>
              <w:textAlignment w:val="center"/>
              <w:rPr>
                <w:rFonts w:hint="eastAsia" w:ascii="宋体" w:hAnsi="宋体" w:eastAsia="宋体" w:cs="宋体"/>
                <w:i w:val="0"/>
                <w:iCs w:val="0"/>
                <w:color w:val="333333"/>
                <w:sz w:val="19"/>
                <w:szCs w:val="19"/>
                <w:u w:val="none"/>
              </w:rPr>
            </w:pPr>
            <w:r>
              <w:rPr>
                <w:rFonts w:hint="eastAsia" w:ascii="宋体" w:hAnsi="宋体" w:eastAsia="宋体" w:cs="宋体"/>
                <w:i w:val="0"/>
                <w:iCs w:val="0"/>
                <w:color w:val="333333"/>
                <w:kern w:val="0"/>
                <w:sz w:val="19"/>
                <w:szCs w:val="19"/>
                <w:u w:val="none"/>
                <w:bdr w:val="none" w:color="auto" w:sz="0" w:space="0"/>
                <w:lang w:val="en-US" w:eastAsia="zh-CN" w:bidi="ar"/>
              </w:rPr>
              <w:t>四、结转下年度继续办理</w:t>
            </w:r>
          </w:p>
        </w:tc>
        <w:tc>
          <w:tcPr>
            <w:tcW w:w="105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3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6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275"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c>
          <w:tcPr>
            <w:tcW w:w="1080" w:type="dxa"/>
            <w:tcBorders>
              <w:top w:val="nil"/>
              <w:left w:val="nil"/>
              <w:bottom w:val="single" w:color="000000" w:sz="8" w:space="0"/>
              <w:right w:val="single" w:color="000000" w:sz="8" w:space="0"/>
            </w:tcBorders>
            <w:shd w:val="clear" w:color="auto" w:fill="E6F4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0</w:t>
            </w:r>
          </w:p>
        </w:tc>
      </w:tr>
    </w:tbl>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lang w:eastAsia="zh-CN"/>
        </w:rPr>
      </w:pPr>
    </w:p>
    <w:p>
      <w:pPr>
        <w:pageBreakBefore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p>
      <w:pPr>
        <w:pStyle w:val="2"/>
        <w:rPr>
          <w:rFonts w:hint="eastAsia"/>
        </w:rPr>
      </w:pPr>
    </w:p>
    <w:tbl>
      <w:tblPr>
        <w:tblStyle w:val="4"/>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bookmarkStart w:id="0" w:name="_GoBack"/>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其他</w:t>
            </w:r>
          </w:p>
          <w:p>
            <w:pPr>
              <w:widowControl/>
              <w:jc w:val="center"/>
              <w:rPr>
                <w:rFonts w:ascii="宋体" w:hAnsi="宋体" w:cs="宋体"/>
                <w:kern w:val="0"/>
                <w:sz w:val="24"/>
                <w:szCs w:val="24"/>
              </w:rPr>
            </w:pP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结果</w:t>
            </w:r>
          </w:p>
          <w:p>
            <w:pPr>
              <w:widowControl/>
              <w:jc w:val="center"/>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其他</w:t>
            </w:r>
          </w:p>
          <w:p>
            <w:pPr>
              <w:widowControl/>
              <w:jc w:val="center"/>
              <w:rPr>
                <w:rFonts w:ascii="宋体" w:hAnsi="宋体" w:cs="宋体"/>
                <w:kern w:val="0"/>
                <w:sz w:val="24"/>
                <w:szCs w:val="24"/>
              </w:rPr>
            </w:pP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lang w:eastAsia="zh-CN"/>
              </w:rPr>
            </w:pPr>
            <w:r>
              <w:rPr>
                <w:rFonts w:hint="eastAsia" w:ascii="宋体" w:hAnsi="宋体" w:cs="宋体"/>
                <w:kern w:val="0"/>
                <w:sz w:val="20"/>
              </w:rPr>
              <w:t>尚未</w:t>
            </w:r>
          </w:p>
          <w:p>
            <w:pPr>
              <w:widowControl/>
              <w:jc w:val="center"/>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Calibri" w:hAnsi="Calibri" w:cs="Calibri"/>
                <w:kern w:val="0"/>
                <w:sz w:val="20"/>
                <w:lang w:val="en-US" w:eastAsia="zh-CN"/>
              </w:rPr>
              <w:t>0</w:t>
            </w:r>
          </w:p>
        </w:tc>
      </w:tr>
      <w:bookmarkEnd w:id="0"/>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2021年，尽管我镇在政务公开方面做了大量工作，取得了一定成效，但与上级要求和人民群众的期待相比，存在政务公开形式单一、内容不够丰富等问题，针对以上存在的问题，我们将进一步采取有效措施，加大工作力度，推动政府信息公开工作再上新台阶：一是提高思想认识。把政务公开作为落实“放管服”改革、建设服务型政府的一项重要内容，切实抓好各项政务信息的公开。二是落实工作责任。建立健全工作机制，层层落实目标责任，确保政务信息公开的及时性、准确性和有效性，做到工作有计划、有安排，及时发布更新政务平台栏目相关信息。三是扩大信息公开范围。积极做好面向公众的宣传工作，做好对上级各种文件和会议精神的及时传达学习，紧跟工作变化，吃透对政务公开相关工作的要求，提高信息服务的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宋体" w:hAnsi="宋体" w:eastAsia="宋体" w:cs="宋体"/>
          <w:i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无其他需要报告的事项。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eastAsia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768BF"/>
    <w:rsid w:val="048101D8"/>
    <w:rsid w:val="066025F6"/>
    <w:rsid w:val="072F4BA5"/>
    <w:rsid w:val="07BB49BF"/>
    <w:rsid w:val="0D456E70"/>
    <w:rsid w:val="0F42566A"/>
    <w:rsid w:val="0FE32618"/>
    <w:rsid w:val="10A56227"/>
    <w:rsid w:val="1450662C"/>
    <w:rsid w:val="14C60841"/>
    <w:rsid w:val="16E72E19"/>
    <w:rsid w:val="17534F7D"/>
    <w:rsid w:val="1B931963"/>
    <w:rsid w:val="1B9B331B"/>
    <w:rsid w:val="23B06487"/>
    <w:rsid w:val="2480713E"/>
    <w:rsid w:val="26CE6504"/>
    <w:rsid w:val="2DAB3047"/>
    <w:rsid w:val="318E6F64"/>
    <w:rsid w:val="345F6662"/>
    <w:rsid w:val="39B36D6C"/>
    <w:rsid w:val="412E5B12"/>
    <w:rsid w:val="4D727CC8"/>
    <w:rsid w:val="4DCD7BED"/>
    <w:rsid w:val="518B34FD"/>
    <w:rsid w:val="519D4381"/>
    <w:rsid w:val="566E50F8"/>
    <w:rsid w:val="56857A37"/>
    <w:rsid w:val="590E3F00"/>
    <w:rsid w:val="5FCE6A83"/>
    <w:rsid w:val="62703247"/>
    <w:rsid w:val="62DA32D5"/>
    <w:rsid w:val="6499355D"/>
    <w:rsid w:val="6A8D197D"/>
    <w:rsid w:val="6B6B5FFF"/>
    <w:rsid w:val="6EB526D3"/>
    <w:rsid w:val="6EC41F3F"/>
    <w:rsid w:val="6FBA69D9"/>
    <w:rsid w:val="72FE7DEF"/>
    <w:rsid w:val="74AC4493"/>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5C5C5C"/>
      <w:u w:val="none"/>
    </w:rPr>
  </w:style>
  <w:style w:type="character" w:styleId="8">
    <w:name w:val="Emphasis"/>
    <w:basedOn w:val="5"/>
    <w:qFormat/>
    <w:uiPriority w:val="0"/>
    <w:rPr>
      <w:b/>
    </w:rPr>
  </w:style>
  <w:style w:type="character" w:styleId="9">
    <w:name w:val="HTML Definition"/>
    <w:basedOn w:val="5"/>
    <w:qFormat/>
    <w:uiPriority w:val="0"/>
  </w:style>
  <w:style w:type="character" w:styleId="10">
    <w:name w:val="HTML Typewriter"/>
    <w:basedOn w:val="5"/>
    <w:qFormat/>
    <w:uiPriority w:val="0"/>
    <w:rPr>
      <w:rFonts w:ascii="monospace" w:hAnsi="monospace" w:eastAsia="monospace" w:cs="monospace"/>
      <w:sz w:val="20"/>
    </w:rPr>
  </w:style>
  <w:style w:type="character" w:styleId="11">
    <w:name w:val="HTML Acronym"/>
    <w:basedOn w:val="5"/>
    <w:qFormat/>
    <w:uiPriority w:val="0"/>
  </w:style>
  <w:style w:type="character" w:styleId="12">
    <w:name w:val="HTML Variable"/>
    <w:basedOn w:val="5"/>
    <w:qFormat/>
    <w:uiPriority w:val="0"/>
  </w:style>
  <w:style w:type="character" w:styleId="13">
    <w:name w:val="Hyperlink"/>
    <w:basedOn w:val="5"/>
    <w:qFormat/>
    <w:uiPriority w:val="0"/>
    <w:rPr>
      <w:color w:val="5C5C5C"/>
      <w:u w:val="none"/>
    </w:rPr>
  </w:style>
  <w:style w:type="character" w:styleId="14">
    <w:name w:val="HTML Code"/>
    <w:basedOn w:val="5"/>
    <w:qFormat/>
    <w:uiPriority w:val="0"/>
    <w:rPr>
      <w:rFonts w:hint="default" w:ascii="monospace" w:hAnsi="monospace" w:eastAsia="monospace" w:cs="monospace"/>
      <w:sz w:val="20"/>
    </w:rPr>
  </w:style>
  <w:style w:type="character" w:styleId="15">
    <w:name w:val="HTML Cite"/>
    <w:basedOn w:val="5"/>
    <w:qFormat/>
    <w:uiPriority w:val="0"/>
  </w:style>
  <w:style w:type="character" w:styleId="16">
    <w:name w:val="HTML Keyboard"/>
    <w:basedOn w:val="5"/>
    <w:qFormat/>
    <w:uiPriority w:val="0"/>
    <w:rPr>
      <w:rFonts w:hint="default" w:ascii="monospace" w:hAnsi="monospace" w:eastAsia="monospace" w:cs="monospace"/>
      <w:sz w:val="20"/>
    </w:rPr>
  </w:style>
  <w:style w:type="character" w:styleId="17">
    <w:name w:val="HTML Sample"/>
    <w:basedOn w:val="5"/>
    <w:qFormat/>
    <w:uiPriority w:val="0"/>
    <w:rPr>
      <w:rFonts w:hint="default" w:ascii="monospace" w:hAnsi="monospace" w:eastAsia="monospace" w:cs="monospace"/>
    </w:rPr>
  </w:style>
  <w:style w:type="character" w:customStyle="1" w:styleId="18">
    <w:name w:val="hover"/>
    <w:basedOn w:val="5"/>
    <w:qFormat/>
    <w:uiPriority w:val="0"/>
    <w:rPr>
      <w:color w:val="2590EB"/>
    </w:rPr>
  </w:style>
  <w:style w:type="character" w:customStyle="1" w:styleId="19">
    <w:name w:val="hover1"/>
    <w:basedOn w:val="5"/>
    <w:qFormat/>
    <w:uiPriority w:val="0"/>
    <w:rPr>
      <w:color w:val="2590EB"/>
    </w:rPr>
  </w:style>
  <w:style w:type="character" w:customStyle="1" w:styleId="20">
    <w:name w:val="hover2"/>
    <w:basedOn w:val="5"/>
    <w:qFormat/>
    <w:uiPriority w:val="0"/>
  </w:style>
  <w:style w:type="character" w:customStyle="1" w:styleId="21">
    <w:name w:val="hover3"/>
    <w:basedOn w:val="5"/>
    <w:qFormat/>
    <w:uiPriority w:val="0"/>
    <w:rPr>
      <w:color w:val="2590EB"/>
      <w:shd w:val="clear" w:fill="E9F4F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2022-02-22T03:13:28Z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92A03945C02B41C59DC63A8CA5830090</vt:lpwstr>
  </property>
</Properties>
</file>