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上高县交通运输局2022年政府信息</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pPr>
      <w:r>
        <w:rPr>
          <w:rFonts w:ascii="仿宋_GB2312" w:hAnsi="Times New Roman" w:eastAsia="仿宋_GB2312" w:cs="仿宋_GB2312"/>
          <w:color w:val="000000"/>
          <w:kern w:val="32"/>
          <w:sz w:val="32"/>
          <w:szCs w:val="32"/>
          <w:shd w:val="clear" w:fill="FFFFFF"/>
        </w:rPr>
        <w:t>本报告</w:t>
      </w:r>
      <w:r>
        <w:rPr>
          <w:rFonts w:hint="default" w:ascii="仿宋_GB2312" w:hAnsi="Times New Roman" w:eastAsia="仿宋_GB2312" w:cs="仿宋_GB2312"/>
          <w:color w:val="000000"/>
          <w:kern w:val="32"/>
          <w:sz w:val="32"/>
          <w:szCs w:val="32"/>
          <w:shd w:val="clear" w:fill="FFFFFF"/>
        </w:rPr>
        <w:t>根据《中华人民共和国政府信息公开条例》（以下简称《条例》）和《国务院办公厅关于印发政府网站发展指引的通知》、国务院办公厅政府信息与政务公开办公室国办公开办函〔</w:t>
      </w:r>
      <w:r>
        <w:rPr>
          <w:rFonts w:hint="default" w:ascii="Times New Roman" w:hAnsi="Times New Roman" w:eastAsia="仿宋_GB2312" w:cs="Times New Roman"/>
          <w:color w:val="000000"/>
          <w:kern w:val="32"/>
          <w:sz w:val="32"/>
          <w:szCs w:val="32"/>
          <w:shd w:val="clear" w:fill="FFFFFF"/>
        </w:rPr>
        <w:t>2021</w:t>
      </w:r>
      <w:r>
        <w:rPr>
          <w:rFonts w:hint="default" w:ascii="仿宋_GB2312" w:hAnsi="Times New Roman" w:eastAsia="仿宋_GB2312" w:cs="仿宋_GB2312"/>
          <w:color w:val="000000"/>
          <w:kern w:val="32"/>
          <w:sz w:val="32"/>
          <w:szCs w:val="32"/>
          <w:shd w:val="clear" w:fill="FFFFFF"/>
        </w:rPr>
        <w:t>〕</w:t>
      </w:r>
      <w:r>
        <w:rPr>
          <w:rFonts w:hint="default" w:ascii="Times New Roman" w:hAnsi="Times New Roman" w:eastAsia="仿宋_GB2312" w:cs="Times New Roman"/>
          <w:color w:val="000000"/>
          <w:kern w:val="32"/>
          <w:sz w:val="32"/>
          <w:szCs w:val="32"/>
          <w:shd w:val="clear" w:fill="FFFFFF"/>
        </w:rPr>
        <w:t>30</w:t>
      </w:r>
      <w:r>
        <w:rPr>
          <w:rFonts w:hint="default" w:ascii="仿宋_GB2312" w:hAnsi="Times New Roman" w:eastAsia="仿宋_GB2312" w:cs="仿宋_GB2312"/>
          <w:color w:val="000000"/>
          <w:kern w:val="32"/>
          <w:sz w:val="32"/>
          <w:szCs w:val="32"/>
          <w:shd w:val="clear" w:fill="FFFFFF"/>
        </w:rPr>
        <w:t>号等文件要求编制本报告。报告中所列数据统计期限从</w:t>
      </w:r>
      <w:r>
        <w:rPr>
          <w:rFonts w:hint="default" w:ascii="Times New Roman" w:hAnsi="Times New Roman" w:eastAsia="仿宋_GB2312" w:cs="Times New Roman"/>
          <w:color w:val="000000"/>
          <w:kern w:val="32"/>
          <w:sz w:val="32"/>
          <w:szCs w:val="32"/>
          <w:shd w:val="clear" w:fill="FFFFFF"/>
        </w:rPr>
        <w:t>2022</w:t>
      </w:r>
      <w:r>
        <w:rPr>
          <w:rFonts w:hint="default" w:ascii="仿宋_GB2312" w:hAnsi="Times New Roman" w:eastAsia="仿宋_GB2312" w:cs="仿宋_GB2312"/>
          <w:color w:val="000000"/>
          <w:kern w:val="32"/>
          <w:sz w:val="32"/>
          <w:szCs w:val="32"/>
          <w:shd w:val="clear" w:fill="FFFFFF"/>
        </w:rPr>
        <w:t>年</w:t>
      </w:r>
      <w:r>
        <w:rPr>
          <w:rFonts w:hint="default" w:ascii="Times New Roman" w:hAnsi="Times New Roman" w:eastAsia="仿宋_GB2312" w:cs="Times New Roman"/>
          <w:color w:val="000000"/>
          <w:kern w:val="32"/>
          <w:sz w:val="32"/>
          <w:szCs w:val="32"/>
          <w:shd w:val="clear" w:fill="FFFFFF"/>
        </w:rPr>
        <w:t>1</w:t>
      </w:r>
      <w:r>
        <w:rPr>
          <w:rFonts w:hint="default" w:ascii="仿宋_GB2312" w:hAnsi="Times New Roman" w:eastAsia="仿宋_GB2312" w:cs="仿宋_GB2312"/>
          <w:color w:val="000000"/>
          <w:kern w:val="32"/>
          <w:sz w:val="32"/>
          <w:szCs w:val="32"/>
          <w:shd w:val="clear" w:fill="FFFFFF"/>
        </w:rPr>
        <w:t>月</w:t>
      </w:r>
      <w:r>
        <w:rPr>
          <w:rFonts w:hint="default" w:ascii="Times New Roman" w:hAnsi="Times New Roman" w:eastAsia="仿宋_GB2312" w:cs="Times New Roman"/>
          <w:color w:val="000000"/>
          <w:kern w:val="32"/>
          <w:sz w:val="32"/>
          <w:szCs w:val="32"/>
          <w:shd w:val="clear" w:fill="FFFFFF"/>
        </w:rPr>
        <w:t>1</w:t>
      </w:r>
      <w:r>
        <w:rPr>
          <w:rFonts w:hint="default" w:ascii="仿宋_GB2312" w:hAnsi="Times New Roman" w:eastAsia="仿宋_GB2312" w:cs="仿宋_GB2312"/>
          <w:color w:val="000000"/>
          <w:kern w:val="32"/>
          <w:sz w:val="32"/>
          <w:szCs w:val="32"/>
          <w:shd w:val="clear" w:fill="FFFFFF"/>
        </w:rPr>
        <w:t>日到</w:t>
      </w:r>
      <w:r>
        <w:rPr>
          <w:rFonts w:hint="default" w:ascii="Times New Roman" w:hAnsi="Times New Roman" w:eastAsia="仿宋_GB2312" w:cs="Times New Roman"/>
          <w:color w:val="000000"/>
          <w:kern w:val="32"/>
          <w:sz w:val="32"/>
          <w:szCs w:val="32"/>
          <w:shd w:val="clear" w:fill="FFFFFF"/>
        </w:rPr>
        <w:t>2022</w:t>
      </w:r>
      <w:r>
        <w:rPr>
          <w:rFonts w:hint="default" w:ascii="仿宋_GB2312" w:hAnsi="Times New Roman" w:eastAsia="仿宋_GB2312" w:cs="仿宋_GB2312"/>
          <w:color w:val="000000"/>
          <w:kern w:val="32"/>
          <w:sz w:val="32"/>
          <w:szCs w:val="32"/>
          <w:shd w:val="clear" w:fill="FFFFFF"/>
        </w:rPr>
        <w:t>年</w:t>
      </w:r>
      <w:r>
        <w:rPr>
          <w:rFonts w:hint="default" w:ascii="Times New Roman" w:hAnsi="Times New Roman" w:eastAsia="仿宋_GB2312" w:cs="Times New Roman"/>
          <w:color w:val="000000"/>
          <w:kern w:val="32"/>
          <w:sz w:val="32"/>
          <w:szCs w:val="32"/>
          <w:shd w:val="clear" w:fill="FFFFFF"/>
        </w:rPr>
        <w:t>12</w:t>
      </w:r>
      <w:r>
        <w:rPr>
          <w:rFonts w:hint="default" w:ascii="仿宋_GB2312" w:hAnsi="Times New Roman" w:eastAsia="仿宋_GB2312" w:cs="仿宋_GB2312"/>
          <w:color w:val="000000"/>
          <w:kern w:val="32"/>
          <w:sz w:val="32"/>
          <w:szCs w:val="32"/>
          <w:shd w:val="clear" w:fill="FFFFFF"/>
        </w:rPr>
        <w:t>月</w:t>
      </w:r>
      <w:r>
        <w:rPr>
          <w:rFonts w:hint="default" w:ascii="Times New Roman" w:hAnsi="Times New Roman" w:eastAsia="仿宋_GB2312" w:cs="Times New Roman"/>
          <w:color w:val="000000"/>
          <w:kern w:val="32"/>
          <w:sz w:val="32"/>
          <w:szCs w:val="32"/>
          <w:shd w:val="clear" w:fill="FFFFFF"/>
        </w:rPr>
        <w:t>31</w:t>
      </w:r>
      <w:r>
        <w:rPr>
          <w:rFonts w:hint="default" w:ascii="仿宋_GB2312" w:hAnsi="Times New Roman" w:eastAsia="仿宋_GB2312" w:cs="仿宋_GB2312"/>
          <w:color w:val="000000"/>
          <w:kern w:val="32"/>
          <w:sz w:val="32"/>
          <w:szCs w:val="32"/>
          <w:shd w:val="clear" w:fill="FFFFFF"/>
        </w:rPr>
        <w:t>日止。本年度报告的电子版可以从上高县人民政府网站下载。如对本报告有任何疑问，请与上高县交通运输局联系（地址：青莲路</w:t>
      </w:r>
      <w:r>
        <w:rPr>
          <w:rFonts w:hint="default" w:ascii="Times New Roman" w:hAnsi="Times New Roman" w:eastAsia="仿宋_GB2312" w:cs="Times New Roman"/>
          <w:color w:val="000000"/>
          <w:kern w:val="32"/>
          <w:sz w:val="32"/>
          <w:szCs w:val="32"/>
          <w:shd w:val="clear" w:fill="FFFFFF"/>
        </w:rPr>
        <w:t>9</w:t>
      </w:r>
      <w:r>
        <w:rPr>
          <w:rFonts w:hint="default" w:ascii="仿宋_GB2312" w:hAnsi="Times New Roman" w:eastAsia="仿宋_GB2312" w:cs="仿宋_GB2312"/>
          <w:color w:val="000000"/>
          <w:kern w:val="32"/>
          <w:sz w:val="32"/>
          <w:szCs w:val="32"/>
          <w:shd w:val="clear" w:fill="FFFFFF"/>
        </w:rPr>
        <w:t>号</w:t>
      </w:r>
      <w:r>
        <w:rPr>
          <w:rFonts w:hint="default" w:ascii="Times New Roman" w:hAnsi="Times New Roman" w:eastAsia="仿宋_GB2312" w:cs="Times New Roman"/>
          <w:color w:val="000000"/>
          <w:kern w:val="32"/>
          <w:sz w:val="32"/>
          <w:szCs w:val="32"/>
          <w:shd w:val="clear" w:fill="FFFFFF"/>
        </w:rPr>
        <w:t>829</w:t>
      </w:r>
      <w:r>
        <w:rPr>
          <w:rFonts w:hint="default" w:ascii="仿宋_GB2312" w:hAnsi="Times New Roman" w:eastAsia="仿宋_GB2312" w:cs="仿宋_GB2312"/>
          <w:color w:val="000000"/>
          <w:kern w:val="32"/>
          <w:sz w:val="32"/>
          <w:szCs w:val="32"/>
          <w:shd w:val="clear" w:fill="FFFFFF"/>
        </w:rPr>
        <w:t>室，电话：</w:t>
      </w:r>
      <w:r>
        <w:rPr>
          <w:rFonts w:hint="default" w:ascii="Times New Roman" w:hAnsi="Times New Roman" w:eastAsia="仿宋_GB2312" w:cs="Times New Roman"/>
          <w:color w:val="000000"/>
          <w:kern w:val="32"/>
          <w:sz w:val="32"/>
          <w:szCs w:val="32"/>
          <w:shd w:val="clear" w:fill="FFFFFF"/>
        </w:rPr>
        <w:t>2507095</w:t>
      </w:r>
      <w:r>
        <w:rPr>
          <w:rFonts w:hint="default" w:ascii="仿宋_GB2312" w:hAnsi="Times New Roman" w:eastAsia="仿宋_GB2312" w:cs="仿宋_GB2312"/>
          <w:color w:val="000000"/>
          <w:kern w:val="32"/>
          <w:sz w:val="32"/>
          <w:szCs w:val="32"/>
          <w:shd w:val="clear" w:fill="FFFFFF"/>
        </w:rPr>
        <w:t>，邮编：</w:t>
      </w:r>
      <w:r>
        <w:rPr>
          <w:rFonts w:hint="default" w:ascii="Times New Roman" w:hAnsi="Times New Roman" w:eastAsia="仿宋_GB2312" w:cs="Times New Roman"/>
          <w:color w:val="000000"/>
          <w:kern w:val="32"/>
          <w:sz w:val="32"/>
          <w:szCs w:val="32"/>
          <w:shd w:val="clear" w:fill="FFFFFF"/>
        </w:rPr>
        <w:t>336400</w:t>
      </w:r>
      <w:r>
        <w:rPr>
          <w:rFonts w:hint="default" w:ascii="仿宋_GB2312" w:hAnsi="Times New Roman" w:eastAsia="仿宋_GB2312" w:cs="仿宋_GB2312"/>
          <w:color w:val="000000"/>
          <w:kern w:val="32"/>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ascii="黑体" w:hAnsi="宋体" w:eastAsia="黑体" w:cs="黑体"/>
          <w:bCs/>
          <w:color w:val="000000"/>
          <w:kern w:val="32"/>
          <w:sz w:val="32"/>
          <w:szCs w:val="32"/>
          <w:shd w:val="clear" w:fill="FFFFFF"/>
        </w:rPr>
        <w:t>    一、总体情况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eastAsia="仿宋_GB2312" w:cs="Times New Roman"/>
          <w:color w:val="000000"/>
          <w:kern w:val="32"/>
          <w:sz w:val="32"/>
          <w:szCs w:val="32"/>
          <w:shd w:val="clear" w:fill="FFFFFF"/>
        </w:rPr>
        <w:t>    2022</w:t>
      </w:r>
      <w:r>
        <w:rPr>
          <w:rFonts w:hint="default" w:ascii="仿宋_GB2312" w:hAnsi="Times New Roman" w:eastAsia="仿宋_GB2312" w:cs="仿宋_GB2312"/>
          <w:color w:val="000000"/>
          <w:kern w:val="32"/>
          <w:sz w:val="32"/>
          <w:szCs w:val="32"/>
          <w:shd w:val="clear" w:fill="FFFFFF"/>
        </w:rPr>
        <w:t>年，上高县交通运输局认真贯彻落实省、市、县关于政府信息公开的工作部署，建立健全政府信息公开工作体系，完善运行和保障机制，坚持把公开透明作为信息公开工作的基本制度，立足行业实际，推进信息公开，提升服务水平，切实保障公众的知情权、参与权、监督权，努力为广大人民群众生产生活提供优质的信息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ascii="楷体_GB2312" w:eastAsia="楷体_GB2312" w:cs="楷体_GB2312"/>
          <w:b/>
          <w:bCs/>
          <w:sz w:val="32"/>
          <w:szCs w:val="32"/>
          <w:shd w:val="clear" w:fill="FFFFFF"/>
        </w:rPr>
        <w:t>   （一）</w:t>
      </w:r>
      <w:r>
        <w:rPr>
          <w:rFonts w:hint="default" w:ascii="楷体_GB2312" w:eastAsia="楷体_GB2312" w:cs="楷体_GB2312"/>
          <w:b/>
          <w:bCs/>
          <w:sz w:val="32"/>
          <w:szCs w:val="32"/>
          <w:shd w:val="clear" w:fill="FFFFFF"/>
        </w:rPr>
        <w:t>主动公开。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eastAsia="仿宋_GB2312" w:cs="Times New Roman"/>
          <w:color w:val="000000"/>
          <w:kern w:val="32"/>
          <w:sz w:val="32"/>
          <w:szCs w:val="32"/>
          <w:shd w:val="clear" w:fill="FFFFFF"/>
        </w:rPr>
        <w:t>    2022</w:t>
      </w:r>
      <w:r>
        <w:rPr>
          <w:rFonts w:hint="default" w:ascii="仿宋_GB2312" w:hAnsi="Times New Roman" w:eastAsia="仿宋_GB2312" w:cs="仿宋_GB2312"/>
          <w:color w:val="000000"/>
          <w:kern w:val="32"/>
          <w:sz w:val="32"/>
          <w:szCs w:val="32"/>
          <w:shd w:val="clear" w:fill="FFFFFF"/>
        </w:rPr>
        <w:t>年，我局通过上高县人民政府网站、上高之声公众号等方式向社会公布各类信息</w:t>
      </w:r>
      <w:r>
        <w:rPr>
          <w:rFonts w:hint="default" w:ascii="Times New Roman" w:hAnsi="Times New Roman" w:eastAsia="仿宋_GB2312" w:cs="Times New Roman"/>
          <w:color w:val="000000"/>
          <w:kern w:val="32"/>
          <w:sz w:val="32"/>
          <w:szCs w:val="32"/>
          <w:shd w:val="clear" w:fill="FFFFFF"/>
        </w:rPr>
        <w:t>119</w:t>
      </w:r>
      <w:r>
        <w:rPr>
          <w:rFonts w:hint="default" w:ascii="仿宋_GB2312" w:hAnsi="Times New Roman" w:eastAsia="仿宋_GB2312" w:cs="仿宋_GB2312"/>
          <w:color w:val="000000"/>
          <w:kern w:val="32"/>
          <w:sz w:val="32"/>
          <w:szCs w:val="32"/>
          <w:shd w:val="clear" w:fill="FFFFFF"/>
        </w:rPr>
        <w:t>条，主要包括行政许可</w:t>
      </w:r>
      <w:r>
        <w:rPr>
          <w:rFonts w:hint="default" w:ascii="Times New Roman" w:hAnsi="Times New Roman" w:eastAsia="仿宋_GB2312" w:cs="Times New Roman"/>
          <w:color w:val="000000"/>
          <w:kern w:val="32"/>
          <w:sz w:val="32"/>
          <w:szCs w:val="32"/>
          <w:shd w:val="clear" w:fill="FFFFFF"/>
        </w:rPr>
        <w:t>2</w:t>
      </w:r>
      <w:r>
        <w:rPr>
          <w:rFonts w:hint="default" w:ascii="仿宋_GB2312" w:hAnsi="Times New Roman" w:eastAsia="仿宋_GB2312" w:cs="仿宋_GB2312"/>
          <w:color w:val="000000"/>
          <w:kern w:val="32"/>
          <w:sz w:val="32"/>
          <w:szCs w:val="32"/>
          <w:shd w:val="clear" w:fill="FFFFFF"/>
        </w:rPr>
        <w:t>条，通知公告</w:t>
      </w:r>
      <w:r>
        <w:rPr>
          <w:rFonts w:hint="default" w:ascii="Times New Roman" w:hAnsi="Times New Roman" w:eastAsia="仿宋_GB2312" w:cs="Times New Roman"/>
          <w:color w:val="000000"/>
          <w:kern w:val="32"/>
          <w:sz w:val="32"/>
          <w:szCs w:val="32"/>
          <w:shd w:val="clear" w:fill="FFFFFF"/>
        </w:rPr>
        <w:t>6</w:t>
      </w:r>
      <w:r>
        <w:rPr>
          <w:rFonts w:hint="default" w:ascii="仿宋_GB2312" w:hAnsi="Times New Roman" w:eastAsia="仿宋_GB2312" w:cs="仿宋_GB2312"/>
          <w:color w:val="000000"/>
          <w:kern w:val="32"/>
          <w:sz w:val="32"/>
          <w:szCs w:val="32"/>
          <w:shd w:val="clear" w:fill="FFFFFF"/>
        </w:rPr>
        <w:t>条、 财政预（决）算信息</w:t>
      </w:r>
      <w:r>
        <w:rPr>
          <w:rFonts w:hint="default" w:ascii="Times New Roman" w:hAnsi="Times New Roman" w:eastAsia="仿宋_GB2312" w:cs="Times New Roman"/>
          <w:color w:val="000000"/>
          <w:kern w:val="32"/>
          <w:sz w:val="32"/>
          <w:szCs w:val="32"/>
          <w:shd w:val="clear" w:fill="FFFFFF"/>
        </w:rPr>
        <w:t>6</w:t>
      </w:r>
      <w:r>
        <w:rPr>
          <w:rFonts w:hint="default" w:ascii="仿宋_GB2312" w:hAnsi="Times New Roman" w:eastAsia="仿宋_GB2312" w:cs="仿宋_GB2312"/>
          <w:color w:val="000000"/>
          <w:kern w:val="32"/>
          <w:sz w:val="32"/>
          <w:szCs w:val="32"/>
          <w:shd w:val="clear" w:fill="FFFFFF"/>
        </w:rPr>
        <w:t>条、政策文件</w:t>
      </w:r>
      <w:r>
        <w:rPr>
          <w:rFonts w:hint="default" w:ascii="Times New Roman" w:hAnsi="Times New Roman" w:eastAsia="仿宋_GB2312" w:cs="Times New Roman"/>
          <w:color w:val="000000"/>
          <w:kern w:val="32"/>
          <w:sz w:val="32"/>
          <w:szCs w:val="32"/>
          <w:shd w:val="clear" w:fill="FFFFFF"/>
        </w:rPr>
        <w:t>4</w:t>
      </w:r>
      <w:r>
        <w:rPr>
          <w:rFonts w:hint="default" w:ascii="仿宋_GB2312" w:hAnsi="Times New Roman" w:eastAsia="仿宋_GB2312" w:cs="仿宋_GB2312"/>
          <w:color w:val="000000"/>
          <w:kern w:val="32"/>
          <w:sz w:val="32"/>
          <w:szCs w:val="32"/>
          <w:shd w:val="clear" w:fill="FFFFFF"/>
        </w:rPr>
        <w:t>条、政策解读</w:t>
      </w:r>
      <w:r>
        <w:rPr>
          <w:rFonts w:hint="default" w:ascii="Times New Roman" w:hAnsi="Times New Roman" w:eastAsia="仿宋_GB2312" w:cs="Times New Roman"/>
          <w:color w:val="000000"/>
          <w:kern w:val="32"/>
          <w:sz w:val="32"/>
          <w:szCs w:val="32"/>
          <w:shd w:val="clear" w:fill="FFFFFF"/>
        </w:rPr>
        <w:t>2</w:t>
      </w:r>
      <w:r>
        <w:rPr>
          <w:rFonts w:hint="default" w:ascii="仿宋_GB2312" w:hAnsi="Times New Roman" w:eastAsia="仿宋_GB2312" w:cs="仿宋_GB2312"/>
          <w:color w:val="000000"/>
          <w:kern w:val="32"/>
          <w:sz w:val="32"/>
          <w:szCs w:val="32"/>
          <w:shd w:val="clear" w:fill="FFFFFF"/>
        </w:rPr>
        <w:t>条、组织建设、安全生产、农村公路养护、公路执法、交通工程建设、道路运输整治等工作动态</w:t>
      </w:r>
      <w:r>
        <w:rPr>
          <w:rFonts w:hint="default" w:ascii="Times New Roman" w:hAnsi="Times New Roman" w:eastAsia="仿宋_GB2312" w:cs="Times New Roman"/>
          <w:color w:val="000000"/>
          <w:kern w:val="32"/>
          <w:sz w:val="32"/>
          <w:szCs w:val="32"/>
          <w:shd w:val="clear" w:fill="FFFFFF"/>
        </w:rPr>
        <w:t>67</w:t>
      </w:r>
      <w:r>
        <w:rPr>
          <w:rFonts w:hint="default" w:ascii="仿宋_GB2312" w:hAnsi="Times New Roman" w:eastAsia="仿宋_GB2312" w:cs="仿宋_GB2312"/>
          <w:color w:val="000000"/>
          <w:kern w:val="32"/>
          <w:sz w:val="32"/>
          <w:szCs w:val="32"/>
          <w:shd w:val="clear" w:fill="FFFFFF"/>
        </w:rPr>
        <w:t>条，政府信息公开工作报告</w:t>
      </w:r>
      <w:r>
        <w:rPr>
          <w:rFonts w:hint="default" w:ascii="Times New Roman" w:hAnsi="Times New Roman" w:eastAsia="仿宋_GB2312" w:cs="Times New Roman"/>
          <w:color w:val="000000"/>
          <w:kern w:val="32"/>
          <w:sz w:val="32"/>
          <w:szCs w:val="32"/>
          <w:shd w:val="clear" w:fill="FFFFFF"/>
        </w:rPr>
        <w:t>1</w:t>
      </w:r>
      <w:r>
        <w:rPr>
          <w:rFonts w:hint="default" w:ascii="仿宋_GB2312" w:hAnsi="Times New Roman" w:eastAsia="仿宋_GB2312" w:cs="仿宋_GB2312"/>
          <w:color w:val="000000"/>
          <w:kern w:val="32"/>
          <w:sz w:val="32"/>
          <w:szCs w:val="32"/>
          <w:shd w:val="clear" w:fill="FFFFFF"/>
        </w:rPr>
        <w:t>条、其他信息</w:t>
      </w:r>
      <w:r>
        <w:rPr>
          <w:rFonts w:hint="default" w:ascii="Times New Roman" w:hAnsi="Times New Roman" w:eastAsia="仿宋_GB2312" w:cs="Times New Roman"/>
          <w:color w:val="000000"/>
          <w:kern w:val="32"/>
          <w:sz w:val="32"/>
          <w:szCs w:val="32"/>
          <w:shd w:val="clear" w:fill="FFFFFF"/>
        </w:rPr>
        <w:t>31</w:t>
      </w:r>
      <w:r>
        <w:rPr>
          <w:rFonts w:hint="default" w:ascii="仿宋_GB2312" w:hAnsi="Times New Roman" w:eastAsia="仿宋_GB2312" w:cs="仿宋_GB2312"/>
          <w:color w:val="000000"/>
          <w:kern w:val="32"/>
          <w:sz w:val="32"/>
          <w:szCs w:val="32"/>
          <w:shd w:val="clear" w:fill="FFFFFF"/>
        </w:rPr>
        <w:t>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eastAsia="楷体_GB2312" w:cs="Times New Roman"/>
          <w:b/>
          <w:bCs/>
          <w:color w:val="000000"/>
          <w:kern w:val="32"/>
          <w:sz w:val="32"/>
          <w:szCs w:val="32"/>
          <w:shd w:val="clear" w:fill="FFFFFF"/>
        </w:rPr>
        <w:t>   （二）</w:t>
      </w:r>
      <w:r>
        <w:rPr>
          <w:rFonts w:hint="default" w:ascii="楷体_GB2312" w:hAnsi="Times New Roman" w:eastAsia="楷体_GB2312" w:cs="楷体_GB2312"/>
          <w:b/>
          <w:bCs/>
          <w:color w:val="000000"/>
          <w:kern w:val="32"/>
          <w:sz w:val="32"/>
          <w:szCs w:val="32"/>
          <w:shd w:val="clear" w:fill="FFFFFF"/>
        </w:rPr>
        <w:t>依申请公开。</w:t>
      </w:r>
      <w:r>
        <w:rPr>
          <w:rFonts w:hint="default" w:ascii="仿宋_GB2312" w:eastAsia="仿宋_GB2312" w:cs="仿宋_GB2312"/>
          <w:i w:val="0"/>
          <w:iCs w:val="0"/>
          <w:caps w:val="0"/>
          <w:color w:val="000000"/>
          <w:spacing w:val="0"/>
          <w:kern w:val="0"/>
          <w:sz w:val="28"/>
          <w:szCs w:val="28"/>
          <w:shd w:val="clear" w:fill="FFFFFF"/>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eastAsia="仿宋_GB2312" w:cs="Times New Roman"/>
          <w:color w:val="000000"/>
          <w:kern w:val="32"/>
          <w:sz w:val="32"/>
          <w:szCs w:val="32"/>
          <w:shd w:val="clear" w:fill="FFFFFF"/>
        </w:rPr>
        <w:t>    2022</w:t>
      </w:r>
      <w:r>
        <w:rPr>
          <w:rFonts w:hint="default" w:ascii="仿宋_GB2312" w:hAnsi="Times New Roman" w:eastAsia="仿宋_GB2312" w:cs="仿宋_GB2312"/>
          <w:color w:val="000000"/>
          <w:kern w:val="32"/>
          <w:sz w:val="32"/>
          <w:szCs w:val="32"/>
          <w:shd w:val="clear" w:fill="FFFFFF"/>
        </w:rPr>
        <w:t>年度，我局未收到公民或者法人依申请公开申请。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pPr>
      <w:r>
        <w:rPr>
          <w:rFonts w:hint="default" w:ascii="Times New Roman" w:hAnsi="Times New Roman" w:eastAsia="楷体_GB2312" w:cs="Times New Roman"/>
          <w:b/>
          <w:bCs/>
          <w:color w:val="000000"/>
          <w:kern w:val="32"/>
          <w:sz w:val="32"/>
          <w:szCs w:val="32"/>
          <w:shd w:val="clear" w:fill="FFFFFF"/>
        </w:rPr>
        <w:t>   （三）</w:t>
      </w:r>
      <w:r>
        <w:rPr>
          <w:rFonts w:hint="default" w:ascii="楷体_GB2312" w:hAnsi="Times New Roman" w:eastAsia="楷体_GB2312" w:cs="楷体_GB2312"/>
          <w:b/>
          <w:bCs/>
          <w:color w:val="000000"/>
          <w:kern w:val="32"/>
          <w:sz w:val="32"/>
          <w:szCs w:val="32"/>
          <w:shd w:val="clear" w:fill="FFFFFF"/>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default" w:ascii="Times New Roman" w:hAnsi="Times New Roman" w:eastAsia="仿宋_GB2312" w:cs="Times New Roman"/>
          <w:color w:val="000000"/>
          <w:kern w:val="32"/>
          <w:sz w:val="32"/>
          <w:szCs w:val="32"/>
          <w:shd w:val="clear" w:fill="FFFFFF"/>
        </w:rPr>
      </w:pPr>
      <w:r>
        <w:rPr>
          <w:rFonts w:hint="default" w:ascii="仿宋_GB2312" w:hAnsi="Times New Roman" w:eastAsia="仿宋_GB2312" w:cs="仿宋_GB2312"/>
          <w:color w:val="000000"/>
          <w:kern w:val="32"/>
          <w:sz w:val="32"/>
          <w:szCs w:val="32"/>
          <w:shd w:val="clear" w:fill="FFFFFF"/>
        </w:rPr>
        <w:t>  </w:t>
      </w:r>
      <w:r>
        <w:rPr>
          <w:rFonts w:hint="default" w:ascii="Times New Roman" w:hAnsi="Times New Roman" w:eastAsia="仿宋_GB2312" w:cs="Times New Roman"/>
          <w:color w:val="000000"/>
          <w:kern w:val="32"/>
          <w:sz w:val="32"/>
          <w:szCs w:val="32"/>
          <w:shd w:val="clear" w:fill="FFFFFF"/>
        </w:rPr>
        <w:t>  我局构建三级工作体系，为工作开展提供了机制保障。明确了政务公开工作责任分工，拟公开的信息经分管领导审核后，由局办公室统一发布，保证了政府信息公开的准确、及时、有效。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楷体_GB2312" w:hAnsi="Times New Roman" w:eastAsia="楷体_GB2312" w:cs="楷体_GB2312"/>
          <w:b/>
          <w:bCs/>
          <w:color w:val="000000"/>
          <w:kern w:val="32"/>
          <w:sz w:val="32"/>
          <w:szCs w:val="32"/>
          <w:shd w:val="clear" w:fill="FFFFFF"/>
        </w:rPr>
      </w:pPr>
      <w:r>
        <w:rPr>
          <w:rFonts w:hint="default" w:ascii="楷体_GB2312" w:hAnsi="Times New Roman" w:eastAsia="楷体_GB2312" w:cs="楷体_GB2312"/>
          <w:b/>
          <w:bCs/>
          <w:color w:val="000000"/>
          <w:kern w:val="32"/>
          <w:sz w:val="32"/>
          <w:szCs w:val="32"/>
          <w:shd w:val="clear" w:fill="FFFFFF"/>
        </w:rPr>
        <w:t>（四）平台建设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kern w:val="32"/>
          <w:sz w:val="32"/>
          <w:szCs w:val="32"/>
          <w:shd w:val="clear" w:fill="FFFFFF"/>
        </w:rPr>
      </w:pPr>
      <w:r>
        <w:rPr>
          <w:rFonts w:hint="default" w:ascii="Times New Roman" w:hAnsi="Times New Roman" w:eastAsia="仿宋_GB2312" w:cs="Times New Roman"/>
          <w:color w:val="000000"/>
          <w:kern w:val="32"/>
          <w:sz w:val="32"/>
          <w:szCs w:val="32"/>
          <w:shd w:val="clear" w:fill="FFFFFF"/>
        </w:rPr>
        <w:t>坚持政府门户网站为第一平台，努力提高工作的透明度和管理服务效能，充分发挥好宣传窗口的作用，不断增进政务公开、增强政务服务能力。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楷体_GB2312" w:hAnsi="Times New Roman" w:eastAsia="楷体_GB2312" w:cs="楷体_GB2312"/>
          <w:b/>
          <w:bCs/>
          <w:color w:val="000000"/>
          <w:kern w:val="32"/>
          <w:sz w:val="32"/>
          <w:szCs w:val="32"/>
          <w:shd w:val="clear" w:fill="FFFFFF"/>
        </w:rPr>
      </w:pPr>
      <w:r>
        <w:rPr>
          <w:rFonts w:hint="default" w:ascii="楷体_GB2312" w:hAnsi="Times New Roman" w:eastAsia="楷体_GB2312" w:cs="楷体_GB2312"/>
          <w:b/>
          <w:bCs/>
          <w:color w:val="000000"/>
          <w:kern w:val="32"/>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color w:val="000000"/>
          <w:kern w:val="32"/>
          <w:sz w:val="32"/>
          <w:szCs w:val="32"/>
          <w:shd w:val="clear" w:fill="FFFFFF"/>
          <w:lang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我局</w:t>
      </w:r>
      <w:r>
        <w:rPr>
          <w:rFonts w:ascii="仿宋_GB2312" w:hAnsi="宋体" w:eastAsia="仿宋_GB2312" w:cs="仿宋_GB2312"/>
          <w:i w:val="0"/>
          <w:iCs w:val="0"/>
          <w:caps w:val="0"/>
          <w:color w:val="000000"/>
          <w:spacing w:val="0"/>
          <w:sz w:val="32"/>
          <w:szCs w:val="32"/>
          <w:shd w:val="clear" w:fill="FFFFFF"/>
        </w:rPr>
        <w:t>将政务公开、政府网站和政务新媒体纳入了年度绩效考核内容</w:t>
      </w:r>
      <w:r>
        <w:rPr>
          <w:rFonts w:hint="eastAsia" w:ascii="仿宋_GB2312" w:hAnsi="宋体" w:eastAsia="仿宋_GB2312" w:cs="仿宋_GB2312"/>
          <w:i w:val="0"/>
          <w:iCs w:val="0"/>
          <w:caps w:val="0"/>
          <w:color w:val="000000"/>
          <w:spacing w:val="0"/>
          <w:sz w:val="32"/>
          <w:szCs w:val="32"/>
          <w:shd w:val="clear" w:fill="FFFFFF"/>
          <w:lang w:eastAsia="zh-CN"/>
        </w:rPr>
        <w:t>，</w:t>
      </w:r>
      <w:r>
        <w:rPr>
          <w:rFonts w:hint="default" w:ascii="Times New Roman" w:hAnsi="Times New Roman" w:eastAsia="仿宋_GB2312" w:cs="Times New Roman"/>
          <w:color w:val="000000"/>
          <w:kern w:val="32"/>
          <w:sz w:val="32"/>
          <w:szCs w:val="32"/>
          <w:shd w:val="clear" w:fill="FFFFFF"/>
        </w:rPr>
        <w:t>充分发挥人民群众对政务公开工作的监督作用,进一步加大社会监督力度，切实保障公民、法人和其他组织的知情权、参与权、表达权、监督权。</w:t>
      </w:r>
      <w:r>
        <w:rPr>
          <w:rFonts w:hint="default" w:ascii="Times New Roman" w:hAnsi="Times New Roman" w:eastAsia="方正仿宋_GB2312" w:cs="Times New Roman"/>
          <w:i w:val="0"/>
          <w:iCs w:val="0"/>
          <w:caps w:val="0"/>
          <w:color w:val="000000"/>
          <w:spacing w:val="0"/>
          <w:sz w:val="32"/>
          <w:szCs w:val="32"/>
          <w:shd w:val="clear" w:fill="FFFFFF"/>
        </w:rPr>
        <w:t>开展政务公开满意度调查，收回有效答卷</w:t>
      </w:r>
      <w:r>
        <w:rPr>
          <w:rFonts w:hint="eastAsia" w:ascii="Times New Roman" w:hAnsi="Times New Roman" w:eastAsia="方正仿宋_GB2312" w:cs="Times New Roman"/>
          <w:i w:val="0"/>
          <w:iCs w:val="0"/>
          <w:caps w:val="0"/>
          <w:color w:val="000000"/>
          <w:spacing w:val="0"/>
          <w:sz w:val="32"/>
          <w:szCs w:val="32"/>
          <w:shd w:val="clear" w:fill="FFFFFF"/>
          <w:lang w:val="en-US" w:eastAsia="zh-CN"/>
        </w:rPr>
        <w:t>63</w:t>
      </w:r>
      <w:r>
        <w:rPr>
          <w:rFonts w:hint="default" w:ascii="Times New Roman" w:hAnsi="Times New Roman" w:eastAsia="方正仿宋_GB2312" w:cs="Times New Roman"/>
          <w:i w:val="0"/>
          <w:iCs w:val="0"/>
          <w:caps w:val="0"/>
          <w:color w:val="000000"/>
          <w:spacing w:val="0"/>
          <w:sz w:val="32"/>
          <w:szCs w:val="32"/>
          <w:shd w:val="clear" w:fill="FFFFFF"/>
        </w:rPr>
        <w:t>份，其中满意及</w:t>
      </w:r>
      <w:r>
        <w:rPr>
          <w:rFonts w:hint="eastAsia" w:ascii="Times New Roman" w:hAnsi="Times New Roman" w:eastAsia="方正仿宋_GB2312" w:cs="Times New Roman"/>
          <w:i w:val="0"/>
          <w:iCs w:val="0"/>
          <w:caps w:val="0"/>
          <w:color w:val="000000"/>
          <w:spacing w:val="0"/>
          <w:sz w:val="32"/>
          <w:szCs w:val="32"/>
          <w:shd w:val="clear" w:fill="FFFFFF"/>
          <w:lang w:val="en-US" w:eastAsia="zh-CN"/>
        </w:rPr>
        <w:t>以上57</w:t>
      </w:r>
      <w:r>
        <w:rPr>
          <w:rFonts w:hint="default" w:ascii="Times New Roman" w:hAnsi="Times New Roman" w:eastAsia="方正仿宋_GB2312" w:cs="Times New Roman"/>
          <w:i w:val="0"/>
          <w:iCs w:val="0"/>
          <w:caps w:val="0"/>
          <w:color w:val="000000"/>
          <w:spacing w:val="0"/>
          <w:sz w:val="32"/>
          <w:szCs w:val="32"/>
          <w:shd w:val="clear" w:fill="FFFFFF"/>
        </w:rPr>
        <w:t>份，一般</w:t>
      </w:r>
      <w:bookmarkStart w:id="0" w:name="_GoBack"/>
      <w:bookmarkEnd w:id="0"/>
      <w:r>
        <w:rPr>
          <w:rFonts w:hint="eastAsia" w:ascii="Times New Roman" w:hAnsi="Times New Roman" w:eastAsia="方正仿宋_GB2312" w:cs="Times New Roman"/>
          <w:i w:val="0"/>
          <w:iCs w:val="0"/>
          <w:caps w:val="0"/>
          <w:color w:val="000000"/>
          <w:spacing w:val="0"/>
          <w:sz w:val="32"/>
          <w:szCs w:val="32"/>
          <w:shd w:val="clear" w:fill="FFFFFF"/>
          <w:lang w:val="en-US" w:eastAsia="zh-CN"/>
        </w:rPr>
        <w:t>6</w:t>
      </w:r>
      <w:r>
        <w:rPr>
          <w:rFonts w:hint="default" w:ascii="Times New Roman" w:hAnsi="Times New Roman" w:eastAsia="方正仿宋_GB2312" w:cs="Times New Roman"/>
          <w:i w:val="0"/>
          <w:iCs w:val="0"/>
          <w:caps w:val="0"/>
          <w:color w:val="000000"/>
          <w:spacing w:val="0"/>
          <w:sz w:val="32"/>
          <w:szCs w:val="32"/>
          <w:shd w:val="clear" w:fill="FFFFFF"/>
        </w:rPr>
        <w:t>份，政务公开满意率达</w:t>
      </w:r>
      <w:r>
        <w:rPr>
          <w:rFonts w:hint="eastAsia" w:ascii="Times New Roman" w:hAnsi="Times New Roman" w:eastAsia="方正仿宋_GB2312" w:cs="Times New Roman"/>
          <w:i w:val="0"/>
          <w:iCs w:val="0"/>
          <w:caps w:val="0"/>
          <w:color w:val="000000"/>
          <w:spacing w:val="0"/>
          <w:sz w:val="32"/>
          <w:szCs w:val="32"/>
          <w:shd w:val="clear" w:fill="FFFFFF"/>
          <w:lang w:val="en-US" w:eastAsia="zh-CN"/>
        </w:rPr>
        <w:t>90.5</w:t>
      </w:r>
      <w:r>
        <w:rPr>
          <w:rFonts w:hint="default" w:ascii="Times New Roman" w:hAnsi="Times New Roman" w:eastAsia="方正仿宋_GB2312" w:cs="Times New Roman"/>
          <w:i w:val="0"/>
          <w:iCs w:val="0"/>
          <w:caps w:val="0"/>
          <w:color w:val="000000"/>
          <w:spacing w:val="0"/>
          <w:sz w:val="32"/>
          <w:szCs w:val="32"/>
          <w:shd w:val="clear" w:fill="FFFFFF"/>
        </w:rPr>
        <w:t>%，同时收回各类意见建议10余条，主要围绕加强政务公开多样性、及时性</w:t>
      </w:r>
      <w:r>
        <w:rPr>
          <w:rFonts w:hint="eastAsia" w:ascii="Times New Roman" w:hAnsi="Times New Roman" w:eastAsia="方正仿宋_GB2312" w:cs="Times New Roman"/>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增加政务公开渠道</w:t>
      </w:r>
      <w:r>
        <w:rPr>
          <w:rFonts w:hint="default" w:ascii="Times New Roman" w:hAnsi="Times New Roman" w:eastAsia="方正仿宋_GB2312" w:cs="Times New Roman"/>
          <w:i w:val="0"/>
          <w:iCs w:val="0"/>
          <w:caps w:val="0"/>
          <w:color w:val="000000"/>
          <w:spacing w:val="0"/>
          <w:sz w:val="32"/>
          <w:szCs w:val="32"/>
          <w:shd w:val="clear" w:fill="FFFFFF"/>
        </w:rPr>
        <w:t>等。</w:t>
      </w:r>
      <w:r>
        <w:rPr>
          <w:rFonts w:hint="default" w:ascii="Times New Roman" w:hAnsi="Times New Roman" w:eastAsia="仿宋_GB2312" w:cs="Times New Roman"/>
          <w:color w:val="000000"/>
          <w:kern w:val="32"/>
          <w:sz w:val="32"/>
          <w:szCs w:val="32"/>
          <w:shd w:val="clear" w:fill="FFFFFF"/>
        </w:rPr>
        <w:t>2022年未发生政务公开责任追究事件</w:t>
      </w:r>
      <w:r>
        <w:rPr>
          <w:rFonts w:hint="default" w:ascii="Times New Roman" w:hAnsi="Times New Roman" w:eastAsia="仿宋_GB2312" w:cs="Times New Roman"/>
          <w:color w:val="000000"/>
          <w:kern w:val="32"/>
          <w:sz w:val="32"/>
          <w:szCs w:val="32"/>
          <w:shd w:val="clear" w:fill="FFFFFF"/>
          <w:lang w:eastAsia="zh-CN"/>
        </w:rPr>
        <w:t>。</w:t>
      </w:r>
    </w:p>
    <w:p>
      <w:pPr>
        <w:pStyle w:val="2"/>
        <w:keepNext w:val="0"/>
        <w:keepLines w:val="0"/>
        <w:widowControl/>
        <w:suppressLineNumbers w:val="0"/>
        <w:shd w:val="clear" w:fill="FFFFFF"/>
        <w:spacing w:before="0" w:beforeAutospacing="1" w:after="0" w:afterAutospacing="1" w:line="560" w:lineRule="atLeast"/>
        <w:ind w:left="0" w:right="0"/>
        <w:jc w:val="both"/>
      </w:pPr>
      <w:r>
        <w:rPr>
          <w:rFonts w:hint="eastAsia" w:ascii="黑体" w:hAnsi="宋体" w:eastAsia="黑体" w:cs="黑体"/>
          <w:bCs/>
          <w:color w:val="000000"/>
          <w:kern w:val="32"/>
          <w:sz w:val="32"/>
          <w:szCs w:val="32"/>
          <w:shd w:val="clear" w:fill="FFFFFF"/>
        </w:rPr>
        <w:t>    二、主动公开政府信息情况</w:t>
      </w:r>
    </w:p>
    <w:tbl>
      <w:tblPr>
        <w:tblStyle w:val="3"/>
        <w:tblW w:w="9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156"/>
        <w:gridCol w:w="2410"/>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信息内容</w:t>
            </w:r>
          </w:p>
        </w:tc>
        <w:tc>
          <w:tcPr>
            <w:tcW w:w="215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本年制发件数</w:t>
            </w:r>
          </w:p>
        </w:tc>
        <w:tc>
          <w:tcPr>
            <w:tcW w:w="241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本年废止件数</w:t>
            </w:r>
          </w:p>
        </w:tc>
        <w:tc>
          <w:tcPr>
            <w:tcW w:w="212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规章</w:t>
            </w:r>
          </w:p>
        </w:tc>
        <w:tc>
          <w:tcPr>
            <w:tcW w:w="215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4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1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行政规范性文件</w:t>
            </w:r>
          </w:p>
        </w:tc>
        <w:tc>
          <w:tcPr>
            <w:tcW w:w="215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41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1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信息内容</w:t>
            </w:r>
          </w:p>
        </w:tc>
        <w:tc>
          <w:tcPr>
            <w:tcW w:w="669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行政许可</w:t>
            </w:r>
          </w:p>
        </w:tc>
        <w:tc>
          <w:tcPr>
            <w:tcW w:w="669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信息内容</w:t>
            </w:r>
          </w:p>
        </w:tc>
        <w:tc>
          <w:tcPr>
            <w:tcW w:w="6692"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行政处罚</w:t>
            </w:r>
          </w:p>
        </w:tc>
        <w:tc>
          <w:tcPr>
            <w:tcW w:w="669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行政强制</w:t>
            </w:r>
          </w:p>
        </w:tc>
        <w:tc>
          <w:tcPr>
            <w:tcW w:w="6692"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4"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信息内容</w:t>
            </w:r>
          </w:p>
        </w:tc>
        <w:tc>
          <w:tcPr>
            <w:tcW w:w="6692" w:type="dxa"/>
            <w:gridSpan w:val="3"/>
            <w:tcBorders>
              <w:top w:val="nil"/>
              <w:left w:val="nil"/>
              <w:bottom w:val="single" w:color="auto" w:sz="4"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 w:hRule="atLeast"/>
          <w:jc w:val="center"/>
        </w:trPr>
        <w:tc>
          <w:tcPr>
            <w:tcW w:w="2435"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仿宋_GB2312" w:hAnsi="Times New Roman" w:eastAsia="仿宋_GB2312" w:cs="仿宋_GB2312"/>
                <w:color w:val="000000"/>
                <w:kern w:val="2"/>
                <w:sz w:val="28"/>
                <w:szCs w:val="28"/>
                <w:lang w:val="en-US" w:eastAsia="zh-CN" w:bidi="ar"/>
              </w:rPr>
              <w:t>行政事业性收费</w:t>
            </w:r>
          </w:p>
        </w:tc>
        <w:tc>
          <w:tcPr>
            <w:tcW w:w="6692" w:type="dxa"/>
            <w:gridSpan w:val="3"/>
            <w:tcBorders>
              <w:top w:val="single" w:color="auto" w:sz="4" w:space="0"/>
              <w:left w:val="nil"/>
              <w:bottom w:val="single" w:color="auto" w:sz="4" w:space="0"/>
              <w:right w:val="single" w:color="auto" w:sz="4"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520" w:lineRule="exact"/>
              <w:ind w:left="0" w:right="0"/>
              <w:jc w:val="center"/>
            </w:pPr>
            <w:r>
              <w:rPr>
                <w:rFonts w:hint="default" w:ascii="Times New Roman" w:hAnsi="Times New Roman" w:eastAsia="仿宋_GB2312" w:cs="Times New Roman"/>
                <w:color w:val="000000"/>
                <w:kern w:val="2"/>
                <w:sz w:val="28"/>
                <w:szCs w:val="28"/>
                <w:lang w:val="en-US" w:eastAsia="zh-CN" w:bidi="ar"/>
              </w:rPr>
              <w:t>420</w:t>
            </w:r>
          </w:p>
        </w:tc>
      </w:tr>
    </w:tbl>
    <w:p>
      <w:pPr>
        <w:pStyle w:val="2"/>
        <w:keepNext w:val="0"/>
        <w:keepLines w:val="0"/>
        <w:widowControl/>
        <w:suppressLineNumbers w:val="0"/>
        <w:shd w:val="clear" w:fill="FFFFFF"/>
        <w:spacing w:before="0" w:beforeAutospacing="1" w:after="0" w:afterAutospacing="1" w:line="240" w:lineRule="atLeast"/>
        <w:ind w:left="0" w:right="0" w:firstLine="420"/>
        <w:jc w:val="both"/>
      </w:pPr>
      <w:r>
        <w:rPr>
          <w:rFonts w:hint="eastAsia" w:ascii="黑体" w:hAnsi="宋体" w:eastAsia="黑体" w:cs="黑体"/>
          <w:b/>
          <w:bCs/>
          <w:color w:val="000000"/>
          <w:kern w:val="0"/>
          <w:sz w:val="32"/>
          <w:szCs w:val="32"/>
          <w:shd w:val="clear" w:fill="FFFFFF"/>
        </w:rPr>
        <w:t> </w:t>
      </w:r>
    </w:p>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rPr>
        <w:t>三、收到和处理政府信息公开申请情况</w:t>
      </w:r>
    </w:p>
    <w:tbl>
      <w:tblPr>
        <w:tblStyle w:val="3"/>
        <w:tblW w:w="482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85"/>
        <w:gridCol w:w="954"/>
        <w:gridCol w:w="2972"/>
        <w:gridCol w:w="436"/>
        <w:gridCol w:w="394"/>
        <w:gridCol w:w="394"/>
        <w:gridCol w:w="630"/>
        <w:gridCol w:w="639"/>
        <w:gridCol w:w="394"/>
        <w:gridCol w:w="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 w:hRule="atLeast"/>
          <w:jc w:val="center"/>
        </w:trPr>
        <w:tc>
          <w:tcPr>
            <w:tcW w:w="2930" w:type="pct"/>
            <w:gridSpan w:val="3"/>
            <w:vMerge w:val="restart"/>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（本列数据的勾稽关系为：第一项加第二项之和，等于第三项加第四项之和）</w:t>
            </w:r>
          </w:p>
        </w:tc>
        <w:tc>
          <w:tcPr>
            <w:tcW w:w="2069" w:type="pct"/>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仿宋_GB2312" w:hAnsi="Times New Roman" w:eastAsia="仿宋_GB2312" w:cs="仿宋_GB2312"/>
                <w:color w:val="000000"/>
                <w:kern w:val="2"/>
                <w:sz w:val="28"/>
                <w:szCs w:val="28"/>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79" w:type="pct"/>
            <w:vMerge w:val="restart"/>
            <w:tcBorders>
              <w:top w:val="single" w:color="auto" w:sz="6"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自然人</w:t>
            </w:r>
          </w:p>
        </w:tc>
        <w:tc>
          <w:tcPr>
            <w:tcW w:w="1490" w:type="pct"/>
            <w:gridSpan w:val="5"/>
            <w:tcBorders>
              <w:top w:val="single" w:color="auto" w:sz="8"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法人或其他组织</w:t>
            </w:r>
          </w:p>
        </w:tc>
        <w:tc>
          <w:tcPr>
            <w:tcW w:w="299" w:type="pct"/>
            <w:vMerge w:val="restart"/>
            <w:tcBorders>
              <w:top w:val="single" w:color="auto" w:sz="8"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仿宋_GB2312" w:hAnsi="Times New Roman" w:eastAsia="仿宋_GB2312" w:cs="仿宋_GB2312"/>
                <w:color w:val="000000"/>
                <w:kern w:val="2"/>
                <w:sz w:val="28"/>
                <w:szCs w:val="28"/>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2930" w:type="pct"/>
            <w:gridSpan w:val="3"/>
            <w:vMerge w:val="continue"/>
            <w:tcBorders>
              <w:top w:val="single" w:color="auto" w:sz="8" w:space="0"/>
              <w:left w:val="single" w:color="auto" w:sz="8" w:space="0"/>
              <w:bottom w:val="in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279" w:type="pct"/>
            <w:vMerge w:val="continue"/>
            <w:tcBorders>
              <w:top w:val="single" w:color="auto" w:sz="6" w:space="0"/>
              <w:left w:val="single" w:color="auto" w:sz="6" w:space="0"/>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25" w:type="pct"/>
            <w:tcBorders>
              <w:top w:val="single" w:color="auto" w:sz="6"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商业</w:t>
            </w:r>
          </w:p>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企业</w:t>
            </w:r>
          </w:p>
        </w:tc>
        <w:tc>
          <w:tcPr>
            <w:tcW w:w="236" w:type="pct"/>
            <w:tcBorders>
              <w:top w:val="single" w:color="auto" w:sz="6"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科研</w:t>
            </w:r>
          </w:p>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机构</w:t>
            </w:r>
          </w:p>
        </w:tc>
        <w:tc>
          <w:tcPr>
            <w:tcW w:w="398" w:type="pct"/>
            <w:tcBorders>
              <w:top w:val="single" w:color="auto" w:sz="8"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center"/>
            </w:pPr>
            <w:r>
              <w:rPr>
                <w:rFonts w:hint="default" w:ascii="仿宋_GB2312" w:hAnsi="Times New Roman" w:eastAsia="仿宋_GB2312" w:cs="仿宋_GB2312"/>
                <w:color w:val="000000"/>
                <w:kern w:val="2"/>
                <w:sz w:val="28"/>
                <w:szCs w:val="28"/>
                <w:lang w:val="en-US" w:eastAsia="zh-CN" w:bidi="ar"/>
              </w:rPr>
              <w:t>社会公益组织</w:t>
            </w:r>
          </w:p>
        </w:tc>
        <w:tc>
          <w:tcPr>
            <w:tcW w:w="403" w:type="pct"/>
            <w:tcBorders>
              <w:top w:val="single" w:color="auto" w:sz="8"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仿宋_GB2312" w:hAnsi="Times New Roman" w:eastAsia="仿宋_GB2312" w:cs="仿宋_GB2312"/>
                <w:color w:val="000000"/>
                <w:kern w:val="2"/>
                <w:sz w:val="28"/>
                <w:szCs w:val="28"/>
                <w:lang w:val="en-US" w:eastAsia="zh-CN" w:bidi="ar"/>
              </w:rPr>
              <w:t>法律服务机构</w:t>
            </w:r>
          </w:p>
        </w:tc>
        <w:tc>
          <w:tcPr>
            <w:tcW w:w="225" w:type="pct"/>
            <w:tcBorders>
              <w:top w:val="single" w:color="auto" w:sz="8" w:space="0"/>
              <w:left w:val="single" w:color="auto" w:sz="6"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仿宋_GB2312" w:hAnsi="Times New Roman" w:eastAsia="仿宋_GB2312" w:cs="仿宋_GB2312"/>
                <w:color w:val="000000"/>
                <w:kern w:val="2"/>
                <w:sz w:val="28"/>
                <w:szCs w:val="28"/>
                <w:lang w:val="en-US" w:eastAsia="zh-CN" w:bidi="ar"/>
              </w:rPr>
              <w:t>其他</w:t>
            </w:r>
          </w:p>
        </w:tc>
        <w:tc>
          <w:tcPr>
            <w:tcW w:w="299" w:type="pct"/>
            <w:vMerge w:val="continue"/>
            <w:tcBorders>
              <w:top w:val="single" w:color="auto" w:sz="8"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一、本年新收政府信息公开申请数量</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二、上年结转政府信息公开申请数量</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3" w:hRule="atLeast"/>
          <w:jc w:val="center"/>
        </w:trPr>
        <w:tc>
          <w:tcPr>
            <w:tcW w:w="554" w:type="pct"/>
            <w:vMerge w:val="restart"/>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三、本年度办理结果</w:t>
            </w:r>
          </w:p>
        </w:tc>
        <w:tc>
          <w:tcPr>
            <w:tcW w:w="2376"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（一）予以公开</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69"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376"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（二）部分公开（区分处理的，只计这一情形，不计其他情形）</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4"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（三）不予公开</w:t>
            </w: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属于国家秘密</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其他法律行政法规禁止公开</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危及</w:t>
            </w:r>
            <w:r>
              <w:rPr>
                <w:rFonts w:hint="default" w:ascii="Times New Roman" w:hAnsi="Times New Roman" w:eastAsia="仿宋_GB2312" w:cs="Times New Roman"/>
                <w:color w:val="000000"/>
                <w:kern w:val="2"/>
                <w:sz w:val="28"/>
                <w:szCs w:val="28"/>
                <w:lang w:val="en-US" w:eastAsia="zh-CN" w:bidi="ar"/>
              </w:rPr>
              <w:t>“</w:t>
            </w:r>
            <w:r>
              <w:rPr>
                <w:rFonts w:hint="default" w:ascii="仿宋_GB2312" w:hAnsi="Times New Roman" w:eastAsia="仿宋_GB2312" w:cs="仿宋_GB2312"/>
                <w:color w:val="000000"/>
                <w:kern w:val="2"/>
                <w:sz w:val="28"/>
                <w:szCs w:val="28"/>
                <w:lang w:val="en-US" w:eastAsia="zh-CN" w:bidi="ar"/>
              </w:rPr>
              <w:t>三安全一稳定</w:t>
            </w:r>
            <w:r>
              <w:rPr>
                <w:rFonts w:hint="default" w:ascii="Times New Roman" w:hAnsi="Times New Roman" w:eastAsia="仿宋_GB2312" w:cs="Times New Roman"/>
                <w:color w:val="000000"/>
                <w:kern w:val="2"/>
                <w:sz w:val="28"/>
                <w:szCs w:val="28"/>
                <w:lang w:val="en-US" w:eastAsia="zh-CN" w:bidi="ar"/>
              </w:rPr>
              <w:t>”</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4.</w:t>
            </w:r>
            <w:r>
              <w:rPr>
                <w:rFonts w:hint="default" w:ascii="仿宋_GB2312" w:hAnsi="Times New Roman" w:eastAsia="仿宋_GB2312" w:cs="仿宋_GB2312"/>
                <w:color w:val="000000"/>
                <w:kern w:val="2"/>
                <w:sz w:val="28"/>
                <w:szCs w:val="28"/>
                <w:lang w:val="en-US" w:eastAsia="zh-CN" w:bidi="ar"/>
              </w:rPr>
              <w:t>保护第三方合法权益</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5.</w:t>
            </w:r>
            <w:r>
              <w:rPr>
                <w:rFonts w:hint="default" w:ascii="仿宋_GB2312" w:hAnsi="Times New Roman" w:eastAsia="仿宋_GB2312" w:cs="仿宋_GB2312"/>
                <w:color w:val="000000"/>
                <w:kern w:val="2"/>
                <w:sz w:val="28"/>
                <w:szCs w:val="28"/>
                <w:lang w:val="en-US" w:eastAsia="zh-CN" w:bidi="ar"/>
              </w:rPr>
              <w:t>属于三类内部事务信息</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6.</w:t>
            </w:r>
            <w:r>
              <w:rPr>
                <w:rFonts w:hint="default" w:ascii="仿宋_GB2312" w:hAnsi="Times New Roman" w:eastAsia="仿宋_GB2312" w:cs="仿宋_GB2312"/>
                <w:color w:val="000000"/>
                <w:kern w:val="2"/>
                <w:sz w:val="28"/>
                <w:szCs w:val="28"/>
                <w:lang w:val="en-US" w:eastAsia="zh-CN" w:bidi="ar"/>
              </w:rPr>
              <w:t>属于四类过程性信息</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7.</w:t>
            </w:r>
            <w:r>
              <w:rPr>
                <w:rFonts w:hint="default" w:ascii="仿宋_GB2312" w:hAnsi="Times New Roman" w:eastAsia="仿宋_GB2312" w:cs="仿宋_GB2312"/>
                <w:color w:val="000000"/>
                <w:kern w:val="2"/>
                <w:sz w:val="28"/>
                <w:szCs w:val="28"/>
                <w:lang w:val="en-US" w:eastAsia="zh-CN" w:bidi="ar"/>
              </w:rPr>
              <w:t>属于行政执法案卷</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8.</w:t>
            </w:r>
            <w:r>
              <w:rPr>
                <w:rFonts w:hint="default" w:ascii="仿宋_GB2312" w:hAnsi="Times New Roman" w:eastAsia="仿宋_GB2312" w:cs="仿宋_GB2312"/>
                <w:color w:val="000000"/>
                <w:kern w:val="2"/>
                <w:sz w:val="28"/>
                <w:szCs w:val="28"/>
                <w:lang w:val="en-US" w:eastAsia="zh-CN" w:bidi="ar"/>
              </w:rPr>
              <w:t>属于行政查询事项</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31"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（四）无法提供</w:t>
            </w: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本机关不掌握相关政府信息</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40" w:lineRule="exact"/>
              <w:ind w:left="0" w:right="0"/>
              <w:jc w:val="left"/>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没有现成信息需要另行制作</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补正后申请内容仍不明确</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restar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（五）不予处理</w:t>
            </w:r>
          </w:p>
        </w:tc>
        <w:tc>
          <w:tcPr>
            <w:tcW w:w="1830"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信访举报投诉类申请</w:t>
            </w:r>
          </w:p>
        </w:tc>
        <w:tc>
          <w:tcPr>
            <w:tcW w:w="279"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single" w:color="auto" w:sz="4"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重复申请</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要求提供公开出版物</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4.</w:t>
            </w:r>
            <w:r>
              <w:rPr>
                <w:rFonts w:hint="default" w:ascii="仿宋_GB2312" w:hAnsi="Times New Roman" w:eastAsia="仿宋_GB2312" w:cs="仿宋_GB2312"/>
                <w:color w:val="000000"/>
                <w:kern w:val="2"/>
                <w:sz w:val="28"/>
                <w:szCs w:val="28"/>
                <w:lang w:val="en-US" w:eastAsia="zh-CN" w:bidi="ar"/>
              </w:rPr>
              <w:t>无正当理由大量反复申请</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5.</w:t>
            </w:r>
            <w:r>
              <w:rPr>
                <w:rFonts w:hint="default" w:ascii="仿宋_GB2312" w:hAnsi="Times New Roman" w:eastAsia="仿宋_GB2312" w:cs="仿宋_GB2312"/>
                <w:color w:val="000000"/>
                <w:kern w:val="2"/>
                <w:sz w:val="28"/>
                <w:szCs w:val="28"/>
                <w:lang w:val="en-US" w:eastAsia="zh-CN" w:bidi="ar"/>
              </w:rPr>
              <w:t>要求行政机关确认或重新出具已获取信息</w:t>
            </w:r>
          </w:p>
        </w:tc>
        <w:tc>
          <w:tcPr>
            <w:tcW w:w="279"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single" w:color="auto" w:sz="6" w:space="0"/>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restart"/>
            <w:tcBorders>
              <w:top w:val="nil"/>
              <w:left w:val="single" w:color="auto" w:sz="6" w:space="0"/>
              <w:bottom w:val="in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（六）其他处理</w:t>
            </w: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1.</w:t>
            </w:r>
            <w:r>
              <w:rPr>
                <w:rFonts w:hint="default" w:ascii="仿宋_GB2312" w:hAnsi="Times New Roman" w:eastAsia="仿宋_GB2312" w:cs="仿宋_GB2312"/>
                <w:color w:val="000000"/>
                <w:kern w:val="2"/>
                <w:sz w:val="28"/>
                <w:szCs w:val="28"/>
                <w:lang w:val="en-US" w:eastAsia="zh-CN" w:bidi="ar"/>
              </w:rPr>
              <w:t>申请人无正当理由逾期不补正、行政机关不再处理其政府信息公开申请</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nil"/>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2.</w:t>
            </w:r>
            <w:r>
              <w:rPr>
                <w:rFonts w:hint="default" w:ascii="仿宋_GB2312" w:hAnsi="Times New Roman" w:eastAsia="仿宋_GB2312" w:cs="仿宋_GB2312"/>
                <w:color w:val="000000"/>
                <w:kern w:val="2"/>
                <w:sz w:val="28"/>
                <w:szCs w:val="28"/>
                <w:lang w:val="en-US" w:eastAsia="zh-CN" w:bidi="ar"/>
              </w:rPr>
              <w:t>申请人逾期未按收费通知要求缴纳费用、行政机关不再处理其政府信息公开申请</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545" w:type="pct"/>
            <w:vMerge w:val="continue"/>
            <w:tcBorders>
              <w:top w:val="nil"/>
              <w:left w:val="single" w:color="auto" w:sz="6"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183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Times New Roman" w:hAnsi="Times New Roman" w:eastAsia="仿宋_GB2312" w:cs="Times New Roman"/>
                <w:color w:val="000000"/>
                <w:kern w:val="2"/>
                <w:sz w:val="28"/>
                <w:szCs w:val="28"/>
                <w:lang w:val="en-US" w:eastAsia="zh-CN" w:bidi="ar"/>
              </w:rPr>
              <w:t>3.</w:t>
            </w:r>
            <w:r>
              <w:rPr>
                <w:rFonts w:hint="default" w:ascii="仿宋_GB2312" w:hAnsi="Times New Roman" w:eastAsia="仿宋_GB2312" w:cs="仿宋_GB2312"/>
                <w:color w:val="000000"/>
                <w:kern w:val="2"/>
                <w:sz w:val="28"/>
                <w:szCs w:val="28"/>
                <w:lang w:val="en-US" w:eastAsia="zh-CN" w:bidi="ar"/>
              </w:rPr>
              <w:t>其他</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 w:hRule="atLeast"/>
          <w:jc w:val="center"/>
        </w:trPr>
        <w:tc>
          <w:tcPr>
            <w:tcW w:w="554" w:type="pct"/>
            <w:vMerge w:val="continue"/>
            <w:tcBorders>
              <w:top w:val="single" w:color="auto" w:sz="6" w:space="0"/>
              <w:left w:val="single" w:color="auto" w:sz="8" w:space="0"/>
              <w:bottom w:val="in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2376"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（七）总计</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8" w:hRule="atLeast"/>
          <w:jc w:val="center"/>
        </w:trPr>
        <w:tc>
          <w:tcPr>
            <w:tcW w:w="2930"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left"/>
            </w:pPr>
            <w:r>
              <w:rPr>
                <w:rFonts w:hint="default" w:ascii="仿宋_GB2312" w:hAnsi="Times New Roman" w:eastAsia="仿宋_GB2312" w:cs="仿宋_GB2312"/>
                <w:color w:val="000000"/>
                <w:kern w:val="2"/>
                <w:sz w:val="28"/>
                <w:szCs w:val="28"/>
                <w:lang w:val="en-US" w:eastAsia="zh-CN" w:bidi="ar"/>
              </w:rPr>
              <w:t>四、结转下年度继续办理</w:t>
            </w:r>
          </w:p>
        </w:tc>
        <w:tc>
          <w:tcPr>
            <w:tcW w:w="27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36"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3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40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2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c>
          <w:tcPr>
            <w:tcW w:w="299"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line="460" w:lineRule="exact"/>
              <w:ind w:left="0" w:right="0"/>
              <w:jc w:val="center"/>
            </w:pPr>
            <w:r>
              <w:rPr>
                <w:rFonts w:hint="default" w:ascii="Times New Roman" w:hAnsi="Times New Roman" w:eastAsia="仿宋_GB2312" w:cs="Times New Roman"/>
                <w:color w:val="000000"/>
                <w:kern w:val="2"/>
                <w:sz w:val="28"/>
                <w:szCs w:val="28"/>
                <w:lang w:val="en-US" w:eastAsia="zh-CN" w:bidi="ar"/>
              </w:rPr>
              <w:t>0</w:t>
            </w:r>
          </w:p>
        </w:tc>
      </w:tr>
    </w:tbl>
    <w:p>
      <w:pPr>
        <w:pStyle w:val="2"/>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黑体" w:hAnsi="宋体" w:eastAsia="黑体" w:cs="黑体"/>
          <w:bCs/>
          <w:color w:val="000000"/>
          <w:kern w:val="32"/>
          <w:sz w:val="32"/>
          <w:szCs w:val="32"/>
          <w:shd w:val="clear" w:fill="FFFFFF"/>
        </w:rPr>
        <w:t>四、政府信息公开行政复议、行政诉讼情况</w:t>
      </w:r>
    </w:p>
    <w:tbl>
      <w:tblPr>
        <w:tblStyle w:val="3"/>
        <w:tblW w:w="482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7"/>
        <w:gridCol w:w="547"/>
        <w:gridCol w:w="547"/>
        <w:gridCol w:w="547"/>
        <w:gridCol w:w="547"/>
        <w:gridCol w:w="547"/>
        <w:gridCol w:w="548"/>
        <w:gridCol w:w="548"/>
        <w:gridCol w:w="548"/>
        <w:gridCol w:w="553"/>
        <w:gridCol w:w="548"/>
        <w:gridCol w:w="548"/>
        <w:gridCol w:w="548"/>
        <w:gridCol w:w="548"/>
        <w:gridCol w:w="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17" w:hRule="atLeast"/>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行政复议</w:t>
            </w:r>
          </w:p>
        </w:tc>
        <w:tc>
          <w:tcPr>
            <w:tcW w:w="3336" w:type="pct"/>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7" w:hRule="atLeast"/>
          <w:jc w:val="center"/>
        </w:trPr>
        <w:tc>
          <w:tcPr>
            <w:tcW w:w="333"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结果维持</w:t>
            </w:r>
          </w:p>
        </w:tc>
        <w:tc>
          <w:tcPr>
            <w:tcW w:w="333" w:type="pct"/>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纠正</w:t>
            </w:r>
          </w:p>
        </w:tc>
        <w:tc>
          <w:tcPr>
            <w:tcW w:w="333"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其他</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tc>
        <w:tc>
          <w:tcPr>
            <w:tcW w:w="333"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尚未</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审结</w:t>
            </w:r>
          </w:p>
        </w:tc>
        <w:tc>
          <w:tcPr>
            <w:tcW w:w="333" w:type="pct"/>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总计</w:t>
            </w:r>
          </w:p>
        </w:tc>
        <w:tc>
          <w:tcPr>
            <w:tcW w:w="1668"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未经复议直接起诉</w:t>
            </w:r>
          </w:p>
        </w:tc>
        <w:tc>
          <w:tcPr>
            <w:tcW w:w="1668" w:type="pct"/>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 w:hRule="atLeast"/>
          <w:jc w:val="center"/>
        </w:trPr>
        <w:tc>
          <w:tcPr>
            <w:tcW w:w="333"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3" w:type="pct"/>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3" w:type="pct"/>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维持</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纠正</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其他</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尚未</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审结</w:t>
            </w:r>
          </w:p>
        </w:tc>
        <w:tc>
          <w:tcPr>
            <w:tcW w:w="335"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总计</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维持</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纠正</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其他</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结果</w:t>
            </w:r>
          </w:p>
        </w:tc>
        <w:tc>
          <w:tcPr>
            <w:tcW w:w="33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尚未</w:t>
            </w:r>
          </w:p>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审结</w:t>
            </w:r>
          </w:p>
        </w:tc>
        <w:tc>
          <w:tcPr>
            <w:tcW w:w="335"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仿宋_GB2312" w:hAnsi="Times New Roman" w:eastAsia="仿宋_GB2312" w:cs="仿宋_GB2312"/>
                <w:color w:val="000000"/>
                <w:kern w:val="0"/>
                <w:sz w:val="28"/>
                <w:szCs w:val="28"/>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6" w:hRule="atLeast"/>
          <w:jc w:val="center"/>
        </w:trPr>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c>
          <w:tcPr>
            <w:tcW w:w="335"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line="480" w:lineRule="exact"/>
              <w:ind w:left="0" w:right="0"/>
              <w:jc w:val="center"/>
            </w:pPr>
            <w:r>
              <w:rPr>
                <w:rFonts w:hint="default" w:ascii="Times New Roman" w:hAnsi="Times New Roman" w:eastAsia="仿宋_GB2312" w:cs="Times New Roman"/>
                <w:color w:val="000000"/>
                <w:kern w:val="0"/>
                <w:sz w:val="28"/>
                <w:szCs w:val="28"/>
                <w:lang w:val="en-US" w:eastAsia="zh-CN" w:bidi="ar"/>
              </w:rPr>
              <w:t>0</w:t>
            </w: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right="0"/>
        <w:jc w:val="both"/>
        <w:textAlignment w:val="auto"/>
      </w:pPr>
      <w:r>
        <w:rPr>
          <w:rFonts w:hint="eastAsia" w:ascii="黑体" w:hAnsi="宋体" w:eastAsia="黑体" w:cs="黑体"/>
          <w:bCs/>
          <w:color w:val="000000"/>
          <w:kern w:val="32"/>
          <w:sz w:val="32"/>
          <w:szCs w:val="32"/>
          <w:shd w:val="clear" w:fill="FFFFFF"/>
        </w:rPr>
        <w:t>    五、存在的主要问题及改进情况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jc w:val="left"/>
        <w:textAlignment w:val="auto"/>
      </w:pPr>
      <w:r>
        <w:rPr>
          <w:rFonts w:hint="default" w:ascii="楷体_GB2312" w:hAnsi="Times New Roman" w:eastAsia="楷体_GB2312" w:cs="楷体_GB2312"/>
          <w:b/>
          <w:bCs w:val="0"/>
          <w:color w:val="000000"/>
          <w:kern w:val="2"/>
          <w:sz w:val="32"/>
          <w:szCs w:val="32"/>
          <w:lang w:val="en-US" w:eastAsia="zh-CN" w:bidi="ar"/>
        </w:rPr>
        <w:t>   （一）存在的问题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jc w:val="left"/>
        <w:textAlignment w:val="auto"/>
      </w:pP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一是</w:t>
      </w:r>
      <w:r>
        <w:rPr>
          <w:rFonts w:hint="default" w:ascii="仿宋_GB2312" w:eastAsia="仿宋_GB2312" w:cs="仿宋_GB2312" w:hAnsiTheme="minorHAnsi"/>
          <w:i w:val="0"/>
          <w:caps w:val="0"/>
          <w:spacing w:val="0"/>
          <w:kern w:val="2"/>
          <w:sz w:val="32"/>
          <w:szCs w:val="32"/>
          <w:shd w:val="clear" w:fill="FFFFFF"/>
          <w:lang w:val="en-US" w:eastAsia="zh-CN" w:bidi="ar"/>
        </w:rPr>
        <w:t>部分信息公开不够及时，公开时效性有待加强</w:t>
      </w:r>
      <w:r>
        <w:rPr>
          <w:rFonts w:hint="default" w:ascii="仿宋_GB2312" w:hAnsi="微软雅黑" w:eastAsia="仿宋_GB2312" w:cs="仿宋_GB2312"/>
          <w:i w:val="0"/>
          <w:iCs w:val="0"/>
          <w:caps w:val="0"/>
          <w:color w:val="000000"/>
          <w:spacing w:val="0"/>
          <w:kern w:val="0"/>
          <w:sz w:val="32"/>
          <w:szCs w:val="32"/>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textAlignment w:val="auto"/>
      </w:pPr>
      <w:r>
        <w:rPr>
          <w:rFonts w:hint="default" w:ascii="仿宋_GB2312" w:hAnsi="微软雅黑" w:eastAsia="仿宋_GB2312" w:cs="仿宋_GB2312"/>
          <w:i w:val="0"/>
          <w:iCs w:val="0"/>
          <w:caps w:val="0"/>
          <w:color w:val="000000"/>
          <w:spacing w:val="0"/>
          <w:kern w:val="0"/>
          <w:sz w:val="32"/>
          <w:szCs w:val="32"/>
          <w:shd w:val="clear" w:fill="FFFFFF"/>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二是</w:t>
      </w:r>
      <w:r>
        <w:rPr>
          <w:rFonts w:hint="default" w:ascii="仿宋_GB2312" w:hAnsi="微软雅黑" w:eastAsia="仿宋_GB2312" w:cs="仿宋_GB2312"/>
          <w:i w:val="0"/>
          <w:iCs w:val="0"/>
          <w:caps w:val="0"/>
          <w:color w:val="000000"/>
          <w:spacing w:val="0"/>
          <w:kern w:val="0"/>
          <w:sz w:val="32"/>
          <w:szCs w:val="32"/>
          <w:shd w:val="clear" w:fill="FFFFFF"/>
        </w:rPr>
        <w:t>单位信息公开工作质量和工作效率以及主动公开的力度需要进一步的提高。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textAlignment w:val="auto"/>
      </w:pPr>
      <w:r>
        <w:rPr>
          <w:rFonts w:hint="default" w:ascii="仿宋_GB2312" w:hAnsi="微软雅黑" w:eastAsia="仿宋_GB2312" w:cs="仿宋_GB2312"/>
          <w:i w:val="0"/>
          <w:iCs w:val="0"/>
          <w:caps w:val="0"/>
          <w:color w:val="000000"/>
          <w:spacing w:val="0"/>
          <w:kern w:val="0"/>
          <w:sz w:val="32"/>
          <w:szCs w:val="32"/>
          <w:shd w:val="clear" w:fill="FFFFFF"/>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三是</w:t>
      </w:r>
      <w:r>
        <w:rPr>
          <w:rFonts w:hint="default" w:ascii="仿宋_GB2312" w:hAnsi="微软雅黑" w:eastAsia="仿宋_GB2312" w:cs="仿宋_GB2312"/>
          <w:i w:val="0"/>
          <w:iCs w:val="0"/>
          <w:caps w:val="0"/>
          <w:color w:val="000000"/>
          <w:spacing w:val="0"/>
          <w:kern w:val="0"/>
          <w:sz w:val="32"/>
          <w:szCs w:val="32"/>
          <w:shd w:val="clear" w:fill="FFFFFF"/>
        </w:rPr>
        <w:t>信息公开的宣传力度不够，全员参与度不高。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jc w:val="left"/>
        <w:textAlignment w:val="auto"/>
      </w:pPr>
      <w:r>
        <w:rPr>
          <w:rFonts w:hint="default" w:ascii="Times New Roman" w:hAnsi="Times New Roman" w:eastAsia="楷体_GB2312" w:cs="Times New Roman"/>
          <w:b/>
          <w:color w:val="000000"/>
          <w:kern w:val="2"/>
          <w:sz w:val="32"/>
          <w:szCs w:val="32"/>
          <w:lang w:val="en-US" w:eastAsia="zh-CN" w:bidi="ar"/>
        </w:rPr>
        <w:t>   </w:t>
      </w:r>
      <w:r>
        <w:rPr>
          <w:rFonts w:hint="default" w:ascii="Times New Roman" w:hAnsi="Times New Roman" w:eastAsia="楷体_GB2312" w:cs="Times New Roman"/>
          <w:b/>
          <w:bCs/>
          <w:color w:val="000000"/>
          <w:kern w:val="2"/>
          <w:sz w:val="32"/>
          <w:szCs w:val="32"/>
          <w:lang w:val="en-US" w:eastAsia="zh-CN" w:bidi="ar"/>
        </w:rPr>
        <w:t>（二）</w:t>
      </w:r>
      <w:r>
        <w:rPr>
          <w:rFonts w:hint="default" w:ascii="楷体_GB2312" w:eastAsia="楷体_GB2312" w:cs="楷体_GB2312" w:hAnsiTheme="minorHAnsi"/>
          <w:b/>
          <w:bCs/>
          <w:color w:val="000000"/>
          <w:kern w:val="0"/>
          <w:sz w:val="32"/>
          <w:szCs w:val="32"/>
          <w:lang w:val="en-US" w:eastAsia="zh-CN" w:bidi="ar"/>
        </w:rPr>
        <w:t>下一步打算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textAlignment w:val="auto"/>
      </w:pPr>
      <w:r>
        <w:rPr>
          <w:rFonts w:hint="default" w:ascii="Times New Roman" w:hAnsi="Times New Roman" w:eastAsia="楷体_GB2312" w:cs="Times New Roman"/>
          <w:b/>
          <w:bCs w:val="0"/>
          <w:color w:val="000000"/>
          <w:kern w:val="0"/>
          <w:sz w:val="32"/>
          <w:szCs w:val="32"/>
          <w:shd w:val="clear" w:fill="FFFFFF"/>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 一是</w:t>
      </w:r>
      <w:r>
        <w:rPr>
          <w:rFonts w:hint="default" w:ascii="仿宋_GB2312" w:hAnsi="微软雅黑" w:eastAsia="仿宋_GB2312" w:cs="仿宋_GB2312"/>
          <w:i w:val="0"/>
          <w:iCs w:val="0"/>
          <w:caps w:val="0"/>
          <w:color w:val="000000"/>
          <w:spacing w:val="0"/>
          <w:kern w:val="0"/>
          <w:sz w:val="32"/>
          <w:szCs w:val="32"/>
          <w:shd w:val="clear" w:fill="FFFFFF"/>
        </w:rPr>
        <w:t>加强学习，强化政府信息公开的人员队伍建设，努力提高业务素质；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textAlignment w:val="auto"/>
      </w:pPr>
      <w:r>
        <w:rPr>
          <w:rFonts w:hint="default" w:ascii="仿宋_GB2312" w:hAnsi="微软雅黑" w:eastAsia="仿宋_GB2312" w:cs="仿宋_GB2312"/>
          <w:i w:val="0"/>
          <w:iCs w:val="0"/>
          <w:caps w:val="0"/>
          <w:color w:val="000000"/>
          <w:spacing w:val="0"/>
          <w:kern w:val="0"/>
          <w:sz w:val="32"/>
          <w:szCs w:val="32"/>
          <w:shd w:val="clear" w:fill="FFFFFF"/>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二是</w:t>
      </w:r>
      <w:r>
        <w:rPr>
          <w:rFonts w:hint="default" w:ascii="仿宋_GB2312" w:hAnsi="微软雅黑" w:eastAsia="仿宋_GB2312" w:cs="仿宋_GB2312"/>
          <w:i w:val="0"/>
          <w:iCs w:val="0"/>
          <w:caps w:val="0"/>
          <w:color w:val="000000"/>
          <w:spacing w:val="0"/>
          <w:kern w:val="0"/>
          <w:sz w:val="32"/>
          <w:szCs w:val="32"/>
          <w:shd w:val="clear" w:fill="FFFFFF"/>
        </w:rPr>
        <w:t>强化政府信息公开宣传工作，扩大宣传范围，提高政府信息公开工作时效；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textAlignment w:val="auto"/>
      </w:pPr>
      <w:r>
        <w:rPr>
          <w:rFonts w:hint="default" w:ascii="仿宋_GB2312" w:hAnsi="微软雅黑" w:eastAsia="仿宋_GB2312" w:cs="仿宋_GB2312"/>
          <w:i w:val="0"/>
          <w:iCs w:val="0"/>
          <w:caps w:val="0"/>
          <w:color w:val="000000"/>
          <w:spacing w:val="0"/>
          <w:kern w:val="0"/>
          <w:sz w:val="32"/>
          <w:szCs w:val="32"/>
          <w:shd w:val="clear" w:fill="FFFFFF"/>
        </w:rPr>
        <w:t>   </w:t>
      </w:r>
      <w:r>
        <w:rPr>
          <w:rFonts w:hint="default" w:ascii="仿宋_GB2312" w:hAnsi="微软雅黑" w:eastAsia="仿宋_GB2312" w:cs="仿宋_GB2312"/>
          <w:b/>
          <w:bCs/>
          <w:i w:val="0"/>
          <w:iCs w:val="0"/>
          <w:caps w:val="0"/>
          <w:color w:val="000000"/>
          <w:spacing w:val="0"/>
          <w:kern w:val="0"/>
          <w:sz w:val="32"/>
          <w:szCs w:val="32"/>
          <w:shd w:val="clear" w:fill="FFFFFF"/>
          <w:lang w:val="en-US" w:eastAsia="zh-CN" w:bidi="ar"/>
        </w:rPr>
        <w:t> 三是</w:t>
      </w:r>
      <w:r>
        <w:rPr>
          <w:rFonts w:hint="default" w:ascii="仿宋_GB2312" w:hAnsi="微软雅黑" w:eastAsia="仿宋_GB2312" w:cs="仿宋_GB2312"/>
          <w:i w:val="0"/>
          <w:iCs w:val="0"/>
          <w:caps w:val="0"/>
          <w:color w:val="000000"/>
          <w:spacing w:val="0"/>
          <w:kern w:val="0"/>
          <w:sz w:val="32"/>
          <w:szCs w:val="32"/>
          <w:shd w:val="clear" w:fill="FFFFFF"/>
        </w:rPr>
        <w:t>继续加大加深政府信息公开广度深度，完善信息发布工作机制，以此促进我局各项工作的健康发展和服务水平的不断提高，更好发挥信息公开对建设法治政府部门、服务型政府部门的促进作用。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atLeast"/>
        <w:ind w:left="0" w:right="0"/>
        <w:jc w:val="both"/>
        <w:textAlignment w:val="auto"/>
      </w:pPr>
      <w:r>
        <w:rPr>
          <w:rFonts w:hint="eastAsia" w:ascii="黑体" w:hAnsi="宋体" w:eastAsia="黑体" w:cs="黑体"/>
          <w:bCs/>
          <w:color w:val="000000"/>
          <w:kern w:val="32"/>
          <w:sz w:val="32"/>
          <w:szCs w:val="32"/>
          <w:shd w:val="clear" w:fill="FFFFFF"/>
        </w:rPr>
        <w:t>    六、其他需要报告的事项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textAlignment w:val="auto"/>
      </w:pPr>
      <w:r>
        <w:rPr>
          <w:rFonts w:hint="default" w:ascii="仿宋_GB2312" w:hAnsi="Times New Roman" w:eastAsia="仿宋_GB2312" w:cs="仿宋_GB2312"/>
          <w:color w:val="000000"/>
          <w:kern w:val="32"/>
          <w:sz w:val="32"/>
          <w:szCs w:val="32"/>
          <w:shd w:val="clear" w:fill="FFFFFF"/>
        </w:rPr>
        <w:t>本年度，本机关未收取信息公开处理费。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textAlignment w:val="auto"/>
        <w:rPr>
          <w:rFonts w:hint="eastAsia"/>
        </w:rPr>
      </w:pPr>
      <w:r>
        <w:rPr>
          <w:rFonts w:hint="default" w:ascii="仿宋_GB2312" w:hAnsi="Times New Roman" w:eastAsia="仿宋_GB2312" w:cs="仿宋_GB2312"/>
          <w:color w:val="000000"/>
          <w:kern w:val="32"/>
          <w:sz w:val="32"/>
          <w:szCs w:val="32"/>
          <w:shd w:val="clear" w:fill="FFFFFF"/>
        </w:rPr>
        <w:t>如需了解更多政府信息，请登录上高县人民政府</w:t>
      </w:r>
      <w:r>
        <w:rPr>
          <w:rFonts w:hint="eastAsia" w:ascii="仿宋_GB2312" w:hAnsi="Times New Roman" w:eastAsia="仿宋_GB2312" w:cs="仿宋_GB2312"/>
          <w:color w:val="000000"/>
          <w:kern w:val="32"/>
          <w:sz w:val="32"/>
          <w:szCs w:val="32"/>
          <w:shd w:val="clear" w:fill="FFFFFF"/>
          <w:lang w:val="en-US" w:eastAsia="zh-CN"/>
        </w:rPr>
        <w:t>网</w:t>
      </w:r>
      <w:r>
        <w:rPr>
          <w:rFonts w:hint="default" w:ascii="仿宋_GB2312" w:hAnsi="Times New Roman" w:eastAsia="仿宋_GB2312" w:cs="仿宋_GB2312"/>
          <w:color w:val="000000"/>
          <w:kern w:val="32"/>
          <w:sz w:val="32"/>
          <w:szCs w:val="32"/>
          <w:shd w:val="clear" w:fill="FFFFFF"/>
        </w:rPr>
        <w:t>（</w:t>
      </w:r>
      <w:r>
        <w:rPr>
          <w:rFonts w:hint="default" w:ascii="Times New Roman" w:hAnsi="Times New Roman" w:eastAsia="仿宋_GB2312" w:cs="Times New Roman"/>
          <w:kern w:val="32"/>
          <w:sz w:val="32"/>
          <w:szCs w:val="32"/>
          <w:shd w:val="clear" w:fill="FFFFFF"/>
        </w:rPr>
        <w:fldChar w:fldCharType="begin"/>
      </w:r>
      <w:r>
        <w:rPr>
          <w:rFonts w:hint="default" w:ascii="Times New Roman" w:hAnsi="Times New Roman" w:eastAsia="仿宋_GB2312" w:cs="Times New Roman"/>
          <w:kern w:val="32"/>
          <w:sz w:val="32"/>
          <w:szCs w:val="32"/>
          <w:shd w:val="clear" w:fill="FFFFFF"/>
        </w:rPr>
        <w:instrText xml:space="preserve"> HYPERLINK "http://www.shanggao.gov.cn" </w:instrText>
      </w:r>
      <w:r>
        <w:rPr>
          <w:rFonts w:hint="default" w:ascii="Times New Roman" w:hAnsi="Times New Roman" w:eastAsia="仿宋_GB2312" w:cs="Times New Roman"/>
          <w:kern w:val="32"/>
          <w:sz w:val="32"/>
          <w:szCs w:val="32"/>
          <w:shd w:val="clear" w:fill="FFFFFF"/>
        </w:rPr>
        <w:fldChar w:fldCharType="separate"/>
      </w:r>
      <w:r>
        <w:rPr>
          <w:rStyle w:val="5"/>
          <w:rFonts w:hint="default" w:ascii="Times New Roman" w:hAnsi="Times New Roman" w:eastAsia="仿宋_GB2312" w:cs="Times New Roman"/>
          <w:kern w:val="32"/>
          <w:sz w:val="32"/>
          <w:szCs w:val="32"/>
          <w:shd w:val="clear" w:fill="FFFFFF"/>
        </w:rPr>
        <w:t>http://www.shanggao.gov.cn</w:t>
      </w:r>
      <w:r>
        <w:rPr>
          <w:rFonts w:hint="default" w:ascii="Times New Roman" w:hAnsi="Times New Roman" w:eastAsia="仿宋_GB2312" w:cs="Times New Roman"/>
          <w:kern w:val="32"/>
          <w:sz w:val="32"/>
          <w:szCs w:val="32"/>
          <w:shd w:val="clear" w:fill="FFFFFF"/>
        </w:rPr>
        <w:fldChar w:fldCharType="end"/>
      </w:r>
      <w:r>
        <w:rPr>
          <w:rFonts w:hint="default" w:ascii="仿宋_GB2312" w:hAnsi="Times New Roman" w:eastAsia="仿宋_GB2312" w:cs="仿宋_GB2312"/>
          <w:color w:val="000000"/>
          <w:kern w:val="32"/>
          <w:sz w:val="32"/>
          <w:szCs w:val="32"/>
          <w:shd w:val="clear" w:fill="FFFFFF"/>
        </w:rPr>
        <w:t>）查询。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940BB93-CDAC-484C-BC2F-CBD55DFD71D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4095C75-BE04-44C0-BD26-1161E9095DF5}"/>
  </w:font>
  <w:font w:name="方正小标宋简体">
    <w:panose1 w:val="02000000000000000000"/>
    <w:charset w:val="86"/>
    <w:family w:val="auto"/>
    <w:pitch w:val="default"/>
    <w:sig w:usb0="00000001" w:usb1="08000000" w:usb2="00000000" w:usb3="00000000" w:csb0="00040000" w:csb1="00000000"/>
    <w:embedRegular r:id="rId3" w:fontKey="{6B62F948-96D9-4ED2-B48A-90C9F6FE7480}"/>
  </w:font>
  <w:font w:name="仿宋_GB2312">
    <w:altName w:val="仿宋"/>
    <w:panose1 w:val="00000000000000000000"/>
    <w:charset w:val="00"/>
    <w:family w:val="auto"/>
    <w:pitch w:val="default"/>
    <w:sig w:usb0="00000000" w:usb1="00000000" w:usb2="00000000" w:usb3="00000000" w:csb0="00000000" w:csb1="00000000"/>
    <w:embedRegular r:id="rId4" w:fontKey="{3D75CC96-3577-4920-849A-C4D6DF2ADDF0}"/>
  </w:font>
  <w:font w:name="楷体_GB2312">
    <w:altName w:val="楷体"/>
    <w:panose1 w:val="00000000000000000000"/>
    <w:charset w:val="00"/>
    <w:family w:val="auto"/>
    <w:pitch w:val="default"/>
    <w:sig w:usb0="00000000" w:usb1="00000000" w:usb2="00000000" w:usb3="00000000" w:csb0="00000000" w:csb1="00000000"/>
    <w:embedRegular r:id="rId5" w:fontKey="{784F3F83-A0C8-477A-A6F6-F54C443B1620}"/>
  </w:font>
  <w:font w:name="方正仿宋_GB2312">
    <w:panose1 w:val="02000000000000000000"/>
    <w:charset w:val="86"/>
    <w:family w:val="auto"/>
    <w:pitch w:val="default"/>
    <w:sig w:usb0="A00002BF" w:usb1="184F6CFA" w:usb2="00000012" w:usb3="00000000" w:csb0="00040001" w:csb1="00000000"/>
    <w:embedRegular r:id="rId6" w:fontKey="{5BF023A6-6C7A-4062-9E5D-5F1C6F27F7EB}"/>
  </w:font>
  <w:font w:name="微软雅黑">
    <w:panose1 w:val="020B0503020204020204"/>
    <w:charset w:val="86"/>
    <w:family w:val="auto"/>
    <w:pitch w:val="default"/>
    <w:sig w:usb0="80000287" w:usb1="2ACF3C50" w:usb2="00000016" w:usb3="00000000" w:csb0="0004001F" w:csb1="00000000"/>
    <w:embedRegular r:id="rId7" w:fontKey="{1DE1EAD5-B0B1-4E2C-9FE7-94E0D51C424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3NWI4ZDEwMDY3MDViMGUwNjBiNTJmYmZiMDg0NDMifQ=="/>
  </w:docVars>
  <w:rsids>
    <w:rsidRoot w:val="61763049"/>
    <w:rsid w:val="478802D7"/>
    <w:rsid w:val="5FC41F73"/>
    <w:rsid w:val="61763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2024-01-12T06:59:00Z</dcterms:created>
  <dc:creator>邹</dc:creator>
  <cp:lastModifiedBy>邹</cp:lastModifiedBy>
  <dcterms:modified xsi:type="dcterms:W3CDTF">2024-01-12T07:22:27Z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93B5FDA6AC654D3BBD0F419BD11439C9_11</vt:lpwstr>
  </property>
</Properties>
</file>