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上高县退役军人事务局202</w:t>
      </w:r>
      <w:r>
        <w:rPr>
          <w:rFonts w:hint="eastAsia" w:ascii="宋体" w:hAnsi="宋体" w:eastAsia="宋体" w:cs="宋体"/>
          <w:b/>
          <w:sz w:val="44"/>
          <w:szCs w:val="44"/>
          <w:shd w:val="clear" w:color="auto" w:fill="FFFFFF"/>
          <w:lang w:val="en-US" w:eastAsia="zh-CN"/>
        </w:rPr>
        <w:t>2</w:t>
      </w:r>
      <w:r>
        <w:rPr>
          <w:rFonts w:hint="eastAsia" w:ascii="宋体" w:hAnsi="宋体" w:eastAsia="宋体" w:cs="宋体"/>
          <w:b/>
          <w:sz w:val="44"/>
          <w:szCs w:val="44"/>
          <w:shd w:val="clear" w:color="auto" w:fill="FFFFFF"/>
        </w:rPr>
        <w:t>年政府信息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根据《中华人民共和国政府信息公开条例》（以下简称《条例》）</w:t>
      </w:r>
      <w:r>
        <w:rPr>
          <w:rFonts w:hint="eastAsia" w:ascii="Times New Roman" w:hAnsi="Times New Roman" w:eastAsia="仿宋_GB2312"/>
          <w:color w:val="000000"/>
          <w:kern w:val="32"/>
          <w:sz w:val="32"/>
          <w:szCs w:val="32"/>
          <w:lang w:val="en-US" w:eastAsia="zh-CN"/>
        </w:rPr>
        <w:t>和</w:t>
      </w:r>
      <w:r>
        <w:rPr>
          <w:rFonts w:hint="eastAsia" w:ascii="Times New Roman" w:hAnsi="Times New Roman" w:eastAsia="仿宋_GB2312"/>
          <w:color w:val="000000"/>
          <w:kern w:val="32"/>
          <w:sz w:val="32"/>
          <w:szCs w:val="32"/>
        </w:rPr>
        <w:t>《国务院办公厅</w:t>
      </w:r>
      <w:r>
        <w:rPr>
          <w:rFonts w:hint="eastAsia" w:ascii="Times New Roman" w:hAnsi="Times New Roman" w:eastAsia="仿宋_GB2312"/>
          <w:color w:val="000000"/>
          <w:kern w:val="32"/>
          <w:sz w:val="32"/>
          <w:szCs w:val="32"/>
          <w:lang w:val="en-US" w:eastAsia="zh-CN"/>
        </w:rPr>
        <w:t>关于印发政府网站发展指引的通知》、国务院办公厅</w:t>
      </w:r>
      <w:r>
        <w:rPr>
          <w:rFonts w:hint="eastAsia" w:ascii="Times New Roman" w:hAnsi="Times New Roman" w:eastAsia="仿宋_GB2312"/>
          <w:color w:val="000000"/>
          <w:kern w:val="32"/>
          <w:sz w:val="32"/>
          <w:szCs w:val="32"/>
        </w:rPr>
        <w:t>政府信息与政务公开办公室国办公开办函〔</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30</w:t>
      </w:r>
      <w:r>
        <w:rPr>
          <w:rFonts w:hint="eastAsia" w:ascii="Times New Roman" w:hAnsi="Times New Roman" w:eastAsia="仿宋_GB2312"/>
          <w:color w:val="000000"/>
          <w:kern w:val="32"/>
          <w:sz w:val="32"/>
          <w:szCs w:val="32"/>
        </w:rPr>
        <w:t>号</w:t>
      </w:r>
      <w:r>
        <w:rPr>
          <w:rFonts w:hint="eastAsia" w:ascii="Times New Roman" w:hAnsi="Times New Roman" w:eastAsia="仿宋_GB2312"/>
          <w:color w:val="000000"/>
          <w:kern w:val="32"/>
          <w:sz w:val="32"/>
          <w:szCs w:val="32"/>
          <w:lang w:val="en-US" w:eastAsia="zh-CN"/>
        </w:rPr>
        <w:t>等文件</w:t>
      </w:r>
      <w:r>
        <w:rPr>
          <w:rFonts w:hint="eastAsia" w:ascii="Times New Roman" w:hAnsi="Times New Roman" w:eastAsia="仿宋_GB2312"/>
          <w:color w:val="000000"/>
          <w:kern w:val="32"/>
          <w:sz w:val="32"/>
          <w:szCs w:val="32"/>
        </w:rPr>
        <w:t>要求编制本报告。报告中所列数据统计期限从</w:t>
      </w:r>
      <w:r>
        <w:rPr>
          <w:rFonts w:ascii="Times New Roman" w:hAnsi="Times New Roman" w:eastAsia="仿宋_GB2312"/>
          <w:color w:val="000000"/>
          <w:kern w:val="32"/>
          <w:sz w:val="32"/>
          <w:szCs w:val="32"/>
        </w:rPr>
        <w:t>202</w:t>
      </w:r>
      <w:r>
        <w:rPr>
          <w:rFonts w:hint="eastAsia" w:ascii="Times New Roman" w:hAnsi="Times New Roman" w:eastAsia="仿宋_GB2312"/>
          <w:color w:val="000000"/>
          <w:kern w:val="32"/>
          <w:sz w:val="32"/>
          <w:szCs w:val="32"/>
          <w:lang w:val="en-US" w:eastAsia="zh-CN"/>
        </w:rPr>
        <w:t>2</w:t>
      </w:r>
      <w:r>
        <w:rPr>
          <w:rFonts w:hint="eastAsia" w:ascii="Times New Roman" w:hAnsi="Times New Roman" w:eastAsia="仿宋_GB2312"/>
          <w:color w:val="000000"/>
          <w:kern w:val="32"/>
          <w:sz w:val="32"/>
          <w:szCs w:val="32"/>
        </w:rPr>
        <w:t>年</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日到</w:t>
      </w:r>
      <w:r>
        <w:rPr>
          <w:rFonts w:hint="eastAsia" w:ascii="Times New Roman" w:hAnsi="Times New Roman" w:eastAsia="仿宋_GB2312"/>
          <w:color w:val="000000"/>
          <w:kern w:val="32"/>
          <w:sz w:val="32"/>
          <w:szCs w:val="32"/>
          <w:lang w:val="en-US" w:eastAsia="zh-CN"/>
        </w:rPr>
        <w:t>2022年</w:t>
      </w:r>
      <w:r>
        <w:rPr>
          <w:rFonts w:ascii="Times New Roman" w:hAnsi="Times New Roman" w:eastAsia="仿宋_GB2312"/>
          <w:color w:val="000000"/>
          <w:kern w:val="32"/>
          <w:sz w:val="32"/>
          <w:szCs w:val="32"/>
        </w:rPr>
        <w:t>12</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31</w:t>
      </w:r>
      <w:r>
        <w:rPr>
          <w:rFonts w:hint="eastAsia" w:ascii="Times New Roman" w:hAnsi="Times New Roman" w:eastAsia="仿宋_GB2312"/>
          <w:color w:val="000000"/>
          <w:kern w:val="32"/>
          <w:sz w:val="32"/>
          <w:szCs w:val="32"/>
        </w:rPr>
        <w:t>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退役军人事务局联系（地址：上高县沿江东路5号，电话：0795-2519019，邮编：336400）。</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202</w:t>
      </w:r>
      <w:r>
        <w:rPr>
          <w:rFonts w:hint="eastAsia" w:ascii="Times New Roman" w:hAnsi="Times New Roman" w:eastAsia="仿宋_GB2312"/>
          <w:color w:val="000000"/>
          <w:kern w:val="32"/>
          <w:sz w:val="32"/>
          <w:szCs w:val="32"/>
          <w:lang w:val="en-US" w:eastAsia="zh-CN"/>
        </w:rPr>
        <w:t>2</w:t>
      </w:r>
      <w:r>
        <w:rPr>
          <w:rFonts w:hint="eastAsia" w:ascii="Times New Roman" w:hAnsi="Times New Roman" w:eastAsia="仿宋_GB2312"/>
          <w:color w:val="000000"/>
          <w:kern w:val="32"/>
          <w:sz w:val="32"/>
          <w:szCs w:val="32"/>
        </w:rPr>
        <w:t>年上高县退役军人事务局坚持以习近平新时代中国特色社会主义思想为指导，深入贯彻落实党的二十大精神，，紧密结合我县退役军人事务工作重点，紧紧围绕习近平总书记关于退役军人工作的重要论述和指示批示精神，将做好退役军人及其他优抚对象关心关注的利益相关问题公开工作列入全年工作重点，切实加强组织领导，健全政府信息公开制度，扎实推进政府信息公开工作，突出政务公开重点，提高政务公开服务水平，政府信息公开工作的有序推进，有力地保障了退役军人及其他优抚对象的知情权、参与权、表达权和监督权。</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主动公开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2022年上高县退役军人事务局及时主动公开财政预算、决算信息和法律、法规、规章和国家有关规定应当主动公开的其他政府信息，有力保障公众的知情权、参与权、监督权。</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依申请公开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根据《中华人民共和国政府信息公开条例》，我局全面梳理和优化依申请公开流程,健全工作机制,规范政府信息依申请公开的申请主体和申请程序,明确受理申请机关、受理答复程序、答复时限及收费标准，合力有序推进政府信息依申请公开工作。</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政府信息管理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建立健全政府信息公开审查机制，专门出台内部文件，健全完善信息公开审核和对外发布机制，严格落实局政务公开保密审查管理办法，将公文、新闻通稿信息全部纳入保密审查范围，要求提报公开信息时，股室负责人和分管领导要严格把关，做到一文一审。对必须公开和可以公开的信息及时公开，对不属于公开事项的严格遵守保密规定，确保不出差错。</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平台建设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在上高县人民政府网站“政府工作部门信息公开”，上高县退役军人事务局“办事指南、职能职责、相关政策、部门动态、政府信息公开年报、政府信息公开指南”等多个栏目公开涉及退役军人相关政务信息。2022年来共公开组织机构、部门文件、工作动态、通知公告、办事指南、财政预决算等信息18条。</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420" w:firstLine="640" w:firstLineChars="200"/>
        <w:jc w:val="both"/>
        <w:textAlignment w:val="auto"/>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监督保障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宋体" w:hAnsi="宋体" w:eastAsia="宋体" w:cs="宋体"/>
          <w:b/>
          <w:sz w:val="32"/>
          <w:szCs w:val="32"/>
          <w:shd w:val="clear" w:color="auto" w:fill="FFFFFF"/>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积极主动，沟通协调，推动政府信息公开工作向前发展，制定了《上高县退役军人事务局2022年政府信息公开工作要点》，定期召开信息公开工作研讨会，主动公开、重点公开信息内容涉及范围和质量均得到明显提升。 根据县政府信息公开工作统一部署和要求，我局把信息公开工作列入重要议事议程，健全领导机构，明确分管副局长，办公室为政府信息公开工作的具体部门，安排专职人员负责政务公开日常工作，并强化责任到股室、落实到个人的工作机制，全局形成上下联动、整体推进的工作体系。</w:t>
      </w:r>
    </w:p>
    <w:p>
      <w:pPr>
        <w:pStyle w:val="4"/>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5"/>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 xml:space="preserve"> 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黑体" w:hAnsi="黑体" w:eastAsia="黑体" w:cs="黑体"/>
          <w:b/>
          <w:bCs/>
          <w:color w:val="000000"/>
          <w:sz w:val="32"/>
          <w:szCs w:val="32"/>
          <w:shd w:val="clear" w:color="auto" w:fill="FFFFFF"/>
        </w:rPr>
      </w:pPr>
    </w:p>
    <w:p>
      <w:pPr>
        <w:pStyle w:val="4"/>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5"/>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280" w:firstLineChars="10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4"/>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5"/>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黑体" w:hAnsi="黑体" w:eastAsia="黑体" w:cs="黑体"/>
          <w:bCs/>
          <w:sz w:val="32"/>
          <w:szCs w:val="32"/>
        </w:rPr>
      </w:pPr>
      <w:r>
        <w:rPr>
          <w:rFonts w:hint="eastAsia" w:ascii="黑体" w:hAnsi="黑体" w:eastAsia="黑体" w:cs="黑体"/>
          <w:bCs/>
          <w:sz w:val="32"/>
          <w:szCs w:val="32"/>
          <w:shd w:val="clear" w:color="auto"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2年我局政府信息公开工作在依申请公开方面进行了创新，并取得一定成效，全年未引起任何行政复议或行政诉讼。但在主动公开工作中还存在着一些短板，如：</w:t>
      </w:r>
      <w:r>
        <w:rPr>
          <w:rFonts w:hint="eastAsia"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一是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在办文过程中校稿不够认真，出现文件定稿延迟，导致文件送达公开办进行主动公开时超出现定时限。</w:t>
      </w:r>
      <w:r>
        <w:rPr>
          <w:rFonts w:hint="eastAsia"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二是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信息公开的内容有待进一步完善。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下一步，我局将积极探索建立更加规范、高效的政务公开工作机制，优化工作流程，严格落实责任，提高政务公开工作标准化、规范化水平；进一步创新政务微信运营管理，配强工作力量，让退役军人事务政务发布更生动、更具特色活力，切实把</w:t>
      </w:r>
      <w:bookmarkStart w:id="0" w:name="_GoBack"/>
      <w:bookmarkEnd w:id="0"/>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政策举措讲清楚，强化干部学习，努力提升信息化整体水平。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黑体" w:hAnsi="黑体" w:eastAsia="黑体" w:cs="黑体"/>
          <w:bCs/>
          <w:sz w:val="32"/>
          <w:szCs w:val="32"/>
        </w:rPr>
      </w:pPr>
      <w:r>
        <w:rPr>
          <w:rFonts w:hint="eastAsia" w:ascii="黑体" w:hAnsi="黑体" w:eastAsia="黑体" w:cs="黑体"/>
          <w:bCs/>
          <w:sz w:val="32"/>
          <w:szCs w:val="32"/>
          <w:shd w:val="clear" w:color="auto"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本年度依申请公开政府信息未收取任何费用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上高县人民政府网（http://www.shanggao.gov.cn），如需了解更多政府信息，请登录查询。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zAzNjU3ZTFmODQ0YWI4YzY3ZjZkNzFmZTA3ZDcifQ=="/>
  </w:docVars>
  <w:rsids>
    <w:rsidRoot w:val="00BB7E13"/>
    <w:rsid w:val="00010D01"/>
    <w:rsid w:val="003221F9"/>
    <w:rsid w:val="00414067"/>
    <w:rsid w:val="00433DCD"/>
    <w:rsid w:val="00447CE3"/>
    <w:rsid w:val="004B1AD7"/>
    <w:rsid w:val="00611EA2"/>
    <w:rsid w:val="007E5C8F"/>
    <w:rsid w:val="00815117"/>
    <w:rsid w:val="008A7528"/>
    <w:rsid w:val="00BB7E13"/>
    <w:rsid w:val="00C80430"/>
    <w:rsid w:val="00D4461C"/>
    <w:rsid w:val="00DA7A18"/>
    <w:rsid w:val="00ED3E8C"/>
    <w:rsid w:val="072F4BA5"/>
    <w:rsid w:val="0E1F1149"/>
    <w:rsid w:val="0F42566A"/>
    <w:rsid w:val="0FE32618"/>
    <w:rsid w:val="17534F7D"/>
    <w:rsid w:val="1B931963"/>
    <w:rsid w:val="1D6D402B"/>
    <w:rsid w:val="1ED42E87"/>
    <w:rsid w:val="23B06487"/>
    <w:rsid w:val="2480713E"/>
    <w:rsid w:val="4735776D"/>
    <w:rsid w:val="519D4381"/>
    <w:rsid w:val="566E50F8"/>
    <w:rsid w:val="56857A37"/>
    <w:rsid w:val="5FCE6A83"/>
    <w:rsid w:val="6EB526D3"/>
    <w:rsid w:val="6EC41F3F"/>
    <w:rsid w:val="72DE4F80"/>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2489</Words>
  <Characters>2606</Characters>
  <Lines>18</Lines>
  <Paragraphs>5</Paragraphs>
  <TotalTime>3</TotalTime>
  <ScaleCrop>false</ScaleCrop>
  <LinksUpToDate>false</LinksUpToDate>
  <CharactersWithSpaces>2612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2021-11-15T01:16:00Z</dcterms:created>
  <dc:creator>Administrator</dc:creator>
  <cp:lastModifiedBy>天亮了@优</cp:lastModifiedBy>
  <dcterms:modified xsi:type="dcterms:W3CDTF">2023-01-18T11:25:19Z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3D3910B0DBE64EC4BA7732F7B9F4A2D7</vt:lpwstr>
  </property>
</Properties>
</file>