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bookmarkStart w:id="0" w:name="_GoBack"/>
      <w:r>
        <w:rPr>
          <w:rFonts w:hint="eastAsia" w:ascii="宋体" w:hAnsi="宋体" w:eastAsia="宋体" w:cs="宋体"/>
          <w:b/>
          <w:i w:val="0"/>
          <w:caps w:val="0"/>
          <w:color w:val="333333"/>
          <w:spacing w:val="0"/>
          <w:sz w:val="44"/>
          <w:szCs w:val="44"/>
          <w:shd w:val="clear" w:fill="FFFFFF"/>
          <w:lang w:val="en-US" w:eastAsia="zh-CN"/>
        </w:rPr>
        <w:t>上高县工信局2021年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w:t>
      </w:r>
      <w:r>
        <w:rPr>
          <w:rFonts w:hint="eastAsia" w:ascii="仿宋" w:hAnsi="仿宋" w:eastAsia="仿宋" w:cs="仿宋"/>
          <w:i w:val="0"/>
          <w:caps w:val="0"/>
          <w:color w:val="auto"/>
          <w:spacing w:val="0"/>
          <w:sz w:val="32"/>
          <w:szCs w:val="32"/>
          <w:lang w:val="en-US" w:eastAsia="zh-CN"/>
        </w:rPr>
        <w:t>21</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val="en-US" w:eastAsia="zh-CN"/>
        </w:rPr>
        <w:t>30</w:t>
      </w:r>
      <w:r>
        <w:rPr>
          <w:rFonts w:hint="eastAsia" w:ascii="仿宋" w:hAnsi="仿宋" w:eastAsia="仿宋" w:cs="仿宋"/>
          <w:i w:val="0"/>
          <w:caps w:val="0"/>
          <w:color w:val="auto"/>
          <w:spacing w:val="0"/>
          <w:sz w:val="32"/>
          <w:szCs w:val="32"/>
        </w:rPr>
        <w:t>号）要求，由</w:t>
      </w:r>
      <w:r>
        <w:rPr>
          <w:rFonts w:hint="eastAsia" w:ascii="仿宋" w:hAnsi="仿宋" w:eastAsia="仿宋" w:cs="仿宋"/>
          <w:i w:val="0"/>
          <w:caps w:val="0"/>
          <w:color w:val="auto"/>
          <w:spacing w:val="0"/>
          <w:sz w:val="32"/>
          <w:szCs w:val="32"/>
          <w:highlight w:val="none"/>
          <w:lang w:val="en-US" w:eastAsia="zh-CN"/>
        </w:rPr>
        <w:t>上高县工信局</w:t>
      </w:r>
      <w:r>
        <w:rPr>
          <w:rFonts w:hint="eastAsia" w:ascii="仿宋" w:hAnsi="仿宋" w:eastAsia="仿宋" w:cs="仿宋"/>
          <w:i w:val="0"/>
          <w:caps w:val="0"/>
          <w:color w:val="auto"/>
          <w:spacing w:val="0"/>
          <w:sz w:val="32"/>
          <w:szCs w:val="32"/>
        </w:rPr>
        <w:t>结合有关统计数据编制。本年度报告中所列数据的统计期限自</w:t>
      </w:r>
      <w:r>
        <w:rPr>
          <w:rFonts w:hint="eastAsia" w:ascii="仿宋" w:hAnsi="仿宋" w:eastAsia="仿宋" w:cs="仿宋"/>
          <w:i w:val="0"/>
          <w:caps w:val="0"/>
          <w:color w:val="auto"/>
          <w:spacing w:val="0"/>
          <w:sz w:val="32"/>
          <w:szCs w:val="32"/>
          <w:lang w:val="en-US" w:eastAsia="zh-CN"/>
        </w:rPr>
        <w:t>2021</w:t>
      </w:r>
      <w:r>
        <w:rPr>
          <w:rFonts w:hint="eastAsia" w:ascii="仿宋" w:hAnsi="仿宋" w:eastAsia="仿宋" w:cs="仿宋"/>
          <w:i w:val="0"/>
          <w:caps w:val="0"/>
          <w:color w:val="auto"/>
          <w:spacing w:val="0"/>
          <w:sz w:val="32"/>
          <w:szCs w:val="32"/>
        </w:rPr>
        <w:t>年1月1日起至</w:t>
      </w:r>
      <w:r>
        <w:rPr>
          <w:rFonts w:hint="eastAsia" w:ascii="仿宋" w:hAnsi="仿宋" w:eastAsia="仿宋" w:cs="仿宋"/>
          <w:i w:val="0"/>
          <w:caps w:val="0"/>
          <w:color w:val="auto"/>
          <w:spacing w:val="0"/>
          <w:sz w:val="32"/>
          <w:szCs w:val="32"/>
          <w:lang w:val="en-US" w:eastAsia="zh-CN"/>
        </w:rPr>
        <w:t>2021</w:t>
      </w:r>
      <w:r>
        <w:rPr>
          <w:rFonts w:hint="eastAsia" w:ascii="仿宋" w:hAnsi="仿宋" w:eastAsia="仿宋" w:cs="仿宋"/>
          <w:i w:val="0"/>
          <w:caps w:val="0"/>
          <w:color w:val="auto"/>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auto"/>
          <w:spacing w:val="0"/>
          <w:sz w:val="32"/>
          <w:szCs w:val="32"/>
          <w:highlight w:val="none"/>
          <w:lang w:val="en-US" w:eastAsia="zh-CN"/>
        </w:rPr>
        <w:t>上高县</w:t>
      </w:r>
      <w:r>
        <w:rPr>
          <w:rFonts w:hint="eastAsia" w:ascii="仿宋" w:hAnsi="仿宋" w:eastAsia="仿宋" w:cs="仿宋"/>
          <w:i w:val="0"/>
          <w:caps w:val="0"/>
          <w:color w:val="auto"/>
          <w:spacing w:val="0"/>
          <w:sz w:val="32"/>
          <w:szCs w:val="32"/>
          <w:highlight w:val="none"/>
        </w:rPr>
        <w:t>人民政府网站</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b w:val="0"/>
          <w:i w:val="0"/>
          <w:caps w:val="0"/>
          <w:color w:val="auto"/>
          <w:spacing w:val="0"/>
          <w:sz w:val="32"/>
          <w:szCs w:val="32"/>
          <w:highlight w:val="none"/>
        </w:rPr>
        <w:t>网址为http://www.shanggao.gov.cn</w:t>
      </w:r>
      <w:r>
        <w:rPr>
          <w:rFonts w:hint="eastAsia" w:ascii="仿宋" w:hAnsi="仿宋" w:eastAsia="仿宋" w:cs="仿宋"/>
          <w:i w:val="0"/>
          <w:caps w:val="0"/>
          <w:color w:val="auto"/>
          <w:spacing w:val="0"/>
          <w:sz w:val="32"/>
          <w:szCs w:val="32"/>
          <w:highlight w:val="none"/>
          <w:lang w:eastAsia="zh-CN"/>
        </w:rPr>
        <w:t>）</w:t>
      </w:r>
      <w:r>
        <w:rPr>
          <w:rFonts w:hint="eastAsia" w:ascii="仿宋" w:hAnsi="仿宋" w:eastAsia="仿宋" w:cs="仿宋"/>
          <w:i w:val="0"/>
          <w:caps w:val="0"/>
          <w:color w:val="auto"/>
          <w:spacing w:val="0"/>
          <w:sz w:val="32"/>
          <w:szCs w:val="32"/>
          <w:highlight w:val="none"/>
        </w:rPr>
        <w:t>下载。如对本报告有任何疑问，请与</w:t>
      </w:r>
      <w:r>
        <w:rPr>
          <w:rFonts w:hint="eastAsia" w:ascii="仿宋" w:hAnsi="仿宋" w:eastAsia="仿宋" w:cs="仿宋"/>
          <w:i w:val="0"/>
          <w:caps w:val="0"/>
          <w:color w:val="auto"/>
          <w:spacing w:val="0"/>
          <w:sz w:val="32"/>
          <w:szCs w:val="32"/>
          <w:highlight w:val="none"/>
          <w:lang w:val="en-US" w:eastAsia="zh-CN"/>
        </w:rPr>
        <w:t>上高县工信局办公室</w:t>
      </w:r>
      <w:r>
        <w:rPr>
          <w:rFonts w:hint="eastAsia" w:ascii="仿宋" w:hAnsi="仿宋" w:eastAsia="仿宋" w:cs="仿宋"/>
          <w:i w:val="0"/>
          <w:caps w:val="0"/>
          <w:color w:val="auto"/>
          <w:spacing w:val="0"/>
          <w:sz w:val="32"/>
          <w:szCs w:val="32"/>
          <w:highlight w:val="none"/>
        </w:rPr>
        <w:t>联系（地址：</w:t>
      </w:r>
      <w:r>
        <w:rPr>
          <w:rFonts w:hint="eastAsia" w:ascii="仿宋" w:hAnsi="仿宋" w:eastAsia="仿宋" w:cs="仿宋"/>
          <w:i w:val="0"/>
          <w:caps w:val="0"/>
          <w:color w:val="auto"/>
          <w:spacing w:val="0"/>
          <w:sz w:val="32"/>
          <w:szCs w:val="32"/>
          <w:highlight w:val="none"/>
          <w:lang w:val="en-US" w:eastAsia="zh-CN"/>
        </w:rPr>
        <w:t>上高县清莲路9号</w:t>
      </w:r>
      <w:r>
        <w:rPr>
          <w:rFonts w:hint="eastAsia" w:ascii="仿宋" w:hAnsi="仿宋" w:eastAsia="仿宋" w:cs="仿宋"/>
          <w:i w:val="0"/>
          <w:caps w:val="0"/>
          <w:color w:val="auto"/>
          <w:spacing w:val="0"/>
          <w:sz w:val="32"/>
          <w:szCs w:val="32"/>
          <w:highlight w:val="none"/>
        </w:rPr>
        <w:t>，电话：</w:t>
      </w:r>
      <w:r>
        <w:rPr>
          <w:rFonts w:hint="eastAsia" w:ascii="仿宋" w:hAnsi="仿宋" w:eastAsia="仿宋" w:cs="仿宋"/>
          <w:i w:val="0"/>
          <w:caps w:val="0"/>
          <w:color w:val="auto"/>
          <w:spacing w:val="0"/>
          <w:sz w:val="32"/>
          <w:szCs w:val="32"/>
          <w:highlight w:val="none"/>
          <w:lang w:val="en-US" w:eastAsia="zh-CN"/>
        </w:rPr>
        <w:t>0795-2511359</w:t>
      </w:r>
      <w:r>
        <w:rPr>
          <w:rFonts w:hint="eastAsia" w:ascii="仿宋" w:hAnsi="仿宋" w:eastAsia="仿宋" w:cs="仿宋"/>
          <w:i w:val="0"/>
          <w:caps w:val="0"/>
          <w:color w:val="auto"/>
          <w:spacing w:val="0"/>
          <w:sz w:val="32"/>
          <w:szCs w:val="32"/>
          <w:highlight w:val="none"/>
        </w:rPr>
        <w:t>，邮编：</w:t>
      </w:r>
      <w:r>
        <w:rPr>
          <w:rFonts w:hint="eastAsia" w:ascii="仿宋" w:hAnsi="仿宋" w:eastAsia="仿宋" w:cs="仿宋"/>
          <w:i w:val="0"/>
          <w:caps w:val="0"/>
          <w:color w:val="auto"/>
          <w:spacing w:val="0"/>
          <w:sz w:val="32"/>
          <w:szCs w:val="32"/>
          <w:highlight w:val="none"/>
          <w:lang w:val="en-US" w:eastAsia="zh-CN"/>
        </w:rPr>
        <w:t>336400</w:t>
      </w:r>
      <w:r>
        <w:rPr>
          <w:rFonts w:hint="eastAsia" w:ascii="仿宋" w:hAnsi="仿宋" w:eastAsia="仿宋" w:cs="仿宋"/>
          <w:i w:val="0"/>
          <w:caps w:val="0"/>
          <w:color w:val="auto"/>
          <w:spacing w:val="0"/>
          <w:sz w:val="32"/>
          <w:szCs w:val="32"/>
          <w:highlight w:val="none"/>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b w:val="0"/>
          <w:bCs/>
          <w:i w:val="0"/>
          <w:caps w:val="0"/>
          <w:color w:val="auto"/>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2021年</w:t>
      </w:r>
      <w:r>
        <w:rPr>
          <w:rFonts w:hint="eastAsia" w:ascii="仿宋" w:hAnsi="仿宋" w:eastAsia="仿宋" w:cs="仿宋"/>
          <w:color w:val="auto"/>
          <w:sz w:val="32"/>
          <w:szCs w:val="32"/>
        </w:rPr>
        <w:t>，我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认真贯彻落实国家、省、市关于全面推进政务公开的系列部署，扎实推进决策、执行、管理、服务、结果公开，深化重点领域信息公开，不断提升工作透明度和行政效能，政务公开制度化规范化建设取得积极进展</w:t>
      </w:r>
      <w:r>
        <w:rPr>
          <w:rFonts w:hint="eastAsia" w:ascii="仿宋" w:hAnsi="仿宋" w:eastAsia="仿宋" w:cs="仿宋"/>
          <w:color w:val="auto"/>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（一）主动公开政府信息情况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年12月31日，我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通过上高县政府信息公开平台，主动公开信息</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条。</w:t>
      </w:r>
      <w:r>
        <w:rPr>
          <w:rFonts w:ascii="仿宋" w:hAnsi="仿宋" w:eastAsia="仿宋" w:cs="仿宋"/>
          <w:i w:val="0"/>
          <w:iCs w:val="0"/>
          <w:caps w:val="0"/>
          <w:color w:val="333333"/>
          <w:spacing w:val="0"/>
          <w:sz w:val="32"/>
          <w:szCs w:val="32"/>
          <w:shd w:val="clear" w:fill="FFFFFF"/>
        </w:rPr>
        <w:t>主要有</w:t>
      </w:r>
      <w:r>
        <w:rPr>
          <w:rFonts w:hint="eastAsia" w:ascii="仿宋" w:hAnsi="仿宋" w:eastAsia="仿宋" w:cs="仿宋"/>
          <w:i w:val="0"/>
          <w:iCs w:val="0"/>
          <w:caps w:val="0"/>
          <w:color w:val="333333"/>
          <w:spacing w:val="0"/>
          <w:sz w:val="32"/>
          <w:szCs w:val="32"/>
          <w:shd w:val="clear" w:fill="FFFFFF"/>
          <w:lang w:eastAsia="zh-CN"/>
        </w:rPr>
        <w:t>部门预决算、工作总结和打算、权责清单</w:t>
      </w:r>
      <w:r>
        <w:rPr>
          <w:rFonts w:ascii="仿宋" w:hAnsi="仿宋" w:eastAsia="仿宋" w:cs="仿宋"/>
          <w:i w:val="0"/>
          <w:iCs w:val="0"/>
          <w:caps w:val="0"/>
          <w:color w:val="333333"/>
          <w:spacing w:val="0"/>
          <w:sz w:val="32"/>
          <w:szCs w:val="32"/>
          <w:shd w:val="clear" w:fill="FFFFFF"/>
        </w:rPr>
        <w:t>等内容。</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依申请公开</w:t>
      </w:r>
      <w:r>
        <w:rPr>
          <w:rFonts w:hint="eastAsia" w:ascii="楷体" w:hAnsi="楷体" w:eastAsia="楷体" w:cs="楷体"/>
          <w:b/>
          <w:bCs/>
          <w:i w:val="0"/>
          <w:caps w:val="0"/>
          <w:color w:val="auto"/>
          <w:spacing w:val="0"/>
          <w:sz w:val="32"/>
          <w:szCs w:val="32"/>
          <w:shd w:val="clear" w:fill="FFFFFF"/>
          <w:lang w:eastAsia="zh-CN"/>
        </w:rPr>
        <w:t>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rPr>
      </w:pPr>
      <w:r>
        <w:rPr>
          <w:rFonts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1</w:t>
      </w:r>
      <w:r>
        <w:rPr>
          <w:rFonts w:hint="eastAsia" w:ascii="仿宋" w:hAnsi="仿宋" w:eastAsia="仿宋" w:cs="仿宋"/>
          <w:i w:val="0"/>
          <w:iCs w:val="0"/>
          <w:caps w:val="0"/>
          <w:color w:val="333333"/>
          <w:spacing w:val="0"/>
          <w:sz w:val="32"/>
          <w:szCs w:val="32"/>
        </w:rPr>
        <w:t>年，我局未接到任何形式的政府信息公开申请，同时也没有公开任何不应向社会公开的政府信息。</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rPr>
        <w:t>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健全体制机制，加强政府信息公开管理，确保政府信息公开工作有序开展。结合本部门的实际工作，不断完善我</w:t>
      </w:r>
      <w:r>
        <w:rPr>
          <w:rFonts w:hint="eastAsia" w:ascii="仿宋" w:hAnsi="仿宋" w:eastAsia="仿宋" w:cs="仿宋"/>
          <w:i w:val="0"/>
          <w:iCs w:val="0"/>
          <w:caps w:val="0"/>
          <w:color w:val="auto"/>
          <w:spacing w:val="0"/>
          <w:sz w:val="32"/>
          <w:szCs w:val="32"/>
          <w:shd w:val="clear" w:fill="FFFFFF"/>
          <w:lang w:eastAsia="zh-CN"/>
        </w:rPr>
        <w:t>局</w:t>
      </w:r>
      <w:r>
        <w:rPr>
          <w:rFonts w:hint="eastAsia" w:ascii="仿宋" w:hAnsi="仿宋" w:eastAsia="仿宋" w:cs="仿宋"/>
          <w:i w:val="0"/>
          <w:iCs w:val="0"/>
          <w:caps w:val="0"/>
          <w:color w:val="auto"/>
          <w:spacing w:val="0"/>
          <w:sz w:val="32"/>
          <w:szCs w:val="32"/>
          <w:shd w:val="clear" w:fill="FFFFFF"/>
        </w:rPr>
        <w:t>信息公开指南、主动公开和依申请公开、信息报送、信息公开保密审查制度等，加强主动公开，按照“以公开为原则，不公开为例外”的要求，进一步明确公开范围、公开程序、公开平台、公开时间、发布格式等，并对政务公开应遵循的原则、政务公开的内容、政务公开的形式进行了规范，促进了政务公开工作走上制度化、规范化的轨道</w:t>
      </w:r>
      <w:r>
        <w:rPr>
          <w:rFonts w:hint="eastAsia" w:ascii="仿宋" w:hAnsi="仿宋" w:eastAsia="仿宋" w:cs="仿宋"/>
          <w:color w:val="auto"/>
          <w:sz w:val="32"/>
          <w:szCs w:val="32"/>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lang w:eastAsia="zh-CN"/>
        </w:rPr>
        <w:t>组织</w:t>
      </w:r>
      <w:r>
        <w:rPr>
          <w:rFonts w:hint="eastAsia" w:ascii="楷体" w:hAnsi="楷体" w:eastAsia="楷体" w:cs="楷体"/>
          <w:b/>
          <w:bCs/>
          <w:i w:val="0"/>
          <w:caps w:val="0"/>
          <w:color w:val="auto"/>
          <w:spacing w:val="0"/>
          <w:sz w:val="32"/>
          <w:szCs w:val="32"/>
          <w:shd w:val="clear" w:fill="FFFFFF"/>
        </w:rPr>
        <w:t>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根据人员变动情况，及时对</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政务公开工作领导小组进行充实调整，进一步明确主要领导亲自抓、分管领导具体抓、其他领导协同抓，办公室负责政务公开工作的组织、协调和监督，各</w:t>
      </w:r>
      <w:r>
        <w:rPr>
          <w:rFonts w:hint="eastAsia" w:ascii="仿宋" w:hAnsi="仿宋" w:eastAsia="仿宋" w:cs="仿宋"/>
          <w:color w:val="auto"/>
          <w:sz w:val="32"/>
          <w:szCs w:val="32"/>
          <w:lang w:eastAsia="zh-CN"/>
        </w:rPr>
        <w:t>股</w:t>
      </w:r>
      <w:r>
        <w:rPr>
          <w:rFonts w:hint="eastAsia" w:ascii="仿宋" w:hAnsi="仿宋" w:eastAsia="仿宋" w:cs="仿宋"/>
          <w:color w:val="auto"/>
          <w:sz w:val="32"/>
          <w:szCs w:val="32"/>
        </w:rPr>
        <w:t>室承担职责范围内的政务公开任务，各司其职、齐抓共管</w:t>
      </w:r>
      <w:r>
        <w:rPr>
          <w:rFonts w:hint="eastAsia" w:ascii="仿宋" w:hAnsi="仿宋" w:eastAsia="仿宋" w:cs="仿宋"/>
          <w:color w:val="auto"/>
          <w:sz w:val="32"/>
          <w:szCs w:val="32"/>
          <w:lang w:eastAsia="zh-CN"/>
        </w:rPr>
        <w:t>。</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w:t>
            </w:r>
            <w:r>
              <w:rPr>
                <w:rFonts w:ascii="宋体" w:hAnsi="宋体" w:cs="Calibri"/>
                <w:kern w:val="0"/>
                <w:sz w:val="22"/>
                <w:szCs w:val="22"/>
              </w:rPr>
              <w:t>制</w:t>
            </w:r>
            <w:r>
              <w:rPr>
                <w:rFonts w:hint="eastAsia" w:ascii="宋体" w:hAnsi="宋体" w:cs="宋体"/>
                <w:kern w:val="0"/>
                <w:sz w:val="22"/>
                <w:szCs w:val="22"/>
              </w:rPr>
              <w:t>发件</w:t>
            </w:r>
            <w:r>
              <w:rPr>
                <w:rFonts w:ascii="宋体" w:hAnsi="宋体" w:cs="Calibri"/>
                <w:kern w:val="0"/>
                <w:sz w:val="22"/>
                <w:szCs w:val="22"/>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现行有效件</w:t>
            </w:r>
            <w:r>
              <w:rPr>
                <w:rFonts w:ascii="宋体" w:hAnsi="宋体" w:cs="Calibri"/>
                <w:kern w:val="0"/>
                <w:sz w:val="22"/>
                <w:szCs w:val="22"/>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Calibri" w:hAnsi="Calibri" w:cs="Calibri"/>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Calibri" w:hAnsi="Calibri" w:cs="Calibri"/>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color w:val="000000"/>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自然人</w:t>
            </w:r>
          </w:p>
        </w:tc>
        <w:tc>
          <w:tcPr>
            <w:tcW w:w="5103" w:type="dxa"/>
            <w:gridSpan w:val="5"/>
            <w:shd w:val="clear" w:color="auto" w:fill="auto"/>
            <w:vAlign w:val="center"/>
          </w:tcPr>
          <w:p>
            <w:pPr>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法人或其他组织</w:t>
            </w:r>
          </w:p>
        </w:tc>
        <w:tc>
          <w:tcPr>
            <w:tcW w:w="709"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c>
          <w:tcPr>
            <w:tcW w:w="1134"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商业</w:t>
            </w:r>
          </w:p>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企业</w:t>
            </w:r>
          </w:p>
        </w:tc>
        <w:tc>
          <w:tcPr>
            <w:tcW w:w="972"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科研</w:t>
            </w:r>
          </w:p>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机构</w:t>
            </w:r>
          </w:p>
        </w:tc>
        <w:tc>
          <w:tcPr>
            <w:tcW w:w="1080"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社会公益组织</w:t>
            </w:r>
          </w:p>
        </w:tc>
        <w:tc>
          <w:tcPr>
            <w:tcW w:w="1110"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法律服务机构</w:t>
            </w:r>
          </w:p>
        </w:tc>
        <w:tc>
          <w:tcPr>
            <w:tcW w:w="807" w:type="dxa"/>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其他</w:t>
            </w:r>
          </w:p>
        </w:tc>
        <w:tc>
          <w:tcPr>
            <w:tcW w:w="709" w:type="dxa"/>
            <w:vMerge w:val="continue"/>
            <w:shd w:val="clear" w:color="auto" w:fill="auto"/>
            <w:vAlign w:val="center"/>
          </w:tcPr>
          <w:p>
            <w:pPr>
              <w:spacing w:line="300" w:lineRule="exact"/>
              <w:jc w:val="left"/>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一</w:t>
            </w:r>
            <w:r>
              <w:rPr>
                <w:rFonts w:hint="eastAsia" w:ascii="宋体" w:hAnsi="宋体" w:eastAsia="宋体" w:cs="宋体"/>
                <w:color w:val="auto"/>
                <w:sz w:val="22"/>
                <w:szCs w:val="22"/>
              </w:rPr>
              <w:t>、本年新收政府信息公开申请数量</w:t>
            </w:r>
          </w:p>
        </w:tc>
        <w:tc>
          <w:tcPr>
            <w:tcW w:w="1053" w:type="dxa"/>
            <w:shd w:val="clear" w:color="auto" w:fill="auto"/>
          </w:tcPr>
          <w:p>
            <w:pPr>
              <w:spacing w:line="300" w:lineRule="exact"/>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34"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81"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二</w:t>
            </w:r>
            <w:r>
              <w:rPr>
                <w:rFonts w:hint="eastAsia" w:ascii="宋体" w:hAnsi="宋体" w:eastAsia="宋体" w:cs="宋体"/>
                <w:color w:val="auto"/>
                <w:sz w:val="22"/>
                <w:szCs w:val="22"/>
              </w:rPr>
              <w:t>、上年结转政府信息公开申请数量</w:t>
            </w:r>
          </w:p>
        </w:tc>
        <w:tc>
          <w:tcPr>
            <w:tcW w:w="1053"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34"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三</w:t>
            </w:r>
            <w:r>
              <w:rPr>
                <w:rFonts w:hint="eastAsia" w:ascii="宋体" w:hAnsi="宋体" w:eastAsia="宋体" w:cs="宋体"/>
                <w:color w:val="auto"/>
                <w:sz w:val="22"/>
                <w:szCs w:val="22"/>
              </w:rPr>
              <w:t>、本年度办理结果</w:t>
            </w: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（一）予以公开</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（二）部分公开（区分处理的，只记这一情形，不记其他情形）</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vAlign w:val="center"/>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（三）不予公开</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1.属于国家秘密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2.其他法律行政法规禁止公开</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3.危及“三安全一稳定”</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4.保护第三方合法权益</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5.属于三类内部事务信息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6.属于四类过程性信息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7.属于行政执法案卷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8.属于行政查询事项</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（四）无法提供</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1.本机关不掌握相关政府信息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2.没有现成信息需要另行制作</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3.补正后申请内容仍不明确</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restart"/>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（五）不予处理</w:t>
            </w: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1.信访投诉举报类申请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2.重复申请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3.要求提供公开出版物</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4.无正当理由大量反复申请</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053"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1134" w:type="dxa"/>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5.要求行政机关确认或重新出具已获取信息</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（六）其他处理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jc w:val="left"/>
              <w:rPr>
                <w:rFonts w:hint="eastAsia" w:ascii="宋体" w:hAnsi="宋体" w:eastAsia="宋体" w:cs="宋体"/>
                <w:color w:val="auto"/>
                <w:sz w:val="22"/>
                <w:szCs w:val="22"/>
              </w:rPr>
            </w:pPr>
          </w:p>
        </w:tc>
        <w:tc>
          <w:tcPr>
            <w:tcW w:w="2187" w:type="dxa"/>
            <w:gridSpan w:val="2"/>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color w:val="auto"/>
                <w:sz w:val="22"/>
                <w:szCs w:val="22"/>
              </w:rPr>
              <w:t>（七）总计</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jc w:val="left"/>
              <w:rPr>
                <w:rFonts w:hint="eastAsia" w:ascii="宋体" w:hAnsi="宋体" w:eastAsia="宋体" w:cs="宋体"/>
                <w:color w:val="auto"/>
                <w:sz w:val="22"/>
                <w:szCs w:val="22"/>
              </w:rPr>
            </w:pPr>
            <w:r>
              <w:rPr>
                <w:rFonts w:hint="eastAsia" w:ascii="宋体" w:hAnsi="宋体" w:eastAsia="宋体" w:cs="宋体"/>
                <w:b/>
                <w:color w:val="auto"/>
                <w:sz w:val="22"/>
                <w:szCs w:val="22"/>
              </w:rPr>
              <w:t>四</w:t>
            </w:r>
            <w:r>
              <w:rPr>
                <w:rFonts w:hint="eastAsia" w:ascii="宋体" w:hAnsi="宋体" w:eastAsia="宋体" w:cs="宋体"/>
                <w:color w:val="auto"/>
                <w:sz w:val="22"/>
                <w:szCs w:val="22"/>
              </w:rPr>
              <w:t>、结转下年度继续办理</w:t>
            </w:r>
          </w:p>
        </w:tc>
        <w:tc>
          <w:tcPr>
            <w:tcW w:w="972"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08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1110"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807"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c>
          <w:tcPr>
            <w:tcW w:w="709" w:type="dxa"/>
            <w:shd w:val="clear" w:color="auto" w:fill="auto"/>
          </w:tcPr>
          <w:p>
            <w:pPr>
              <w:spacing w:line="300" w:lineRule="exact"/>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0</w:t>
            </w:r>
          </w:p>
        </w:tc>
      </w:tr>
    </w:tbl>
    <w:p>
      <w:pPr>
        <w:spacing w:line="540" w:lineRule="exact"/>
        <w:ind w:left="640"/>
        <w:jc w:val="left"/>
        <w:rPr>
          <w:rFonts w:ascii="仿宋" w:hAnsi="仿宋" w:eastAsia="仿宋" w:cs="仿宋"/>
          <w:color w:val="auto"/>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行政复议</w:t>
            </w:r>
          </w:p>
        </w:tc>
        <w:tc>
          <w:tcPr>
            <w:tcW w:w="5680" w:type="dxa"/>
            <w:gridSpan w:val="10"/>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vMerge w:val="restart"/>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color w:val="333333"/>
                <w:sz w:val="23"/>
                <w:szCs w:val="23"/>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vMerge w:val="continue"/>
            <w:shd w:val="clear" w:color="auto" w:fill="auto"/>
            <w:vAlign w:val="center"/>
          </w:tcPr>
          <w:p>
            <w:pPr>
              <w:spacing w:line="540" w:lineRule="exact"/>
              <w:jc w:val="center"/>
              <w:rPr>
                <w:rFonts w:hint="eastAsia" w:ascii="宋体" w:hAnsi="宋体" w:eastAsia="宋体" w:cs="宋体"/>
                <w:sz w:val="23"/>
                <w:szCs w:val="23"/>
              </w:rPr>
            </w:pP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hint="eastAsia" w:ascii="宋体" w:hAnsi="宋体" w:eastAsia="宋体" w:cs="宋体"/>
                <w:sz w:val="23"/>
                <w:szCs w:val="23"/>
              </w:rPr>
            </w:pPr>
            <w:r>
              <w:rPr>
                <w:rFonts w:hint="eastAsia" w:ascii="宋体" w:hAnsi="宋体" w:eastAsia="宋体" w:cs="宋体"/>
                <w:sz w:val="23"/>
                <w:szCs w:val="23"/>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c>
          <w:tcPr>
            <w:tcW w:w="568" w:type="dxa"/>
            <w:shd w:val="clear" w:color="auto" w:fill="auto"/>
          </w:tcPr>
          <w:p>
            <w:pPr>
              <w:spacing w:line="540" w:lineRule="exact"/>
              <w:jc w:val="center"/>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ascii="仿宋_GB2312" w:hAnsi="微软雅黑" w:eastAsia="仿宋_GB2312" w:cs="仿宋_GB2312"/>
          <w:i w:val="0"/>
          <w:iCs w:val="0"/>
          <w:caps w:val="0"/>
          <w:color w:val="000000"/>
          <w:spacing w:val="0"/>
          <w:kern w:val="0"/>
          <w:sz w:val="32"/>
          <w:szCs w:val="32"/>
          <w:shd w:val="clear" w:fill="FFFFFF"/>
          <w:lang w:val="en-US" w:eastAsia="zh-CN" w:bidi="ar"/>
        </w:rPr>
        <w:t>一是个别</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股</w:t>
      </w:r>
      <w:r>
        <w:rPr>
          <w:rFonts w:ascii="仿宋_GB2312" w:hAnsi="微软雅黑" w:eastAsia="仿宋_GB2312" w:cs="仿宋_GB2312"/>
          <w:i w:val="0"/>
          <w:iCs w:val="0"/>
          <w:caps w:val="0"/>
          <w:color w:val="000000"/>
          <w:spacing w:val="0"/>
          <w:kern w:val="0"/>
          <w:sz w:val="32"/>
          <w:szCs w:val="32"/>
          <w:shd w:val="clear" w:fill="FFFFFF"/>
          <w:lang w:val="en-US" w:eastAsia="zh-CN" w:bidi="ar"/>
        </w:rPr>
        <w:t>室对政府信息公开工作重视程度不够</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ascii="仿宋_GB2312" w:hAnsi="微软雅黑" w:eastAsia="仿宋_GB2312" w:cs="仿宋_GB2312"/>
          <w:i w:val="0"/>
          <w:iCs w:val="0"/>
          <w:caps w:val="0"/>
          <w:color w:val="000000"/>
          <w:spacing w:val="0"/>
          <w:kern w:val="0"/>
          <w:sz w:val="32"/>
          <w:szCs w:val="32"/>
          <w:shd w:val="clear" w:fill="FFFFFF"/>
          <w:lang w:val="en-US" w:eastAsia="zh-CN" w:bidi="ar"/>
        </w:rPr>
        <w:t>二是政府信息公开工作制度有待进一步完善</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ascii="仿宋_GB2312" w:hAnsi="微软雅黑" w:eastAsia="仿宋_GB2312" w:cs="仿宋_GB2312"/>
          <w:i w:val="0"/>
          <w:iCs w:val="0"/>
          <w:caps w:val="0"/>
          <w:color w:val="000000"/>
          <w:spacing w:val="0"/>
          <w:kern w:val="0"/>
          <w:sz w:val="32"/>
          <w:szCs w:val="32"/>
          <w:shd w:val="clear" w:fill="FFFFFF"/>
          <w:lang w:val="en-US" w:eastAsia="zh-CN" w:bidi="ar"/>
        </w:rPr>
        <w:t>三是推进政务公开工作措施不足，工作主动性有待加强；四是机构人员调整后，业务培训跟进不足，工作能力和水平有待提升。上述问题需要我们在今后工作加以克服和改进。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40" w:lineRule="atLeast"/>
        <w:ind w:left="0" w:right="0" w:firstLine="640"/>
        <w:jc w:val="both"/>
        <w:rPr>
          <w:rFonts w:hint="eastAsia" w:ascii="仿宋" w:hAnsi="仿宋" w:eastAsia="仿宋" w:cs="仿宋"/>
          <w:b/>
          <w:i w:val="0"/>
          <w:caps w:val="0"/>
          <w:color w:val="333333"/>
          <w:spacing w:val="0"/>
          <w:sz w:val="32"/>
          <w:szCs w:val="32"/>
          <w:shd w:val="clear" w:fill="FFFFFF"/>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20</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22</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年，县</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工信局</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将继续加大政府信息公开工作力度，进一步突出重点、强化措施、加大力度，扎扎实实做好政府信息公开各项工作，努力推进政府信息公开工作上新台阶。一是抓制度完善，理顺工作机制</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抓好平台维护管理制度的贯彻执行和健全完善，进一步理顺工作机制，提高工作质效</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是进一步丰富政府信息公开形式。继续通过网上公布、新闻发布等方式，及时向社会发布公众关注度高、涉及面广的重要信息、工作信息。同时，充分借助公共媒体资源，加大法制宣传和信息公开力度，提高为民服务的能力和水平</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三是抓学习培训，务求应用实效。统筹规划、科学安排，采取多种形式，不断开展平台操作、信息编辑等专题学习培训</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四是继续抓好</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工信</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窗口建设与服务工作。突出文明窗口建设，以窗口单位和服务岗位为重点，明确服务标准，提升服务质量，提高办事效率。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685D"/>
    <w:multiLevelType w:val="singleLevel"/>
    <w:tmpl w:val="A48E685D"/>
    <w:lvl w:ilvl="0" w:tentative="0">
      <w:start w:val="2"/>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B2947"/>
    <w:rsid w:val="03CA1FAF"/>
    <w:rsid w:val="040354C1"/>
    <w:rsid w:val="06B50CF4"/>
    <w:rsid w:val="072F4BA5"/>
    <w:rsid w:val="09414AC1"/>
    <w:rsid w:val="0AE0030A"/>
    <w:rsid w:val="0D907DC5"/>
    <w:rsid w:val="0F3B1AB4"/>
    <w:rsid w:val="0F42566A"/>
    <w:rsid w:val="0FE32618"/>
    <w:rsid w:val="112A22DF"/>
    <w:rsid w:val="12635443"/>
    <w:rsid w:val="129C0FBA"/>
    <w:rsid w:val="17534F7D"/>
    <w:rsid w:val="19C57049"/>
    <w:rsid w:val="1B612DA1"/>
    <w:rsid w:val="1B931963"/>
    <w:rsid w:val="1CC8565A"/>
    <w:rsid w:val="1DD82400"/>
    <w:rsid w:val="1E743B39"/>
    <w:rsid w:val="1F837F93"/>
    <w:rsid w:val="2063580D"/>
    <w:rsid w:val="20884E5A"/>
    <w:rsid w:val="23B06487"/>
    <w:rsid w:val="2480713E"/>
    <w:rsid w:val="24FE6B54"/>
    <w:rsid w:val="25A0096A"/>
    <w:rsid w:val="267A11BB"/>
    <w:rsid w:val="26C64400"/>
    <w:rsid w:val="28D52373"/>
    <w:rsid w:val="28E14ECF"/>
    <w:rsid w:val="296056EF"/>
    <w:rsid w:val="29C27101"/>
    <w:rsid w:val="2A6B083E"/>
    <w:rsid w:val="2A6C52BE"/>
    <w:rsid w:val="2B612949"/>
    <w:rsid w:val="319141FB"/>
    <w:rsid w:val="31F77B64"/>
    <w:rsid w:val="32384404"/>
    <w:rsid w:val="326A6587"/>
    <w:rsid w:val="383E5E1E"/>
    <w:rsid w:val="385555E4"/>
    <w:rsid w:val="3BBA2113"/>
    <w:rsid w:val="3F012022"/>
    <w:rsid w:val="3F0478AD"/>
    <w:rsid w:val="402F0FF8"/>
    <w:rsid w:val="40DA0792"/>
    <w:rsid w:val="42FE0D52"/>
    <w:rsid w:val="45790B64"/>
    <w:rsid w:val="45EF0E26"/>
    <w:rsid w:val="46C6427C"/>
    <w:rsid w:val="47C66E25"/>
    <w:rsid w:val="494F0E2C"/>
    <w:rsid w:val="49E109A3"/>
    <w:rsid w:val="4A1B48DF"/>
    <w:rsid w:val="4B6A4464"/>
    <w:rsid w:val="4BFE6267"/>
    <w:rsid w:val="4C7B3413"/>
    <w:rsid w:val="4CC46F86"/>
    <w:rsid w:val="4DE26281"/>
    <w:rsid w:val="4F960564"/>
    <w:rsid w:val="4FA932E0"/>
    <w:rsid w:val="519D4381"/>
    <w:rsid w:val="55646B1D"/>
    <w:rsid w:val="566E50F8"/>
    <w:rsid w:val="56857A37"/>
    <w:rsid w:val="597162CA"/>
    <w:rsid w:val="5B0171D9"/>
    <w:rsid w:val="5CAD6132"/>
    <w:rsid w:val="5EEE216B"/>
    <w:rsid w:val="5F824661"/>
    <w:rsid w:val="5FC33992"/>
    <w:rsid w:val="5FCE6A83"/>
    <w:rsid w:val="604069F6"/>
    <w:rsid w:val="6051650D"/>
    <w:rsid w:val="61AC39B7"/>
    <w:rsid w:val="64A731BE"/>
    <w:rsid w:val="673B0780"/>
    <w:rsid w:val="67734394"/>
    <w:rsid w:val="678E44EB"/>
    <w:rsid w:val="68B47F81"/>
    <w:rsid w:val="692E12ED"/>
    <w:rsid w:val="6A0A31AD"/>
    <w:rsid w:val="6AB53B3C"/>
    <w:rsid w:val="6EB526D3"/>
    <w:rsid w:val="6EC41F3F"/>
    <w:rsid w:val="6F8A1A3C"/>
    <w:rsid w:val="70E5061D"/>
    <w:rsid w:val="71A010A2"/>
    <w:rsid w:val="720A441E"/>
    <w:rsid w:val="73243F55"/>
    <w:rsid w:val="74C50E20"/>
    <w:rsid w:val="788C45A4"/>
    <w:rsid w:val="7A3251AA"/>
    <w:rsid w:val="7B00167F"/>
    <w:rsid w:val="7B440FF1"/>
    <w:rsid w:val="7B825A16"/>
    <w:rsid w:val="7BAD6C78"/>
    <w:rsid w:val="7D553689"/>
    <w:rsid w:val="7D7C7DE7"/>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2022-01-04T07:43:00Z</cp:lastPrinted>
  <dcterms:modified xsi:type="dcterms:W3CDTF">2022-02-15T02:49:04Z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54E00618A79B49F9B46A624BB9F77796</vt:lpwstr>
  </property>
</Properties>
</file>