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上高县</w:t>
      </w:r>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民政局202</w:t>
      </w:r>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3</w:t>
      </w:r>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年政府信息公开工作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Times New Roman" w:hAnsi="Times New Roman"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仿宋_GB2312" w:cs="仿宋_GB2312"/>
          <w:i w:val="0"/>
          <w:iCs w:val="0"/>
          <w:caps w:val="0"/>
          <w:color w:val="auto"/>
          <w:spacing w:val="0"/>
          <w:sz w:val="32"/>
          <w:szCs w:val="32"/>
          <w:shd w:val="clear" w:fill="FFFFFF"/>
        </w:rPr>
        <w:t>本报告</w:t>
      </w:r>
      <w:r>
        <w:rPr>
          <w:rFonts w:hint="eastAsia" w:ascii="Times New Roman" w:hAnsi="Times New Roman" w:eastAsia="仿宋_GB2312" w:cs="仿宋_GB2312"/>
          <w:color w:val="auto"/>
          <w:sz w:val="32"/>
          <w:szCs w:val="32"/>
          <w:shd w:val="clear" w:color="auto" w:fill="FFFFFF"/>
        </w:rPr>
        <w:t>根据《中华人民共和国政府信息公开条例》（以下简称《条例》）、《中华人民共和国政府信息公开工作年度报告格式》（国办公开办函〔2021〕30号）有关要求</w:t>
      </w:r>
      <w:r>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由民政局结合有关统计数据编制。本年度报告中所列数据的统计期限自202</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年1月1日起至202</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年12月31日止。本年度报告的电子版可以从上高县人民政府网站</w:t>
      </w:r>
      <w:r>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www.shanggao.gov.cn</w:t>
      </w:r>
      <w:r>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下载。如对本报告有任何疑问，请与上高县民政局</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117</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办公室联系（地址</w:t>
      </w:r>
      <w:r>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上高县</w:t>
      </w:r>
      <w:r>
        <w:rPr>
          <w:rFonts w:hint="eastAsia" w:ascii="Times New Roman" w:hAnsi="Times New Roman" w:eastAsia="仿宋_GB2312" w:cs="仿宋_GB2312"/>
          <w:sz w:val="32"/>
          <w:szCs w:val="32"/>
        </w:rPr>
        <w:t>青莲路9号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电话：0795-2511829邮编：336400）。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Times New Roman" w:hAnsi="Times New Roman" w:eastAsia="黑体" w:cs="黑体"/>
          <w:i w:val="0"/>
          <w:iCs w:val="0"/>
          <w:caps w:val="0"/>
          <w:color w:val="000000" w:themeColor="text1"/>
          <w:spacing w:val="0"/>
          <w:sz w:val="32"/>
          <w:szCs w:val="32"/>
          <w14:textFill>
            <w14:solidFill>
              <w14:schemeClr w14:val="tx1"/>
            </w14:solidFill>
          </w14:textFill>
        </w:rPr>
      </w:pPr>
      <w:r>
        <w:rPr>
          <w:rFonts w:hint="eastAsia" w:ascii="Times New Roman" w:hAnsi="Times New Roman" w:eastAsia="黑体" w:cs="黑体"/>
          <w:i w:val="0"/>
          <w:iCs w:val="0"/>
          <w:caps w:val="0"/>
          <w:color w:val="000000" w:themeColor="text1"/>
          <w:spacing w:val="0"/>
          <w:sz w:val="32"/>
          <w:szCs w:val="32"/>
          <w:shd w:val="clear" w:fill="FFFFFF"/>
          <w14:textFill>
            <w14:solidFill>
              <w14:schemeClr w14:val="tx1"/>
            </w14:solidFill>
          </w14:textFill>
        </w:rPr>
        <w:t>一、总体情况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firstLine="643"/>
        <w:jc w:val="left"/>
        <w:textAlignment w:val="auto"/>
        <w:rPr>
          <w:rFonts w:hint="eastAsia" w:ascii="Times New Roman" w:hAnsi="Times New Roman" w:eastAsia="仿宋_GB2312" w:cs="仿宋_GB2312"/>
          <w:i w:val="0"/>
          <w:iCs w:val="0"/>
          <w:caps w:val="0"/>
          <w:color w:val="auto"/>
          <w:spacing w:val="0"/>
          <w:sz w:val="32"/>
          <w:szCs w:val="32"/>
        </w:rPr>
      </w:pP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202</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年上高县民政局</w:t>
      </w:r>
      <w:r>
        <w:rPr>
          <w:rFonts w:hint="eastAsia" w:ascii="Times New Roman" w:hAnsi="Times New Roman" w:eastAsia="仿宋_GB2312" w:cs="仿宋_GB2312"/>
          <w:sz w:val="32"/>
          <w:szCs w:val="32"/>
        </w:rPr>
        <w:t>认真学习贯彻党的二十大精神和习近平总书记考察江西的重要讲话精神，</w:t>
      </w:r>
      <w:r>
        <w:rPr>
          <w:rFonts w:hint="eastAsia" w:ascii="Times New Roman"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结合我局实际情况，</w:t>
      </w:r>
      <w:r>
        <w:rPr>
          <w:rFonts w:hint="eastAsia" w:ascii="Times New Roman" w:hAnsi="Times New Roman" w:eastAsia="仿宋_GB2312" w:cs="仿宋_GB2312"/>
          <w:i w:val="0"/>
          <w:iCs w:val="0"/>
          <w:caps w:val="0"/>
          <w:color w:val="auto"/>
          <w:spacing w:val="0"/>
          <w:sz w:val="32"/>
          <w:szCs w:val="32"/>
          <w:shd w:val="clear" w:fill="FFFFFF"/>
        </w:rPr>
        <w:t>践行“民政为民、民政爱民”的工作理念，全面推动工作落实</w:t>
      </w:r>
      <w:r>
        <w:rPr>
          <w:rFonts w:hint="eastAsia" w:ascii="Times New Roman" w:hAnsi="Times New Roman" w:eastAsia="仿宋_GB2312" w:cs="仿宋_GB2312"/>
          <w:i w:val="0"/>
          <w:iCs w:val="0"/>
          <w:caps w:val="0"/>
          <w:color w:val="auto"/>
          <w:spacing w:val="0"/>
          <w:sz w:val="32"/>
          <w:szCs w:val="32"/>
          <w:shd w:val="clear" w:fill="FFFFFF"/>
          <w:lang w:eastAsia="zh-CN"/>
        </w:rPr>
        <w:t>。</w:t>
      </w:r>
      <w:r>
        <w:rPr>
          <w:rFonts w:hint="eastAsia" w:ascii="Times New Roman" w:hAnsi="Times New Roman" w:eastAsia="仿宋_GB2312" w:cs="仿宋_GB2312"/>
          <w:i w:val="0"/>
          <w:iCs w:val="0"/>
          <w:caps w:val="0"/>
          <w:color w:val="auto"/>
          <w:spacing w:val="0"/>
          <w:sz w:val="32"/>
          <w:szCs w:val="32"/>
          <w:shd w:val="clear" w:fill="FFFFFF"/>
        </w:rPr>
        <w:t>坚持以公开为常态、不公开为例外，切实回应群众关注关切，大力推进政务公开各项工作，确保公开信息的准确性、权威性、完整性和时效性。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Times New Roman" w:hAnsi="Times New Roman" w:eastAsia="仿宋_GB2312" w:cs="仿宋_GB2312"/>
          <w:i w:val="0"/>
          <w:iCs w:val="0"/>
          <w:caps w:val="0"/>
          <w:color w:val="000000"/>
          <w:spacing w:val="0"/>
          <w:sz w:val="31"/>
          <w:szCs w:val="31"/>
          <w:lang w:eastAsia="zh-CN"/>
        </w:rPr>
      </w:pPr>
      <w:r>
        <w:rPr>
          <w:rFonts w:hint="default" w:ascii="Times New Roman" w:hAnsi="Times New Roman" w:eastAsia="宋体" w:cs="Times New Roman"/>
          <w:i w:val="0"/>
          <w:iCs w:val="0"/>
          <w:caps w:val="0"/>
          <w:color w:val="000000"/>
          <w:spacing w:val="0"/>
          <w:sz w:val="31"/>
          <w:szCs w:val="31"/>
        </w:rPr>
        <w:t>202</w:t>
      </w:r>
      <w:r>
        <w:rPr>
          <w:rFonts w:hint="eastAsia" w:ascii="Times New Roman" w:hAnsi="Times New Roman" w:eastAsia="宋体" w:cs="Times New Roman"/>
          <w:i w:val="0"/>
          <w:iCs w:val="0"/>
          <w:caps w:val="0"/>
          <w:color w:val="000000"/>
          <w:spacing w:val="0"/>
          <w:sz w:val="31"/>
          <w:szCs w:val="31"/>
          <w:lang w:val="en-US" w:eastAsia="zh-CN"/>
        </w:rPr>
        <w:t>3</w:t>
      </w:r>
      <w:r>
        <w:rPr>
          <w:rFonts w:ascii="Times New Roman" w:hAnsi="Times New Roman" w:eastAsia="仿宋_GB2312" w:cs="仿宋_GB2312"/>
          <w:i w:val="0"/>
          <w:iCs w:val="0"/>
          <w:caps w:val="0"/>
          <w:color w:val="000000"/>
          <w:spacing w:val="0"/>
          <w:sz w:val="31"/>
          <w:szCs w:val="31"/>
        </w:rPr>
        <w:t>年，我局按照</w:t>
      </w:r>
      <w:r>
        <w:rPr>
          <w:rFonts w:hint="eastAsia" w:ascii="Times New Roman" w:hAnsi="Times New Roman" w:eastAsia="仿宋_GB2312" w:cs="仿宋_GB2312"/>
          <w:i w:val="0"/>
          <w:iCs w:val="0"/>
          <w:caps w:val="0"/>
          <w:color w:val="000000"/>
          <w:spacing w:val="0"/>
          <w:sz w:val="31"/>
          <w:szCs w:val="31"/>
        </w:rPr>
        <w:t>“公开为原则，不公开为例外”要求，通过“</w:t>
      </w:r>
      <w:r>
        <w:rPr>
          <w:rFonts w:hint="eastAsia" w:ascii="Times New Roman" w:hAnsi="Times New Roman" w:eastAsia="仿宋_GB2312" w:cs="仿宋_GB2312"/>
          <w:i w:val="0"/>
          <w:iCs w:val="0"/>
          <w:caps w:val="0"/>
          <w:color w:val="000000"/>
          <w:spacing w:val="0"/>
          <w:sz w:val="31"/>
          <w:szCs w:val="31"/>
          <w:lang w:val="en-US" w:eastAsia="zh-CN"/>
        </w:rPr>
        <w:t>上高县</w:t>
      </w:r>
      <w:r>
        <w:rPr>
          <w:rFonts w:hint="eastAsia" w:ascii="Times New Roman" w:hAnsi="Times New Roman" w:eastAsia="仿宋_GB2312" w:cs="仿宋_GB2312"/>
          <w:i w:val="0"/>
          <w:iCs w:val="0"/>
          <w:caps w:val="0"/>
          <w:color w:val="000000"/>
          <w:spacing w:val="0"/>
          <w:sz w:val="31"/>
          <w:szCs w:val="31"/>
        </w:rPr>
        <w:t>人民政府”网站主动公开政府信息</w:t>
      </w:r>
      <w:r>
        <w:rPr>
          <w:rFonts w:hint="eastAsia" w:ascii="Times New Roman" w:hAnsi="Times New Roman" w:eastAsia="仿宋_GB2312" w:cs="Times New Roman"/>
          <w:i w:val="0"/>
          <w:iCs w:val="0"/>
          <w:caps w:val="0"/>
          <w:color w:val="000000"/>
          <w:spacing w:val="0"/>
          <w:sz w:val="31"/>
          <w:szCs w:val="31"/>
          <w:lang w:val="en-US" w:eastAsia="zh-CN"/>
        </w:rPr>
        <w:t>147</w:t>
      </w:r>
      <w:r>
        <w:rPr>
          <w:rFonts w:hint="eastAsia" w:ascii="Times New Roman" w:hAnsi="Times New Roman" w:eastAsia="仿宋_GB2312" w:cs="仿宋_GB2312"/>
          <w:i w:val="0"/>
          <w:iCs w:val="0"/>
          <w:caps w:val="0"/>
          <w:color w:val="000000"/>
          <w:spacing w:val="0"/>
          <w:sz w:val="31"/>
          <w:szCs w:val="31"/>
        </w:rPr>
        <w:t>条。一是推进重点领域信息公开</w:t>
      </w:r>
      <w:r>
        <w:rPr>
          <w:rFonts w:hint="eastAsia" w:ascii="Times New Roman" w:hAnsi="Times New Roman" w:eastAsia="仿宋_GB2312" w:cs="仿宋_GB2312"/>
          <w:i w:val="0"/>
          <w:iCs w:val="0"/>
          <w:caps w:val="0"/>
          <w:color w:val="000000"/>
          <w:spacing w:val="0"/>
          <w:sz w:val="31"/>
          <w:szCs w:val="31"/>
          <w:lang w:eastAsia="zh-CN"/>
        </w:rPr>
        <w:t>，</w:t>
      </w:r>
      <w:r>
        <w:rPr>
          <w:rFonts w:hint="eastAsia" w:ascii="Times New Roman" w:hAnsi="Times New Roman" w:eastAsia="仿宋_GB2312" w:cs="仿宋_GB2312"/>
          <w:i w:val="0"/>
          <w:iCs w:val="0"/>
          <w:caps w:val="0"/>
          <w:color w:val="000000"/>
          <w:spacing w:val="0"/>
          <w:sz w:val="31"/>
          <w:szCs w:val="31"/>
        </w:rPr>
        <w:t>严格落实定期公开制度；</w:t>
      </w:r>
      <w:r>
        <w:rPr>
          <w:rFonts w:hint="eastAsia" w:ascii="Times New Roman" w:hAnsi="Times New Roman" w:eastAsia="仿宋_GB2312" w:cs="仿宋_GB2312"/>
          <w:i w:val="0"/>
          <w:iCs w:val="0"/>
          <w:caps w:val="0"/>
          <w:color w:val="000000"/>
          <w:spacing w:val="0"/>
          <w:sz w:val="31"/>
          <w:szCs w:val="31"/>
          <w:lang w:val="en-US" w:eastAsia="zh-CN"/>
        </w:rPr>
        <w:t>二</w:t>
      </w:r>
      <w:r>
        <w:rPr>
          <w:rFonts w:hint="eastAsia" w:ascii="Times New Roman" w:hAnsi="Times New Roman" w:eastAsia="仿宋_GB2312" w:cs="仿宋_GB2312"/>
          <w:i w:val="0"/>
          <w:iCs w:val="0"/>
          <w:caps w:val="0"/>
          <w:color w:val="000000"/>
          <w:spacing w:val="0"/>
          <w:sz w:val="31"/>
          <w:szCs w:val="31"/>
        </w:rPr>
        <w:t>是加强规范化建设。对其他政府管理工作信息严格落实按目录、按要求公开制度</w:t>
      </w:r>
      <w:r>
        <w:rPr>
          <w:rFonts w:hint="eastAsia" w:ascii="Times New Roman" w:hAnsi="Times New Roman" w:eastAsia="仿宋_GB2312" w:cs="仿宋_GB2312"/>
          <w:i w:val="0"/>
          <w:iCs w:val="0"/>
          <w:caps w:val="0"/>
          <w:color w:val="000000"/>
          <w:spacing w:val="0"/>
          <w:sz w:val="31"/>
          <w:szCs w:val="3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我局认真做好依申请公开政府信息工作，对社会公众申请公开政府信息的答复率、答复及时率和录入依申请公开系统及时率达100%。</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2023年，我局未接收到政府信息公开申请。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Times New Roman" w:hAnsi="Times New Roman"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仿宋_GB2312"/>
          <w:i w:val="0"/>
          <w:iCs w:val="0"/>
          <w:caps w:val="0"/>
          <w:color w:val="000000"/>
          <w:spacing w:val="0"/>
          <w:sz w:val="32"/>
          <w:szCs w:val="32"/>
          <w:shd w:val="clear" w:fill="FFFFFF"/>
        </w:rPr>
        <w:t>规范了信息发布工作遵循的“谁审查、谁负责，谁发布、谁负责，先审查、后发布”的原则，通过建立健全一系列的政务公开工作的相关制度，为本部门政务公开的准确性、权威性、完整性和时效性提供了保障</w:t>
      </w:r>
      <w:r>
        <w:rPr>
          <w:rFonts w:hint="eastAsia" w:ascii="Times New Roman" w:hAnsi="Times New Roman" w:eastAsia="仿宋_GB2312" w:cs="仿宋_GB2312"/>
          <w:i w:val="0"/>
          <w:iCs w:val="0"/>
          <w:caps w:val="0"/>
          <w:color w:val="000000"/>
          <w:spacing w:val="0"/>
          <w:sz w:val="32"/>
          <w:szCs w:val="32"/>
          <w:shd w:val="clear" w:fill="FFFFFF"/>
          <w:lang w:eastAsia="zh-CN"/>
        </w:rPr>
        <w:t>。</w:t>
      </w:r>
      <w:r>
        <w:rPr>
          <w:rFonts w:hint="eastAsia" w:ascii="Times New Roman" w:hAnsi="Times New Roman" w:eastAsia="仿宋_GB2312" w:cs="仿宋_GB2312"/>
          <w:i w:val="0"/>
          <w:iCs w:val="0"/>
          <w:caps w:val="0"/>
          <w:color w:val="auto"/>
          <w:spacing w:val="0"/>
          <w:sz w:val="32"/>
          <w:szCs w:val="32"/>
          <w:shd w:val="clear" w:fill="FFFFFF"/>
        </w:rPr>
        <w:t>严格做好公开前保密审查工作。按照“谁公开、谁审查</w:t>
      </w:r>
      <w:r>
        <w:rPr>
          <w:rFonts w:hint="eastAsia" w:ascii="Times New Roman" w:hAnsi="Times New Roman" w:eastAsia="仿宋_GB2312" w:cs="仿宋_GB2312"/>
          <w:i w:val="0"/>
          <w:iCs w:val="0"/>
          <w:caps w:val="0"/>
          <w:color w:val="auto"/>
          <w:spacing w:val="0"/>
          <w:sz w:val="32"/>
          <w:szCs w:val="32"/>
          <w:shd w:val="clear" w:fill="FFFFFF"/>
          <w:lang w:eastAsia="zh-CN"/>
        </w:rPr>
        <w:t>”“</w:t>
      </w:r>
      <w:r>
        <w:rPr>
          <w:rFonts w:hint="eastAsia" w:ascii="Times New Roman" w:hAnsi="Times New Roman" w:eastAsia="仿宋_GB2312" w:cs="仿宋_GB2312"/>
          <w:i w:val="0"/>
          <w:iCs w:val="0"/>
          <w:caps w:val="0"/>
          <w:color w:val="auto"/>
          <w:spacing w:val="0"/>
          <w:sz w:val="32"/>
          <w:szCs w:val="32"/>
          <w:shd w:val="clear" w:fill="FFFFFF"/>
        </w:rPr>
        <w:t>先审查后公开”的原则，明确信息保密审核的程序和责任，对拟公开的政府信息进行保密审查</w:t>
      </w:r>
      <w:r>
        <w:rPr>
          <w:rFonts w:hint="eastAsia" w:ascii="Times New Roman" w:hAnsi="Times New Roman" w:eastAsia="仿宋_GB2312" w:cs="仿宋_GB2312"/>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t>（四）平台建设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Times New Roman" w:hAnsi="Times New Roman" w:eastAsia="仿宋_GB2312" w:cs="仿宋_GB2312"/>
          <w:i w:val="0"/>
          <w:iCs w:val="0"/>
          <w:caps w:val="0"/>
          <w:color w:val="auto"/>
          <w:spacing w:val="0"/>
          <w:sz w:val="32"/>
          <w:szCs w:val="32"/>
          <w:shd w:val="clear" w:fill="FFFFFF"/>
        </w:rPr>
      </w:pPr>
      <w:r>
        <w:rPr>
          <w:rFonts w:hint="eastAsia" w:ascii="Times New Roman" w:hAnsi="Times New Roman" w:eastAsia="仿宋_GB2312" w:cs="仿宋_GB2312"/>
          <w:i w:val="0"/>
          <w:iCs w:val="0"/>
          <w:caps w:val="0"/>
          <w:color w:val="auto"/>
          <w:spacing w:val="0"/>
          <w:sz w:val="32"/>
          <w:szCs w:val="32"/>
          <w:shd w:val="clear" w:fill="FFFFFF"/>
        </w:rPr>
        <w:t>认真梳理政府信息公开目录，方便群众及时了解工作动态，共享工作成效。优化了公开内容，满足了各种不同受众的需求，体现出民政特色</w:t>
      </w:r>
      <w:r>
        <w:rPr>
          <w:rFonts w:hint="eastAsia" w:ascii="Times New Roman" w:hAnsi="Times New Roman" w:eastAsia="仿宋_GB2312" w:cs="仿宋_GB2312"/>
          <w:i w:val="0"/>
          <w:iCs w:val="0"/>
          <w:caps w:val="0"/>
          <w:color w:val="auto"/>
          <w:spacing w:val="0"/>
          <w:sz w:val="32"/>
          <w:szCs w:val="32"/>
          <w:shd w:val="clear" w:fill="FFFFFF"/>
          <w:lang w:eastAsia="zh-CN"/>
        </w:rPr>
        <w:t>。</w:t>
      </w:r>
      <w:r>
        <w:rPr>
          <w:rFonts w:hint="eastAsia" w:ascii="Times New Roman" w:hAnsi="Times New Roman" w:eastAsia="仿宋_GB2312" w:cs="仿宋_GB2312"/>
          <w:i w:val="0"/>
          <w:iCs w:val="0"/>
          <w:caps w:val="0"/>
          <w:color w:val="auto"/>
          <w:spacing w:val="0"/>
          <w:sz w:val="32"/>
          <w:szCs w:val="32"/>
          <w:shd w:val="clear" w:fill="FFFFFF"/>
        </w:rPr>
        <w:t>进一步夯实政务新媒体矩阵基础，成为政府信息公开和政务舆情回应、引导重要平台，权威传播党和政府信息，巩固拓展主流舆论阵地。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楷体_GB2312" w:cs="楷体_GB2312"/>
          <w:b/>
          <w:bCs/>
          <w:i w:val="0"/>
          <w:iCs w:val="0"/>
          <w:caps w:val="0"/>
          <w:color w:val="000000" w:themeColor="text1"/>
          <w:spacing w:val="0"/>
          <w:sz w:val="32"/>
          <w:szCs w:val="32"/>
          <w:shd w:val="clear" w:fill="FFFFFF"/>
          <w14:textFill>
            <w14:solidFill>
              <w14:schemeClr w14:val="tx1"/>
            </w14:solidFill>
          </w14:textFill>
        </w:rPr>
        <w:t>（五）监督保障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firstLine="640" w:firstLineChars="200"/>
        <w:jc w:val="left"/>
        <w:textAlignment w:val="auto"/>
        <w:rPr>
          <w:rFonts w:hint="eastAsia" w:ascii="Times New Roman" w:hAnsi="Times New Roman" w:eastAsia="仿宋_GB2312" w:cs="仿宋_GB2312"/>
          <w:i w:val="0"/>
          <w:iCs w:val="0"/>
          <w:caps w:val="0"/>
          <w:color w:val="auto"/>
          <w:spacing w:val="0"/>
          <w:kern w:val="0"/>
          <w:sz w:val="32"/>
          <w:szCs w:val="32"/>
          <w:shd w:val="clear" w:fill="FFFFFF"/>
          <w:lang w:val="en-US" w:eastAsia="zh-CN" w:bidi="ar"/>
        </w:rPr>
      </w:pPr>
      <w:r>
        <w:rPr>
          <w:rFonts w:hint="eastAsia" w:ascii="Times New Roman" w:hAnsi="Times New Roman" w:eastAsia="仿宋_GB2312" w:cs="仿宋_GB2312"/>
          <w:i w:val="0"/>
          <w:iCs w:val="0"/>
          <w:caps w:val="0"/>
          <w:color w:val="auto"/>
          <w:spacing w:val="0"/>
          <w:sz w:val="32"/>
          <w:szCs w:val="32"/>
          <w:shd w:val="clear" w:fill="FFFFFF"/>
          <w:lang w:val="en-US" w:eastAsia="zh-CN"/>
        </w:rPr>
        <w:t>我局</w:t>
      </w:r>
      <w:r>
        <w:rPr>
          <w:rFonts w:hint="eastAsia" w:ascii="Times New Roman" w:hAnsi="Times New Roman" w:eastAsia="仿宋_GB2312" w:cs="仿宋_GB2312"/>
          <w:i w:val="0"/>
          <w:iCs w:val="0"/>
          <w:caps w:val="0"/>
          <w:color w:val="auto"/>
          <w:spacing w:val="0"/>
          <w:sz w:val="32"/>
          <w:szCs w:val="32"/>
          <w:shd w:val="clear" w:fill="FFFFFF"/>
        </w:rPr>
        <w:t>贯彻落实《中华人民共和国政府信息公开条例》，根据省、市最新文件精神和工作部署，健全政府信息公开制度，进一步完善我局政府信息公开各项规章制度，梳理更新信息公开目录，规范信息公开内容，建立政府信息公开工作长效机制。</w:t>
      </w:r>
      <w:r>
        <w:rPr>
          <w:rFonts w:ascii="Times New Roman" w:hAnsi="Times New Roman" w:eastAsia="仿宋_GB2312" w:cs="仿宋_GB2312"/>
          <w:i w:val="0"/>
          <w:iCs w:val="0"/>
          <w:caps w:val="0"/>
          <w:color w:val="000000"/>
          <w:spacing w:val="0"/>
          <w:sz w:val="32"/>
          <w:szCs w:val="32"/>
        </w:rPr>
        <w:t>一是</w:t>
      </w:r>
      <w:r>
        <w:rPr>
          <w:rFonts w:hint="eastAsia" w:ascii="Times New Roman" w:hAnsi="Times New Roman" w:eastAsia="仿宋_GB2312" w:cs="仿宋_GB2312"/>
          <w:i w:val="0"/>
          <w:iCs w:val="0"/>
          <w:caps w:val="0"/>
          <w:color w:val="000000"/>
          <w:spacing w:val="0"/>
          <w:sz w:val="32"/>
          <w:szCs w:val="32"/>
        </w:rPr>
        <w:t>强化组织保障。及时优化调整我局政府信息公开工作领导小组。明确各科室单位的工作责任，并将信息公开工作列入年度责任目标考核内容。二是自觉接受监督。我局认真对待有关部门对政府信息公开工作的检查、抽查，对发现的问题均在第一时间切实整改到位；同时，鼓励广大干部、群众积极参与政务公开情况的监督，积极反映公开过程中存在的突出问题，使公开工作更加扎实、有序开展。202</w:t>
      </w:r>
      <w:r>
        <w:rPr>
          <w:rFonts w:hint="eastAsia" w:ascii="Times New Roman" w:hAnsi="Times New Roman" w:eastAsia="仿宋_GB2312" w:cs="仿宋_GB2312"/>
          <w:i w:val="0"/>
          <w:iCs w:val="0"/>
          <w:caps w:val="0"/>
          <w:color w:val="000000"/>
          <w:spacing w:val="0"/>
          <w:sz w:val="32"/>
          <w:szCs w:val="32"/>
          <w:lang w:val="en-US" w:eastAsia="zh-CN"/>
        </w:rPr>
        <w:t>3</w:t>
      </w:r>
      <w:r>
        <w:rPr>
          <w:rFonts w:hint="eastAsia" w:ascii="Times New Roman" w:hAnsi="Times New Roman" w:eastAsia="仿宋_GB2312" w:cs="仿宋_GB2312"/>
          <w:i w:val="0"/>
          <w:iCs w:val="0"/>
          <w:caps w:val="0"/>
          <w:color w:val="000000"/>
          <w:spacing w:val="0"/>
          <w:sz w:val="32"/>
          <w:szCs w:val="32"/>
        </w:rPr>
        <w:t>年，我局未发生责任追究情况。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Chars="200" w:right="0" w:rightChars="0"/>
        <w:jc w:val="both"/>
        <w:rPr>
          <w:rFonts w:hint="eastAsia" w:ascii="Times New Roman" w:hAnsi="Times New Roman"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黑体" w:cs="黑体"/>
          <w:i w:val="0"/>
          <w:iCs w:val="0"/>
          <w:caps w:val="0"/>
          <w:color w:val="000000" w:themeColor="text1"/>
          <w:spacing w:val="0"/>
          <w:sz w:val="32"/>
          <w:szCs w:val="32"/>
          <w:shd w:val="clear" w:fill="FFFFFF"/>
          <w:lang w:val="en-US" w:eastAsia="zh-CN"/>
          <w14:textFill>
            <w14:solidFill>
              <w14:schemeClr w14:val="tx1"/>
            </w14:solidFill>
          </w14:textFill>
        </w:rPr>
        <w:t>二、主动公开政府信息情况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Chars="200" w:right="0" w:rightChars="0"/>
        <w:jc w:val="both"/>
        <w:rPr>
          <w:rFonts w:hint="eastAsia" w:ascii="Times New Roman" w:hAnsi="Times New Roman" w:eastAsia="黑体" w:cs="黑体"/>
          <w:i w:val="0"/>
          <w:iCs w:val="0"/>
          <w:caps w:val="0"/>
          <w:color w:val="000000" w:themeColor="text1"/>
          <w:spacing w:val="0"/>
          <w:sz w:val="32"/>
          <w:szCs w:val="32"/>
          <w:shd w:val="clear" w:fill="FFFFFF"/>
          <w:lang w:val="en-US" w:eastAsia="zh-CN"/>
          <w14:textFill>
            <w14:solidFill>
              <w14:schemeClr w14:val="tx1"/>
            </w14:solidFill>
          </w14:textFill>
        </w:rPr>
      </w:pPr>
    </w:p>
    <w:tbl>
      <w:tblPr>
        <w:tblStyle w:val="4"/>
        <w:tblW w:w="9791" w:type="dxa"/>
        <w:jc w:val="center"/>
        <w:tblLayout w:type="autofit"/>
        <w:tblCellMar>
          <w:top w:w="15" w:type="dxa"/>
          <w:left w:w="15" w:type="dxa"/>
          <w:bottom w:w="15" w:type="dxa"/>
          <w:right w:w="15" w:type="dxa"/>
        </w:tblCellMar>
      </w:tblPr>
      <w:tblGrid>
        <w:gridCol w:w="2447"/>
        <w:gridCol w:w="2448"/>
        <w:gridCol w:w="2448"/>
        <w:gridCol w:w="2448"/>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本年</w:t>
            </w:r>
            <w:r>
              <w:rPr>
                <w:rFonts w:hint="eastAsia" w:ascii="Times New Roman" w:hAnsi="Times New Roman" w:eastAsia="宋体" w:cs="Calibri"/>
                <w:kern w:val="0"/>
                <w:sz w:val="20"/>
                <w:szCs w:val="20"/>
              </w:rPr>
              <w:t>制</w:t>
            </w:r>
            <w:r>
              <w:rPr>
                <w:rFonts w:hint="eastAsia" w:ascii="Times New Roman" w:hAnsi="Times New Roman" w:eastAsia="宋体" w:cs="宋体"/>
                <w:kern w:val="0"/>
                <w:sz w:val="20"/>
                <w:szCs w:val="20"/>
              </w:rPr>
              <w:t>发件</w:t>
            </w:r>
            <w:r>
              <w:rPr>
                <w:rFonts w:hint="eastAsia" w:ascii="Times New Roman" w:hAnsi="Times New Roman"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现行有效件</w:t>
            </w:r>
            <w:r>
              <w:rPr>
                <w:rFonts w:hint="eastAsia" w:ascii="Times New Roman" w:hAnsi="Times New Roman" w:eastAsia="宋体" w:cs="Calibri"/>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1"/>
                <w:szCs w:val="21"/>
                <w:lang w:val="en-US" w:eastAsia="zh-CN"/>
              </w:rPr>
            </w:pPr>
            <w:r>
              <w:rPr>
                <w:rFonts w:hint="eastAsia" w:ascii="Times New Roman" w:hAnsi="Times New Roman" w:eastAsia="宋体" w:cs="宋体"/>
                <w:color w:val="000000"/>
                <w:kern w:val="0"/>
                <w:sz w:val="21"/>
                <w:szCs w:val="21"/>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1"/>
                <w:szCs w:val="21"/>
                <w:lang w:val="en-US" w:eastAsia="zh-CN"/>
              </w:rPr>
            </w:pPr>
            <w:r>
              <w:rPr>
                <w:rFonts w:hint="eastAsia" w:ascii="Times New Roman" w:hAnsi="Times New Roman" w:eastAsia="宋体" w:cs="宋体"/>
                <w:color w:val="000000"/>
                <w:kern w:val="0"/>
                <w:sz w:val="21"/>
                <w:szCs w:val="21"/>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1"/>
                <w:szCs w:val="21"/>
                <w:lang w:val="en-US" w:eastAsia="zh-CN"/>
              </w:rPr>
            </w:pPr>
            <w:r>
              <w:rPr>
                <w:rFonts w:hint="eastAsia" w:ascii="Times New Roman" w:hAnsi="Times New Roman" w:eastAsia="宋体" w:cs="宋体"/>
                <w:color w:val="000000"/>
                <w:kern w:val="0"/>
                <w:sz w:val="21"/>
                <w:szCs w:val="21"/>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1"/>
                <w:szCs w:val="21"/>
                <w:lang w:val="en-US" w:eastAsia="zh-CN"/>
              </w:rPr>
            </w:pPr>
            <w:r>
              <w:rPr>
                <w:rFonts w:hint="eastAsia" w:ascii="Times New Roman" w:hAnsi="Times New Roman" w:eastAsia="宋体" w:cs="宋体"/>
                <w:color w:val="000000"/>
                <w:kern w:val="0"/>
                <w:sz w:val="21"/>
                <w:szCs w:val="21"/>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szCs w:val="24"/>
                <w:lang w:val="en-US" w:eastAsia="zh-CN"/>
              </w:rPr>
              <w:t>4</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宋体"/>
                <w:kern w:val="0"/>
                <w:sz w:val="28"/>
                <w:szCs w:val="28"/>
                <w:lang w:val="en-US" w:eastAsia="zh-CN"/>
              </w:rPr>
            </w:pPr>
            <w:r>
              <w:rPr>
                <w:rFonts w:hint="eastAsia" w:ascii="Times New Roman" w:hAnsi="Times New Roman" w:eastAsia="宋体" w:cs="宋体"/>
                <w:kern w:val="0"/>
                <w:sz w:val="24"/>
                <w:szCs w:val="24"/>
                <w:lang w:val="en-US" w:eastAsia="zh-CN"/>
              </w:rPr>
              <w:t>2</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8"/>
                <w:szCs w:val="28"/>
                <w:lang w:val="en-US" w:eastAsia="zh-CN"/>
              </w:rPr>
            </w:pPr>
            <w:r>
              <w:rPr>
                <w:rFonts w:hint="eastAsia" w:ascii="Times New Roman" w:hAnsi="Times New Roman" w:eastAsia="宋体" w:cs="宋体"/>
                <w:color w:val="000000"/>
                <w:kern w:val="0"/>
                <w:sz w:val="21"/>
                <w:szCs w:val="21"/>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r>
    </w:tbl>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Chars="0" w:right="0" w:rightChars="0" w:firstLine="640" w:firstLineChars="200"/>
        <w:jc w:val="both"/>
        <w:rPr>
          <w:rFonts w:hint="eastAsia" w:ascii="Times New Roman" w:hAnsi="Times New Roman"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imes New Roman" w:hAnsi="Times New Roman"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收到和处理政府信息公开申请情况</w:t>
      </w:r>
    </w:p>
    <w:tbl>
      <w:tblPr>
        <w:tblStyle w:val="4"/>
        <w:tblW w:w="9748" w:type="dxa"/>
        <w:jc w:val="cente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宋体"/>
                <w:kern w:val="0"/>
                <w:sz w:val="24"/>
              </w:rPr>
            </w:pPr>
            <w:r>
              <w:rPr>
                <w:rFonts w:hint="eastAsia" w:ascii="Times New Roman" w:hAnsi="Times New Roman"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总计</w:t>
            </w:r>
          </w:p>
        </w:tc>
      </w:tr>
      <w:tr>
        <w:tblPrEx>
          <w:tblCellMar>
            <w:top w:w="15" w:type="dxa"/>
            <w:left w:w="15" w:type="dxa"/>
            <w:bottom w:w="15" w:type="dxa"/>
            <w:right w:w="15" w:type="dxa"/>
          </w:tblCellMar>
        </w:tblPrEx>
        <w:trPr>
          <w:trHeight w:val="771" w:hRule="atLeast"/>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宋体" w:cs="宋体"/>
                <w:kern w:val="0"/>
                <w:sz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宋体" w:cs="宋体"/>
                <w:kern w:val="0"/>
                <w:sz w:val="24"/>
              </w:rPr>
            </w:pPr>
            <w:r>
              <w:rPr>
                <w:rFonts w:hint="eastAsia" w:ascii="Times New Roman" w:hAnsi="Times New Roman" w:eastAsia="宋体" w:cs="宋体"/>
                <w:kern w:val="0"/>
                <w:sz w:val="20"/>
                <w:szCs w:val="20"/>
              </w:rPr>
              <w:t>（二）部分公开</w:t>
            </w:r>
            <w:r>
              <w:rPr>
                <w:rFonts w:hint="eastAsia" w:ascii="Times New Roman" w:hAnsi="Times New Roman"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trHeight w:val="59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Times New Roman" w:hAnsi="Times New Roman" w:eastAsia="宋体" w:cs="宋体"/>
                <w:kern w:val="0"/>
                <w:sz w:val="24"/>
              </w:rPr>
            </w:pPr>
            <w:r>
              <w:rPr>
                <w:rFonts w:hint="eastAsia" w:ascii="Times New Roman" w:hAnsi="Times New Roman"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Times New Roman" w:hAnsi="Times New Roman" w:eastAsia="宋体" w:cs="宋体"/>
                <w:kern w:val="0"/>
                <w:sz w:val="24"/>
              </w:rPr>
            </w:pPr>
            <w:r>
              <w:rPr>
                <w:rFonts w:hint="eastAsia" w:ascii="Times New Roman" w:hAnsi="Times New Roman"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Times New Roman" w:hAnsi="Times New Roman" w:eastAsia="宋体" w:cs="宋体"/>
                <w:kern w:val="0"/>
                <w:sz w:val="24"/>
              </w:rPr>
            </w:pPr>
            <w:r>
              <w:rPr>
                <w:rFonts w:hint="eastAsia" w:ascii="Times New Roman" w:hAnsi="Times New Roman"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Times New Roman" w:hAnsi="Times New Roman" w:eastAsia="宋体" w:cs="宋体"/>
                <w:kern w:val="0"/>
                <w:sz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r>
        <w:tblPrEx>
          <w:tblCellMar>
            <w:top w:w="15" w:type="dxa"/>
            <w:left w:w="15" w:type="dxa"/>
            <w:bottom w:w="15" w:type="dxa"/>
            <w:right w:w="15" w:type="dxa"/>
          </w:tblCellMar>
        </w:tblPrEx>
        <w:trPr>
          <w:trHeight w:val="512" w:hRule="atLeast"/>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eastAsia="宋体" w:cs="宋体"/>
                <w:kern w:val="0"/>
                <w:sz w:val="24"/>
              </w:rPr>
            </w:pPr>
            <w:r>
              <w:rPr>
                <w:rFonts w:hint="eastAsia" w:ascii="Times New Roman" w:hAnsi="Times New Roman"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4"/>
                <w:lang w:val="en-US" w:eastAsia="zh-CN"/>
              </w:rPr>
              <w:t>0</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Chars="0" w:right="0" w:rightChars="0" w:firstLine="640" w:firstLineChars="200"/>
        <w:jc w:val="left"/>
        <w:rPr>
          <w:rFonts w:hint="eastAsia" w:ascii="Times New Roman" w:hAnsi="Times New Roman"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imes New Roman" w:hAnsi="Times New Roman"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四、政府信息公开行政复议、行政诉讼情况</w:t>
      </w:r>
    </w:p>
    <w:tbl>
      <w:tblPr>
        <w:tblStyle w:val="4"/>
        <w:tblpPr w:leftFromText="180" w:rightFromText="180" w:vertAnchor="text" w:horzAnchor="page" w:tblpX="1235" w:tblpY="250"/>
        <w:tblOverlap w:val="never"/>
        <w:tblW w:w="9748" w:type="dxa"/>
        <w:tblInd w:w="0" w:type="dxa"/>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15" w:type="dxa"/>
            <w:left w:w="15" w:type="dxa"/>
            <w:bottom w:w="15" w:type="dxa"/>
            <w:right w:w="15" w:type="dxa"/>
          </w:tblCellMar>
        </w:tblPrEx>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行政诉讼</w:t>
            </w:r>
          </w:p>
        </w:tc>
      </w:tr>
      <w:tr>
        <w:tblPrEx>
          <w:tblCellMar>
            <w:top w:w="15" w:type="dxa"/>
            <w:left w:w="15" w:type="dxa"/>
            <w:bottom w:w="15" w:type="dxa"/>
            <w:right w:w="15" w:type="dxa"/>
          </w:tblCellMar>
        </w:tblPrEx>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结果</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其他</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尚未</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复议后起诉</w:t>
            </w:r>
          </w:p>
        </w:tc>
      </w:tr>
      <w:tr>
        <w:tblPrEx>
          <w:tblCellMar>
            <w:top w:w="15" w:type="dxa"/>
            <w:left w:w="15" w:type="dxa"/>
            <w:bottom w:w="15" w:type="dxa"/>
            <w:right w:w="15" w:type="dxa"/>
          </w:tblCellMar>
        </w:tblPrEx>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宋体"/>
                <w:kern w:val="0"/>
                <w:sz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宋体"/>
                <w:kern w:val="0"/>
                <w:sz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宋体"/>
                <w:kern w:val="0"/>
                <w:sz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宋体"/>
                <w:kern w:val="0"/>
                <w:sz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宋体"/>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结果</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结果</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其他</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尚未</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结果</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结果</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其他</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kern w:val="0"/>
                <w:sz w:val="20"/>
                <w:szCs w:val="20"/>
              </w:rPr>
              <w:t>尚未</w:t>
            </w:r>
            <w:r>
              <w:rPr>
                <w:rFonts w:hint="eastAsia" w:ascii="Times New Roman" w:hAnsi="Times New Roman" w:eastAsia="宋体" w:cs="宋体"/>
                <w:kern w:val="0"/>
                <w:sz w:val="20"/>
                <w:szCs w:val="20"/>
              </w:rPr>
              <w:br w:type="textWrapping"/>
            </w:r>
            <w:r>
              <w:rPr>
                <w:rFonts w:hint="eastAsia" w:ascii="Times New Roman" w:hAnsi="Times New Roman"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宋体"/>
                <w:kern w:val="0"/>
                <w:sz w:val="24"/>
              </w:rPr>
            </w:pPr>
            <w:r>
              <w:rPr>
                <w:rFonts w:hint="eastAsia" w:ascii="Times New Roman" w:hAnsi="Times New Roman" w:eastAsia="宋体" w:cs="宋体"/>
                <w:color w:val="000000"/>
                <w:kern w:val="0"/>
                <w:sz w:val="20"/>
                <w:szCs w:val="20"/>
              </w:rPr>
              <w:t>总计</w:t>
            </w:r>
          </w:p>
        </w:tc>
      </w:tr>
      <w:tr>
        <w:tblPrEx>
          <w:tblCellMar>
            <w:top w:w="15" w:type="dxa"/>
            <w:left w:w="15" w:type="dxa"/>
            <w:bottom w:w="15" w:type="dxa"/>
            <w:right w:w="15" w:type="dxa"/>
          </w:tblCellMar>
        </w:tblPrEx>
        <w:trPr>
          <w:trHeight w:val="672" w:hRule="atLeast"/>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0</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五、</w:t>
      </w:r>
      <w:r>
        <w:rPr>
          <w:rFonts w:hint="eastAsia" w:ascii="Times New Roman" w:hAnsi="Times New Roman" w:eastAsia="黑体" w:cs="黑体"/>
          <w:b w:val="0"/>
          <w:bCs w:val="0"/>
          <w:i w:val="0"/>
          <w:iCs w:val="0"/>
          <w:caps w:val="0"/>
          <w:color w:val="000000" w:themeColor="text1"/>
          <w:spacing w:val="0"/>
          <w:sz w:val="32"/>
          <w:szCs w:val="32"/>
          <w:shd w:val="clear" w:fill="FFFFFF"/>
          <w14:textFill>
            <w14:solidFill>
              <w14:schemeClr w14:val="tx1"/>
            </w14:solidFill>
          </w14:textFill>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color w:val="auto"/>
          <w:spacing w:val="0"/>
          <w:sz w:val="32"/>
          <w:szCs w:val="32"/>
        </w:rPr>
      </w:pPr>
      <w:r>
        <w:rPr>
          <w:rFonts w:hint="eastAsia" w:ascii="Times New Roman" w:hAnsi="Times New Roman" w:eastAsia="仿宋_GB2312" w:cs="仿宋_GB2312"/>
          <w:i w:val="0"/>
          <w:iCs w:val="0"/>
          <w:caps w:val="0"/>
          <w:color w:val="auto"/>
          <w:spacing w:val="0"/>
          <w:sz w:val="32"/>
          <w:szCs w:val="32"/>
          <w:shd w:val="clear" w:fill="FFFFFF"/>
        </w:rPr>
        <w:t>202</w:t>
      </w:r>
      <w:r>
        <w:rPr>
          <w:rFonts w:hint="eastAsia" w:ascii="Times New Roman" w:hAnsi="Times New Roman" w:eastAsia="仿宋_GB2312" w:cs="仿宋_GB2312"/>
          <w:i w:val="0"/>
          <w:iCs w:val="0"/>
          <w:caps w:val="0"/>
          <w:color w:val="auto"/>
          <w:spacing w:val="0"/>
          <w:sz w:val="32"/>
          <w:szCs w:val="32"/>
          <w:shd w:val="clear" w:fill="FFFFFF"/>
          <w:lang w:val="en-US" w:eastAsia="zh-CN"/>
        </w:rPr>
        <w:t>3</w:t>
      </w:r>
      <w:r>
        <w:rPr>
          <w:rFonts w:hint="eastAsia" w:ascii="Times New Roman" w:hAnsi="Times New Roman" w:eastAsia="仿宋_GB2312" w:cs="仿宋_GB2312"/>
          <w:i w:val="0"/>
          <w:iCs w:val="0"/>
          <w:caps w:val="0"/>
          <w:color w:val="auto"/>
          <w:spacing w:val="0"/>
          <w:sz w:val="32"/>
          <w:szCs w:val="32"/>
          <w:shd w:val="clear" w:fill="FFFFFF"/>
        </w:rPr>
        <w:t>年，我局在政府信息公开工作方面取得一定成效，但也存在一些不足：</w:t>
      </w:r>
      <w:r>
        <w:rPr>
          <w:rFonts w:hint="eastAsia" w:ascii="Times New Roman" w:hAnsi="Times New Roman" w:eastAsia="仿宋_GB2312" w:cs="仿宋_GB2312"/>
          <w:i w:val="0"/>
          <w:iCs w:val="0"/>
          <w:caps w:val="0"/>
          <w:color w:val="auto"/>
          <w:spacing w:val="0"/>
          <w:sz w:val="32"/>
          <w:szCs w:val="32"/>
          <w:shd w:val="clear" w:fill="FFFFFF"/>
          <w:lang w:val="en-US" w:eastAsia="zh-CN"/>
        </w:rPr>
        <w:t>一是</w:t>
      </w:r>
      <w:r>
        <w:rPr>
          <w:rFonts w:ascii="Times New Roman" w:hAnsi="Times New Roman" w:eastAsia="仿宋_GB2312" w:cs="仿宋_GB2312"/>
          <w:i w:val="0"/>
          <w:iCs w:val="0"/>
          <w:caps w:val="0"/>
          <w:color w:val="000000"/>
          <w:spacing w:val="0"/>
          <w:sz w:val="31"/>
          <w:szCs w:val="31"/>
        </w:rPr>
        <w:t>政府信息公开工作业务能力还有欠缺，对政务公开的理解不到位，信息公开常态化意识有待提高</w:t>
      </w:r>
      <w:r>
        <w:rPr>
          <w:rFonts w:hint="eastAsia" w:ascii="Times New Roman" w:hAnsi="Times New Roman" w:eastAsia="仿宋_GB2312" w:cs="仿宋_GB2312"/>
          <w:i w:val="0"/>
          <w:iCs w:val="0"/>
          <w:caps w:val="0"/>
          <w:color w:val="auto"/>
          <w:spacing w:val="0"/>
          <w:sz w:val="32"/>
          <w:szCs w:val="32"/>
          <w:shd w:val="clear" w:fill="FFFFFF"/>
        </w:rPr>
        <w:t>；二是文件公开形式不够丰富。将主要从以下几个方面改进：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Times New Roman" w:hAnsi="Times New Roman" w:eastAsia="仿宋_GB2312" w:cs="仿宋_GB2312"/>
          <w:i w:val="0"/>
          <w:iCs w:val="0"/>
          <w:caps w:val="0"/>
          <w:color w:val="000000"/>
          <w:spacing w:val="0"/>
          <w:sz w:val="31"/>
          <w:szCs w:val="31"/>
          <w:lang w:eastAsia="zh-CN"/>
        </w:rPr>
      </w:pPr>
      <w:r>
        <w:rPr>
          <w:rFonts w:hint="eastAsia" w:ascii="Times New Roman" w:hAnsi="Times New Roman" w:eastAsia="楷体_GB2312" w:cs="楷体_GB2312"/>
          <w:b/>
          <w:bCs/>
          <w:i w:val="0"/>
          <w:iCs w:val="0"/>
          <w:caps w:val="0"/>
          <w:color w:val="000000"/>
          <w:spacing w:val="0"/>
          <w:sz w:val="32"/>
          <w:szCs w:val="32"/>
          <w:lang w:val="en-US" w:eastAsia="zh-CN"/>
        </w:rPr>
        <w:t>（一）加强业务培训。</w:t>
      </w:r>
      <w:r>
        <w:rPr>
          <w:rFonts w:ascii="Times New Roman" w:hAnsi="Times New Roman" w:eastAsia="仿宋_GB2312" w:cs="仿宋_GB2312"/>
          <w:i w:val="0"/>
          <w:iCs w:val="0"/>
          <w:caps w:val="0"/>
          <w:color w:val="000000"/>
          <w:spacing w:val="0"/>
          <w:sz w:val="31"/>
          <w:szCs w:val="31"/>
        </w:rPr>
        <w:t>进一步提高人员思想认识，加强学习、管理，强化监督，确保政务公开工作有效开展</w:t>
      </w:r>
      <w:r>
        <w:rPr>
          <w:rFonts w:hint="eastAsia" w:ascii="Times New Roman" w:hAnsi="Times New Roman" w:eastAsia="仿宋_GB2312" w:cs="仿宋_GB2312"/>
          <w:i w:val="0"/>
          <w:iCs w:val="0"/>
          <w:caps w:val="0"/>
          <w:color w:val="000000"/>
          <w:spacing w:val="0"/>
          <w:sz w:val="31"/>
          <w:szCs w:val="31"/>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Times New Roman" w:hAnsi="Times New Roman" w:eastAsia="仿宋_GB2312" w:cs="仿宋_GB2312"/>
          <w:i w:val="0"/>
          <w:iCs w:val="0"/>
          <w:caps w:val="0"/>
          <w:color w:val="auto"/>
          <w:spacing w:val="0"/>
          <w:sz w:val="32"/>
          <w:szCs w:val="32"/>
        </w:rPr>
      </w:pPr>
      <w:r>
        <w:rPr>
          <w:rFonts w:hint="eastAsia" w:ascii="Times New Roman" w:hAnsi="Times New Roman" w:eastAsia="楷体_GB2312" w:cs="楷体_GB2312"/>
          <w:b/>
          <w:bCs/>
          <w:i w:val="0"/>
          <w:iCs w:val="0"/>
          <w:caps w:val="0"/>
          <w:color w:val="000000"/>
          <w:spacing w:val="0"/>
          <w:sz w:val="32"/>
          <w:szCs w:val="32"/>
          <w:lang w:val="en-US" w:eastAsia="zh-CN"/>
        </w:rPr>
        <w:t>（二）丰富信息公开工作形式。</w:t>
      </w:r>
      <w:r>
        <w:rPr>
          <w:rFonts w:hint="eastAsia" w:ascii="Times New Roman" w:hAnsi="Times New Roman" w:eastAsia="仿宋_GB2312" w:cs="仿宋_GB2312"/>
          <w:i w:val="0"/>
          <w:iCs w:val="0"/>
          <w:caps w:val="0"/>
          <w:color w:val="auto"/>
          <w:spacing w:val="0"/>
          <w:sz w:val="32"/>
          <w:szCs w:val="32"/>
          <w:shd w:val="clear" w:fill="FFFFFF"/>
        </w:rPr>
        <w:t>对涉及面广、社会关注度高的法规政策和重大措施，通过数字化、图表解读、音频、视频等多种解读方式予以展现。确保政府信息公开工作简明、有效。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六、</w:t>
      </w:r>
      <w:r>
        <w:rPr>
          <w:rFonts w:hint="eastAsia" w:ascii="Times New Roman" w:hAnsi="Times New Roman" w:eastAsia="黑体" w:cs="黑体"/>
          <w:b w:val="0"/>
          <w:bCs w:val="0"/>
          <w:i w:val="0"/>
          <w:iCs w:val="0"/>
          <w:caps w:val="0"/>
          <w:color w:val="000000" w:themeColor="text1"/>
          <w:spacing w:val="0"/>
          <w:sz w:val="32"/>
          <w:szCs w:val="32"/>
          <w:shd w:val="clear" w:fill="FFFFFF"/>
          <w14:textFill>
            <w14:solidFill>
              <w14:schemeClr w14:val="tx1"/>
            </w14:solidFill>
          </w14:textFill>
        </w:rPr>
        <w:t>其他需要报告的事项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171A1D"/>
          <w:spacing w:val="0"/>
          <w:sz w:val="32"/>
          <w:szCs w:val="32"/>
          <w:shd w:val="clear" w:fill="FFFFFF"/>
        </w:rPr>
        <w:t>政务公开要点落实情况</w:t>
      </w:r>
      <w:r>
        <w:rPr>
          <w:rFonts w:hint="eastAsia" w:ascii="仿宋_GB2312" w:hAnsi="仿宋_GB2312" w:eastAsia="仿宋_GB2312" w:cs="仿宋_GB2312"/>
          <w:b/>
          <w:bCs/>
          <w:i w:val="0"/>
          <w:iCs w:val="0"/>
          <w:caps w:val="0"/>
          <w:color w:val="171A1D"/>
          <w:spacing w:val="0"/>
          <w:sz w:val="32"/>
          <w:szCs w:val="32"/>
          <w:shd w:val="clear" w:fill="FFFFFF"/>
          <w:lang w:eastAsia="zh-CN"/>
        </w:rPr>
        <w:t>：</w:t>
      </w:r>
      <w:r>
        <w:rPr>
          <w:rFonts w:hint="eastAsia" w:ascii="仿宋_GB2312" w:hAnsi="仿宋_GB2312" w:eastAsia="仿宋_GB2312" w:cs="仿宋_GB2312"/>
          <w:b/>
          <w:bCs/>
          <w:i w:val="0"/>
          <w:iCs w:val="0"/>
          <w:caps w:val="0"/>
          <w:color w:val="171A1D"/>
          <w:spacing w:val="0"/>
          <w:sz w:val="32"/>
          <w:szCs w:val="32"/>
          <w:shd w:val="clear" w:fill="FFFFFF"/>
          <w:lang w:val="en-US" w:eastAsia="zh-CN"/>
        </w:rPr>
        <w:t>一是</w:t>
      </w:r>
      <w:r>
        <w:rPr>
          <w:rFonts w:hint="eastAsia" w:ascii="仿宋_GB2312" w:hAnsi="仿宋_GB2312" w:eastAsia="仿宋_GB2312" w:cs="仿宋_GB2312"/>
          <w:i w:val="0"/>
          <w:iCs w:val="0"/>
          <w:caps w:val="0"/>
          <w:color w:val="171A1D"/>
          <w:spacing w:val="0"/>
          <w:sz w:val="32"/>
          <w:szCs w:val="32"/>
          <w:shd w:val="clear" w:fill="FFFFFF"/>
          <w:lang w:val="en-US" w:eastAsia="zh-CN"/>
        </w:rPr>
        <w:t>深化重点领域信息公开。我局认真梳理职能相关重点领域信息公开事项进一步提高信息公开的针对性和有效性。如低保对象名单、特困人员名单、临时救助名单及困境儿童、社会散居孤儿基本生活费发放情况等均每月发布；</w:t>
      </w:r>
      <w:r>
        <w:rPr>
          <w:rFonts w:hint="eastAsia" w:ascii="仿宋_GB2312" w:hAnsi="仿宋_GB2312" w:eastAsia="仿宋_GB2312" w:cs="仿宋_GB2312"/>
          <w:b/>
          <w:bCs/>
          <w:i w:val="0"/>
          <w:iCs w:val="0"/>
          <w:caps w:val="0"/>
          <w:color w:val="171A1D"/>
          <w:spacing w:val="0"/>
          <w:sz w:val="32"/>
          <w:szCs w:val="32"/>
          <w:shd w:val="clear" w:fill="FFFFFF"/>
          <w:lang w:val="en-US" w:eastAsia="zh-CN"/>
        </w:rPr>
        <w:t>二是</w:t>
      </w:r>
      <w:r>
        <w:rPr>
          <w:rFonts w:hint="eastAsia" w:ascii="仿宋_GB2312" w:hAnsi="仿宋_GB2312" w:eastAsia="仿宋_GB2312" w:cs="仿宋_GB2312"/>
          <w:i w:val="0"/>
          <w:iCs w:val="0"/>
          <w:caps w:val="0"/>
          <w:color w:val="171A1D"/>
          <w:spacing w:val="0"/>
          <w:sz w:val="32"/>
          <w:szCs w:val="32"/>
          <w:shd w:val="clear" w:fill="FFFFFF"/>
          <w:lang w:val="en-US" w:eastAsia="zh-CN"/>
        </w:rPr>
        <w:t>着力推进政务公开平台建设，拓展公开渠道与内容。进一步深化政民互动交流，不断提升群众对政府工作的知晓度、参与度和满意度，全面推进我县政务公开工作，提高政府部门服务质量和实效，增进群众了解政府部门运行和监督政府部门工作。我局在2023年4月、</w:t>
      </w:r>
      <w:bookmarkStart w:id="0" w:name="_GoBack"/>
      <w:bookmarkEnd w:id="0"/>
      <w:r>
        <w:rPr>
          <w:rFonts w:hint="eastAsia" w:ascii="仿宋_GB2312" w:hAnsi="仿宋_GB2312" w:eastAsia="仿宋_GB2312" w:cs="仿宋_GB2312"/>
          <w:i w:val="0"/>
          <w:iCs w:val="0"/>
          <w:caps w:val="0"/>
          <w:color w:val="171A1D"/>
          <w:spacing w:val="0"/>
          <w:sz w:val="32"/>
          <w:szCs w:val="32"/>
          <w:shd w:val="clear" w:fill="FFFFFF"/>
          <w:lang w:val="en-US" w:eastAsia="zh-CN"/>
        </w:rPr>
        <w:t>8月</w:t>
      </w:r>
      <w:r>
        <w:rPr>
          <w:rFonts w:hint="eastAsia" w:ascii="仿宋_GB2312" w:hAnsi="仿宋_GB2312" w:eastAsia="仿宋_GB2312" w:cs="仿宋_GB2312"/>
          <w:i w:val="0"/>
          <w:iCs w:val="0"/>
          <w:caps w:val="0"/>
          <w:color w:val="000000"/>
          <w:spacing w:val="0"/>
          <w:sz w:val="32"/>
          <w:szCs w:val="32"/>
          <w:shd w:val="clear" w:fill="FFFFFF"/>
        </w:rPr>
        <w:t>精心组织开展全县政府系统固定开放月</w:t>
      </w:r>
      <w:r>
        <w:rPr>
          <w:rFonts w:hint="eastAsia" w:ascii="仿宋_GB2312" w:hAnsi="仿宋_GB2312" w:eastAsia="仿宋_GB2312" w:cs="仿宋_GB2312"/>
          <w:i w:val="0"/>
          <w:iCs w:val="0"/>
          <w:caps w:val="0"/>
          <w:color w:val="000000"/>
          <w:spacing w:val="0"/>
          <w:sz w:val="32"/>
          <w:szCs w:val="32"/>
          <w:shd w:val="clear" w:fill="FFFFFF"/>
          <w:lang w:val="en-US" w:eastAsia="zh-CN"/>
        </w:rPr>
        <w:t>活动</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b/>
          <w:bCs/>
          <w:i w:val="0"/>
          <w:iCs w:val="0"/>
          <w:caps w:val="0"/>
          <w:color w:val="000000"/>
          <w:spacing w:val="0"/>
          <w:sz w:val="32"/>
          <w:szCs w:val="32"/>
          <w:shd w:val="clear" w:fill="FFFFFF"/>
          <w:lang w:val="en-US" w:eastAsia="zh-CN"/>
        </w:rPr>
        <w:t>三是</w:t>
      </w:r>
      <w:r>
        <w:rPr>
          <w:rFonts w:hint="eastAsia" w:ascii="仿宋_GB2312" w:hAnsi="仿宋_GB2312" w:eastAsia="仿宋_GB2312" w:cs="仿宋_GB2312"/>
          <w:i w:val="0"/>
          <w:iCs w:val="0"/>
          <w:caps w:val="0"/>
          <w:color w:val="000000"/>
          <w:spacing w:val="0"/>
          <w:sz w:val="32"/>
          <w:szCs w:val="32"/>
          <w:shd w:val="clear" w:fill="FFFFFF"/>
          <w:lang w:val="en-US" w:eastAsia="zh-CN"/>
        </w:rPr>
        <w:t>着力推进政务公开制度化规范化，确保年度政务公开各项工作任务落实到位；局班子今年听取政务公开工作汇报1次，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由局主要领导任组长，各处室</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单位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主要负责人任成员。领导小组下设办公室，负责日常民政政务公开工作的牵头统筹工作</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仿宋_GB2312" w:cs="仿宋_GB2312"/>
          <w:i w:val="0"/>
          <w:iCs w:val="0"/>
          <w:caps w:val="0"/>
          <w:color w:val="auto"/>
          <w:spacing w:val="0"/>
          <w:sz w:val="32"/>
          <w:szCs w:val="32"/>
          <w:shd w:val="clear" w:fill="FFFFFF"/>
        </w:rPr>
        <w:t>强化责任到股室、落实到个人的工作机制，全局形成上下联动、整体推进的工作体系。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2023年，本机关无</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收取</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信息处理</w:t>
      </w: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费</w:t>
      </w: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上高县人民政府网（http://www.shanggao.gov.cn），如需了解更多政府信息，请登录查询。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080" w:firstLineChars="1900"/>
        <w:jc w:val="both"/>
        <w:textAlignment w:val="auto"/>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上高县民政局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080" w:firstLineChars="1900"/>
        <w:jc w:val="both"/>
        <w:textAlignment w:val="auto"/>
        <w:rPr>
          <w:rFonts w:hint="default"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2023年1月9日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33E9"/>
    <w:multiLevelType w:val="singleLevel"/>
    <w:tmpl w:val="AE4333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MDk3ZWYwODFjZTRiMjlmYjM4ZTZiODg2OGVlZmUifQ=="/>
  </w:docVars>
  <w:rsids>
    <w:rsidRoot w:val="63813E4A"/>
    <w:rsid w:val="003D081E"/>
    <w:rsid w:val="07187090"/>
    <w:rsid w:val="08183099"/>
    <w:rsid w:val="08D74175"/>
    <w:rsid w:val="091D63DF"/>
    <w:rsid w:val="0E19600D"/>
    <w:rsid w:val="10044B92"/>
    <w:rsid w:val="166E4668"/>
    <w:rsid w:val="16C37DF7"/>
    <w:rsid w:val="19706E4A"/>
    <w:rsid w:val="1B2D759B"/>
    <w:rsid w:val="25E01CF3"/>
    <w:rsid w:val="315B2843"/>
    <w:rsid w:val="37C30C14"/>
    <w:rsid w:val="40ED0AAF"/>
    <w:rsid w:val="40EE3E7E"/>
    <w:rsid w:val="41931657"/>
    <w:rsid w:val="42440246"/>
    <w:rsid w:val="44F54E99"/>
    <w:rsid w:val="4E6E03BB"/>
    <w:rsid w:val="55F43672"/>
    <w:rsid w:val="57CF6D09"/>
    <w:rsid w:val="5A24173A"/>
    <w:rsid w:val="602B48FC"/>
    <w:rsid w:val="62AA0157"/>
    <w:rsid w:val="63813E4A"/>
    <w:rsid w:val="66974580"/>
    <w:rsid w:val="7041619C"/>
    <w:rsid w:val="71032CDF"/>
    <w:rsid w:val="75A6022E"/>
    <w:rsid w:val="787E1A12"/>
    <w:rsid w:val="7C98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2567</Words>
  <Characters>2657</Characters>
  <Lines>0</Lines>
  <Paragraphs>0</Paragraphs>
  <TotalTime>0</TotalTime>
  <ScaleCrop>false</ScaleCrop>
  <LinksUpToDate>false</LinksUpToDate>
  <CharactersWithSpaces>2662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2021-12-20T06:39:00Z</dcterms:created>
  <dc:creator>孝字当头！</dc:creator>
  <cp:lastModifiedBy>廖小抠。</cp:lastModifiedBy>
  <cp:lastPrinted>2024-01-09T07:26:00Z</cp:lastPrinted>
  <dcterms:modified xsi:type="dcterms:W3CDTF">2024-01-10T06:57:25Z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9232311D5EE94A72BF587E8F07E14BEB</vt:lpwstr>
  </property>
</Properties>
</file>