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上高县人力资源和社会保障局2023年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根据《中华人民共和国政府信息公开条例》（以下简称《条例》）、《中华人民共和国政府信息公开工作年度报告格式》（国办公开办函〔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号）有关要求，由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局结合有关统计数据编制。报告中所列数据的统计期限自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日止。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全文包括总体情况、主动公开政府信息情况、收到和处理政府信息公开申请情况、政府信息公开行政复议行政诉讼情况、存在的主要问题及改进情况、其他需要报告的事项。本年度报告的电子版可以从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人民政府网站下载。如对本报告有任何疑问，请与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上高县人力资源和社会保障局办公室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上高县敖山大道2号人社局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0795-2520788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，邮编：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336400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，县人社局党组高度重视政府信息公开工作，健全组织机构，明确职责分工，增强主动公开意识，主要领导亲自抓、工作专班统筹协调、职能股室和局属单位积极配合，形成层层抓落实的局面。始终把做好政务公开工作作为切入点和重要抓手,与各项工作同部署同推动、同落实。在主动公开政务信息工作中，我局坚持“民生为本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优先”的工作宗旨，严格规范了工作程序，形成统一出口、各负其责、定期检查、规范服务的工作格局。同时，注重政府信息公开平台建设，加强了与各地各部门的沟通协调及监督保障，保证了信息发布准确、顺畅，工作成效较往年更为明显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主动公开。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1"/>
          <w:szCs w:val="31"/>
        </w:rPr>
        <w:t>2023</w:t>
      </w:r>
      <w:r>
        <w:rPr>
          <w:rFonts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年，我局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严格落实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三审三校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政府信息公开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要求，通过“上高县人民政府”网站主动公开政府信息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</w:rPr>
        <w:t>1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30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1"/>
          <w:szCs w:val="31"/>
        </w:rPr>
        <w:t>条。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政府信息依申请公开情况。202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年度县人社局收到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起政府信息公开申请。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）政府信息管理情况。建立健全了信息公开管理制度，明确主要领导为政府信息公开管理工作第一责任人、分管领导具体负责的职责体系，及时对公开内容进行更新和充实，做到全面真实、及时准确、重点突出。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）政府信息公开平台建设情况。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县人社局信息公开工作依托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上高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县人民政府门户网站系统渠道开展。按照202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度政务公开要点，对县人社局网站栏目建设进行了优化完善，做到“应公开尽公开”，进一步充实了政府信息公开栏目设置。持续强化平台安全防护，全年未发生重大安全问题。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（五）监督保障。充分依托各类大型聘请活动，设立询问台，放发宣传材料，开展人社政策宣传，提升人社各项工作政策知晓度。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明确政务公开分管领导和专职人员，分季度对公开内容进行定期摸排整改。在2023年的4月、8月积极参与“政务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公开日”活动，接受社会各界人士对我局政府信息公开的监督。同时我局不断摸索内部制约机制和外部监督机制，提高广大人民群众参与监督的热情、改善机关形象，以政务信息公开工作和“互联网+政务服务”的不断完善和延伸，带动和促进人社队伍的形象建设，扎实有效地做好今后的政务信息公开和“互联网+政务服务”工作。2023年我局未出现因信息公开不到位需要进行责任追究的情况。</w:t>
      </w: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28"/>
          <w:szCs w:val="28"/>
          <w:highlight w:val="red"/>
          <w:shd w:val="clear" w:color="auto" w:fill="FFFFFF"/>
          <w:lang w:eastAsia="zh-CN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12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156"/>
        <w:gridCol w:w="2410"/>
        <w:gridCol w:w="21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21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本年制发件数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本年废止件数</w:t>
            </w:r>
          </w:p>
        </w:tc>
        <w:tc>
          <w:tcPr>
            <w:tcW w:w="21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行政规范性文件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2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66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6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15"/>
          <w:szCs w:val="15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476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66"/>
        <w:gridCol w:w="3221"/>
        <w:gridCol w:w="540"/>
        <w:gridCol w:w="397"/>
        <w:gridCol w:w="403"/>
        <w:gridCol w:w="689"/>
        <w:gridCol w:w="696"/>
        <w:gridCol w:w="404"/>
        <w:gridCol w:w="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208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466" w:type="pct"/>
            <w:gridSpan w:val="5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309" w:type="pct"/>
            <w:vMerge w:val="restart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291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390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394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228" w:type="pct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9" w:type="pct"/>
            <w:vMerge w:val="continue"/>
            <w:tcBorders>
              <w:top w:val="single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45" w:type="pct"/>
            <w:vMerge w:val="restart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ind w:firstLine="280" w:firstLineChars="100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危及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“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三安全一稳定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182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306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306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single" w:color="auto" w:sz="6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restart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vMerge w:val="continue"/>
            <w:tcBorders>
              <w:top w:val="inset" w:color="auto" w:sz="8" w:space="0"/>
              <w:left w:val="single" w:color="auto" w:sz="6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45" w:type="pct"/>
            <w:vMerge w:val="continue"/>
            <w:tcBorders>
              <w:top w:val="single" w:color="auto" w:sz="6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291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9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Cs/>
          <w:color w:val="000000"/>
          <w:kern w:val="32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4824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04"/>
        <w:gridCol w:w="598"/>
        <w:gridCol w:w="598"/>
        <w:gridCol w:w="598"/>
        <w:gridCol w:w="599"/>
        <w:gridCol w:w="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333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335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（一）存在的主要问题：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年，我局政务公开工作取得了一定成效，但与上级的要求，与群众的需求相比，尚有不足。存在的主要问题是宣传教育工作仍需进一步加强，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群众关心的就业民生、社会保障等信息公开内容还待进一步提高。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fill="FFFFFF"/>
        </w:rPr>
        <w:t>（二）下一步工作打算：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进一步提高工作人员思想认识。把信息报送与考核相结合，进一步提高人社系统干部队伍政务信息公开意识。进一步加强网上咨询、网上办事等互动栏目建设，根据群众需求充实人社业务专栏，充分发挥人社网站信息公开、政策宣传、民心互通、便民利民等方面的作用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是进一步压实人社信息公开工作举措。按照“以公开为原则，不公开为例外”的总体要求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不断转变观念、加大公开力度，深化公开内容、扩大公开范围、拓展公开渠道等措施，高标准地做好下一年度政府信息公开工作。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加强政务公开平台建设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推动决策、执行、管理、服务、结果“五公开”和重点领域信息公开。进一步明确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局属各单位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范畴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等，并对公开内容进行动态扩展、及时更新和定期审查。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一是政府信息处理费收取情况。202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年，县人社局无政府信息其他处理费收取情况。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二是建议提案办理公开情况。202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年，县人社局共接到人大议案、政协提案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件，其中人大建议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件，政协提案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主要涉及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技工学校开设专业技术课程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、人才引进方面的意见建议。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三是政务公开工作要点落实情况。一直以来，县人社局把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县人民政府门户网站作为我局信息公开的主要载体和第一平台。除了按要求把县人社局相关政务信息公开到县政府网站，我们还向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上高就业网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平台积极报送信息。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2023年，本机关无收取信息处理费情况。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如需了解更多政府信息，请登录上高县人民政府网（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http://www.shanggao.gov.cn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）查询。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349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77541E"/>
    <w:multiLevelType w:val="singleLevel"/>
    <w:tmpl w:val="DA77541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ZDM2ODNmNzZjMjIwNTYzY2FmMTM5MTA0NmQzYTkifQ=="/>
  </w:docVars>
  <w:rsids>
    <w:rsidRoot w:val="00000000"/>
    <w:rsid w:val="04C84742"/>
    <w:rsid w:val="069A5D2A"/>
    <w:rsid w:val="072F4BA5"/>
    <w:rsid w:val="08D93BD1"/>
    <w:rsid w:val="09D35C74"/>
    <w:rsid w:val="0B25011E"/>
    <w:rsid w:val="0CEC47FF"/>
    <w:rsid w:val="0D0E683C"/>
    <w:rsid w:val="0F42566A"/>
    <w:rsid w:val="0FE32618"/>
    <w:rsid w:val="112B15BF"/>
    <w:rsid w:val="14546C5E"/>
    <w:rsid w:val="14BA1A45"/>
    <w:rsid w:val="16A7086B"/>
    <w:rsid w:val="17534F7D"/>
    <w:rsid w:val="1A976EB2"/>
    <w:rsid w:val="1B931963"/>
    <w:rsid w:val="1E757E9F"/>
    <w:rsid w:val="1E851225"/>
    <w:rsid w:val="21367D80"/>
    <w:rsid w:val="217F7CEF"/>
    <w:rsid w:val="23B06487"/>
    <w:rsid w:val="240C3407"/>
    <w:rsid w:val="2480713E"/>
    <w:rsid w:val="26D86F90"/>
    <w:rsid w:val="29CB1C26"/>
    <w:rsid w:val="306E6998"/>
    <w:rsid w:val="41111844"/>
    <w:rsid w:val="43F62A94"/>
    <w:rsid w:val="44674DF3"/>
    <w:rsid w:val="47EB5168"/>
    <w:rsid w:val="48182D00"/>
    <w:rsid w:val="494A55BE"/>
    <w:rsid w:val="519D4381"/>
    <w:rsid w:val="55B612A7"/>
    <w:rsid w:val="56644955"/>
    <w:rsid w:val="566E50F8"/>
    <w:rsid w:val="56857A37"/>
    <w:rsid w:val="57AB0A0E"/>
    <w:rsid w:val="59E07F81"/>
    <w:rsid w:val="5F8F3FA2"/>
    <w:rsid w:val="5FCE6A83"/>
    <w:rsid w:val="60E6671F"/>
    <w:rsid w:val="662C2F84"/>
    <w:rsid w:val="6A7E2F01"/>
    <w:rsid w:val="6EB526D3"/>
    <w:rsid w:val="6EC41F3F"/>
    <w:rsid w:val="771E07D4"/>
    <w:rsid w:val="7B440FF1"/>
    <w:rsid w:val="7D7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2165</Words>
  <Characters>2252</Characters>
  <Lines>0</Lines>
  <Paragraphs>0</Paragraphs>
  <TotalTime>43</TotalTime>
  <ScaleCrop>false</ScaleCrop>
  <LinksUpToDate>false</LinksUpToDate>
  <CharactersWithSpaces>2252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炫豆</cp:lastModifiedBy>
  <dcterms:modified xsi:type="dcterms:W3CDTF">2024-01-12T08:13:09Z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B3ABC6CDEBBD47F19C5BDC1AE07DFBBE</vt:lpwstr>
  </property>
</Properties>
</file>