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上高县人社局2021年</w:t>
      </w:r>
      <w:r>
        <w:rPr>
          <w:rFonts w:hint="eastAsia" w:ascii="方正小标宋简体" w:hAnsi="方正小标宋简体" w:eastAsia="方正小标宋简体" w:cs="方正小标宋简体"/>
          <w:b w:val="0"/>
          <w:bCs/>
          <w:i w:val="0"/>
          <w:caps w:val="0"/>
          <w:color w:val="auto"/>
          <w:spacing w:val="0"/>
          <w:sz w:val="44"/>
          <w:szCs w:val="44"/>
          <w:shd w:val="clear" w:fill="FFFFFF"/>
        </w:rPr>
        <w:t>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auto"/>
          <w:spacing w:val="0"/>
          <w:sz w:val="32"/>
          <w:szCs w:val="32"/>
          <w:lang w:val="en-US" w:eastAsia="zh-CN"/>
        </w:rPr>
        <w:t>县人社局</w:t>
      </w:r>
      <w:r>
        <w:rPr>
          <w:rFonts w:hint="eastAsia" w:ascii="仿宋_GB2312" w:hAnsi="仿宋_GB2312" w:eastAsia="仿宋_GB2312" w:cs="仿宋_GB2312"/>
          <w:i w:val="0"/>
          <w:caps w:val="0"/>
          <w:color w:val="auto"/>
          <w:spacing w:val="0"/>
          <w:sz w:val="32"/>
          <w:szCs w:val="32"/>
        </w:rPr>
        <w:t>结合有关统计数据编制。本年度报告中所列数据的统计期限自</w:t>
      </w:r>
      <w:r>
        <w:rPr>
          <w:rFonts w:hint="eastAsia" w:ascii="仿宋_GB2312" w:hAnsi="仿宋_GB2312" w:eastAsia="仿宋_GB2312" w:cs="仿宋_GB2312"/>
          <w:i w:val="0"/>
          <w:caps w:val="0"/>
          <w:color w:val="auto"/>
          <w:spacing w:val="0"/>
          <w:sz w:val="32"/>
          <w:szCs w:val="32"/>
          <w:lang w:val="en-US" w:eastAsia="zh-CN"/>
        </w:rPr>
        <w:t>2021</w:t>
      </w:r>
      <w:r>
        <w:rPr>
          <w:rFonts w:hint="eastAsia" w:ascii="仿宋_GB2312" w:hAnsi="仿宋_GB2312" w:eastAsia="仿宋_GB2312" w:cs="仿宋_GB2312"/>
          <w:i w:val="0"/>
          <w:caps w:val="0"/>
          <w:color w:val="auto"/>
          <w:spacing w:val="0"/>
          <w:sz w:val="32"/>
          <w:szCs w:val="32"/>
        </w:rPr>
        <w:t>年1月1日起至</w:t>
      </w:r>
      <w:r>
        <w:rPr>
          <w:rFonts w:hint="eastAsia" w:ascii="仿宋_GB2312" w:hAnsi="仿宋_GB2312" w:eastAsia="仿宋_GB2312" w:cs="仿宋_GB2312"/>
          <w:i w:val="0"/>
          <w:caps w:val="0"/>
          <w:color w:val="auto"/>
          <w:spacing w:val="0"/>
          <w:sz w:val="32"/>
          <w:szCs w:val="32"/>
          <w:lang w:val="en-US" w:eastAsia="zh-CN"/>
        </w:rPr>
        <w:t>2021</w:t>
      </w:r>
      <w:r>
        <w:rPr>
          <w:rFonts w:hint="eastAsia" w:ascii="仿宋_GB2312" w:hAnsi="仿宋_GB2312" w:eastAsia="仿宋_GB2312" w:cs="仿宋_GB2312"/>
          <w:i w:val="0"/>
          <w:caps w:val="0"/>
          <w:color w:val="auto"/>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auto"/>
          <w:spacing w:val="0"/>
          <w:sz w:val="32"/>
          <w:szCs w:val="32"/>
          <w:lang w:val="en-US" w:eastAsia="zh-CN"/>
        </w:rPr>
        <w:t>上高县</w:t>
      </w:r>
      <w:r>
        <w:rPr>
          <w:rFonts w:hint="eastAsia" w:ascii="仿宋_GB2312" w:hAnsi="仿宋_GB2312" w:eastAsia="仿宋_GB2312" w:cs="仿宋_GB2312"/>
          <w:i w:val="0"/>
          <w:caps w:val="0"/>
          <w:color w:val="auto"/>
          <w:spacing w:val="0"/>
          <w:sz w:val="32"/>
          <w:szCs w:val="32"/>
        </w:rPr>
        <w:t>人民政府网站下载。如对本报告有任何疑问，请与</w:t>
      </w:r>
      <w:r>
        <w:rPr>
          <w:rFonts w:hint="eastAsia" w:ascii="仿宋_GB2312" w:hAnsi="仿宋_GB2312" w:eastAsia="仿宋_GB2312" w:cs="仿宋_GB2312"/>
          <w:i w:val="0"/>
          <w:caps w:val="0"/>
          <w:color w:val="auto"/>
          <w:spacing w:val="0"/>
          <w:sz w:val="32"/>
          <w:szCs w:val="32"/>
          <w:lang w:val="en-US" w:eastAsia="zh-CN"/>
        </w:rPr>
        <w:t>上高县人力资源和社会保障局办公室</w:t>
      </w:r>
      <w:r>
        <w:rPr>
          <w:rFonts w:hint="eastAsia" w:ascii="仿宋_GB2312" w:hAnsi="仿宋_GB2312" w:eastAsia="仿宋_GB2312" w:cs="仿宋_GB2312"/>
          <w:i w:val="0"/>
          <w:caps w:val="0"/>
          <w:color w:val="auto"/>
          <w:spacing w:val="0"/>
          <w:sz w:val="32"/>
          <w:szCs w:val="32"/>
        </w:rPr>
        <w:t>联系（地址：</w:t>
      </w:r>
      <w:r>
        <w:rPr>
          <w:rFonts w:hint="eastAsia" w:ascii="仿宋_GB2312" w:hAnsi="仿宋_GB2312" w:eastAsia="仿宋_GB2312" w:cs="仿宋_GB2312"/>
          <w:i w:val="0"/>
          <w:caps w:val="0"/>
          <w:color w:val="auto"/>
          <w:spacing w:val="0"/>
          <w:sz w:val="32"/>
          <w:szCs w:val="32"/>
          <w:lang w:val="en-US" w:eastAsia="zh-CN"/>
        </w:rPr>
        <w:t>上高县敖山大道2号人社局</w:t>
      </w:r>
      <w:r>
        <w:rPr>
          <w:rFonts w:hint="eastAsia" w:ascii="仿宋_GB2312" w:hAnsi="仿宋_GB2312" w:eastAsia="仿宋_GB2312" w:cs="仿宋_GB2312"/>
          <w:i w:val="0"/>
          <w:caps w:val="0"/>
          <w:color w:val="auto"/>
          <w:spacing w:val="0"/>
          <w:sz w:val="32"/>
          <w:szCs w:val="32"/>
        </w:rPr>
        <w:t>，电话：</w:t>
      </w:r>
      <w:r>
        <w:rPr>
          <w:rFonts w:hint="eastAsia" w:ascii="仿宋_GB2312" w:hAnsi="仿宋_GB2312" w:eastAsia="仿宋_GB2312" w:cs="仿宋_GB2312"/>
          <w:i w:val="0"/>
          <w:caps w:val="0"/>
          <w:color w:val="auto"/>
          <w:spacing w:val="0"/>
          <w:sz w:val="32"/>
          <w:szCs w:val="32"/>
          <w:lang w:val="en-US" w:eastAsia="zh-CN"/>
        </w:rPr>
        <w:t>0795-2520788</w:t>
      </w:r>
      <w:r>
        <w:rPr>
          <w:rFonts w:hint="eastAsia" w:ascii="仿宋_GB2312" w:hAnsi="仿宋_GB2312" w:eastAsia="仿宋_GB2312" w:cs="仿宋_GB2312"/>
          <w:i w:val="0"/>
          <w:caps w:val="0"/>
          <w:color w:val="auto"/>
          <w:spacing w:val="0"/>
          <w:sz w:val="32"/>
          <w:szCs w:val="32"/>
        </w:rPr>
        <w:t>，邮编：</w:t>
      </w:r>
      <w:r>
        <w:rPr>
          <w:rFonts w:hint="eastAsia" w:ascii="仿宋_GB2312" w:hAnsi="仿宋_GB2312" w:eastAsia="仿宋_GB2312" w:cs="仿宋_GB2312"/>
          <w:i w:val="0"/>
          <w:caps w:val="0"/>
          <w:color w:val="auto"/>
          <w:spacing w:val="0"/>
          <w:sz w:val="32"/>
          <w:szCs w:val="32"/>
          <w:lang w:val="en-US" w:eastAsia="zh-CN"/>
        </w:rPr>
        <w:t>336400</w:t>
      </w:r>
      <w:r>
        <w:rPr>
          <w:rFonts w:hint="eastAsia" w:ascii="仿宋_GB2312" w:hAnsi="仿宋_GB2312" w:eastAsia="仿宋_GB2312" w:cs="仿宋_GB2312"/>
          <w:i w:val="0"/>
          <w:caps w:val="0"/>
          <w:color w:val="auto"/>
          <w:spacing w:val="0"/>
          <w:sz w:val="32"/>
          <w:szCs w:val="32"/>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坚持以习近平新时代中国特色社会主义思想为指导，深入贯彻国家和上级政府关于政务公开的决策部署，按照“条例”要求，不断丰富公开内容，拓宽公开形式和渠道，增强公开质量和实效，全面推进政府信息公开，助力全县深化改革、经济发展、民生改善和政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一是加强组织领导，建立政务公开长效机制。</w:t>
      </w:r>
      <w:r>
        <w:rPr>
          <w:rFonts w:hint="eastAsia" w:ascii="仿宋_GB2312" w:hAnsi="仿宋_GB2312" w:eastAsia="仿宋_GB2312" w:cs="仿宋_GB2312"/>
          <w:i w:val="0"/>
          <w:caps w:val="0"/>
          <w:color w:val="auto"/>
          <w:spacing w:val="0"/>
          <w:sz w:val="32"/>
          <w:szCs w:val="32"/>
          <w:shd w:val="clear" w:fill="FFFFFF"/>
        </w:rPr>
        <w:t>成立由主要领导任组长，分管领导任副组长，局办公室具体负责全局政府信息公开日常事务的工作领导小组，并把政务公开工作分解到各科室及局属各单位，强化“一把手总负责、副职领导具体抓、责任到科室、落实到人头”的工作机制，确保政府信息公开工作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二是规范网站建设，提高政务信息公开质量。</w:t>
      </w:r>
      <w:r>
        <w:rPr>
          <w:rFonts w:hint="eastAsia" w:ascii="仿宋_GB2312" w:hAnsi="仿宋_GB2312" w:eastAsia="仿宋_GB2312" w:cs="仿宋_GB2312"/>
          <w:i w:val="0"/>
          <w:caps w:val="0"/>
          <w:color w:val="auto"/>
          <w:spacing w:val="0"/>
          <w:sz w:val="32"/>
          <w:szCs w:val="32"/>
          <w:shd w:val="clear" w:fill="FFFFFF"/>
        </w:rPr>
        <w:t>20</w:t>
      </w:r>
      <w:r>
        <w:rPr>
          <w:rFonts w:hint="eastAsia" w:ascii="仿宋_GB2312" w:hAnsi="仿宋_GB2312" w:eastAsia="仿宋_GB2312" w:cs="仿宋_GB2312"/>
          <w:i w:val="0"/>
          <w:caps w:val="0"/>
          <w:color w:val="auto"/>
          <w:spacing w:val="0"/>
          <w:sz w:val="32"/>
          <w:szCs w:val="32"/>
          <w:shd w:val="clear" w:fill="FFFFFF"/>
          <w:lang w:val="en-US" w:eastAsia="zh-CN"/>
        </w:rPr>
        <w:t>21</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县</w:t>
      </w:r>
      <w:r>
        <w:rPr>
          <w:rFonts w:hint="eastAsia" w:ascii="仿宋_GB2312" w:hAnsi="仿宋_GB2312" w:eastAsia="仿宋_GB2312" w:cs="仿宋_GB2312"/>
          <w:i w:val="0"/>
          <w:caps w:val="0"/>
          <w:color w:val="auto"/>
          <w:spacing w:val="0"/>
          <w:sz w:val="32"/>
          <w:szCs w:val="32"/>
          <w:shd w:val="clear" w:fill="FFFFFF"/>
        </w:rPr>
        <w:t>政府办根据人社局工作职能对政府信息公开栏目予以调整，对政务公开的范围、内容、形式、制度等作了进一步规范明确。针对不同栏目公开要求，做到及时公开、规范公开。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三是强化监督检查，确保政务公开落到实处。</w:t>
      </w:r>
      <w:r>
        <w:rPr>
          <w:rFonts w:hint="eastAsia" w:ascii="仿宋_GB2312" w:hAnsi="仿宋_GB2312" w:eastAsia="仿宋_GB2312" w:cs="仿宋_GB2312"/>
          <w:i w:val="0"/>
          <w:caps w:val="0"/>
          <w:color w:val="auto"/>
          <w:spacing w:val="0"/>
          <w:sz w:val="32"/>
          <w:szCs w:val="32"/>
          <w:shd w:val="clear" w:fill="FFFFFF"/>
        </w:rPr>
        <w:t>全年共召开人社局政务信息公开工作会议4次，根据</w:t>
      </w:r>
      <w:r>
        <w:rPr>
          <w:rFonts w:hint="eastAsia" w:ascii="仿宋_GB2312" w:hAnsi="仿宋_GB2312" w:eastAsia="仿宋_GB2312" w:cs="仿宋_GB2312"/>
          <w:i w:val="0"/>
          <w:caps w:val="0"/>
          <w:color w:val="auto"/>
          <w:spacing w:val="0"/>
          <w:sz w:val="32"/>
          <w:szCs w:val="32"/>
          <w:shd w:val="clear" w:fill="FFFFFF"/>
          <w:lang w:val="en-US" w:eastAsia="zh-CN"/>
        </w:rPr>
        <w:t>县</w:t>
      </w:r>
      <w:r>
        <w:rPr>
          <w:rFonts w:hint="eastAsia" w:ascii="仿宋_GB2312" w:hAnsi="仿宋_GB2312" w:eastAsia="仿宋_GB2312" w:cs="仿宋_GB2312"/>
          <w:i w:val="0"/>
          <w:caps w:val="0"/>
          <w:color w:val="auto"/>
          <w:spacing w:val="0"/>
          <w:sz w:val="32"/>
          <w:szCs w:val="32"/>
          <w:shd w:val="clear" w:fill="FFFFFF"/>
        </w:rPr>
        <w:t>政府办监测结果做到立行立改，加大自查力度，同时根据</w:t>
      </w:r>
      <w:r>
        <w:rPr>
          <w:rFonts w:hint="eastAsia" w:ascii="仿宋_GB2312" w:hAnsi="仿宋_GB2312" w:eastAsia="仿宋_GB2312" w:cs="仿宋_GB2312"/>
          <w:i w:val="0"/>
          <w:caps w:val="0"/>
          <w:color w:val="auto"/>
          <w:spacing w:val="0"/>
          <w:sz w:val="32"/>
          <w:szCs w:val="32"/>
          <w:shd w:val="clear" w:fill="FFFFFF"/>
          <w:lang w:val="en-US" w:eastAsia="zh-CN"/>
        </w:rPr>
        <w:t>县</w:t>
      </w:r>
      <w:r>
        <w:rPr>
          <w:rFonts w:hint="eastAsia" w:ascii="仿宋_GB2312" w:hAnsi="仿宋_GB2312" w:eastAsia="仿宋_GB2312" w:cs="仿宋_GB2312"/>
          <w:i w:val="0"/>
          <w:caps w:val="0"/>
          <w:color w:val="auto"/>
          <w:spacing w:val="0"/>
          <w:sz w:val="32"/>
          <w:szCs w:val="32"/>
          <w:shd w:val="clear" w:fill="FFFFFF"/>
        </w:rPr>
        <w:t>政府办要求做好政务公开集中攻坚工作，确保全年政务公开符合国办要求。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四是全年政务信息公开统计情况。</w:t>
      </w:r>
      <w:r>
        <w:rPr>
          <w:rFonts w:hint="eastAsia" w:ascii="仿宋_GB2312" w:hAnsi="仿宋_GB2312" w:eastAsia="仿宋_GB2312" w:cs="仿宋_GB2312"/>
          <w:i w:val="0"/>
          <w:caps w:val="0"/>
          <w:color w:val="auto"/>
          <w:spacing w:val="0"/>
          <w:sz w:val="32"/>
          <w:szCs w:val="32"/>
          <w:shd w:val="clear" w:fill="FFFFFF"/>
        </w:rPr>
        <w:t>20</w:t>
      </w:r>
      <w:r>
        <w:rPr>
          <w:rFonts w:hint="eastAsia" w:ascii="仿宋_GB2312" w:hAnsi="仿宋_GB2312" w:eastAsia="仿宋_GB2312" w:cs="仿宋_GB2312"/>
          <w:i w:val="0"/>
          <w:caps w:val="0"/>
          <w:color w:val="auto"/>
          <w:spacing w:val="0"/>
          <w:sz w:val="32"/>
          <w:szCs w:val="32"/>
          <w:shd w:val="clear" w:fill="FFFFFF"/>
          <w:lang w:val="en-US" w:eastAsia="zh-CN"/>
        </w:rPr>
        <w:t>21</w:t>
      </w:r>
      <w:r>
        <w:rPr>
          <w:rFonts w:hint="eastAsia" w:ascii="仿宋_GB2312" w:hAnsi="仿宋_GB2312" w:eastAsia="仿宋_GB2312" w:cs="仿宋_GB2312"/>
          <w:i w:val="0"/>
          <w:caps w:val="0"/>
          <w:color w:val="auto"/>
          <w:spacing w:val="0"/>
          <w:sz w:val="32"/>
          <w:szCs w:val="32"/>
          <w:shd w:val="clear" w:fill="FFFFFF"/>
        </w:rPr>
        <w:t>年人社局全年公开政务信息</w:t>
      </w:r>
      <w:r>
        <w:rPr>
          <w:rFonts w:hint="eastAsia" w:ascii="仿宋_GB2312" w:hAnsi="仿宋_GB2312" w:eastAsia="仿宋_GB2312" w:cs="仿宋_GB2312"/>
          <w:i w:val="0"/>
          <w:caps w:val="0"/>
          <w:color w:val="auto"/>
          <w:spacing w:val="0"/>
          <w:sz w:val="32"/>
          <w:szCs w:val="32"/>
          <w:shd w:val="clear" w:fill="FFFFFF"/>
          <w:lang w:val="en-US" w:eastAsia="zh-CN"/>
        </w:rPr>
        <w:t>98</w:t>
      </w:r>
      <w:r>
        <w:rPr>
          <w:rFonts w:hint="eastAsia" w:ascii="仿宋_GB2312" w:hAnsi="仿宋_GB2312" w:eastAsia="仿宋_GB2312" w:cs="仿宋_GB2312"/>
          <w:i w:val="0"/>
          <w:caps w:val="0"/>
          <w:color w:val="auto"/>
          <w:spacing w:val="0"/>
          <w:sz w:val="32"/>
          <w:szCs w:val="32"/>
          <w:shd w:val="clear" w:fill="FFFFFF"/>
        </w:rPr>
        <w:t>条（不含网民建议留言回复）。其中社会公益事业及重点民生领域信息</w:t>
      </w:r>
      <w:r>
        <w:rPr>
          <w:rFonts w:hint="eastAsia" w:ascii="仿宋_GB2312" w:hAnsi="仿宋_GB2312" w:eastAsia="仿宋_GB2312" w:cs="仿宋_GB2312"/>
          <w:i w:val="0"/>
          <w:caps w:val="0"/>
          <w:color w:val="auto"/>
          <w:spacing w:val="0"/>
          <w:sz w:val="32"/>
          <w:szCs w:val="32"/>
          <w:shd w:val="clear" w:fill="FFFFFF"/>
          <w:lang w:val="en-US" w:eastAsia="zh-CN"/>
        </w:rPr>
        <w:t>59</w:t>
      </w:r>
      <w:r>
        <w:rPr>
          <w:rFonts w:hint="eastAsia" w:ascii="仿宋_GB2312" w:hAnsi="仿宋_GB2312" w:eastAsia="仿宋_GB2312" w:cs="仿宋_GB2312"/>
          <w:i w:val="0"/>
          <w:caps w:val="0"/>
          <w:color w:val="auto"/>
          <w:spacing w:val="0"/>
          <w:sz w:val="32"/>
          <w:szCs w:val="32"/>
          <w:shd w:val="clear" w:fill="FFFFFF"/>
        </w:rPr>
        <w:t>条，公务员及事业单位招考信息</w:t>
      </w:r>
      <w:r>
        <w:rPr>
          <w:rFonts w:hint="eastAsia" w:ascii="仿宋_GB2312" w:hAnsi="仿宋_GB2312" w:eastAsia="仿宋_GB2312" w:cs="仿宋_GB2312"/>
          <w:i w:val="0"/>
          <w:caps w:val="0"/>
          <w:color w:val="auto"/>
          <w:spacing w:val="0"/>
          <w:sz w:val="32"/>
          <w:szCs w:val="32"/>
          <w:shd w:val="clear" w:fill="FFFFFF"/>
          <w:lang w:val="en-US" w:eastAsia="zh-CN"/>
        </w:rPr>
        <w:t>21</w:t>
      </w:r>
      <w:r>
        <w:rPr>
          <w:rFonts w:hint="eastAsia" w:ascii="仿宋_GB2312" w:hAnsi="仿宋_GB2312" w:eastAsia="仿宋_GB2312" w:cs="仿宋_GB2312"/>
          <w:i w:val="0"/>
          <w:caps w:val="0"/>
          <w:color w:val="auto"/>
          <w:spacing w:val="0"/>
          <w:sz w:val="32"/>
          <w:szCs w:val="32"/>
          <w:shd w:val="clear" w:fill="FFFFFF"/>
        </w:rPr>
        <w:t>条，部门文件信息</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条，政策解读</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条，其他等各类信息</w:t>
      </w:r>
      <w:r>
        <w:rPr>
          <w:rFonts w:hint="eastAsia" w:ascii="仿宋_GB2312" w:hAnsi="仿宋_GB2312" w:eastAsia="仿宋_GB2312" w:cs="仿宋_GB2312"/>
          <w:i w:val="0"/>
          <w:caps w:val="0"/>
          <w:color w:val="auto"/>
          <w:spacing w:val="0"/>
          <w:sz w:val="32"/>
          <w:szCs w:val="32"/>
          <w:shd w:val="clear" w:fill="FFFFFF"/>
          <w:lang w:val="en-US" w:eastAsia="zh-CN"/>
        </w:rPr>
        <w:t>16</w:t>
      </w:r>
      <w:r>
        <w:rPr>
          <w:rFonts w:hint="eastAsia" w:ascii="仿宋_GB2312" w:hAnsi="仿宋_GB2312" w:eastAsia="仿宋_GB2312" w:cs="仿宋_GB2312"/>
          <w:i w:val="0"/>
          <w:caps w:val="0"/>
          <w:color w:val="auto"/>
          <w:spacing w:val="0"/>
          <w:sz w:val="32"/>
          <w:szCs w:val="32"/>
          <w:shd w:val="clear" w:fill="FFFFFF"/>
        </w:rPr>
        <w:t>条。回复网友建议留言办理</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_GB2312" w:hAnsi="仿宋_GB2312" w:eastAsia="仿宋_GB2312" w:cs="仿宋_GB2312"/>
          <w:i w:val="0"/>
          <w:caps w:val="0"/>
          <w:color w:val="auto"/>
          <w:spacing w:val="0"/>
          <w:sz w:val="32"/>
          <w:szCs w:val="32"/>
          <w:shd w:val="clear" w:fill="FFFFFF"/>
          <w:lang w:eastAsia="zh-CN"/>
        </w:rPr>
      </w:pPr>
    </w:p>
    <w:p>
      <w:pPr>
        <w:numPr>
          <w:ilvl w:val="0"/>
          <w:numId w:val="0"/>
        </w:numPr>
        <w:spacing w:line="540" w:lineRule="exac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主动公开政府信息情况</w:t>
      </w:r>
    </w:p>
    <w:tbl>
      <w:tblPr>
        <w:tblW w:w="87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84"/>
        <w:gridCol w:w="1695"/>
        <w:gridCol w:w="1935"/>
        <w:gridCol w:w="3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8744"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784"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信息内容</w:t>
            </w:r>
          </w:p>
        </w:tc>
        <w:tc>
          <w:tcPr>
            <w:tcW w:w="169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本年制发件数</w:t>
            </w:r>
          </w:p>
        </w:tc>
        <w:tc>
          <w:tcPr>
            <w:tcW w:w="193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本年废止件数</w:t>
            </w:r>
          </w:p>
        </w:tc>
        <w:tc>
          <w:tcPr>
            <w:tcW w:w="3330" w:type="dxa"/>
            <w:vMerge w:val="restart"/>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784"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1695"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1935"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3330" w:type="dxa"/>
            <w:vMerge w:val="continue"/>
            <w:tcBorders>
              <w:top w:val="single" w:color="000000" w:sz="8" w:space="0"/>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78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规章</w:t>
            </w:r>
          </w:p>
        </w:tc>
        <w:tc>
          <w:tcPr>
            <w:tcW w:w="16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9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33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78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规范性文件</w:t>
            </w:r>
          </w:p>
        </w:tc>
        <w:tc>
          <w:tcPr>
            <w:tcW w:w="16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9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33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4"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8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信息内容</w:t>
            </w:r>
          </w:p>
        </w:tc>
        <w:tc>
          <w:tcPr>
            <w:tcW w:w="696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178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行政许可</w:t>
            </w:r>
          </w:p>
        </w:tc>
        <w:tc>
          <w:tcPr>
            <w:tcW w:w="696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744"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8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信息内容</w:t>
            </w:r>
          </w:p>
        </w:tc>
        <w:tc>
          <w:tcPr>
            <w:tcW w:w="696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78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行政处罚</w:t>
            </w:r>
          </w:p>
        </w:tc>
        <w:tc>
          <w:tcPr>
            <w:tcW w:w="696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78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行政强制</w:t>
            </w:r>
          </w:p>
        </w:tc>
        <w:tc>
          <w:tcPr>
            <w:tcW w:w="6960" w:type="dxa"/>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8744"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84" w:type="dxa"/>
            <w:tcBorders>
              <w:top w:val="nil"/>
              <w:left w:val="single" w:color="000000" w:sz="8" w:space="0"/>
              <w:bottom w:val="single" w:color="000000" w:sz="8" w:space="0"/>
              <w:right w:val="nil"/>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信息内容</w:t>
            </w:r>
          </w:p>
        </w:tc>
        <w:tc>
          <w:tcPr>
            <w:tcW w:w="6960" w:type="dxa"/>
            <w:gridSpan w:val="3"/>
            <w:tcBorders>
              <w:top w:val="single" w:color="000000" w:sz="8" w:space="0"/>
              <w:left w:val="single" w:color="000000" w:sz="8" w:space="0"/>
              <w:bottom w:val="single" w:color="000000" w:sz="8"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78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行政事业性收费</w:t>
            </w:r>
          </w:p>
        </w:tc>
        <w:tc>
          <w:tcPr>
            <w:tcW w:w="6960" w:type="dxa"/>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bl>
    <w:p>
      <w:pPr>
        <w:spacing w:line="540" w:lineRule="exact"/>
        <w:rPr>
          <w:rFonts w:hint="eastAsia" w:ascii="仿宋_GB2312" w:hAnsi="仿宋_GB2312" w:eastAsia="仿宋_GB2312" w:cs="仿宋_GB2312"/>
          <w:b/>
          <w:color w:val="auto"/>
          <w:sz w:val="32"/>
          <w:szCs w:val="32"/>
        </w:rPr>
      </w:pPr>
    </w:p>
    <w:p>
      <w:pPr>
        <w:numPr>
          <w:ilvl w:val="0"/>
          <w:numId w:val="0"/>
        </w:numPr>
        <w:spacing w:line="540" w:lineRule="exac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收到和处理政府信息公开申请情况</w:t>
      </w:r>
    </w:p>
    <w:tbl>
      <w:tblPr>
        <w:tblW w:w="88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65"/>
        <w:gridCol w:w="1065"/>
        <w:gridCol w:w="1454"/>
        <w:gridCol w:w="1230"/>
        <w:gridCol w:w="720"/>
        <w:gridCol w:w="630"/>
        <w:gridCol w:w="795"/>
        <w:gridCol w:w="765"/>
        <w:gridCol w:w="63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3284" w:type="dxa"/>
            <w:gridSpan w:val="3"/>
            <w:vMerge w:val="restart"/>
            <w:tcBorders>
              <w:top w:val="single" w:color="000000" w:sz="8" w:space="0"/>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（本列数据的勾稽关系为：第一项加第二项之和，等于第三项加第四项之和）</w:t>
            </w:r>
          </w:p>
        </w:tc>
        <w:tc>
          <w:tcPr>
            <w:tcW w:w="5595" w:type="dxa"/>
            <w:gridSpan w:val="7"/>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3284"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123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自然人</w:t>
            </w:r>
          </w:p>
        </w:tc>
        <w:tc>
          <w:tcPr>
            <w:tcW w:w="3540" w:type="dxa"/>
            <w:gridSpan w:val="5"/>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法人或其他组织</w:t>
            </w:r>
          </w:p>
        </w:tc>
        <w:tc>
          <w:tcPr>
            <w:tcW w:w="82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3284"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123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商业企业</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科研机构</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社会公益组织</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法律服务机构</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其他</w:t>
            </w:r>
          </w:p>
        </w:tc>
        <w:tc>
          <w:tcPr>
            <w:tcW w:w="825"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3284"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一、本年新收政府信息公开申请数量</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3284"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二、上年结转政府信息公开申请数量</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765"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三、本年度办理结果</w:t>
            </w:r>
          </w:p>
        </w:tc>
        <w:tc>
          <w:tcPr>
            <w:tcW w:w="2519"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（一）予以公开</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2519"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（二）部分公开（区分处理的，只计这一情形，不计其他情形）</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（三）不予公开</w:t>
            </w: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1.属于国家秘密</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2.其他法律行政法规禁止公开</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3.危及“三安全一稳定”</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4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4.保护第三方合法权益</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5.属于三类内部事务信息</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6.属于四类过程性信息</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7.属于行政执法案卷</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8.属于行政查询事项</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（四）无法提供</w:t>
            </w: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1.本机关不掌握相关政府信息</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2.没有现成信息需要另行制作</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3.补正后申请内容仍不明确</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（五）不予处理</w:t>
            </w: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1.信访举报投诉类申请</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2.重复申请</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3.要求提供公开出版物</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4.无正当理由大量反复申请</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5.要求行政机关确认或重新出具已获取信息</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6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（六）其他处理</w:t>
            </w: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1.申请人无正当理由逾期不补正、行政机关不再处理其政府信息公开申请</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65"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楷体" w:hAnsi="楷体" w:eastAsia="楷体" w:cs="楷体"/>
                <w:i w:val="0"/>
                <w:iCs w:val="0"/>
                <w:color w:val="333333"/>
                <w:sz w:val="19"/>
                <w:szCs w:val="19"/>
                <w:u w:val="none"/>
              </w:rPr>
            </w:pPr>
          </w:p>
        </w:tc>
        <w:tc>
          <w:tcPr>
            <w:tcW w:w="1454"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2.申请人逾期未按收费通知要求缴纳费用、行政机关不再处理其政府信息公开申请</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65"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2519"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（七）总计</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3284"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四、结转下年度继续办理</w:t>
            </w:r>
          </w:p>
        </w:tc>
        <w:tc>
          <w:tcPr>
            <w:tcW w:w="12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63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bl>
    <w:p>
      <w:pPr>
        <w:rPr>
          <w:color w:val="auto"/>
        </w:rPr>
      </w:pPr>
    </w:p>
    <w:p>
      <w:pPr>
        <w:spacing w:line="540" w:lineRule="exact"/>
        <w:rPr>
          <w:rFonts w:hint="eastAsia" w:ascii="仿宋_GB2312" w:hAnsi="仿宋_GB2312" w:eastAsia="仿宋_GB2312" w:cs="仿宋_GB2312"/>
          <w:color w:val="auto"/>
          <w:sz w:val="32"/>
          <w:szCs w:val="32"/>
        </w:rPr>
      </w:pPr>
    </w:p>
    <w:p>
      <w:pPr>
        <w:numPr>
          <w:ilvl w:val="0"/>
          <w:numId w:val="0"/>
        </w:numPr>
        <w:spacing w:line="540" w:lineRule="exac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政府信息公开行政复议、行政诉讼情况</w:t>
      </w:r>
    </w:p>
    <w:tbl>
      <w:tblPr>
        <w:tblStyle w:val="3"/>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行政复议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b/>
                <w:color w:val="auto"/>
                <w:sz w:val="32"/>
                <w:szCs w:val="32"/>
              </w:rPr>
              <w:t>（因政府信息公开被行政复议）</w:t>
            </w:r>
          </w:p>
        </w:tc>
        <w:tc>
          <w:tcPr>
            <w:tcW w:w="6102" w:type="dxa"/>
            <w:gridSpan w:val="10"/>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行政诉讼</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b/>
                <w:color w:val="auto"/>
                <w:sz w:val="32"/>
                <w:szCs w:val="32"/>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结果维护</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结果纠正</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其他结果</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尚未审结</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总计</w:t>
            </w:r>
          </w:p>
        </w:tc>
        <w:tc>
          <w:tcPr>
            <w:tcW w:w="2840" w:type="dxa"/>
            <w:gridSpan w:val="5"/>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未经复议直接起诉</w:t>
            </w:r>
          </w:p>
        </w:tc>
        <w:tc>
          <w:tcPr>
            <w:tcW w:w="3262" w:type="dxa"/>
            <w:gridSpan w:val="5"/>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32"/>
                <w:szCs w:val="32"/>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32"/>
                <w:szCs w:val="32"/>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32"/>
                <w:szCs w:val="32"/>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32"/>
                <w:szCs w:val="32"/>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32"/>
                <w:szCs w:val="32"/>
              </w:rPr>
            </w:pP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结果维护</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结果纠正</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其他结果</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尚未审结</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总计</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结果维护</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结果纠正</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其他结果</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尚未审结</w:t>
            </w:r>
          </w:p>
        </w:tc>
        <w:tc>
          <w:tcPr>
            <w:tcW w:w="990" w:type="dxa"/>
            <w:shd w:val="clear" w:color="auto" w:fill="auto"/>
            <w:vAlign w:val="center"/>
          </w:tcPr>
          <w:p>
            <w:pPr>
              <w:spacing w:line="54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568" w:type="dxa"/>
            <w:shd w:val="clear" w:color="auto" w:fill="auto"/>
          </w:tcPr>
          <w:p>
            <w:pPr>
              <w:spacing w:line="54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990" w:type="dxa"/>
            <w:shd w:val="clear" w:color="auto" w:fill="auto"/>
          </w:tcPr>
          <w:p>
            <w:pPr>
              <w:spacing w:line="54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w:t>
      </w:r>
      <w:bookmarkStart w:id="0" w:name="_GoBack"/>
      <w:bookmarkEnd w:id="0"/>
      <w:r>
        <w:rPr>
          <w:rFonts w:hint="eastAsia" w:ascii="黑体" w:hAnsi="黑体" w:eastAsia="黑体" w:cs="黑体"/>
          <w:b w:val="0"/>
          <w:bCs/>
          <w:i w:val="0"/>
          <w:caps w:val="0"/>
          <w:color w:val="auto"/>
          <w:spacing w:val="0"/>
          <w:sz w:val="32"/>
          <w:szCs w:val="32"/>
          <w:shd w:val="clear" w:fill="FFFFFF"/>
        </w:rPr>
        <w:t>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（一）存在的主要问题：</w:t>
      </w:r>
      <w:r>
        <w:rPr>
          <w:rFonts w:hint="eastAsia" w:ascii="仿宋_GB2312" w:hAnsi="仿宋_GB2312" w:eastAsia="仿宋_GB2312" w:cs="仿宋_GB2312"/>
          <w:i w:val="0"/>
          <w:caps w:val="0"/>
          <w:color w:val="auto"/>
          <w:spacing w:val="0"/>
          <w:sz w:val="32"/>
          <w:szCs w:val="32"/>
          <w:shd w:val="clear" w:fill="FFFFFF"/>
        </w:rPr>
        <w:t>主要表现在与上级政府要求、与公众期望还有一定差距， 一是政府信息公开的宣传力度还不够大；二是公开内容和公开形式还有待于进一步丰富。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（二）下一步工作打算：</w:t>
      </w:r>
      <w:r>
        <w:rPr>
          <w:rFonts w:ascii="仿宋_GB2312" w:hAnsi="宋体" w:eastAsia="仿宋_GB2312" w:cs="仿宋_GB2312"/>
          <w:i w:val="0"/>
          <w:iCs w:val="0"/>
          <w:caps w:val="0"/>
          <w:color w:val="auto"/>
          <w:spacing w:val="0"/>
          <w:sz w:val="32"/>
          <w:szCs w:val="32"/>
          <w:shd w:val="clear" w:fill="FFFFFF"/>
        </w:rPr>
        <w:t>一是加大信息公开工作力度，认真梳理公开内容，加强信息沟通，促进政府信息公开工作再上一个新台阶。二是加强对信息公开工作的检查监督力度，做到信息及时公开。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年我单位暂无其他需要报告的事项。</w:t>
      </w:r>
    </w:p>
    <w:sectPr>
      <w:pgSz w:w="11906" w:h="16838"/>
      <w:pgMar w:top="1440" w:right="1349"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B25011E"/>
    <w:rsid w:val="0CEC47FF"/>
    <w:rsid w:val="0F42566A"/>
    <w:rsid w:val="0FE32618"/>
    <w:rsid w:val="112B15BF"/>
    <w:rsid w:val="14BA1A45"/>
    <w:rsid w:val="17534F7D"/>
    <w:rsid w:val="1A976EB2"/>
    <w:rsid w:val="1B931963"/>
    <w:rsid w:val="1E757E9F"/>
    <w:rsid w:val="1E851225"/>
    <w:rsid w:val="21367D80"/>
    <w:rsid w:val="23B06487"/>
    <w:rsid w:val="240C3407"/>
    <w:rsid w:val="2480713E"/>
    <w:rsid w:val="29CB1C26"/>
    <w:rsid w:val="306E6998"/>
    <w:rsid w:val="43F62A94"/>
    <w:rsid w:val="44674DF3"/>
    <w:rsid w:val="494A55BE"/>
    <w:rsid w:val="519D4381"/>
    <w:rsid w:val="566E50F8"/>
    <w:rsid w:val="56857A37"/>
    <w:rsid w:val="5FCE6A83"/>
    <w:rsid w:val="60E6671F"/>
    <w:rsid w:val="662C2F84"/>
    <w:rsid w:val="6EB526D3"/>
    <w:rsid w:val="6EC41F3F"/>
    <w:rsid w:val="771E07D4"/>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NTKO</cp:lastModifiedBy>
  <dcterms:modified xsi:type="dcterms:W3CDTF">2022-01-19T07:38:16Z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B3ABC6CDEBBD47F19C5BDC1AE07DFBBE</vt:lpwstr>
  </property>
</Properties>
</file>