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uto"/>
        <w:ind w:left="0" w:right="0"/>
        <w:jc w:val="center"/>
        <w:rPr>
          <w:b w:val="0"/>
          <w:bCs w:val="0"/>
          <w:color w:val="0E59A4"/>
          <w:sz w:val="47"/>
          <w:szCs w:val="47"/>
        </w:rPr>
      </w:pPr>
      <w:bookmarkStart w:id="0" w:name="_GoBack"/>
      <w:r>
        <w:rPr>
          <w:b w:val="0"/>
          <w:bCs w:val="0"/>
          <w:color w:val="0E59A4"/>
          <w:sz w:val="47"/>
          <w:szCs w:val="47"/>
          <w:bdr w:val="none" w:color="auto" w:sz="0" w:space="0"/>
        </w:rPr>
        <w:t>国家统计局上高调查队2023年政府信息公开工作年度报告</w:t>
      </w:r>
    </w:p>
    <w:bookmarkEnd w:id="0"/>
    <w:p>
      <w:pPr>
        <w:pStyle w:val="3"/>
        <w:keepNext w:val="0"/>
        <w:keepLines w:val="0"/>
        <w:widowControl/>
        <w:suppressLineNumbers w:val="0"/>
        <w:shd w:val="clear" w:fill="FFFFFF"/>
        <w:spacing w:before="0" w:beforeAutospacing="0" w:after="0" w:afterAutospacing="0"/>
        <w:ind w:left="0" w:right="0"/>
        <w:jc w:val="both"/>
        <w:rPr>
          <w:rFonts w:ascii="Calibri" w:hAnsi="Calibri" w:cs="Calibri"/>
          <w:sz w:val="24"/>
          <w:szCs w:val="24"/>
        </w:rPr>
      </w:pPr>
      <w:r>
        <w:rPr>
          <w:rFonts w:hint="eastAsia" w:ascii="宋体" w:hAnsi="宋体" w:eastAsia="宋体" w:cs="宋体"/>
          <w:sz w:val="32"/>
          <w:szCs w:val="32"/>
          <w:shd w:val="clear" w:fill="FFFFFF"/>
        </w:rPr>
        <w:t>本报告依据《中华人民共和国政府信息公开条例》（以下简称《条例》）、《中华人民共和国政府信息公开工作年度报告格式》（国办公开办函〔2021〕30号）有关要求，由上高调查队结合有关统计数据编制。本年度报告中所列数据的统计期限自2023年1月1日至12月31日止。如对本报告有任何疑问，请与国家统计局上高调查队办公室联系（地址：江西省宜春市上高县新县政府大楼0546室，电话：0795-2511736，邮编：336400）。</w:t>
      </w:r>
    </w:p>
    <w:p>
      <w:pPr>
        <w:pStyle w:val="3"/>
        <w:keepNext w:val="0"/>
        <w:keepLines w:val="0"/>
        <w:widowControl/>
        <w:suppressLineNumbers w:val="0"/>
        <w:shd w:val="clear" w:fill="FFFFFF"/>
        <w:spacing w:before="0" w:beforeAutospacing="0" w:after="0" w:afterAutospacing="0"/>
        <w:ind w:left="0" w:right="0" w:firstLine="420"/>
        <w:jc w:val="both"/>
        <w:rPr>
          <w:rFonts w:hint="default" w:ascii="Calibri" w:hAnsi="Calibri" w:cs="Calibri"/>
          <w:sz w:val="24"/>
          <w:szCs w:val="24"/>
        </w:rPr>
      </w:pPr>
      <w:r>
        <w:rPr>
          <w:rFonts w:ascii="黑体" w:hAnsi="宋体" w:eastAsia="黑体" w:cs="黑体"/>
          <w:sz w:val="32"/>
          <w:szCs w:val="32"/>
          <w:shd w:val="clear" w:fill="FFFFFF"/>
        </w:rPr>
        <w:t> 一、</w:t>
      </w:r>
      <w:r>
        <w:rPr>
          <w:rFonts w:hint="eastAsia" w:ascii="黑体" w:hAnsi="宋体" w:eastAsia="黑体" w:cs="黑体"/>
          <w:sz w:val="32"/>
          <w:szCs w:val="32"/>
          <w:shd w:val="clear" w:fill="FFFFFF"/>
        </w:rPr>
        <w:t>总体情况</w:t>
      </w:r>
    </w:p>
    <w:p>
      <w:pPr>
        <w:pStyle w:val="3"/>
        <w:keepNext w:val="0"/>
        <w:keepLines w:val="0"/>
        <w:widowControl/>
        <w:suppressLineNumbers w:val="0"/>
        <w:shd w:val="clear" w:fill="FFFFFF"/>
        <w:spacing w:before="0" w:beforeAutospacing="0" w:after="0" w:afterAutospacing="0"/>
        <w:ind w:left="0" w:right="0" w:firstLine="640"/>
        <w:jc w:val="both"/>
        <w:rPr>
          <w:rFonts w:hint="default" w:ascii="Calibri" w:hAnsi="Calibri" w:cs="Calibri"/>
          <w:sz w:val="24"/>
          <w:szCs w:val="24"/>
        </w:rPr>
      </w:pPr>
      <w:r>
        <w:rPr>
          <w:rFonts w:hint="eastAsia" w:ascii="宋体" w:hAnsi="宋体" w:eastAsia="宋体" w:cs="宋体"/>
          <w:sz w:val="32"/>
          <w:szCs w:val="32"/>
          <w:shd w:val="clear" w:fill="FFFFFF"/>
        </w:rPr>
        <w:t>2023年，国家统计局上高调查队坚持以习近平新时代中国特色社会主义思想为指导，深入贯彻党的二十大精神，严格落实《国务院办公厅印发〈关于全面推进政务公开工作的意见〉实施细则的通知》（国办发〔2016〕80号）和《国务院办公厅关于印发2020年政务公开工作要点的通知》（国办发〔2020〕17号）的要求，紧紧围绕省委、省政府、江西调查总队和上高县中心工作及社会群众关注关切，坚持以加大公开力度，增加公开深度，着力推进政府信息公开、政策宣传解读、政务新媒体运维管理等各项重点任务，不断提升政务公开质量和实效。</w:t>
      </w:r>
    </w:p>
    <w:p>
      <w:pPr>
        <w:pStyle w:val="3"/>
        <w:keepNext w:val="0"/>
        <w:keepLines w:val="0"/>
        <w:widowControl/>
        <w:suppressLineNumbers w:val="0"/>
        <w:shd w:val="clear" w:fill="FFFFFF"/>
        <w:spacing w:before="0" w:beforeAutospacing="0" w:after="0" w:afterAutospacing="0"/>
        <w:ind w:left="0" w:right="0" w:firstLine="640"/>
        <w:jc w:val="both"/>
        <w:rPr>
          <w:rFonts w:hint="default" w:ascii="Calibri" w:hAnsi="Calibri" w:cs="Calibri"/>
          <w:sz w:val="24"/>
          <w:szCs w:val="24"/>
        </w:rPr>
      </w:pPr>
      <w:r>
        <w:rPr>
          <w:rStyle w:val="6"/>
          <w:rFonts w:ascii="楷体" w:hAnsi="楷体" w:eastAsia="楷体" w:cs="楷体"/>
          <w:sz w:val="32"/>
          <w:szCs w:val="32"/>
          <w:shd w:val="clear" w:fill="FFFFFF"/>
        </w:rPr>
        <w:t>（一）主动公开情况</w:t>
      </w:r>
      <w:r>
        <w:rPr>
          <w:rFonts w:hint="eastAsia" w:ascii="宋体" w:hAnsi="宋体" w:eastAsia="宋体" w:cs="宋体"/>
          <w:sz w:val="32"/>
          <w:szCs w:val="32"/>
          <w:shd w:val="clear" w:fill="FFFFFF"/>
        </w:rPr>
        <w:br w:type="textWrapping"/>
      </w:r>
      <w:r>
        <w:rPr>
          <w:rFonts w:hint="eastAsia" w:ascii="宋体" w:hAnsi="宋体" w:eastAsia="宋体" w:cs="宋体"/>
          <w:sz w:val="32"/>
          <w:szCs w:val="32"/>
          <w:shd w:val="clear" w:fill="FFFFFF"/>
        </w:rPr>
        <w:t>    上高调查队全面推进政府信息公开工作，结合工作实际完善法定主动公开内容，及时发布政府信息，切实加大主动公开力度。2023年，上高调查队门户网站发布信息200余篇，其中，经济信息共计58篇，深度开展数据解读与分析研判，提升信息分析研究水平，不断加强加强信息公开和服务。</w:t>
      </w:r>
      <w:r>
        <w:rPr>
          <w:rFonts w:hint="eastAsia" w:ascii="宋体" w:hAnsi="宋体" w:eastAsia="宋体" w:cs="宋体"/>
          <w:sz w:val="32"/>
          <w:szCs w:val="32"/>
          <w:shd w:val="clear" w:fill="FFFFFF"/>
        </w:rPr>
        <w:br w:type="textWrapping"/>
      </w:r>
      <w:r>
        <w:rPr>
          <w:rFonts w:hint="eastAsia" w:ascii="宋体" w:hAnsi="宋体" w:eastAsia="宋体" w:cs="宋体"/>
          <w:sz w:val="32"/>
          <w:szCs w:val="32"/>
          <w:shd w:val="clear" w:fill="FFFFFF"/>
        </w:rPr>
        <w:t>  </w:t>
      </w:r>
      <w:r>
        <w:rPr>
          <w:rStyle w:val="6"/>
          <w:rFonts w:hint="eastAsia" w:ascii="楷体" w:hAnsi="楷体" w:eastAsia="楷体" w:cs="楷体"/>
          <w:sz w:val="32"/>
          <w:szCs w:val="32"/>
          <w:shd w:val="clear" w:fill="FFFFFF"/>
        </w:rPr>
        <w:t>  (二)依申请公开情况</w:t>
      </w:r>
      <w:r>
        <w:rPr>
          <w:rFonts w:hint="eastAsia" w:ascii="宋体" w:hAnsi="宋体" w:eastAsia="宋体" w:cs="宋体"/>
          <w:sz w:val="32"/>
          <w:szCs w:val="32"/>
          <w:shd w:val="clear" w:fill="FFFFFF"/>
        </w:rPr>
        <w:br w:type="textWrapping"/>
      </w:r>
      <w:r>
        <w:rPr>
          <w:rFonts w:hint="eastAsia" w:ascii="宋体" w:hAnsi="宋体" w:eastAsia="宋体" w:cs="宋体"/>
          <w:sz w:val="32"/>
          <w:szCs w:val="32"/>
          <w:shd w:val="clear" w:fill="FFFFFF"/>
        </w:rPr>
        <w:t>    推进依申请公开工作规范化标准化。2023年，共收到和受理政府信息公开申请1件，均按规定时间办结，按时办结率100%。</w:t>
      </w:r>
      <w:r>
        <w:rPr>
          <w:rFonts w:hint="eastAsia" w:ascii="宋体" w:hAnsi="宋体" w:eastAsia="宋体" w:cs="宋体"/>
          <w:sz w:val="32"/>
          <w:szCs w:val="32"/>
          <w:shd w:val="clear" w:fill="FFFFFF"/>
        </w:rPr>
        <w:br w:type="textWrapping"/>
      </w:r>
      <w:r>
        <w:rPr>
          <w:rFonts w:hint="eastAsia" w:ascii="宋体" w:hAnsi="宋体" w:eastAsia="宋体" w:cs="宋体"/>
          <w:sz w:val="32"/>
          <w:szCs w:val="32"/>
          <w:shd w:val="clear" w:fill="FFFFFF"/>
        </w:rPr>
        <w:t> </w:t>
      </w:r>
      <w:r>
        <w:rPr>
          <w:rStyle w:val="6"/>
          <w:rFonts w:hint="eastAsia" w:ascii="楷体" w:hAnsi="楷体" w:eastAsia="楷体" w:cs="楷体"/>
          <w:sz w:val="32"/>
          <w:szCs w:val="32"/>
          <w:shd w:val="clear" w:fill="FFFFFF"/>
        </w:rPr>
        <w:t>  （三）政府信息管理情况</w:t>
      </w:r>
      <w:r>
        <w:rPr>
          <w:rFonts w:hint="eastAsia" w:ascii="宋体" w:hAnsi="宋体" w:eastAsia="宋体" w:cs="宋体"/>
          <w:sz w:val="32"/>
          <w:szCs w:val="32"/>
          <w:shd w:val="clear" w:fill="FFFFFF"/>
        </w:rPr>
        <w:br w:type="textWrapping"/>
      </w:r>
      <w:r>
        <w:rPr>
          <w:rFonts w:hint="eastAsia" w:ascii="宋体" w:hAnsi="宋体" w:eastAsia="宋体" w:cs="宋体"/>
          <w:sz w:val="32"/>
          <w:szCs w:val="32"/>
          <w:shd w:val="clear" w:fill="FFFFFF"/>
        </w:rPr>
        <w:t>    对政府信息公开各项工作规程、制度等进行了重新修订，建立了工作目标，规范了业务流程和实施要求，形成了政府信息公开工作标准化、规范化管理机制。明确责任领导和责任人员，形成分工合作、职责清晰、协调运转的有效工作机制，为做好政务公开工作奠定了坚实基础。严格落实发布前审核、发布后更新及信息有效性管理，确保信息公开的及时性、准确性。</w:t>
      </w:r>
      <w:r>
        <w:rPr>
          <w:rFonts w:hint="eastAsia" w:ascii="宋体" w:hAnsi="宋体" w:eastAsia="宋体" w:cs="宋体"/>
          <w:sz w:val="32"/>
          <w:szCs w:val="32"/>
          <w:shd w:val="clear" w:fill="FFFFFF"/>
        </w:rPr>
        <w:br w:type="textWrapping"/>
      </w:r>
      <w:r>
        <w:rPr>
          <w:rStyle w:val="6"/>
          <w:rFonts w:hint="eastAsia" w:ascii="楷体" w:hAnsi="楷体" w:eastAsia="楷体" w:cs="楷体"/>
          <w:sz w:val="32"/>
          <w:szCs w:val="32"/>
          <w:shd w:val="clear" w:fill="FFFFFF"/>
        </w:rPr>
        <w:t>   （四）政府信息平台建设情况</w:t>
      </w:r>
      <w:r>
        <w:rPr>
          <w:rFonts w:hint="eastAsia" w:ascii="宋体" w:hAnsi="宋体" w:eastAsia="宋体" w:cs="宋体"/>
          <w:sz w:val="32"/>
          <w:szCs w:val="32"/>
          <w:shd w:val="clear" w:fill="FFFFFF"/>
        </w:rPr>
        <w:br w:type="textWrapping"/>
      </w:r>
      <w:r>
        <w:rPr>
          <w:rFonts w:hint="eastAsia" w:ascii="宋体" w:hAnsi="宋体" w:eastAsia="宋体" w:cs="宋体"/>
          <w:sz w:val="32"/>
          <w:szCs w:val="32"/>
          <w:shd w:val="clear" w:fill="FFFFFF"/>
        </w:rPr>
        <w:t>    落实安全保障机制，积极利用新媒体创新宣传手段，主动向上高党建、上高之声等微信公众号投稿，拓宽宣传渠道。抓好网站信息资源库建设，保证信息公开的时效性、权威性。</w:t>
      </w:r>
      <w:r>
        <w:rPr>
          <w:rFonts w:hint="eastAsia" w:ascii="宋体" w:hAnsi="宋体" w:eastAsia="宋体" w:cs="宋体"/>
          <w:sz w:val="32"/>
          <w:szCs w:val="32"/>
          <w:shd w:val="clear" w:fill="FFFFFF"/>
        </w:rPr>
        <w:br w:type="textWrapping"/>
      </w:r>
      <w:r>
        <w:rPr>
          <w:rStyle w:val="6"/>
          <w:rFonts w:hint="eastAsia" w:ascii="楷体" w:hAnsi="楷体" w:eastAsia="楷体" w:cs="楷体"/>
          <w:sz w:val="32"/>
          <w:szCs w:val="32"/>
          <w:shd w:val="clear" w:fill="FFFFFF"/>
        </w:rPr>
        <w:t>   （五）监督保障</w:t>
      </w:r>
      <w:r>
        <w:rPr>
          <w:rFonts w:hint="eastAsia" w:ascii="宋体" w:hAnsi="宋体" w:eastAsia="宋体" w:cs="宋体"/>
          <w:sz w:val="32"/>
          <w:szCs w:val="32"/>
          <w:shd w:val="clear" w:fill="FFFFFF"/>
        </w:rPr>
        <w:br w:type="textWrapping"/>
      </w:r>
      <w:r>
        <w:rPr>
          <w:rFonts w:hint="eastAsia" w:ascii="宋体" w:hAnsi="宋体" w:eastAsia="宋体" w:cs="宋体"/>
          <w:sz w:val="32"/>
          <w:szCs w:val="32"/>
          <w:shd w:val="clear" w:fill="FFFFFF"/>
        </w:rPr>
        <w:t>    上高调查队坚持把政府信息公开工作作为重要内容来抓，通过年初队委会认真部署研究，明确工作任务和职责，指定专人负责政务公开及政府信息公开日常工作。完善政务公开工作机制，强化责任落实，严格执行信息公开审查要求，及时分析研究工作中存在的问题，定期监督检查信息公开工作的实施情况并落实整改。</w:t>
      </w:r>
      <w:r>
        <w:rPr>
          <w:rFonts w:hint="eastAsia" w:ascii="宋体" w:hAnsi="宋体" w:eastAsia="宋体" w:cs="宋体"/>
          <w:sz w:val="32"/>
          <w:szCs w:val="32"/>
          <w:shd w:val="clear" w:fill="FFFFFF"/>
        </w:rPr>
        <w:br w:type="textWrapping"/>
      </w:r>
      <w:r>
        <w:rPr>
          <w:rFonts w:hint="eastAsia" w:ascii="黑体" w:hAnsi="宋体" w:eastAsia="黑体" w:cs="黑体"/>
          <w:sz w:val="32"/>
          <w:szCs w:val="32"/>
          <w:shd w:val="clear" w:fill="FFFFFF"/>
        </w:rPr>
        <w:t>    二、主动公开政府信息情况</w:t>
      </w:r>
    </w:p>
    <w:tbl>
      <w:tblPr>
        <w:tblW w:w="849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122"/>
        <w:gridCol w:w="2122"/>
        <w:gridCol w:w="2123"/>
        <w:gridCol w:w="212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484" w:type="dxa"/>
            <w:gridSpan w:val="4"/>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第二十条第（一）项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信息内容</w:t>
            </w:r>
          </w:p>
        </w:tc>
        <w:tc>
          <w:tcPr>
            <w:tcW w:w="212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本年</w:t>
            </w:r>
            <w:r>
              <w:rPr>
                <w:rFonts w:hint="eastAsia" w:ascii="宋体" w:hAnsi="宋体" w:eastAsia="宋体" w:cs="宋体"/>
                <w:color w:val="333333"/>
                <w:sz w:val="20"/>
                <w:szCs w:val="20"/>
              </w:rPr>
              <w:t>制发件数</w:t>
            </w:r>
          </w:p>
        </w:tc>
        <w:tc>
          <w:tcPr>
            <w:tcW w:w="212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本年废止件数</w:t>
            </w:r>
          </w:p>
        </w:tc>
        <w:tc>
          <w:tcPr>
            <w:tcW w:w="212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现行有效件</w:t>
            </w:r>
            <w:r>
              <w:rPr>
                <w:rFonts w:hint="eastAsia" w:ascii="宋体" w:hAnsi="宋体" w:eastAsia="宋体" w:cs="宋体"/>
                <w:color w:val="333333"/>
                <w:sz w:val="20"/>
                <w:szCs w:val="20"/>
              </w:rPr>
              <w:t>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规章</w:t>
            </w:r>
          </w:p>
        </w:tc>
        <w:tc>
          <w:tcPr>
            <w:tcW w:w="212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0</w:t>
            </w:r>
          </w:p>
        </w:tc>
        <w:tc>
          <w:tcPr>
            <w:tcW w:w="212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0</w:t>
            </w:r>
          </w:p>
        </w:tc>
        <w:tc>
          <w:tcPr>
            <w:tcW w:w="212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ascii="仿宋" w:hAnsi="仿宋" w:eastAsia="仿宋" w:cs="仿宋"/>
                <w:color w:val="333333"/>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行政规范性文件</w:t>
            </w:r>
          </w:p>
        </w:tc>
        <w:tc>
          <w:tcPr>
            <w:tcW w:w="212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0</w:t>
            </w:r>
          </w:p>
        </w:tc>
        <w:tc>
          <w:tcPr>
            <w:tcW w:w="212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0</w:t>
            </w:r>
          </w:p>
        </w:tc>
        <w:tc>
          <w:tcPr>
            <w:tcW w:w="212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333333"/>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484"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第二十条第（五）项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信息内容</w:t>
            </w:r>
          </w:p>
        </w:tc>
        <w:tc>
          <w:tcPr>
            <w:tcW w:w="6363"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本年处理决定数量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行政许可</w:t>
            </w:r>
          </w:p>
        </w:tc>
        <w:tc>
          <w:tcPr>
            <w:tcW w:w="6363"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333333"/>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484"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第二十条第（六）项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信息内容</w:t>
            </w:r>
          </w:p>
        </w:tc>
        <w:tc>
          <w:tcPr>
            <w:tcW w:w="6363"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本年处理决定数量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行政处罚</w:t>
            </w:r>
          </w:p>
        </w:tc>
        <w:tc>
          <w:tcPr>
            <w:tcW w:w="6363"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行政强制</w:t>
            </w:r>
          </w:p>
        </w:tc>
        <w:tc>
          <w:tcPr>
            <w:tcW w:w="6363"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484"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第二十条第（八）项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信息内容</w:t>
            </w:r>
          </w:p>
        </w:tc>
        <w:tc>
          <w:tcPr>
            <w:tcW w:w="6363"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本年收费金额（单位：万元）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行政事业性收费</w:t>
            </w:r>
          </w:p>
        </w:tc>
        <w:tc>
          <w:tcPr>
            <w:tcW w:w="6363"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333333"/>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484"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第二十条第（一）项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信息内容</w:t>
            </w:r>
          </w:p>
        </w:tc>
        <w:tc>
          <w:tcPr>
            <w:tcW w:w="212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本年</w:t>
            </w:r>
            <w:r>
              <w:rPr>
                <w:rFonts w:hint="eastAsia" w:ascii="宋体" w:hAnsi="宋体" w:eastAsia="宋体" w:cs="宋体"/>
                <w:color w:val="333333"/>
                <w:sz w:val="20"/>
                <w:szCs w:val="20"/>
              </w:rPr>
              <w:t>制发件数</w:t>
            </w:r>
          </w:p>
        </w:tc>
        <w:tc>
          <w:tcPr>
            <w:tcW w:w="212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本年废止件数</w:t>
            </w:r>
          </w:p>
        </w:tc>
        <w:tc>
          <w:tcPr>
            <w:tcW w:w="212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现行有效件</w:t>
            </w:r>
            <w:r>
              <w:rPr>
                <w:rFonts w:hint="eastAsia" w:ascii="宋体" w:hAnsi="宋体" w:eastAsia="宋体" w:cs="宋体"/>
                <w:color w:val="333333"/>
                <w:sz w:val="20"/>
                <w:szCs w:val="20"/>
              </w:rPr>
              <w:t>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1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规章</w:t>
            </w:r>
          </w:p>
        </w:tc>
        <w:tc>
          <w:tcPr>
            <w:tcW w:w="212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0</w:t>
            </w:r>
          </w:p>
        </w:tc>
        <w:tc>
          <w:tcPr>
            <w:tcW w:w="212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0</w:t>
            </w:r>
          </w:p>
        </w:tc>
        <w:tc>
          <w:tcPr>
            <w:tcW w:w="212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color w:val="333333"/>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1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行政规范性文件</w:t>
            </w:r>
          </w:p>
        </w:tc>
        <w:tc>
          <w:tcPr>
            <w:tcW w:w="212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0</w:t>
            </w:r>
          </w:p>
        </w:tc>
        <w:tc>
          <w:tcPr>
            <w:tcW w:w="212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0</w:t>
            </w:r>
          </w:p>
        </w:tc>
        <w:tc>
          <w:tcPr>
            <w:tcW w:w="212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color w:val="333333"/>
                <w:sz w:val="21"/>
                <w:szCs w:val="21"/>
              </w:rPr>
              <w:t>0</w:t>
            </w:r>
          </w:p>
        </w:tc>
      </w:tr>
    </w:tbl>
    <w:p>
      <w:pPr>
        <w:pStyle w:val="3"/>
        <w:keepNext w:val="0"/>
        <w:keepLines w:val="0"/>
        <w:widowControl/>
        <w:suppressLineNumbers w:val="0"/>
        <w:spacing w:before="0" w:beforeAutospacing="0" w:after="0" w:afterAutospacing="0" w:line="540" w:lineRule="atLeast"/>
        <w:ind w:left="0" w:right="0"/>
        <w:jc w:val="both"/>
        <w:rPr>
          <w:rFonts w:hint="default" w:ascii="Calibri" w:hAnsi="Calibri" w:cs="Calibri"/>
          <w:sz w:val="21"/>
          <w:szCs w:val="21"/>
        </w:rPr>
      </w:pPr>
      <w:r>
        <w:rPr>
          <w:rFonts w:hint="eastAsia" w:ascii="仿宋" w:hAnsi="仿宋" w:eastAsia="仿宋" w:cs="仿宋"/>
          <w:b/>
          <w:bCs/>
          <w:sz w:val="32"/>
          <w:szCs w:val="32"/>
        </w:rPr>
        <w:t> </w:t>
      </w:r>
    </w:p>
    <w:p>
      <w:pPr>
        <w:pStyle w:val="3"/>
        <w:keepNext w:val="0"/>
        <w:keepLines w:val="0"/>
        <w:widowControl/>
        <w:suppressLineNumbers w:val="0"/>
        <w:spacing w:before="0" w:beforeAutospacing="0" w:after="0" w:afterAutospacing="0" w:line="540" w:lineRule="atLeast"/>
        <w:ind w:left="0" w:right="0"/>
        <w:jc w:val="both"/>
        <w:rPr>
          <w:rFonts w:hint="default" w:ascii="Calibri" w:hAnsi="Calibri" w:cs="Calibri"/>
          <w:sz w:val="21"/>
          <w:szCs w:val="21"/>
        </w:rPr>
      </w:pPr>
      <w:r>
        <w:rPr>
          <w:rFonts w:hint="eastAsia" w:ascii="黑体" w:hAnsi="宋体" w:eastAsia="黑体" w:cs="黑体"/>
          <w:sz w:val="32"/>
          <w:szCs w:val="32"/>
        </w:rPr>
        <w:t>    三、收到和处理政府信息公开申请情况</w:t>
      </w:r>
    </w:p>
    <w:tbl>
      <w:tblPr>
        <w:tblW w:w="103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14"/>
        <w:gridCol w:w="999"/>
        <w:gridCol w:w="3412"/>
        <w:gridCol w:w="729"/>
        <w:gridCol w:w="729"/>
        <w:gridCol w:w="729"/>
        <w:gridCol w:w="729"/>
        <w:gridCol w:w="729"/>
        <w:gridCol w:w="729"/>
        <w:gridCol w:w="7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5225" w:type="dxa"/>
            <w:gridSpan w:val="3"/>
            <w:vMerge w:val="restart"/>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楷体" w:hAnsi="楷体" w:eastAsia="楷体" w:cs="楷体"/>
                <w:color w:val="333333"/>
                <w:sz w:val="20"/>
                <w:szCs w:val="20"/>
              </w:rPr>
              <w:t>（本列数据的勾稽关系为：第一项加第二项之和，等于第三项加第四项之和）</w:t>
            </w:r>
          </w:p>
        </w:tc>
        <w:tc>
          <w:tcPr>
            <w:tcW w:w="5105" w:type="dxa"/>
            <w:gridSpan w:val="7"/>
            <w:tcBorders>
              <w:top w:val="single" w:color="auto" w:sz="8" w:space="0"/>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0"/>
                <w:szCs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225" w:type="dxa"/>
            <w:gridSpan w:val="3"/>
            <w:vMerge w:val="continue"/>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4"/>
                <w:szCs w:val="24"/>
              </w:rPr>
            </w:pPr>
          </w:p>
        </w:tc>
        <w:tc>
          <w:tcPr>
            <w:tcW w:w="729" w:type="dxa"/>
            <w:vMerge w:val="restar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0"/>
                <w:szCs w:val="20"/>
              </w:rPr>
              <w:t>自然人</w:t>
            </w:r>
          </w:p>
        </w:tc>
        <w:tc>
          <w:tcPr>
            <w:tcW w:w="3645" w:type="dxa"/>
            <w:gridSpan w:val="5"/>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0"/>
                <w:szCs w:val="20"/>
              </w:rPr>
              <w:t>法人或其他组织</w:t>
            </w:r>
          </w:p>
        </w:tc>
        <w:tc>
          <w:tcPr>
            <w:tcW w:w="731" w:type="dxa"/>
            <w:vMerge w:val="restart"/>
            <w:tcBorders>
              <w:top w:val="nil"/>
              <w:left w:val="nil"/>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225" w:type="dxa"/>
            <w:gridSpan w:val="3"/>
            <w:vMerge w:val="continue"/>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4"/>
                <w:szCs w:val="24"/>
              </w:rPr>
            </w:pPr>
          </w:p>
        </w:tc>
        <w:tc>
          <w:tcPr>
            <w:tcW w:w="729" w:type="dxa"/>
            <w:vMerge w:val="continue"/>
            <w:tcBorders>
              <w:top w:val="nil"/>
              <w:left w:val="nil"/>
              <w:bottom w:val="single"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0"/>
                <w:szCs w:val="20"/>
              </w:rPr>
              <w:t>商业</w:t>
            </w:r>
          </w:p>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0"/>
                <w:szCs w:val="20"/>
              </w:rPr>
              <w:t>企业</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0"/>
                <w:szCs w:val="20"/>
              </w:rPr>
              <w:t>科研</w:t>
            </w:r>
          </w:p>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0"/>
                <w:szCs w:val="20"/>
              </w:rPr>
              <w:t>机构</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0"/>
                <w:szCs w:val="20"/>
              </w:rPr>
              <w:t>社会公益组织</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0"/>
                <w:szCs w:val="20"/>
              </w:rPr>
              <w:t>法律服务机构</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0"/>
                <w:szCs w:val="20"/>
              </w:rPr>
              <w:t>其他</w:t>
            </w:r>
          </w:p>
        </w:tc>
        <w:tc>
          <w:tcPr>
            <w:tcW w:w="731"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225"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333333"/>
                <w:sz w:val="20"/>
                <w:szCs w:val="20"/>
              </w:rPr>
              <w:t>一、本年新收政府信息公开申请数量</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1</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31"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225"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333333"/>
                <w:sz w:val="20"/>
                <w:szCs w:val="20"/>
              </w:rPr>
              <w:t>二、上年结转政府信息公开申请数量</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31"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4" w:type="dxa"/>
            <w:vMerge w:val="restart"/>
            <w:tcBorders>
              <w:top w:val="nil"/>
              <w:left w:val="single" w:color="auto" w:sz="8" w:space="0"/>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333333"/>
                <w:sz w:val="20"/>
                <w:szCs w:val="20"/>
              </w:rPr>
              <w:t>三、本年度办理结果</w:t>
            </w:r>
          </w:p>
        </w:tc>
        <w:tc>
          <w:tcPr>
            <w:tcW w:w="4411" w:type="dxa"/>
            <w:gridSpan w:val="2"/>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333333"/>
                <w:sz w:val="20"/>
                <w:szCs w:val="20"/>
              </w:rPr>
              <w:t>（一）予以公开</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1</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31"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1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4411" w:type="dxa"/>
            <w:gridSpan w:val="2"/>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333333"/>
                <w:sz w:val="20"/>
                <w:szCs w:val="20"/>
              </w:rPr>
              <w:t>（二）部分公开</w:t>
            </w:r>
            <w:r>
              <w:rPr>
                <w:rFonts w:hint="eastAsia" w:ascii="楷体" w:hAnsi="楷体" w:eastAsia="楷体" w:cs="楷体"/>
                <w:color w:val="333333"/>
                <w:sz w:val="20"/>
                <w:szCs w:val="20"/>
              </w:rPr>
              <w:t>（区分处理的，只计这一情形，不计其他情形）</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3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999" w:type="dxa"/>
            <w:vMerge w:val="restart"/>
            <w:tcBorders>
              <w:top w:val="nil"/>
              <w:left w:val="nil"/>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333333"/>
                <w:sz w:val="20"/>
                <w:szCs w:val="20"/>
              </w:rPr>
              <w:t>（三）不予公开</w:t>
            </w:r>
          </w:p>
        </w:tc>
        <w:tc>
          <w:tcPr>
            <w:tcW w:w="341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333333"/>
                <w:sz w:val="20"/>
                <w:szCs w:val="20"/>
              </w:rPr>
              <w:t>1.属于国家秘密</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3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1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999"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341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333333"/>
                <w:sz w:val="20"/>
                <w:szCs w:val="20"/>
              </w:rPr>
              <w:t>2.其他法律行政法规禁止公开</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3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999"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341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333333"/>
                <w:sz w:val="20"/>
                <w:szCs w:val="20"/>
              </w:rPr>
              <w:t>3.危及“三安全一稳定”</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3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1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999"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341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333333"/>
                <w:sz w:val="20"/>
                <w:szCs w:val="20"/>
              </w:rPr>
              <w:t>4.保护第三方合法权益</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31"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999"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341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333333"/>
                <w:sz w:val="20"/>
                <w:szCs w:val="20"/>
              </w:rPr>
              <w:t>5.属于三类内部事务信息</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31"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999"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341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333333"/>
                <w:sz w:val="20"/>
                <w:szCs w:val="20"/>
              </w:rPr>
              <w:t>6.属于四类过程性信息</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31"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1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999"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341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333333"/>
                <w:sz w:val="20"/>
                <w:szCs w:val="20"/>
              </w:rPr>
              <w:t>7.属于行政执法案卷</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31"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999"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341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333333"/>
                <w:sz w:val="20"/>
                <w:szCs w:val="20"/>
              </w:rPr>
              <w:t>8.属于行政查询事项</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31"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999" w:type="dxa"/>
            <w:vMerge w:val="restart"/>
            <w:tcBorders>
              <w:top w:val="nil"/>
              <w:left w:val="nil"/>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333333"/>
                <w:sz w:val="20"/>
                <w:szCs w:val="20"/>
              </w:rPr>
              <w:t>（四）无法提供</w:t>
            </w:r>
          </w:p>
        </w:tc>
        <w:tc>
          <w:tcPr>
            <w:tcW w:w="341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333333"/>
                <w:sz w:val="20"/>
                <w:szCs w:val="20"/>
              </w:rPr>
              <w:t>1.本机关不掌握相关政府信息</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31"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999"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341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333333"/>
                <w:sz w:val="20"/>
                <w:szCs w:val="20"/>
              </w:rPr>
              <w:t>2.没有现成信息需要另行制作</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31"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1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999"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341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333333"/>
                <w:sz w:val="20"/>
                <w:szCs w:val="20"/>
              </w:rPr>
              <w:t>3.补正后申请内容仍不明确</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31"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1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999" w:type="dxa"/>
            <w:vMerge w:val="restart"/>
            <w:tcBorders>
              <w:top w:val="nil"/>
              <w:left w:val="nil"/>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333333"/>
                <w:sz w:val="20"/>
                <w:szCs w:val="20"/>
              </w:rPr>
              <w:t>（五）不予处理</w:t>
            </w:r>
          </w:p>
        </w:tc>
        <w:tc>
          <w:tcPr>
            <w:tcW w:w="341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333333"/>
                <w:sz w:val="20"/>
                <w:szCs w:val="20"/>
              </w:rPr>
              <w:t>1.信访举报投诉类申请</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31"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999"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341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333333"/>
                <w:sz w:val="20"/>
                <w:szCs w:val="20"/>
              </w:rPr>
              <w:t>2.重复申请</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31"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999"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341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333333"/>
                <w:sz w:val="20"/>
                <w:szCs w:val="20"/>
              </w:rPr>
              <w:t>3.要求提供公开出版物</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31"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999"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3412"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333333"/>
                <w:sz w:val="20"/>
                <w:szCs w:val="20"/>
              </w:rPr>
              <w:t>4.无正当理由大量反复申请</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31"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9" w:hRule="atLeast"/>
          <w:jc w:val="center"/>
        </w:trPr>
        <w:tc>
          <w:tcPr>
            <w:tcW w:w="81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999"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3412" w:type="dxa"/>
            <w:tcBorders>
              <w:top w:val="nil"/>
              <w:left w:val="nil"/>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color w:val="333333"/>
                <w:sz w:val="20"/>
                <w:szCs w:val="20"/>
              </w:rPr>
              <w:t>5.要求行政机关确认或重新出具已获取信息</w:t>
            </w:r>
          </w:p>
        </w:tc>
        <w:tc>
          <w:tcPr>
            <w:tcW w:w="729" w:type="dxa"/>
            <w:tcBorders>
              <w:top w:val="nil"/>
              <w:left w:val="nil"/>
              <w:bottom w:val="outset"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outset"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outset"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outset"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outset"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outset"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31" w:type="dxa"/>
            <w:tcBorders>
              <w:top w:val="nil"/>
              <w:left w:val="nil"/>
              <w:bottom w:val="outset"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999" w:type="dxa"/>
            <w:vMerge w:val="restart"/>
            <w:tcBorders>
              <w:top w:val="nil"/>
              <w:left w:val="nil"/>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333333"/>
                <w:sz w:val="20"/>
                <w:szCs w:val="20"/>
              </w:rPr>
              <w:t>（六）其他处理</w:t>
            </w:r>
          </w:p>
        </w:tc>
        <w:tc>
          <w:tcPr>
            <w:tcW w:w="3412"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color w:val="333333"/>
                <w:sz w:val="20"/>
                <w:szCs w:val="20"/>
              </w:rPr>
              <w:t>1.申请人无正当理由逾期不补正、行政机关不再处理其政府信息公开申请</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31"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1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999"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3412"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color w:val="333333"/>
                <w:sz w:val="20"/>
                <w:szCs w:val="20"/>
              </w:rPr>
              <w:t>2.申请人逾期未按收费通知要求缴纳费用、行政机关不再处理其政府信息公开申请</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31"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1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999"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3412"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333333"/>
                <w:sz w:val="20"/>
                <w:szCs w:val="20"/>
              </w:rPr>
              <w:t>3.其他</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31"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4"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微软雅黑" w:hAnsi="微软雅黑" w:eastAsia="微软雅黑" w:cs="微软雅黑"/>
                <w:color w:val="333333"/>
                <w:sz w:val="24"/>
                <w:szCs w:val="24"/>
              </w:rPr>
            </w:pPr>
          </w:p>
        </w:tc>
        <w:tc>
          <w:tcPr>
            <w:tcW w:w="4411" w:type="dxa"/>
            <w:gridSpan w:val="2"/>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333333"/>
                <w:sz w:val="20"/>
                <w:szCs w:val="20"/>
              </w:rPr>
              <w:t>（七）总计</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1</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31"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225"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333333"/>
                <w:sz w:val="20"/>
                <w:szCs w:val="20"/>
              </w:rPr>
              <w:t>四、结转下年度继续办理</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29"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731" w:type="dxa"/>
            <w:tcBorders>
              <w:top w:val="nil"/>
              <w:left w:val="nil"/>
              <w:bottom w:val="single" w:color="auto" w:sz="8" w:space="0"/>
              <w:right w:val="single" w:color="auto" w:sz="8" w:space="0"/>
            </w:tcBorders>
            <w:shd w:val="clear"/>
            <w:tcMar>
              <w:left w:w="57" w:type="dxa"/>
              <w:right w:w="57" w:type="dxa"/>
            </w:tcMar>
            <w:vAlign w:val="top"/>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r>
    </w:tbl>
    <w:p>
      <w:pPr>
        <w:pStyle w:val="3"/>
        <w:keepNext w:val="0"/>
        <w:keepLines w:val="0"/>
        <w:widowControl/>
        <w:suppressLineNumbers w:val="0"/>
        <w:spacing w:before="0" w:beforeAutospacing="0" w:after="0" w:afterAutospacing="0" w:line="540" w:lineRule="atLeast"/>
        <w:ind w:left="0" w:right="0"/>
        <w:jc w:val="both"/>
        <w:rPr>
          <w:rFonts w:hint="default" w:ascii="Calibri" w:hAnsi="Calibri" w:cs="Calibri"/>
          <w:sz w:val="21"/>
          <w:szCs w:val="21"/>
        </w:rPr>
      </w:pPr>
      <w:r>
        <w:rPr>
          <w:rFonts w:hint="eastAsia" w:ascii="仿宋" w:hAnsi="仿宋" w:eastAsia="仿宋" w:cs="仿宋"/>
          <w:sz w:val="21"/>
          <w:szCs w:val="21"/>
        </w:rPr>
        <w:t> </w:t>
      </w:r>
    </w:p>
    <w:p>
      <w:pPr>
        <w:pStyle w:val="3"/>
        <w:keepNext w:val="0"/>
        <w:keepLines w:val="0"/>
        <w:widowControl/>
        <w:suppressLineNumbers w:val="0"/>
        <w:spacing w:before="0" w:beforeAutospacing="0" w:after="0" w:afterAutospacing="0" w:line="540" w:lineRule="atLeast"/>
        <w:ind w:left="0" w:right="0" w:firstLine="0"/>
        <w:jc w:val="both"/>
        <w:rPr>
          <w:rFonts w:hint="default" w:ascii="Calibri" w:hAnsi="Calibri" w:cs="Calibri"/>
          <w:sz w:val="21"/>
          <w:szCs w:val="21"/>
        </w:rPr>
      </w:pPr>
      <w:r>
        <w:rPr>
          <w:rFonts w:hint="eastAsia" w:ascii="黑体" w:hAnsi="宋体" w:eastAsia="黑体" w:cs="黑体"/>
          <w:sz w:val="32"/>
          <w:szCs w:val="32"/>
        </w:rPr>
        <w:t>    四、政府信息公开行政复议、行政诉讼情况</w:t>
      </w:r>
    </w:p>
    <w:tbl>
      <w:tblPr>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0"/>
                <w:szCs w:val="20"/>
              </w:rPr>
              <w:t>行政复议</w:t>
            </w:r>
          </w:p>
        </w:tc>
        <w:tc>
          <w:tcPr>
            <w:tcW w:w="6428" w:type="dxa"/>
            <w:gridSpan w:val="10"/>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0"/>
                <w:szCs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0"/>
                <w:szCs w:val="20"/>
              </w:rPr>
              <w:t>结果维持</w:t>
            </w:r>
          </w:p>
        </w:tc>
        <w:tc>
          <w:tcPr>
            <w:tcW w:w="642"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0"/>
                <w:szCs w:val="20"/>
              </w:rPr>
              <w:t>结果</w:t>
            </w:r>
            <w:r>
              <w:rPr>
                <w:rFonts w:hint="eastAsia" w:ascii="宋体" w:hAnsi="宋体" w:eastAsia="宋体" w:cs="宋体"/>
                <w:color w:val="333333"/>
                <w:sz w:val="20"/>
                <w:szCs w:val="20"/>
              </w:rPr>
              <w:br w:type="textWrapping"/>
            </w:r>
            <w:r>
              <w:rPr>
                <w:rFonts w:hint="eastAsia" w:ascii="宋体" w:hAnsi="宋体" w:eastAsia="宋体" w:cs="宋体"/>
                <w:color w:val="333333"/>
                <w:sz w:val="20"/>
                <w:szCs w:val="20"/>
              </w:rPr>
              <w:t>纠正</w:t>
            </w:r>
          </w:p>
        </w:tc>
        <w:tc>
          <w:tcPr>
            <w:tcW w:w="642"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0"/>
                <w:szCs w:val="20"/>
              </w:rPr>
              <w:t>其他</w:t>
            </w:r>
            <w:r>
              <w:rPr>
                <w:rFonts w:hint="eastAsia" w:ascii="宋体" w:hAnsi="宋体" w:eastAsia="宋体" w:cs="宋体"/>
                <w:color w:val="333333"/>
                <w:sz w:val="20"/>
                <w:szCs w:val="20"/>
              </w:rPr>
              <w:br w:type="textWrapping"/>
            </w:r>
            <w:r>
              <w:rPr>
                <w:rFonts w:hint="eastAsia" w:ascii="宋体" w:hAnsi="宋体" w:eastAsia="宋体" w:cs="宋体"/>
                <w:color w:val="333333"/>
                <w:sz w:val="20"/>
                <w:szCs w:val="20"/>
              </w:rPr>
              <w:t>结果</w:t>
            </w:r>
          </w:p>
        </w:tc>
        <w:tc>
          <w:tcPr>
            <w:tcW w:w="642"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0"/>
                <w:szCs w:val="20"/>
              </w:rPr>
              <w:t>尚未</w:t>
            </w:r>
            <w:r>
              <w:rPr>
                <w:rFonts w:hint="eastAsia" w:ascii="宋体" w:hAnsi="宋体" w:eastAsia="宋体" w:cs="宋体"/>
                <w:color w:val="333333"/>
                <w:sz w:val="20"/>
                <w:szCs w:val="20"/>
              </w:rPr>
              <w:br w:type="textWrapping"/>
            </w:r>
            <w:r>
              <w:rPr>
                <w:rFonts w:hint="eastAsia" w:ascii="宋体" w:hAnsi="宋体" w:eastAsia="宋体" w:cs="宋体"/>
                <w:color w:val="333333"/>
                <w:sz w:val="20"/>
                <w:szCs w:val="20"/>
              </w:rPr>
              <w:t>审结</w:t>
            </w:r>
          </w:p>
        </w:tc>
        <w:tc>
          <w:tcPr>
            <w:tcW w:w="642"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0"/>
                <w:szCs w:val="20"/>
              </w:rPr>
              <w:t>总计</w:t>
            </w:r>
          </w:p>
        </w:tc>
        <w:tc>
          <w:tcPr>
            <w:tcW w:w="3213" w:type="dxa"/>
            <w:gridSpan w:val="5"/>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0"/>
                <w:szCs w:val="20"/>
              </w:rPr>
              <w:t>未经复议直接起诉</w:t>
            </w:r>
          </w:p>
        </w:tc>
        <w:tc>
          <w:tcPr>
            <w:tcW w:w="3215" w:type="dxa"/>
            <w:gridSpan w:val="5"/>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0"/>
                <w:szCs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4"/>
                <w:szCs w:val="24"/>
              </w:rPr>
            </w:pPr>
          </w:p>
        </w:tc>
        <w:tc>
          <w:tcPr>
            <w:tcW w:w="64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4"/>
                <w:szCs w:val="24"/>
              </w:rPr>
            </w:pPr>
          </w:p>
        </w:tc>
        <w:tc>
          <w:tcPr>
            <w:tcW w:w="64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4"/>
                <w:szCs w:val="24"/>
              </w:rPr>
            </w:pPr>
          </w:p>
        </w:tc>
        <w:tc>
          <w:tcPr>
            <w:tcW w:w="64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4"/>
                <w:szCs w:val="24"/>
              </w:rPr>
            </w:pPr>
          </w:p>
        </w:tc>
        <w:tc>
          <w:tcPr>
            <w:tcW w:w="64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4"/>
                <w:szCs w:val="24"/>
              </w:rPr>
            </w:pPr>
          </w:p>
        </w:tc>
        <w:tc>
          <w:tcPr>
            <w:tcW w:w="6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0"/>
                <w:szCs w:val="20"/>
              </w:rPr>
              <w:t>结果</w:t>
            </w:r>
            <w:r>
              <w:rPr>
                <w:rFonts w:hint="eastAsia" w:ascii="宋体" w:hAnsi="宋体" w:eastAsia="宋体" w:cs="宋体"/>
                <w:color w:val="333333"/>
                <w:sz w:val="20"/>
                <w:szCs w:val="20"/>
              </w:rPr>
              <w:br w:type="textWrapping"/>
            </w:r>
            <w:r>
              <w:rPr>
                <w:rFonts w:hint="eastAsia" w:ascii="宋体" w:hAnsi="宋体" w:eastAsia="宋体" w:cs="宋体"/>
                <w:color w:val="333333"/>
                <w:sz w:val="20"/>
                <w:szCs w:val="20"/>
              </w:rPr>
              <w:t>维持</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0"/>
                <w:szCs w:val="20"/>
              </w:rPr>
              <w:t>结果</w:t>
            </w:r>
            <w:r>
              <w:rPr>
                <w:rFonts w:hint="eastAsia" w:ascii="宋体" w:hAnsi="宋体" w:eastAsia="宋体" w:cs="宋体"/>
                <w:color w:val="333333"/>
                <w:sz w:val="20"/>
                <w:szCs w:val="20"/>
              </w:rPr>
              <w:br w:type="textWrapping"/>
            </w:r>
            <w:r>
              <w:rPr>
                <w:rFonts w:hint="eastAsia" w:ascii="宋体" w:hAnsi="宋体" w:eastAsia="宋体" w:cs="宋体"/>
                <w:color w:val="333333"/>
                <w:sz w:val="20"/>
                <w:szCs w:val="20"/>
              </w:rPr>
              <w:t>纠正</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0"/>
                <w:szCs w:val="20"/>
              </w:rPr>
              <w:t>其他</w:t>
            </w:r>
            <w:r>
              <w:rPr>
                <w:rFonts w:hint="eastAsia" w:ascii="宋体" w:hAnsi="宋体" w:eastAsia="宋体" w:cs="宋体"/>
                <w:color w:val="333333"/>
                <w:sz w:val="20"/>
                <w:szCs w:val="20"/>
              </w:rPr>
              <w:br w:type="textWrapping"/>
            </w:r>
            <w:r>
              <w:rPr>
                <w:rFonts w:hint="eastAsia" w:ascii="宋体" w:hAnsi="宋体" w:eastAsia="宋体" w:cs="宋体"/>
                <w:color w:val="333333"/>
                <w:sz w:val="20"/>
                <w:szCs w:val="20"/>
              </w:rPr>
              <w:t>结果</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0"/>
                <w:szCs w:val="20"/>
              </w:rPr>
              <w:t>尚未</w:t>
            </w:r>
            <w:r>
              <w:rPr>
                <w:rFonts w:hint="eastAsia" w:ascii="宋体" w:hAnsi="宋体" w:eastAsia="宋体" w:cs="宋体"/>
                <w:color w:val="333333"/>
                <w:sz w:val="20"/>
                <w:szCs w:val="20"/>
              </w:rPr>
              <w:br w:type="textWrapping"/>
            </w:r>
            <w:r>
              <w:rPr>
                <w:rFonts w:hint="eastAsia" w:ascii="宋体" w:hAnsi="宋体" w:eastAsia="宋体" w:cs="宋体"/>
                <w:color w:val="333333"/>
                <w:sz w:val="20"/>
                <w:szCs w:val="20"/>
              </w:rPr>
              <w:t>审结</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总计</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0"/>
                <w:szCs w:val="20"/>
              </w:rPr>
              <w:t>结果</w:t>
            </w:r>
            <w:r>
              <w:rPr>
                <w:rFonts w:hint="eastAsia" w:ascii="宋体" w:hAnsi="宋体" w:eastAsia="宋体" w:cs="宋体"/>
                <w:color w:val="333333"/>
                <w:sz w:val="20"/>
                <w:szCs w:val="20"/>
              </w:rPr>
              <w:br w:type="textWrapping"/>
            </w:r>
            <w:r>
              <w:rPr>
                <w:rFonts w:hint="eastAsia" w:ascii="宋体" w:hAnsi="宋体" w:eastAsia="宋体" w:cs="宋体"/>
                <w:color w:val="333333"/>
                <w:sz w:val="20"/>
                <w:szCs w:val="20"/>
              </w:rPr>
              <w:t>维持</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0"/>
                <w:szCs w:val="20"/>
              </w:rPr>
              <w:t>结果</w:t>
            </w:r>
            <w:r>
              <w:rPr>
                <w:rFonts w:hint="eastAsia" w:ascii="宋体" w:hAnsi="宋体" w:eastAsia="宋体" w:cs="宋体"/>
                <w:color w:val="333333"/>
                <w:sz w:val="20"/>
                <w:szCs w:val="20"/>
              </w:rPr>
              <w:br w:type="textWrapping"/>
            </w:r>
            <w:r>
              <w:rPr>
                <w:rFonts w:hint="eastAsia" w:ascii="宋体" w:hAnsi="宋体" w:eastAsia="宋体" w:cs="宋体"/>
                <w:color w:val="333333"/>
                <w:sz w:val="20"/>
                <w:szCs w:val="20"/>
              </w:rPr>
              <w:t>纠正</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其他</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结果</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0"/>
                <w:szCs w:val="20"/>
              </w:rPr>
              <w:t>尚未</w:t>
            </w:r>
            <w:r>
              <w:rPr>
                <w:rFonts w:hint="eastAsia" w:ascii="宋体" w:hAnsi="宋体" w:eastAsia="宋体" w:cs="宋体"/>
                <w:color w:val="333333"/>
                <w:sz w:val="20"/>
                <w:szCs w:val="20"/>
              </w:rPr>
              <w:br w:type="textWrapping"/>
            </w:r>
            <w:r>
              <w:rPr>
                <w:rFonts w:hint="eastAsia" w:ascii="宋体" w:hAnsi="宋体" w:eastAsia="宋体" w:cs="宋体"/>
                <w:color w:val="333333"/>
                <w:sz w:val="20"/>
                <w:szCs w:val="20"/>
              </w:rPr>
              <w:t>审结</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333333"/>
                <w:sz w:val="24"/>
                <w:szCs w:val="24"/>
              </w:rPr>
              <w:t>0</w:t>
            </w:r>
          </w:p>
        </w:tc>
      </w:tr>
    </w:tbl>
    <w:p>
      <w:pPr>
        <w:pStyle w:val="3"/>
        <w:keepNext w:val="0"/>
        <w:keepLines w:val="0"/>
        <w:widowControl/>
        <w:suppressLineNumbers w:val="0"/>
        <w:shd w:val="clear" w:fill="FFFFFF"/>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32"/>
          <w:szCs w:val="32"/>
          <w:shd w:val="clear" w:fill="FFFFFF"/>
        </w:rPr>
        <w:t> </w:t>
      </w:r>
    </w:p>
    <w:p>
      <w:pPr>
        <w:pStyle w:val="3"/>
        <w:keepNext w:val="0"/>
        <w:keepLines w:val="0"/>
        <w:widowControl/>
        <w:suppressLineNumbers w:val="0"/>
        <w:shd w:val="clear" w:fill="FFFFFF"/>
        <w:spacing w:before="0" w:beforeAutospacing="0" w:after="0" w:afterAutospacing="0"/>
        <w:ind w:left="0" w:right="0"/>
        <w:jc w:val="both"/>
        <w:rPr>
          <w:rFonts w:hint="default" w:ascii="Calibri" w:hAnsi="Calibri" w:cs="Calibri"/>
          <w:sz w:val="24"/>
          <w:szCs w:val="24"/>
        </w:rPr>
      </w:pPr>
      <w:r>
        <w:rPr>
          <w:rFonts w:hint="eastAsia" w:ascii="黑体" w:hAnsi="宋体" w:eastAsia="黑体" w:cs="黑体"/>
          <w:sz w:val="32"/>
          <w:szCs w:val="32"/>
          <w:shd w:val="clear" w:fill="FFFFFF"/>
        </w:rPr>
        <w:t>    五、存在的主要问题及改进情况</w:t>
      </w:r>
    </w:p>
    <w:p>
      <w:pPr>
        <w:pStyle w:val="3"/>
        <w:keepNext w:val="0"/>
        <w:keepLines w:val="0"/>
        <w:widowControl/>
        <w:suppressLineNumbers w:val="0"/>
        <w:shd w:val="clear" w:fill="FFFFFF"/>
        <w:spacing w:before="0" w:beforeAutospacing="0" w:after="0" w:afterAutospacing="0"/>
        <w:ind w:left="0" w:right="0"/>
        <w:jc w:val="both"/>
        <w:rPr>
          <w:rFonts w:hint="default" w:ascii="Calibri" w:hAnsi="Calibri" w:cs="Calibri"/>
          <w:sz w:val="24"/>
          <w:szCs w:val="24"/>
        </w:rPr>
      </w:pPr>
      <w:r>
        <w:rPr>
          <w:rFonts w:hint="eastAsia" w:ascii="黑体" w:hAnsi="宋体" w:eastAsia="黑体" w:cs="黑体"/>
          <w:sz w:val="32"/>
          <w:szCs w:val="32"/>
          <w:shd w:val="clear" w:fill="FFFFFF"/>
        </w:rPr>
        <w:t xml:space="preserve">    </w:t>
      </w:r>
      <w:r>
        <w:rPr>
          <w:rFonts w:hint="eastAsia" w:ascii="宋体" w:hAnsi="宋体" w:eastAsia="宋体" w:cs="宋体"/>
          <w:sz w:val="32"/>
          <w:szCs w:val="32"/>
          <w:shd w:val="clear" w:fill="FFFFFF"/>
        </w:rPr>
        <w:t>2023年，上高调查队在上高县政务公开部门的指导下，政府信息公开工作取得了一定成绩。但也存在一些问题，主要表现在：一是政府信息主动公开时效性有待加强，主动公开范围有待扩大。二是信息公开质量有待提高。重点领域信息公开还不够具体、全面。三是公开平台规范性还需加强，在满足公众的信息获得感上还需改进。四是政策宣传解读形式有待丰富，创新意识不够强，主动公开方面信息发布、政策解读等质量和形式还有待进一步提高。</w:t>
      </w:r>
    </w:p>
    <w:p>
      <w:pPr>
        <w:pStyle w:val="3"/>
        <w:keepNext w:val="0"/>
        <w:keepLines w:val="0"/>
        <w:widowControl/>
        <w:suppressLineNumbers w:val="0"/>
        <w:shd w:val="clear" w:fill="FFFFFF"/>
        <w:spacing w:before="0" w:beforeAutospacing="0" w:after="0" w:afterAutospacing="0"/>
        <w:ind w:left="0" w:right="0"/>
        <w:jc w:val="both"/>
        <w:rPr>
          <w:rFonts w:hint="default" w:ascii="Calibri" w:hAnsi="Calibri" w:cs="Calibri"/>
          <w:sz w:val="24"/>
          <w:szCs w:val="24"/>
        </w:rPr>
      </w:pPr>
      <w:r>
        <w:rPr>
          <w:rFonts w:hint="eastAsia" w:ascii="宋体" w:hAnsi="宋体" w:eastAsia="宋体" w:cs="宋体"/>
          <w:sz w:val="32"/>
          <w:szCs w:val="32"/>
          <w:shd w:val="clear" w:fill="FFFFFF"/>
        </w:rPr>
        <w:t>    2024年，上高调查队将继续严格落实《中华人民共和国政府信息公开条例》，按照上高县工作部署和要求，紧紧围绕中心工作，进一步提升公开能力，全面推进政务公开工作。重点做好以下工作：一是着力推进主动公开。持续扩展主动公开范围，逐步增加政府信息公开内容，做到应公开尽公开，确保及时、准确、完整。二是丰富公开方式。积极利用新媒体创新宣传手段，探索新形式、新方法，进一步拓宽信息公开渠道，不断提高公开的质量，增进市场主体和群众对各专业调查、政策的了解。三是加强队伍建设。提高更新准确率、频率，深化工作合力，推动政务公开工作开展和落实。</w:t>
      </w:r>
    </w:p>
    <w:p>
      <w:pPr>
        <w:pStyle w:val="3"/>
        <w:keepNext w:val="0"/>
        <w:keepLines w:val="0"/>
        <w:widowControl/>
        <w:suppressLineNumbers w:val="0"/>
        <w:shd w:val="clear" w:fill="FFFFFF"/>
        <w:spacing w:before="0" w:beforeAutospacing="0" w:after="0" w:afterAutospacing="0"/>
        <w:ind w:left="0" w:right="0"/>
        <w:jc w:val="both"/>
        <w:rPr>
          <w:rFonts w:hint="default" w:ascii="Calibri" w:hAnsi="Calibri" w:cs="Calibri"/>
          <w:sz w:val="24"/>
          <w:szCs w:val="24"/>
        </w:rPr>
      </w:pPr>
      <w:r>
        <w:rPr>
          <w:rFonts w:hint="eastAsia" w:ascii="黑体" w:hAnsi="宋体" w:eastAsia="黑体" w:cs="黑体"/>
          <w:sz w:val="32"/>
          <w:szCs w:val="32"/>
          <w:shd w:val="clear" w:fill="FFFFFF"/>
        </w:rPr>
        <w:t>    六、其他需要报告的事项</w:t>
      </w:r>
    </w:p>
    <w:p>
      <w:pPr>
        <w:pStyle w:val="3"/>
        <w:keepNext w:val="0"/>
        <w:keepLines w:val="0"/>
        <w:widowControl/>
        <w:suppressLineNumbers w:val="0"/>
        <w:shd w:val="clear" w:fill="FFFFFF"/>
        <w:spacing w:before="0" w:beforeAutospacing="0" w:after="0" w:afterAutospacing="0"/>
        <w:ind w:left="0" w:right="0"/>
        <w:jc w:val="both"/>
        <w:rPr>
          <w:rFonts w:hint="default" w:ascii="Calibri" w:hAnsi="Calibri" w:cs="Calibri"/>
          <w:sz w:val="24"/>
          <w:szCs w:val="24"/>
        </w:rPr>
      </w:pPr>
      <w:r>
        <w:rPr>
          <w:rFonts w:hint="eastAsia" w:ascii="宋体" w:hAnsi="宋体" w:eastAsia="宋体" w:cs="宋体"/>
          <w:sz w:val="32"/>
          <w:szCs w:val="32"/>
          <w:shd w:val="clear" w:fill="FFFFFF"/>
        </w:rPr>
        <w:t>    2023政务公开要点落实情况：一是强化责任落实，不断提高公开质量。二是积极利用新媒体创新宣传手段，丰富政策宣传解读形式。三是定期开展网络自查，优化网站运行。</w:t>
      </w:r>
    </w:p>
    <w:p>
      <w:pPr>
        <w:pStyle w:val="3"/>
        <w:keepNext w:val="0"/>
        <w:keepLines w:val="0"/>
        <w:widowControl/>
        <w:suppressLineNumbers w:val="0"/>
        <w:shd w:val="clear" w:fill="FFFFFF"/>
        <w:spacing w:before="0" w:beforeAutospacing="0" w:after="0" w:afterAutospacing="0"/>
        <w:ind w:left="0" w:right="0"/>
        <w:jc w:val="both"/>
        <w:rPr>
          <w:rFonts w:hint="default" w:ascii="Calibri" w:hAnsi="Calibri" w:cs="Calibri"/>
          <w:sz w:val="24"/>
          <w:szCs w:val="24"/>
        </w:rPr>
      </w:pPr>
      <w:r>
        <w:rPr>
          <w:rFonts w:hint="eastAsia" w:ascii="宋体" w:hAnsi="宋体" w:eastAsia="宋体" w:cs="宋体"/>
          <w:sz w:val="32"/>
          <w:szCs w:val="32"/>
          <w:shd w:val="clear" w:fill="FFFFFF"/>
        </w:rPr>
        <w:t>    上高县人民政府网站网址为</w:t>
      </w:r>
      <w:r>
        <w:rPr>
          <w:rFonts w:hint="eastAsia" w:ascii="宋体" w:hAnsi="宋体" w:eastAsia="宋体" w:cs="宋体"/>
          <w:color w:val="333333"/>
          <w:sz w:val="32"/>
          <w:szCs w:val="32"/>
          <w:u w:val="none"/>
          <w:shd w:val="clear" w:fill="FFFFFF"/>
        </w:rPr>
        <w:fldChar w:fldCharType="begin"/>
      </w:r>
      <w:r>
        <w:rPr>
          <w:rFonts w:hint="eastAsia" w:ascii="宋体" w:hAnsi="宋体" w:eastAsia="宋体" w:cs="宋体"/>
          <w:color w:val="333333"/>
          <w:sz w:val="32"/>
          <w:szCs w:val="32"/>
          <w:u w:val="none"/>
          <w:shd w:val="clear" w:fill="FFFFFF"/>
        </w:rPr>
        <w:instrText xml:space="preserve"> HYPERLINK "http://www.shanggao.gov.cn/" </w:instrText>
      </w:r>
      <w:r>
        <w:rPr>
          <w:rFonts w:hint="eastAsia" w:ascii="宋体" w:hAnsi="宋体" w:eastAsia="宋体" w:cs="宋体"/>
          <w:color w:val="333333"/>
          <w:sz w:val="32"/>
          <w:szCs w:val="32"/>
          <w:u w:val="none"/>
          <w:shd w:val="clear" w:fill="FFFFFF"/>
        </w:rPr>
        <w:fldChar w:fldCharType="separate"/>
      </w:r>
      <w:r>
        <w:rPr>
          <w:rStyle w:val="8"/>
          <w:rFonts w:hint="eastAsia" w:ascii="宋体" w:hAnsi="宋体" w:eastAsia="宋体" w:cs="宋体"/>
          <w:color w:val="333333"/>
          <w:sz w:val="32"/>
          <w:szCs w:val="32"/>
          <w:u w:val="none"/>
          <w:shd w:val="clear" w:fill="FFFFFF"/>
        </w:rPr>
        <w:t>http://www.shanggao.gov.cn</w:t>
      </w:r>
      <w:r>
        <w:rPr>
          <w:rFonts w:hint="eastAsia" w:ascii="宋体" w:hAnsi="宋体" w:eastAsia="宋体" w:cs="宋体"/>
          <w:color w:val="333333"/>
          <w:sz w:val="32"/>
          <w:szCs w:val="32"/>
          <w:u w:val="none"/>
          <w:shd w:val="clear" w:fill="FFFFFF"/>
        </w:rPr>
        <w:fldChar w:fldCharType="end"/>
      </w:r>
      <w:r>
        <w:rPr>
          <w:rFonts w:hint="eastAsia" w:ascii="宋体" w:hAnsi="宋体" w:eastAsia="宋体" w:cs="宋体"/>
          <w:sz w:val="32"/>
          <w:szCs w:val="32"/>
          <w:shd w:val="clear" w:fill="FFFFFF"/>
        </w:rPr>
        <w:t>。如需了解更多政府信息，请登录查询。</w:t>
      </w:r>
    </w:p>
    <w:p>
      <w:pPr>
        <w:pStyle w:val="3"/>
        <w:keepNext w:val="0"/>
        <w:keepLines w:val="0"/>
        <w:widowControl/>
        <w:suppressLineNumbers w:val="0"/>
        <w:shd w:val="clear" w:fill="FFFFFF"/>
        <w:spacing w:before="0" w:beforeAutospacing="0" w:after="0" w:afterAutospacing="0"/>
        <w:ind w:left="0" w:right="0"/>
        <w:jc w:val="both"/>
        <w:rPr>
          <w:rFonts w:hint="default" w:ascii="Calibri" w:hAnsi="Calibri" w:cs="Calibri"/>
          <w:sz w:val="24"/>
          <w:szCs w:val="24"/>
        </w:rPr>
      </w:pPr>
      <w:r>
        <w:rPr>
          <w:rFonts w:hint="eastAsia" w:ascii="宋体" w:hAnsi="宋体" w:eastAsia="宋体" w:cs="宋体"/>
          <w:sz w:val="32"/>
          <w:szCs w:val="32"/>
          <w:shd w:val="clear" w:fill="FFFFFF"/>
        </w:rPr>
        <w:t>    2023年，本机关无收取信息处理费情况。</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yMjNkYWViOThiMWY0ZjIzZTA4ZmU0Mjg0YmNhMzQifQ=="/>
  </w:docVars>
  <w:rsids>
    <w:rsidRoot w:val="00000000"/>
    <w:rsid w:val="09810013"/>
    <w:rsid w:val="71E05D31"/>
    <w:rsid w:val="74845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Hyperlink"/>
    <w:basedOn w:val="5"/>
    <w:autoRedefine/>
    <w:uiPriority w:val="0"/>
    <w:rPr>
      <w:color w:val="333333"/>
      <w:u w:val="none"/>
    </w:rPr>
  </w:style>
  <w:style w:type="character" w:customStyle="1" w:styleId="9">
    <w:name w:val="hover14"/>
    <w:basedOn w:val="5"/>
    <w:uiPriority w:val="0"/>
    <w:rPr>
      <w:shd w:val="clear" w:fill="929292"/>
    </w:rPr>
  </w:style>
  <w:style w:type="character" w:customStyle="1" w:styleId="10">
    <w:name w:val="article-icon"/>
    <w:basedOn w:val="5"/>
    <w:qFormat/>
    <w:uiPriority w:val="0"/>
  </w:style>
  <w:style w:type="character" w:customStyle="1" w:styleId="11">
    <w:name w:val="hover11"/>
    <w:basedOn w:val="5"/>
    <w:uiPriority w:val="0"/>
    <w:rPr>
      <w:shd w:val="clear" w:fill="92929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2024-03-18T03:55:00Z</dcterms:created>
  <dc:creator>LENOVO</dc:creator>
  <cp:lastModifiedBy></cp:lastModifiedBy>
  <cp:lastPrinted>2024-03-19T13:07:00Z</cp:lastPrinted>
  <dcterms:modified xsi:type="dcterms:W3CDTF">2024-03-22T10:34:36Z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61A3B9BE613F41008AFA8121C3E67AA1_13</vt:lpwstr>
  </property>
</Properties>
</file>