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560" w:lineRule="exact"/>
        <w:ind w:firstLine="643" w:firstLineChars="200"/>
        <w:jc w:val="both"/>
        <w:rPr>
          <w:rFonts w:ascii="Times New Roman" w:hAnsi="Times New Roman" w:eastAsia="仿宋_GB2312"/>
          <w:color w:val="000000"/>
          <w:kern w:val="32"/>
          <w:sz w:val="32"/>
          <w:szCs w:val="32"/>
        </w:rPr>
      </w:pPr>
    </w:p>
    <w:p>
      <w:pPr>
        <w:pStyle w:val="2"/>
        <w:spacing w:beforeAutospacing="0" w:afterAutospacing="0" w:line="560" w:lineRule="exact"/>
        <w:jc w:val="center"/>
        <w:rPr>
          <w:rFonts w:ascii="方正小标宋简体" w:hAnsi="Times New Roman" w:eastAsia="方正小标宋简体"/>
          <w:b w:val="0"/>
          <w:color w:val="000000"/>
          <w:kern w:val="32"/>
          <w:sz w:val="44"/>
          <w:szCs w:val="44"/>
          <w:shd w:val="clear" w:color="auto" w:fill="FFFFFF"/>
        </w:rPr>
      </w:pPr>
      <w:r>
        <w:rPr>
          <w:rFonts w:hint="eastAsia" w:ascii="方正小标宋简体" w:hAnsi="Times New Roman" w:eastAsia="方正小标宋简体"/>
          <w:b w:val="0"/>
          <w:color w:val="000000"/>
          <w:kern w:val="32"/>
          <w:sz w:val="44"/>
          <w:szCs w:val="44"/>
        </w:rPr>
        <w:t>上高县政府办</w:t>
      </w:r>
      <w:r>
        <w:rPr>
          <w:rFonts w:ascii="方正小标宋简体" w:hAnsi="Times New Roman" w:eastAsia="方正小标宋简体"/>
          <w:b w:val="0"/>
          <w:color w:val="000000"/>
          <w:kern w:val="32"/>
          <w:sz w:val="44"/>
          <w:szCs w:val="44"/>
        </w:rPr>
        <w:t>2021</w:t>
      </w:r>
      <w:r>
        <w:rPr>
          <w:rFonts w:hint="eastAsia" w:ascii="方正小标宋简体" w:hAnsi="Times New Roman" w:eastAsia="方正小标宋简体"/>
          <w:b w:val="0"/>
          <w:color w:val="000000"/>
          <w:kern w:val="32"/>
          <w:sz w:val="44"/>
          <w:szCs w:val="44"/>
        </w:rPr>
        <w:t>年信息公开工作年度报告</w:t>
      </w:r>
    </w:p>
    <w:p>
      <w:pPr>
        <w:pStyle w:val="5"/>
        <w:shd w:val="clear" w:color="auto" w:fill="FFFFFF"/>
        <w:spacing w:beforeAutospacing="0" w:afterAutospacing="0" w:line="560" w:lineRule="exact"/>
        <w:jc w:val="both"/>
        <w:rPr>
          <w:rFonts w:ascii="Times New Roman" w:hAnsi="Times New Roman" w:eastAsia="仿宋_GB2312"/>
          <w:color w:val="000000"/>
          <w:kern w:val="32"/>
          <w:sz w:val="32"/>
          <w:szCs w:val="32"/>
        </w:rPr>
      </w:pP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本年度报告根据《中华人民共和国政府信息公开条例》（以下简称《条例》）有关规定，按照国务院办公厅政府信息与政务公开办公室印发《关于做好年度报告编制发布工作的通知》（国办公开办函〔</w:t>
      </w:r>
      <w:r>
        <w:rPr>
          <w:rFonts w:ascii="Times New Roman" w:hAnsi="Times New Roman" w:eastAsia="仿宋_GB2312"/>
          <w:color w:val="000000"/>
          <w:kern w:val="32"/>
          <w:sz w:val="32"/>
          <w:szCs w:val="32"/>
        </w:rPr>
        <w:t>2021</w:t>
      </w:r>
      <w:r>
        <w:rPr>
          <w:rFonts w:hint="eastAsia" w:ascii="Times New Roman" w:hAnsi="Times New Roman" w:eastAsia="仿宋_GB2312"/>
          <w:color w:val="000000"/>
          <w:kern w:val="32"/>
          <w:sz w:val="32"/>
          <w:szCs w:val="32"/>
        </w:rPr>
        <w:t>〕</w:t>
      </w:r>
      <w:r>
        <w:rPr>
          <w:rFonts w:ascii="Times New Roman" w:hAnsi="Times New Roman" w:eastAsia="仿宋_GB2312"/>
          <w:color w:val="000000"/>
          <w:kern w:val="32"/>
          <w:sz w:val="32"/>
          <w:szCs w:val="32"/>
        </w:rPr>
        <w:t>30</w:t>
      </w:r>
      <w:r>
        <w:rPr>
          <w:rFonts w:hint="eastAsia" w:ascii="Times New Roman" w:hAnsi="Times New Roman" w:eastAsia="仿宋_GB2312"/>
          <w:color w:val="000000"/>
          <w:kern w:val="32"/>
          <w:sz w:val="32"/>
          <w:szCs w:val="32"/>
        </w:rPr>
        <w:t>号）要求编制本报告。报告中所列数据统计期限从</w:t>
      </w:r>
      <w:r>
        <w:rPr>
          <w:rFonts w:ascii="Times New Roman" w:hAnsi="Times New Roman" w:eastAsia="仿宋_GB2312"/>
          <w:color w:val="000000"/>
          <w:kern w:val="32"/>
          <w:sz w:val="32"/>
          <w:szCs w:val="32"/>
        </w:rPr>
        <w:t>2021</w:t>
      </w:r>
      <w:r>
        <w:rPr>
          <w:rFonts w:hint="eastAsia" w:ascii="Times New Roman" w:hAnsi="Times New Roman" w:eastAsia="仿宋_GB2312"/>
          <w:color w:val="000000"/>
          <w:kern w:val="32"/>
          <w:sz w:val="32"/>
          <w:szCs w:val="32"/>
        </w:rPr>
        <w:t>年</w:t>
      </w:r>
      <w:r>
        <w:rPr>
          <w:rFonts w:ascii="Times New Roman" w:hAnsi="Times New Roman" w:eastAsia="仿宋_GB2312"/>
          <w:color w:val="000000"/>
          <w:kern w:val="32"/>
          <w:sz w:val="32"/>
          <w:szCs w:val="32"/>
        </w:rPr>
        <w:t>1</w:t>
      </w:r>
      <w:r>
        <w:rPr>
          <w:rFonts w:hint="eastAsia" w:ascii="Times New Roman" w:hAnsi="Times New Roman" w:eastAsia="仿宋_GB2312"/>
          <w:color w:val="000000"/>
          <w:kern w:val="32"/>
          <w:sz w:val="32"/>
          <w:szCs w:val="32"/>
        </w:rPr>
        <w:t>月</w:t>
      </w:r>
      <w:r>
        <w:rPr>
          <w:rFonts w:ascii="Times New Roman" w:hAnsi="Times New Roman" w:eastAsia="仿宋_GB2312"/>
          <w:color w:val="000000"/>
          <w:kern w:val="32"/>
          <w:sz w:val="32"/>
          <w:szCs w:val="32"/>
        </w:rPr>
        <w:t>1</w:t>
      </w:r>
      <w:r>
        <w:rPr>
          <w:rFonts w:hint="eastAsia" w:ascii="Times New Roman" w:hAnsi="Times New Roman" w:eastAsia="仿宋_GB2312"/>
          <w:color w:val="000000"/>
          <w:kern w:val="32"/>
          <w:sz w:val="32"/>
          <w:szCs w:val="32"/>
        </w:rPr>
        <w:t>日到</w:t>
      </w:r>
      <w:r>
        <w:rPr>
          <w:rFonts w:ascii="Times New Roman" w:hAnsi="Times New Roman" w:eastAsia="仿宋_GB2312"/>
          <w:color w:val="000000"/>
          <w:kern w:val="32"/>
          <w:sz w:val="32"/>
          <w:szCs w:val="32"/>
        </w:rPr>
        <w:t>12</w:t>
      </w:r>
      <w:r>
        <w:rPr>
          <w:rFonts w:hint="eastAsia" w:ascii="Times New Roman" w:hAnsi="Times New Roman" w:eastAsia="仿宋_GB2312"/>
          <w:color w:val="000000"/>
          <w:kern w:val="32"/>
          <w:sz w:val="32"/>
          <w:szCs w:val="32"/>
        </w:rPr>
        <w:t>月</w:t>
      </w:r>
      <w:r>
        <w:rPr>
          <w:rFonts w:ascii="Times New Roman" w:hAnsi="Times New Roman" w:eastAsia="仿宋_GB2312"/>
          <w:color w:val="000000"/>
          <w:kern w:val="32"/>
          <w:sz w:val="32"/>
          <w:szCs w:val="32"/>
        </w:rPr>
        <w:t>31</w:t>
      </w:r>
      <w:r>
        <w:rPr>
          <w:rFonts w:hint="eastAsia" w:ascii="Times New Roman" w:hAnsi="Times New Roman" w:eastAsia="仿宋_GB2312"/>
          <w:color w:val="000000"/>
          <w:kern w:val="32"/>
          <w:sz w:val="32"/>
          <w:szCs w:val="32"/>
        </w:rPr>
        <w:t>日止。汇总上高县人民政府网站、各部门及乡镇政府信息公开平台数据编制而成。全文包括总体情况、主动公开政府信息情况、收到和处理政府信息公开申请情况、政府信息公开行政复议行政诉讼情况、存在的主要问题及改进情况、其他需要报告的事项。本报告通过上高县人民政府网（网址为</w:t>
      </w:r>
      <w:r>
        <w:rPr>
          <w:rFonts w:ascii="Times New Roman" w:hAnsi="Times New Roman" w:eastAsia="仿宋_GB2312"/>
          <w:color w:val="000000"/>
          <w:kern w:val="32"/>
          <w:sz w:val="32"/>
          <w:szCs w:val="32"/>
        </w:rPr>
        <w:t>http://www.shanggao.gov.cn</w:t>
      </w:r>
      <w:r>
        <w:rPr>
          <w:rFonts w:hint="eastAsia" w:ascii="Times New Roman" w:hAnsi="Times New Roman" w:eastAsia="仿宋_GB2312"/>
          <w:color w:val="000000"/>
          <w:kern w:val="32"/>
          <w:sz w:val="32"/>
          <w:szCs w:val="32"/>
        </w:rPr>
        <w:t>）</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上高县人民政府发布</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微信公众号及公共查阅场所予以公开，如对本报告有任何疑问，请与上高县人民政府办公室联系。（地址：上高县清莲路</w:t>
      </w:r>
      <w:r>
        <w:rPr>
          <w:rFonts w:ascii="Times New Roman" w:hAnsi="Times New Roman" w:eastAsia="仿宋_GB2312"/>
          <w:color w:val="000000"/>
          <w:kern w:val="32"/>
          <w:sz w:val="32"/>
          <w:szCs w:val="32"/>
        </w:rPr>
        <w:t>9</w:t>
      </w:r>
      <w:r>
        <w:rPr>
          <w:rFonts w:hint="eastAsia" w:ascii="Times New Roman" w:hAnsi="Times New Roman" w:eastAsia="仿宋_GB2312"/>
          <w:color w:val="000000"/>
          <w:kern w:val="32"/>
          <w:sz w:val="32"/>
          <w:szCs w:val="32"/>
        </w:rPr>
        <w:t>号，电话：</w:t>
      </w:r>
      <w:r>
        <w:rPr>
          <w:rFonts w:ascii="Times New Roman" w:hAnsi="Times New Roman" w:eastAsia="仿宋_GB2312"/>
          <w:color w:val="000000"/>
          <w:kern w:val="32"/>
          <w:sz w:val="32"/>
          <w:szCs w:val="32"/>
        </w:rPr>
        <w:t>0795-2511219</w:t>
      </w:r>
      <w:r>
        <w:rPr>
          <w:rFonts w:hint="eastAsia" w:ascii="Times New Roman" w:hAnsi="Times New Roman" w:eastAsia="仿宋_GB2312"/>
          <w:color w:val="000000"/>
          <w:kern w:val="32"/>
          <w:sz w:val="32"/>
          <w:szCs w:val="32"/>
        </w:rPr>
        <w:t>，邮编：</w:t>
      </w:r>
      <w:r>
        <w:rPr>
          <w:rFonts w:ascii="Times New Roman" w:hAnsi="Times New Roman" w:eastAsia="仿宋_GB2312"/>
          <w:color w:val="000000"/>
          <w:kern w:val="32"/>
          <w:sz w:val="32"/>
          <w:szCs w:val="32"/>
        </w:rPr>
        <w:t>336400</w:t>
      </w:r>
      <w:r>
        <w:rPr>
          <w:rFonts w:hint="eastAsia" w:ascii="Times New Roman" w:hAnsi="Times New Roman" w:eastAsia="仿宋_GB2312"/>
          <w:color w:val="000000"/>
          <w:kern w:val="32"/>
          <w:sz w:val="32"/>
          <w:szCs w:val="32"/>
        </w:rPr>
        <w:t>）</w:t>
      </w:r>
    </w:p>
    <w:p>
      <w:pPr>
        <w:pStyle w:val="5"/>
        <w:shd w:val="clear" w:color="auto" w:fill="FFFFFF"/>
        <w:spacing w:beforeAutospacing="0" w:afterAutospacing="0" w:line="560" w:lineRule="exact"/>
        <w:ind w:firstLine="640" w:firstLineChars="200"/>
        <w:jc w:val="both"/>
        <w:rPr>
          <w:rFonts w:ascii="黑体" w:hAnsi="黑体" w:eastAsia="黑体"/>
          <w:bCs/>
          <w:color w:val="000000"/>
          <w:kern w:val="32"/>
          <w:sz w:val="32"/>
          <w:szCs w:val="32"/>
        </w:rPr>
      </w:pPr>
      <w:r>
        <w:rPr>
          <w:rFonts w:hint="eastAsia" w:ascii="黑体" w:hAnsi="黑体" w:eastAsia="黑体"/>
          <w:bCs/>
          <w:color w:val="000000"/>
          <w:kern w:val="32"/>
          <w:sz w:val="32"/>
          <w:szCs w:val="32"/>
          <w:shd w:val="clear" w:color="auto" w:fill="FFFFFF"/>
        </w:rPr>
        <w:t>一、总体情况</w:t>
      </w:r>
    </w:p>
    <w:p>
      <w:pPr>
        <w:pStyle w:val="5"/>
        <w:shd w:val="clear" w:color="auto" w:fill="FFFFFF"/>
        <w:spacing w:beforeAutospacing="0" w:afterAutospacing="0" w:line="560" w:lineRule="exact"/>
        <w:ind w:firstLine="643" w:firstLineChars="200"/>
        <w:jc w:val="both"/>
        <w:rPr>
          <w:rFonts w:ascii="Times New Roman" w:hAnsi="Times New Roman" w:eastAsia="楷体_GB2312"/>
          <w:color w:val="000000"/>
          <w:kern w:val="32"/>
          <w:sz w:val="32"/>
          <w:szCs w:val="32"/>
        </w:rPr>
      </w:pPr>
      <w:r>
        <w:rPr>
          <w:rFonts w:ascii="Times New Roman" w:hAnsi="Times New Roman" w:eastAsia="楷体_GB2312"/>
          <w:b/>
          <w:bCs/>
          <w:color w:val="000000"/>
          <w:kern w:val="32"/>
          <w:sz w:val="32"/>
          <w:szCs w:val="32"/>
        </w:rPr>
        <w:t>(</w:t>
      </w:r>
      <w:r>
        <w:rPr>
          <w:rFonts w:hint="eastAsia" w:ascii="Times New Roman" w:hAnsi="Times New Roman" w:eastAsia="楷体_GB2312"/>
          <w:b/>
          <w:bCs/>
          <w:color w:val="000000"/>
          <w:kern w:val="32"/>
          <w:sz w:val="32"/>
          <w:szCs w:val="32"/>
        </w:rPr>
        <w:t>一</w:t>
      </w:r>
      <w:r>
        <w:rPr>
          <w:rFonts w:ascii="Times New Roman" w:hAnsi="Times New Roman" w:eastAsia="楷体_GB2312"/>
          <w:b/>
          <w:bCs/>
          <w:color w:val="000000"/>
          <w:kern w:val="32"/>
          <w:sz w:val="32"/>
          <w:szCs w:val="32"/>
        </w:rPr>
        <w:t>)</w:t>
      </w:r>
      <w:r>
        <w:rPr>
          <w:rFonts w:hint="eastAsia" w:ascii="Times New Roman" w:hAnsi="Times New Roman" w:eastAsia="楷体_GB2312"/>
          <w:b/>
          <w:bCs/>
          <w:color w:val="000000"/>
          <w:kern w:val="32"/>
          <w:sz w:val="32"/>
          <w:szCs w:val="32"/>
        </w:rPr>
        <w:t>主动公开</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ascii="Times New Roman" w:hAnsi="Times New Roman" w:eastAsia="仿宋_GB2312"/>
          <w:color w:val="000000"/>
          <w:kern w:val="32"/>
          <w:sz w:val="32"/>
          <w:szCs w:val="32"/>
        </w:rPr>
        <w:t>2021</w:t>
      </w:r>
      <w:r>
        <w:rPr>
          <w:rFonts w:hint="eastAsia" w:ascii="Times New Roman" w:hAnsi="Times New Roman" w:eastAsia="仿宋_GB2312"/>
          <w:color w:val="000000"/>
          <w:kern w:val="32"/>
          <w:sz w:val="32"/>
          <w:szCs w:val="32"/>
        </w:rPr>
        <w:t>年，全县各单位部门在上高县人民政府网共发布</w:t>
      </w:r>
      <w:r>
        <w:rPr>
          <w:rFonts w:ascii="Times New Roman" w:hAnsi="Times New Roman" w:eastAsia="仿宋_GB2312"/>
          <w:color w:val="000000"/>
          <w:kern w:val="32"/>
          <w:sz w:val="32"/>
          <w:szCs w:val="32"/>
        </w:rPr>
        <w:t>10358</w:t>
      </w:r>
      <w:r>
        <w:rPr>
          <w:rFonts w:hint="eastAsia" w:ascii="Times New Roman" w:hAnsi="Times New Roman" w:eastAsia="仿宋_GB2312"/>
          <w:color w:val="000000"/>
          <w:kern w:val="32"/>
          <w:sz w:val="32"/>
          <w:szCs w:val="32"/>
        </w:rPr>
        <w:t>条信息。公布行政许可的依据、条件、程序等信息</w:t>
      </w:r>
      <w:r>
        <w:rPr>
          <w:rFonts w:ascii="Times New Roman" w:hAnsi="Times New Roman" w:eastAsia="仿宋_GB2312"/>
          <w:color w:val="000000"/>
          <w:kern w:val="32"/>
          <w:sz w:val="32"/>
          <w:szCs w:val="32"/>
        </w:rPr>
        <w:t>447</w:t>
      </w:r>
      <w:r>
        <w:rPr>
          <w:rFonts w:hint="eastAsia" w:ascii="Times New Roman" w:hAnsi="Times New Roman" w:eastAsia="仿宋_GB2312"/>
          <w:color w:val="000000"/>
          <w:kern w:val="32"/>
          <w:sz w:val="32"/>
          <w:szCs w:val="32"/>
        </w:rPr>
        <w:t>条，行政处罚的依据、条件、程序等信息</w:t>
      </w:r>
      <w:r>
        <w:rPr>
          <w:rFonts w:ascii="Times New Roman" w:hAnsi="Times New Roman" w:eastAsia="仿宋_GB2312"/>
          <w:color w:val="000000"/>
          <w:kern w:val="32"/>
          <w:sz w:val="32"/>
          <w:szCs w:val="32"/>
        </w:rPr>
        <w:t>1594</w:t>
      </w:r>
      <w:r>
        <w:rPr>
          <w:rFonts w:hint="eastAsia" w:ascii="Times New Roman" w:hAnsi="Times New Roman" w:eastAsia="仿宋_GB2312"/>
          <w:color w:val="000000"/>
          <w:kern w:val="32"/>
          <w:sz w:val="32"/>
          <w:szCs w:val="32"/>
        </w:rPr>
        <w:t>条，行政强制的依据、条件、程序等信息</w:t>
      </w:r>
      <w:r>
        <w:rPr>
          <w:rFonts w:ascii="Times New Roman" w:hAnsi="Times New Roman" w:eastAsia="仿宋_GB2312"/>
          <w:color w:val="000000"/>
          <w:kern w:val="32"/>
          <w:sz w:val="32"/>
          <w:szCs w:val="32"/>
        </w:rPr>
        <w:t>131</w:t>
      </w:r>
      <w:r>
        <w:rPr>
          <w:rFonts w:hint="eastAsia" w:ascii="Times New Roman" w:hAnsi="Times New Roman" w:eastAsia="仿宋_GB2312"/>
          <w:color w:val="000000"/>
          <w:kern w:val="32"/>
          <w:sz w:val="32"/>
          <w:szCs w:val="32"/>
        </w:rPr>
        <w:t>条，行政事业性收费项目及依据、标准</w:t>
      </w:r>
      <w:r>
        <w:rPr>
          <w:rFonts w:ascii="Times New Roman" w:hAnsi="Times New Roman" w:eastAsia="仿宋_GB2312"/>
          <w:color w:val="000000"/>
          <w:kern w:val="32"/>
          <w:sz w:val="32"/>
          <w:szCs w:val="32"/>
        </w:rPr>
        <w:t>47</w:t>
      </w:r>
      <w:r>
        <w:rPr>
          <w:rFonts w:hint="eastAsia" w:ascii="Times New Roman" w:hAnsi="Times New Roman" w:eastAsia="仿宋_GB2312"/>
          <w:color w:val="000000"/>
          <w:kern w:val="32"/>
          <w:sz w:val="32"/>
          <w:szCs w:val="32"/>
        </w:rPr>
        <w:t>件，公布了政府集中采购项目的目录、标准及实施情况；开设</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六稳</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六保</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、优化营商环境专栏，发布政策及工作部署落实情况，全年累计发布信息</w:t>
      </w:r>
      <w:r>
        <w:rPr>
          <w:rFonts w:ascii="Times New Roman" w:hAnsi="Times New Roman" w:eastAsia="仿宋_GB2312"/>
          <w:color w:val="000000"/>
          <w:kern w:val="32"/>
          <w:sz w:val="32"/>
          <w:szCs w:val="32"/>
        </w:rPr>
        <w:t>910</w:t>
      </w:r>
      <w:r>
        <w:rPr>
          <w:rFonts w:hint="eastAsia" w:ascii="Times New Roman" w:hAnsi="Times New Roman" w:eastAsia="仿宋_GB2312"/>
          <w:color w:val="000000"/>
          <w:kern w:val="32"/>
          <w:sz w:val="32"/>
          <w:szCs w:val="32"/>
        </w:rPr>
        <w:t>条；满足群众需求做好社会公益事业及重点民生领域信息公开，围绕教育、医疗、社保、就业创业等领域，全年累计发布信息</w:t>
      </w:r>
      <w:r>
        <w:rPr>
          <w:rFonts w:ascii="Times New Roman" w:hAnsi="Times New Roman" w:eastAsia="仿宋_GB2312"/>
          <w:color w:val="000000"/>
          <w:kern w:val="32"/>
          <w:sz w:val="32"/>
          <w:szCs w:val="32"/>
        </w:rPr>
        <w:t>2920</w:t>
      </w:r>
      <w:r>
        <w:rPr>
          <w:rFonts w:hint="eastAsia" w:ascii="Times New Roman" w:hAnsi="Times New Roman" w:eastAsia="仿宋_GB2312"/>
          <w:color w:val="000000"/>
          <w:kern w:val="32"/>
          <w:sz w:val="32"/>
          <w:szCs w:val="32"/>
        </w:rPr>
        <w:t>条。</w:t>
      </w:r>
    </w:p>
    <w:p>
      <w:pPr>
        <w:pStyle w:val="5"/>
        <w:shd w:val="clear" w:color="auto" w:fill="FFFFFF"/>
        <w:spacing w:beforeAutospacing="0" w:afterAutospacing="0" w:line="560" w:lineRule="exact"/>
        <w:ind w:firstLine="643" w:firstLineChars="200"/>
        <w:jc w:val="both"/>
        <w:rPr>
          <w:rFonts w:ascii="Times New Roman" w:hAnsi="Times New Roman" w:eastAsia="楷体_GB2312"/>
          <w:b/>
          <w:bCs/>
          <w:color w:val="000000"/>
          <w:kern w:val="32"/>
          <w:sz w:val="32"/>
          <w:szCs w:val="32"/>
        </w:rPr>
      </w:pPr>
      <w:r>
        <w:rPr>
          <w:rFonts w:ascii="Times New Roman" w:hAnsi="Times New Roman" w:eastAsia="楷体_GB2312"/>
          <w:b/>
          <w:bCs/>
          <w:color w:val="000000"/>
          <w:kern w:val="32"/>
          <w:sz w:val="32"/>
          <w:szCs w:val="32"/>
        </w:rPr>
        <w:t>(</w:t>
      </w:r>
      <w:r>
        <w:rPr>
          <w:rFonts w:hint="eastAsia" w:ascii="Times New Roman" w:hAnsi="Times New Roman" w:eastAsia="楷体_GB2312"/>
          <w:b/>
          <w:bCs/>
          <w:color w:val="000000"/>
          <w:kern w:val="32"/>
          <w:sz w:val="32"/>
          <w:szCs w:val="32"/>
        </w:rPr>
        <w:t>二</w:t>
      </w:r>
      <w:r>
        <w:rPr>
          <w:rFonts w:ascii="Times New Roman" w:hAnsi="Times New Roman" w:eastAsia="楷体_GB2312"/>
          <w:b/>
          <w:bCs/>
          <w:color w:val="000000"/>
          <w:kern w:val="32"/>
          <w:sz w:val="32"/>
          <w:szCs w:val="32"/>
        </w:rPr>
        <w:t>)</w:t>
      </w:r>
      <w:r>
        <w:rPr>
          <w:rFonts w:hint="eastAsia" w:ascii="Times New Roman" w:hAnsi="Times New Roman" w:eastAsia="楷体_GB2312"/>
          <w:b/>
          <w:bCs/>
          <w:color w:val="000000"/>
          <w:kern w:val="32"/>
          <w:sz w:val="32"/>
          <w:szCs w:val="32"/>
        </w:rPr>
        <w:t>依申请公开</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ascii="Times New Roman" w:hAnsi="Times New Roman" w:eastAsia="仿宋_GB2312"/>
          <w:color w:val="000000"/>
          <w:kern w:val="32"/>
          <w:sz w:val="32"/>
          <w:szCs w:val="32"/>
        </w:rPr>
        <w:t>2021</w:t>
      </w:r>
      <w:r>
        <w:rPr>
          <w:rFonts w:hint="eastAsia" w:ascii="Times New Roman" w:hAnsi="Times New Roman" w:eastAsia="仿宋_GB2312"/>
          <w:color w:val="000000"/>
          <w:kern w:val="32"/>
          <w:sz w:val="32"/>
          <w:szCs w:val="32"/>
        </w:rPr>
        <w:t>年共收到</w:t>
      </w:r>
      <w:r>
        <w:rPr>
          <w:rFonts w:ascii="Times New Roman" w:hAnsi="Times New Roman" w:eastAsia="仿宋_GB2312"/>
          <w:color w:val="000000"/>
          <w:kern w:val="32"/>
          <w:sz w:val="32"/>
          <w:szCs w:val="32"/>
        </w:rPr>
        <w:t>2</w:t>
      </w:r>
      <w:r>
        <w:rPr>
          <w:rFonts w:hint="eastAsia" w:ascii="Times New Roman" w:hAnsi="Times New Roman" w:eastAsia="仿宋_GB2312"/>
          <w:color w:val="000000"/>
          <w:kern w:val="32"/>
          <w:sz w:val="32"/>
          <w:szCs w:val="32"/>
        </w:rPr>
        <w:t>件</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含上一年结转</w:t>
      </w:r>
      <w:r>
        <w:rPr>
          <w:rFonts w:ascii="Times New Roman" w:hAnsi="Times New Roman" w:eastAsia="仿宋_GB2312"/>
          <w:color w:val="000000"/>
          <w:kern w:val="32"/>
          <w:sz w:val="32"/>
          <w:szCs w:val="32"/>
        </w:rPr>
        <w:t>0</w:t>
      </w:r>
      <w:r>
        <w:rPr>
          <w:rFonts w:hint="eastAsia" w:ascii="Times New Roman" w:hAnsi="Times New Roman" w:eastAsia="仿宋_GB2312"/>
          <w:color w:val="000000"/>
          <w:kern w:val="32"/>
          <w:sz w:val="32"/>
          <w:szCs w:val="32"/>
        </w:rPr>
        <w:t>件</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依申请公开信件，办理完成</w:t>
      </w:r>
      <w:r>
        <w:rPr>
          <w:rFonts w:ascii="Times New Roman" w:hAnsi="Times New Roman" w:eastAsia="仿宋_GB2312"/>
          <w:color w:val="000000"/>
          <w:kern w:val="32"/>
          <w:sz w:val="32"/>
          <w:szCs w:val="32"/>
        </w:rPr>
        <w:t>2</w:t>
      </w:r>
      <w:r>
        <w:rPr>
          <w:rFonts w:hint="eastAsia" w:ascii="Times New Roman" w:hAnsi="Times New Roman" w:eastAsia="仿宋_GB2312"/>
          <w:color w:val="000000"/>
          <w:kern w:val="32"/>
          <w:sz w:val="32"/>
          <w:szCs w:val="32"/>
        </w:rPr>
        <w:t>件（结转下一年</w:t>
      </w:r>
      <w:r>
        <w:rPr>
          <w:rFonts w:ascii="Times New Roman" w:hAnsi="Times New Roman" w:eastAsia="仿宋_GB2312"/>
          <w:color w:val="000000"/>
          <w:kern w:val="32"/>
          <w:sz w:val="32"/>
          <w:szCs w:val="32"/>
        </w:rPr>
        <w:t>0</w:t>
      </w:r>
      <w:r>
        <w:rPr>
          <w:rFonts w:hint="eastAsia" w:ascii="Times New Roman" w:hAnsi="Times New Roman" w:eastAsia="仿宋_GB2312"/>
          <w:color w:val="000000"/>
          <w:kern w:val="32"/>
          <w:sz w:val="32"/>
          <w:szCs w:val="32"/>
        </w:rPr>
        <w:t>件），</w:t>
      </w:r>
      <w:r>
        <w:rPr>
          <w:rFonts w:ascii="Times New Roman" w:hAnsi="Times New Roman" w:eastAsia="仿宋_GB2312"/>
          <w:color w:val="000000"/>
          <w:kern w:val="32"/>
          <w:sz w:val="32"/>
          <w:szCs w:val="32"/>
        </w:rPr>
        <w:t>2021</w:t>
      </w:r>
      <w:r>
        <w:rPr>
          <w:rFonts w:hint="eastAsia" w:ascii="Times New Roman" w:hAnsi="Times New Roman" w:eastAsia="仿宋_GB2312"/>
          <w:color w:val="000000"/>
          <w:kern w:val="32"/>
          <w:sz w:val="32"/>
          <w:szCs w:val="32"/>
        </w:rPr>
        <w:t>年未发生一起行政复议和行政诉讼而被纠正的情况。</w:t>
      </w:r>
    </w:p>
    <w:p>
      <w:pPr>
        <w:pStyle w:val="5"/>
        <w:shd w:val="clear" w:color="auto" w:fill="FFFFFF"/>
        <w:spacing w:beforeAutospacing="0" w:afterAutospacing="0" w:line="560" w:lineRule="exact"/>
        <w:ind w:firstLine="643" w:firstLineChars="200"/>
        <w:jc w:val="both"/>
        <w:rPr>
          <w:rFonts w:ascii="Times New Roman" w:hAnsi="Times New Roman" w:eastAsia="楷体_GB2312"/>
          <w:b/>
          <w:bCs/>
          <w:color w:val="000000"/>
          <w:kern w:val="32"/>
          <w:sz w:val="32"/>
          <w:szCs w:val="32"/>
        </w:rPr>
      </w:pPr>
      <w:r>
        <w:rPr>
          <w:rFonts w:ascii="Times New Roman" w:hAnsi="Times New Roman" w:eastAsia="楷体_GB2312"/>
          <w:b/>
          <w:bCs/>
          <w:color w:val="000000"/>
          <w:kern w:val="32"/>
          <w:sz w:val="32"/>
          <w:szCs w:val="32"/>
        </w:rPr>
        <w:t xml:space="preserve"> (</w:t>
      </w:r>
      <w:r>
        <w:rPr>
          <w:rFonts w:hint="eastAsia" w:ascii="Times New Roman" w:hAnsi="Times New Roman" w:eastAsia="楷体_GB2312"/>
          <w:b/>
          <w:bCs/>
          <w:color w:val="000000"/>
          <w:kern w:val="32"/>
          <w:sz w:val="32"/>
          <w:szCs w:val="32"/>
        </w:rPr>
        <w:t>三</w:t>
      </w:r>
      <w:r>
        <w:rPr>
          <w:rFonts w:ascii="Times New Roman" w:hAnsi="Times New Roman" w:eastAsia="楷体_GB2312"/>
          <w:b/>
          <w:bCs/>
          <w:color w:val="000000"/>
          <w:kern w:val="32"/>
          <w:sz w:val="32"/>
          <w:szCs w:val="32"/>
        </w:rPr>
        <w:t>)</w:t>
      </w:r>
      <w:r>
        <w:rPr>
          <w:rFonts w:hint="eastAsia" w:ascii="Times New Roman" w:hAnsi="Times New Roman" w:eastAsia="楷体_GB2312"/>
          <w:b/>
          <w:bCs/>
          <w:color w:val="000000"/>
          <w:kern w:val="32"/>
          <w:sz w:val="32"/>
          <w:szCs w:val="32"/>
        </w:rPr>
        <w:t>政府信息管理</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一是完善工作考核、社会评议和责任追究等制度，严格落实</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日巡查、月普查、季交叉查</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监管模式，实时晾晒政务公开</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红黑榜</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，对存在问题的单位点对点下发提醒函，督促限期整改。二是开展信息公开社会评议问卷调查，广泛听取公民、法人和其他社会组织对政府信息公开工作的批评、意见和建议。</w:t>
      </w:r>
      <w:r>
        <w:rPr>
          <w:rFonts w:ascii="Times New Roman" w:hAnsi="Times New Roman" w:eastAsia="仿宋_GB2312"/>
          <w:color w:val="000000"/>
          <w:kern w:val="32"/>
          <w:sz w:val="32"/>
          <w:szCs w:val="32"/>
        </w:rPr>
        <w:t>2021</w:t>
      </w:r>
      <w:r>
        <w:rPr>
          <w:rFonts w:hint="eastAsia" w:ascii="Times New Roman" w:hAnsi="Times New Roman" w:eastAsia="仿宋_GB2312"/>
          <w:color w:val="000000"/>
          <w:kern w:val="32"/>
          <w:sz w:val="32"/>
          <w:szCs w:val="32"/>
        </w:rPr>
        <w:t>年上高县未发生政府信息公开工作责任追究情况。三是强化经费保障，配齐配强工作力量，定期组织开展业务培训和研讨交流，打造专业化的政务公开队伍。</w:t>
      </w:r>
    </w:p>
    <w:p>
      <w:pPr>
        <w:pStyle w:val="5"/>
        <w:shd w:val="clear" w:color="auto" w:fill="FFFFFF"/>
        <w:spacing w:beforeAutospacing="0" w:afterAutospacing="0" w:line="560" w:lineRule="exact"/>
        <w:ind w:firstLine="643" w:firstLineChars="200"/>
        <w:jc w:val="both"/>
        <w:rPr>
          <w:rFonts w:ascii="Times New Roman" w:hAnsi="Times New Roman" w:eastAsia="楷体_GB2312"/>
          <w:b/>
          <w:bCs/>
          <w:color w:val="000000"/>
          <w:kern w:val="32"/>
          <w:sz w:val="32"/>
          <w:szCs w:val="32"/>
        </w:rPr>
      </w:pPr>
      <w:r>
        <w:rPr>
          <w:rFonts w:ascii="Times New Roman" w:hAnsi="Times New Roman" w:eastAsia="楷体_GB2312"/>
          <w:b/>
          <w:bCs/>
          <w:color w:val="000000"/>
          <w:kern w:val="32"/>
          <w:sz w:val="32"/>
          <w:szCs w:val="32"/>
        </w:rPr>
        <w:t>(</w:t>
      </w:r>
      <w:r>
        <w:rPr>
          <w:rFonts w:hint="eastAsia" w:ascii="Times New Roman" w:hAnsi="Times New Roman" w:eastAsia="楷体_GB2312"/>
          <w:b/>
          <w:bCs/>
          <w:color w:val="000000"/>
          <w:kern w:val="32"/>
          <w:sz w:val="32"/>
          <w:szCs w:val="32"/>
        </w:rPr>
        <w:t>四</w:t>
      </w:r>
      <w:r>
        <w:rPr>
          <w:rFonts w:ascii="Times New Roman" w:hAnsi="Times New Roman" w:eastAsia="楷体_GB2312"/>
          <w:b/>
          <w:bCs/>
          <w:color w:val="000000"/>
          <w:kern w:val="32"/>
          <w:sz w:val="32"/>
          <w:szCs w:val="32"/>
        </w:rPr>
        <w:t>)</w:t>
      </w:r>
      <w:r>
        <w:rPr>
          <w:rFonts w:hint="eastAsia" w:ascii="Times New Roman" w:hAnsi="Times New Roman" w:eastAsia="楷体_GB2312"/>
          <w:b/>
          <w:bCs/>
          <w:color w:val="000000"/>
          <w:kern w:val="32"/>
          <w:sz w:val="32"/>
          <w:szCs w:val="32"/>
        </w:rPr>
        <w:t>平台建设情况</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一是以促进发展为导向，拓宽公开渠道，助推经济增长，全面开展</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政府开放周</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活动。通过邀请消费者、利益相关方等参加价格听证会，以</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中国人民警察节</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为契机，邀请居民群众零距离体验警营生活，以</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六五环境日</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为契机，邀请学生代表走进县生态环境监测站实验室，参观大型仪器，体验水质分析，邀请人大代表、政协委员参加《政府工作报告（征求意见稿）》座谈等多种形式，切实保障人民群众的知情权、表达权、参与权和监督权，充分发挥好政府与群众之间的桥梁纽带作用，让群众参与到政府工作中来；二是民生资金实现</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码</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上监督。在上高县人民县政府网站首页和上高县人民政府发布微信公众号设立</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民生资金码上监督</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入口，平台设民生项目类和到户资金项目类</w:t>
      </w:r>
      <w:r>
        <w:rPr>
          <w:rFonts w:ascii="Times New Roman" w:hAnsi="Times New Roman" w:eastAsia="仿宋_GB2312"/>
          <w:color w:val="000000"/>
          <w:kern w:val="32"/>
          <w:sz w:val="32"/>
          <w:szCs w:val="32"/>
        </w:rPr>
        <w:t>2</w:t>
      </w:r>
      <w:r>
        <w:rPr>
          <w:rFonts w:hint="eastAsia" w:ascii="Times New Roman" w:hAnsi="Times New Roman" w:eastAsia="仿宋_GB2312"/>
          <w:color w:val="000000"/>
          <w:kern w:val="32"/>
          <w:sz w:val="32"/>
          <w:szCs w:val="32"/>
        </w:rPr>
        <w:t>大类，居家和社区养老服务体系建设补助资金、低保补助金等</w:t>
      </w:r>
      <w:r>
        <w:rPr>
          <w:rFonts w:ascii="Times New Roman" w:hAnsi="Times New Roman" w:eastAsia="仿宋_GB2312"/>
          <w:color w:val="000000"/>
          <w:kern w:val="32"/>
          <w:sz w:val="32"/>
          <w:szCs w:val="32"/>
        </w:rPr>
        <w:t>9</w:t>
      </w:r>
      <w:r>
        <w:rPr>
          <w:rFonts w:hint="eastAsia" w:ascii="Times New Roman" w:hAnsi="Times New Roman" w:eastAsia="仿宋_GB2312"/>
          <w:color w:val="000000"/>
          <w:kern w:val="32"/>
          <w:sz w:val="32"/>
          <w:szCs w:val="32"/>
        </w:rPr>
        <w:t>个小项，共录入数据</w:t>
      </w:r>
      <w:r>
        <w:rPr>
          <w:rFonts w:ascii="Times New Roman" w:hAnsi="Times New Roman" w:eastAsia="仿宋_GB2312"/>
          <w:color w:val="000000"/>
          <w:kern w:val="32"/>
          <w:sz w:val="32"/>
          <w:szCs w:val="32"/>
        </w:rPr>
        <w:t>284744</w:t>
      </w:r>
      <w:r>
        <w:rPr>
          <w:rFonts w:hint="eastAsia" w:ascii="Times New Roman" w:hAnsi="Times New Roman" w:eastAsia="仿宋_GB2312"/>
          <w:color w:val="000000"/>
          <w:kern w:val="32"/>
          <w:sz w:val="32"/>
          <w:szCs w:val="32"/>
        </w:rPr>
        <w:t>条，群众通过手机一</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扫</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可登入、一</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键</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可查询民政民生资金情况，让权力在阳光下运行，确保民政民生资金使用管理规范；三是</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云上高</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平台建设，充分利用信息收集，建立电子政务信息平台，实现政府信息流通和共享。</w:t>
      </w:r>
    </w:p>
    <w:p>
      <w:pPr>
        <w:pStyle w:val="5"/>
        <w:shd w:val="clear" w:color="auto" w:fill="FFFFFF"/>
        <w:spacing w:beforeAutospacing="0" w:afterAutospacing="0" w:line="560" w:lineRule="exact"/>
        <w:ind w:firstLine="643" w:firstLineChars="200"/>
        <w:jc w:val="both"/>
        <w:rPr>
          <w:rFonts w:ascii="Times New Roman" w:hAnsi="Times New Roman" w:eastAsia="楷体_GB2312"/>
          <w:b/>
          <w:bCs/>
          <w:color w:val="000000"/>
          <w:kern w:val="32"/>
          <w:sz w:val="32"/>
          <w:szCs w:val="32"/>
        </w:rPr>
      </w:pPr>
      <w:r>
        <w:rPr>
          <w:rFonts w:ascii="Times New Roman" w:hAnsi="Times New Roman" w:eastAsia="楷体_GB2312"/>
          <w:b/>
          <w:bCs/>
          <w:color w:val="000000"/>
          <w:kern w:val="32"/>
          <w:sz w:val="32"/>
          <w:szCs w:val="32"/>
        </w:rPr>
        <w:t>(</w:t>
      </w:r>
      <w:r>
        <w:rPr>
          <w:rFonts w:hint="eastAsia" w:ascii="Times New Roman" w:hAnsi="Times New Roman" w:eastAsia="楷体_GB2312"/>
          <w:b/>
          <w:bCs/>
          <w:color w:val="000000"/>
          <w:kern w:val="32"/>
          <w:sz w:val="32"/>
          <w:szCs w:val="32"/>
        </w:rPr>
        <w:t>五</w:t>
      </w:r>
      <w:r>
        <w:rPr>
          <w:rFonts w:ascii="Times New Roman" w:hAnsi="Times New Roman" w:eastAsia="楷体_GB2312"/>
          <w:b/>
          <w:bCs/>
          <w:color w:val="000000"/>
          <w:kern w:val="32"/>
          <w:sz w:val="32"/>
          <w:szCs w:val="32"/>
        </w:rPr>
        <w:t>)</w:t>
      </w:r>
      <w:r>
        <w:rPr>
          <w:rFonts w:hint="eastAsia" w:ascii="Times New Roman" w:hAnsi="Times New Roman" w:eastAsia="楷体_GB2312"/>
          <w:b/>
          <w:bCs/>
          <w:color w:val="000000"/>
          <w:kern w:val="32"/>
          <w:sz w:val="32"/>
          <w:szCs w:val="32"/>
        </w:rPr>
        <w:t>监督保障</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出台上高县人民政府办公室关于印发《上高县人民政府信息主动公开制度》等</w:t>
      </w:r>
      <w:r>
        <w:rPr>
          <w:rFonts w:ascii="Times New Roman" w:hAnsi="Times New Roman" w:eastAsia="仿宋_GB2312"/>
          <w:color w:val="000000"/>
          <w:kern w:val="32"/>
          <w:sz w:val="32"/>
          <w:szCs w:val="32"/>
        </w:rPr>
        <w:t>7</w:t>
      </w:r>
      <w:r>
        <w:rPr>
          <w:rFonts w:hint="eastAsia" w:ascii="Times New Roman" w:hAnsi="Times New Roman" w:eastAsia="仿宋_GB2312"/>
          <w:color w:val="000000"/>
          <w:kern w:val="32"/>
          <w:sz w:val="32"/>
          <w:szCs w:val="32"/>
        </w:rPr>
        <w:t>项制度（上府办发〔</w:t>
      </w:r>
      <w:r>
        <w:rPr>
          <w:rFonts w:ascii="Times New Roman" w:hAnsi="Times New Roman" w:eastAsia="仿宋_GB2312"/>
          <w:color w:val="000000"/>
          <w:kern w:val="32"/>
          <w:sz w:val="32"/>
          <w:szCs w:val="32"/>
        </w:rPr>
        <w:t>2021</w:t>
      </w:r>
      <w:r>
        <w:rPr>
          <w:rFonts w:hint="eastAsia" w:ascii="Times New Roman" w:hAnsi="Times New Roman" w:eastAsia="仿宋_GB2312"/>
          <w:color w:val="000000"/>
          <w:kern w:val="32"/>
          <w:sz w:val="32"/>
          <w:szCs w:val="32"/>
        </w:rPr>
        <w:t>〕</w:t>
      </w:r>
      <w:r>
        <w:rPr>
          <w:rFonts w:ascii="Times New Roman" w:hAnsi="Times New Roman" w:eastAsia="仿宋_GB2312"/>
          <w:color w:val="000000"/>
          <w:kern w:val="32"/>
          <w:sz w:val="32"/>
          <w:szCs w:val="32"/>
        </w:rPr>
        <w:t>11</w:t>
      </w:r>
      <w:r>
        <w:rPr>
          <w:rFonts w:hint="eastAsia" w:ascii="Times New Roman" w:hAnsi="Times New Roman" w:eastAsia="仿宋_GB2312"/>
          <w:color w:val="000000"/>
          <w:kern w:val="32"/>
          <w:sz w:val="32"/>
          <w:szCs w:val="32"/>
        </w:rPr>
        <w:t>号），为推动我县政务公开工作提供了保障。充分发挥人民群众对政务公开工作的监督作用</w:t>
      </w:r>
      <w:r>
        <w:rPr>
          <w:rFonts w:ascii="Times New Roman" w:hAnsi="Times New Roman" w:eastAsia="仿宋_GB2312"/>
          <w:color w:val="000000"/>
          <w:kern w:val="32"/>
          <w:sz w:val="32"/>
          <w:szCs w:val="32"/>
        </w:rPr>
        <w:t>,</w:t>
      </w:r>
      <w:r>
        <w:rPr>
          <w:rFonts w:hint="eastAsia" w:ascii="Times New Roman" w:hAnsi="Times New Roman" w:eastAsia="仿宋_GB2312"/>
          <w:color w:val="000000"/>
          <w:kern w:val="32"/>
          <w:sz w:val="32"/>
          <w:szCs w:val="32"/>
        </w:rPr>
        <w:t>进一步加大社会监督力度，切实保障公民、法人和其他组织的知情权、参与权、表达权、监督权，确保政务公开工作规范有序开展，坚持实事求是、有错必纠、惩处与教育相结合，追究责任与改进工作相结合的原则，加强对政务公开工作的责任追究和惩处力度，全面加强监督保障工作。全年共举办</w:t>
      </w:r>
      <w:r>
        <w:rPr>
          <w:rFonts w:ascii="Times New Roman" w:hAnsi="Times New Roman" w:eastAsia="仿宋_GB2312"/>
          <w:color w:val="000000"/>
          <w:kern w:val="32"/>
          <w:sz w:val="32"/>
          <w:szCs w:val="32"/>
        </w:rPr>
        <w:t>4</w:t>
      </w:r>
      <w:r>
        <w:rPr>
          <w:rFonts w:hint="eastAsia" w:ascii="Times New Roman" w:hAnsi="Times New Roman" w:eastAsia="仿宋_GB2312"/>
          <w:color w:val="000000"/>
          <w:kern w:val="32"/>
          <w:sz w:val="32"/>
          <w:szCs w:val="32"/>
        </w:rPr>
        <w:t>次全县范围内的政务公开培训，邀请省政务公开第三方评估专家进行授课。将政务公开工作纳入年度高质量发展并提高分值所占权重不低于</w:t>
      </w:r>
      <w:r>
        <w:rPr>
          <w:rFonts w:ascii="Times New Roman" w:hAnsi="Times New Roman" w:eastAsia="仿宋_GB2312"/>
          <w:color w:val="000000"/>
          <w:kern w:val="32"/>
          <w:sz w:val="32"/>
          <w:szCs w:val="32"/>
        </w:rPr>
        <w:t>4%</w:t>
      </w:r>
      <w:r>
        <w:rPr>
          <w:rFonts w:hint="eastAsia" w:ascii="Times New Roman" w:hAnsi="Times New Roman" w:eastAsia="仿宋_GB2312"/>
          <w:color w:val="000000"/>
          <w:kern w:val="32"/>
          <w:sz w:val="32"/>
          <w:szCs w:val="32"/>
        </w:rPr>
        <w:t>。加强县人民政府门户网站与政府系统政务新媒体检查，对检查发现的新媒体突出问题要求限期整改。及时改进工作中存在的问题，政务公开工作整体水平得到进一步提高。</w:t>
      </w:r>
      <w:r>
        <w:rPr>
          <w:rFonts w:ascii="Times New Roman" w:hAnsi="Times New Roman" w:eastAsia="仿宋_GB2312"/>
          <w:color w:val="000000"/>
          <w:kern w:val="32"/>
          <w:sz w:val="32"/>
          <w:szCs w:val="32"/>
        </w:rPr>
        <w:t>2021</w:t>
      </w:r>
      <w:r>
        <w:rPr>
          <w:rFonts w:hint="eastAsia" w:ascii="Times New Roman" w:hAnsi="Times New Roman" w:eastAsia="仿宋_GB2312"/>
          <w:color w:val="000000"/>
          <w:kern w:val="32"/>
          <w:sz w:val="32"/>
          <w:szCs w:val="32"/>
        </w:rPr>
        <w:t>年未发生政务公开责任追究事件。</w:t>
      </w:r>
    </w:p>
    <w:p>
      <w:pPr>
        <w:pStyle w:val="5"/>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二、主动公开政府信息情况</w:t>
      </w:r>
    </w:p>
    <w:tbl>
      <w:tblPr>
        <w:tblStyle w:val="6"/>
        <w:tblW w:w="9127" w:type="dxa"/>
        <w:jc w:val="center"/>
        <w:tblLayout w:type="autofit"/>
        <w:tblCellMar>
          <w:top w:w="0" w:type="dxa"/>
          <w:left w:w="0" w:type="dxa"/>
          <w:bottom w:w="0" w:type="dxa"/>
          <w:right w:w="0" w:type="dxa"/>
        </w:tblCellMar>
      </w:tblPr>
      <w:tblGrid>
        <w:gridCol w:w="2435"/>
        <w:gridCol w:w="2156"/>
        <w:gridCol w:w="2410"/>
        <w:gridCol w:w="2126"/>
      </w:tblGrid>
      <w:tr>
        <w:tblPrEx>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21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本年制发件数</w:t>
            </w:r>
          </w:p>
        </w:tc>
        <w:tc>
          <w:tcPr>
            <w:tcW w:w="241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本年废止件数</w:t>
            </w:r>
          </w:p>
        </w:tc>
        <w:tc>
          <w:tcPr>
            <w:tcW w:w="212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规章</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行政规范性文件</w:t>
            </w:r>
          </w:p>
        </w:tc>
        <w:tc>
          <w:tcPr>
            <w:tcW w:w="21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c>
          <w:tcPr>
            <w:tcW w:w="24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c>
          <w:tcPr>
            <w:tcW w:w="212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140</w:t>
            </w:r>
            <w:bookmarkStart w:id="0" w:name="_GoBack"/>
            <w:bookmarkEnd w:id="0"/>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第二十条第（五）项</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行政许可</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c>
          <w:tcPr>
            <w:tcW w:w="669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第二十条第（八）项</w:t>
            </w:r>
          </w:p>
        </w:tc>
      </w:tr>
      <w:tr>
        <w:tblPrEx>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信息内容</w:t>
            </w:r>
          </w:p>
        </w:tc>
        <w:tc>
          <w:tcPr>
            <w:tcW w:w="6692" w:type="dxa"/>
            <w:gridSpan w:val="3"/>
            <w:tcBorders>
              <w:top w:val="nil"/>
              <w:left w:val="nil"/>
              <w:bottom w:val="single" w:color="auto" w:sz="4" w:space="0"/>
              <w:right w:val="single" w:color="000000" w:sz="8"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本年收费金额（单位：万元）</w:t>
            </w:r>
          </w:p>
        </w:tc>
      </w:tr>
      <w:tr>
        <w:tblPrEx>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p>
        </w:tc>
        <w:tc>
          <w:tcPr>
            <w:tcW w:w="6692" w:type="dxa"/>
            <w:gridSpan w:val="3"/>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bl>
    <w:p>
      <w:pPr>
        <w:pStyle w:val="5"/>
        <w:widowControl/>
        <w:shd w:val="clear" w:color="auto" w:fill="FFFFFF"/>
        <w:spacing w:beforeAutospacing="0" w:afterAutospacing="0" w:line="200" w:lineRule="atLeast"/>
        <w:ind w:firstLine="420"/>
        <w:jc w:val="both"/>
        <w:rPr>
          <w:rFonts w:ascii="黑体" w:hAnsi="黑体" w:eastAsia="黑体" w:cs="黑体"/>
          <w:b/>
          <w:bCs/>
          <w:color w:val="000000"/>
          <w:sz w:val="32"/>
          <w:szCs w:val="32"/>
          <w:shd w:val="clear" w:color="auto" w:fill="FFFFFF"/>
        </w:rPr>
      </w:pPr>
    </w:p>
    <w:p>
      <w:pPr>
        <w:pStyle w:val="5"/>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三、收到和处理政府信息公开申请情况</w:t>
      </w:r>
    </w:p>
    <w:tbl>
      <w:tblPr>
        <w:tblStyle w:val="6"/>
        <w:tblW w:w="4851" w:type="pct"/>
        <w:jc w:val="center"/>
        <w:tblLayout w:type="autofit"/>
        <w:tblCellMar>
          <w:top w:w="0" w:type="dxa"/>
          <w:left w:w="0" w:type="dxa"/>
          <w:bottom w:w="0" w:type="dxa"/>
          <w:right w:w="0" w:type="dxa"/>
        </w:tblCellMar>
      </w:tblPr>
      <w:tblGrid>
        <w:gridCol w:w="969"/>
        <w:gridCol w:w="954"/>
        <w:gridCol w:w="3200"/>
        <w:gridCol w:w="489"/>
        <w:gridCol w:w="394"/>
        <w:gridCol w:w="414"/>
        <w:gridCol w:w="697"/>
        <w:gridCol w:w="706"/>
        <w:gridCol w:w="394"/>
        <w:gridCol w:w="524"/>
      </w:tblGrid>
      <w:tr>
        <w:tblPrEx>
          <w:tblCellMar>
            <w:top w:w="0" w:type="dxa"/>
            <w:left w:w="0" w:type="dxa"/>
            <w:bottom w:w="0" w:type="dxa"/>
            <w:right w:w="0" w:type="dxa"/>
          </w:tblCellMar>
        </w:tblPrEx>
        <w:trPr>
          <w:trHeight w:val="318" w:hRule="atLeast"/>
          <w:jc w:val="center"/>
        </w:trPr>
        <w:tc>
          <w:tcPr>
            <w:tcW w:w="2863"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2137"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2863"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91" w:type="pct"/>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1531" w:type="pct"/>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315" w:type="pct"/>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2863"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91" w:type="pct"/>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225"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248"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410"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415"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232"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315" w:type="pct"/>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2863"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r>
      <w:tr>
        <w:tblPrEx>
          <w:tblCellMar>
            <w:top w:w="0" w:type="dxa"/>
            <w:left w:w="0" w:type="dxa"/>
            <w:bottom w:w="0" w:type="dxa"/>
            <w:right w:w="0" w:type="dxa"/>
          </w:tblCellMar>
        </w:tblPrEx>
        <w:trPr>
          <w:trHeight w:val="318" w:hRule="atLeast"/>
          <w:jc w:val="center"/>
        </w:trPr>
        <w:tc>
          <w:tcPr>
            <w:tcW w:w="2863"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333" w:hRule="atLeast"/>
          <w:jc w:val="center"/>
        </w:trPr>
        <w:tc>
          <w:tcPr>
            <w:tcW w:w="566" w:type="pct"/>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2297"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r>
      <w:tr>
        <w:tblPrEx>
          <w:tblCellMar>
            <w:top w:w="0" w:type="dxa"/>
            <w:left w:w="0" w:type="dxa"/>
            <w:bottom w:w="0" w:type="dxa"/>
            <w:right w:w="0" w:type="dxa"/>
          </w:tblCellMar>
        </w:tblPrEx>
        <w:trPr>
          <w:trHeight w:val="569"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297"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ind w:firstLine="280" w:firstLineChars="100"/>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284"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60"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831"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1842"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291"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78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291"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455"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4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r>
        <w:tblPrEx>
          <w:tblCellMar>
            <w:top w:w="0" w:type="dxa"/>
            <w:left w:w="0" w:type="dxa"/>
            <w:bottom w:w="0" w:type="dxa"/>
            <w:right w:w="0" w:type="dxa"/>
          </w:tblCellMar>
        </w:tblPrEx>
        <w:trPr>
          <w:trHeight w:val="145" w:hRule="atLeast"/>
          <w:jc w:val="center"/>
        </w:trPr>
        <w:tc>
          <w:tcPr>
            <w:tcW w:w="566"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297"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p>
        </w:tc>
      </w:tr>
      <w:tr>
        <w:tblPrEx>
          <w:tblCellMar>
            <w:top w:w="0" w:type="dxa"/>
            <w:left w:w="0" w:type="dxa"/>
            <w:bottom w:w="0" w:type="dxa"/>
            <w:right w:w="0" w:type="dxa"/>
          </w:tblCellMar>
        </w:tblPrEx>
        <w:trPr>
          <w:trHeight w:val="318" w:hRule="atLeast"/>
          <w:jc w:val="center"/>
        </w:trPr>
        <w:tc>
          <w:tcPr>
            <w:tcW w:w="2863"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291"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4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4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232"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c>
          <w:tcPr>
            <w:tcW w:w="31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w:t>
            </w:r>
          </w:p>
        </w:tc>
      </w:tr>
    </w:tbl>
    <w:p>
      <w:pPr>
        <w:pStyle w:val="5"/>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四、政府信息公开行政复议、行政诉讼情况</w:t>
      </w:r>
    </w:p>
    <w:tbl>
      <w:tblPr>
        <w:tblStyle w:val="6"/>
        <w:tblW w:w="4824" w:type="pct"/>
        <w:jc w:val="center"/>
        <w:tblLayout w:type="autofit"/>
        <w:tblCellMar>
          <w:top w:w="0" w:type="dxa"/>
          <w:left w:w="0" w:type="dxa"/>
          <w:bottom w:w="0" w:type="dxa"/>
          <w:right w:w="0" w:type="dxa"/>
        </w:tblCellMar>
      </w:tblPr>
      <w:tblGrid>
        <w:gridCol w:w="582"/>
        <w:gridCol w:w="582"/>
        <w:gridCol w:w="582"/>
        <w:gridCol w:w="582"/>
        <w:gridCol w:w="582"/>
        <w:gridCol w:w="582"/>
        <w:gridCol w:w="582"/>
        <w:gridCol w:w="582"/>
        <w:gridCol w:w="582"/>
        <w:gridCol w:w="587"/>
        <w:gridCol w:w="582"/>
        <w:gridCol w:w="582"/>
        <w:gridCol w:w="582"/>
        <w:gridCol w:w="583"/>
        <w:gridCol w:w="587"/>
      </w:tblGrid>
      <w:tr>
        <w:tblPrEx>
          <w:tblCellMar>
            <w:top w:w="0" w:type="dxa"/>
            <w:left w:w="0" w:type="dxa"/>
            <w:bottom w:w="0" w:type="dxa"/>
            <w:right w:w="0" w:type="dxa"/>
          </w:tblCellMar>
        </w:tblPrEx>
        <w:trPr>
          <w:trHeight w:val="317" w:hRule="atLeast"/>
          <w:jc w:val="center"/>
        </w:trPr>
        <w:tc>
          <w:tcPr>
            <w:tcW w:w="1664"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行政复议</w:t>
            </w:r>
          </w:p>
        </w:tc>
        <w:tc>
          <w:tcPr>
            <w:tcW w:w="3336" w:type="pct"/>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行政诉讼</w:t>
            </w:r>
          </w:p>
        </w:tc>
      </w:tr>
      <w:tr>
        <w:tblPrEx>
          <w:tblCellMar>
            <w:top w:w="0" w:type="dxa"/>
            <w:left w:w="0" w:type="dxa"/>
            <w:bottom w:w="0" w:type="dxa"/>
            <w:right w:w="0" w:type="dxa"/>
          </w:tblCellMar>
        </w:tblPrEx>
        <w:trPr>
          <w:trHeight w:val="317" w:hRule="atLeast"/>
          <w:jc w:val="center"/>
        </w:trPr>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结果维持</w:t>
            </w:r>
          </w:p>
        </w:tc>
        <w:tc>
          <w:tcPr>
            <w:tcW w:w="333"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未经复议直接起诉</w:t>
            </w:r>
          </w:p>
        </w:tc>
        <w:tc>
          <w:tcPr>
            <w:tcW w:w="1668"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复议后起诉</w:t>
            </w:r>
          </w:p>
        </w:tc>
      </w:tr>
      <w:tr>
        <w:tblPrEx>
          <w:tblCellMar>
            <w:top w:w="0" w:type="dxa"/>
            <w:left w:w="0" w:type="dxa"/>
            <w:bottom w:w="0" w:type="dxa"/>
            <w:right w:w="0" w:type="dxa"/>
          </w:tblCellMar>
        </w:tblPrEx>
        <w:trPr>
          <w:trHeight w:val="145" w:hRule="atLeast"/>
          <w:jc w:val="center"/>
        </w:trPr>
        <w:tc>
          <w:tcPr>
            <w:tcW w:w="333" w:type="pct"/>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nil"/>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Times New Roman" w:hAnsi="Times New Roman" w:eastAsia="仿宋_GB2312"/>
                <w:color w:val="000000"/>
                <w:kern w:val="0"/>
                <w:sz w:val="28"/>
                <w:szCs w:val="28"/>
              </w:rPr>
            </w:pP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维持</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结果</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其他</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尚未</w:t>
            </w:r>
            <w:r>
              <w:rPr>
                <w:rFonts w:ascii="Times New Roman" w:hAnsi="Times New Roman" w:eastAsia="仿宋_GB2312"/>
                <w:color w:val="000000"/>
                <w:kern w:val="0"/>
                <w:sz w:val="28"/>
                <w:szCs w:val="28"/>
              </w:rPr>
              <w:br w:type="textWrapping"/>
            </w:r>
            <w:r>
              <w:rPr>
                <w:rFonts w:hint="eastAsia" w:ascii="Times New Roman" w:hAnsi="Times New Roman" w:eastAsia="仿宋_GB2312"/>
                <w:color w:val="000000"/>
                <w:kern w:val="0"/>
                <w:sz w:val="28"/>
                <w:szCs w:val="28"/>
              </w:rPr>
              <w:t>审结</w:t>
            </w:r>
          </w:p>
        </w:tc>
        <w:tc>
          <w:tcPr>
            <w:tcW w:w="33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总计</w:t>
            </w:r>
          </w:p>
        </w:tc>
      </w:tr>
      <w:tr>
        <w:tblPrEx>
          <w:tblCellMar>
            <w:top w:w="0" w:type="dxa"/>
            <w:left w:w="0" w:type="dxa"/>
            <w:bottom w:w="0" w:type="dxa"/>
            <w:right w:w="0" w:type="dxa"/>
          </w:tblCellMar>
        </w:tblPrEx>
        <w:trPr>
          <w:trHeight w:val="676" w:hRule="atLeast"/>
          <w:jc w:val="center"/>
        </w:trPr>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c>
          <w:tcPr>
            <w:tcW w:w="335"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80" w:lineRule="exact"/>
              <w:jc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0</w:t>
            </w:r>
          </w:p>
        </w:tc>
      </w:tr>
    </w:tbl>
    <w:p>
      <w:pPr>
        <w:pStyle w:val="5"/>
        <w:shd w:val="clear" w:color="auto" w:fill="FFFFFF"/>
        <w:spacing w:beforeAutospacing="0" w:afterAutospacing="0" w:line="560" w:lineRule="exact"/>
        <w:ind w:firstLine="640" w:firstLineChars="200"/>
        <w:jc w:val="both"/>
        <w:rPr>
          <w:rFonts w:ascii="黑体" w:hAnsi="黑体" w:eastAsia="黑体"/>
          <w:bCs/>
          <w:color w:val="000000"/>
          <w:kern w:val="32"/>
          <w:sz w:val="32"/>
          <w:szCs w:val="32"/>
          <w:shd w:val="clear" w:color="auto" w:fill="FFFFFF"/>
        </w:rPr>
      </w:pPr>
      <w:r>
        <w:rPr>
          <w:rFonts w:hint="eastAsia" w:ascii="黑体" w:hAnsi="黑体" w:eastAsia="黑体"/>
          <w:bCs/>
          <w:color w:val="000000"/>
          <w:kern w:val="32"/>
          <w:sz w:val="32"/>
          <w:szCs w:val="32"/>
          <w:shd w:val="clear" w:color="auto" w:fill="FFFFFF"/>
        </w:rPr>
        <w:t>五、存在的主要问题及改进情况</w:t>
      </w:r>
    </w:p>
    <w:p>
      <w:pPr>
        <w:overflowPunct w:val="0"/>
        <w:autoSpaceDN w:val="0"/>
        <w:adjustRightInd w:val="0"/>
        <w:snapToGrid w:val="0"/>
        <w:spacing w:line="500" w:lineRule="exact"/>
        <w:ind w:firstLine="643" w:firstLineChars="200"/>
        <w:rPr>
          <w:rFonts w:ascii="Times New Roman" w:hAnsi="Times New Roman" w:eastAsia="楷体_GB2312"/>
          <w:b/>
          <w:color w:val="000000"/>
          <w:sz w:val="32"/>
          <w:szCs w:val="32"/>
        </w:rPr>
      </w:pPr>
      <w:r>
        <w:rPr>
          <w:rFonts w:hint="eastAsia" w:ascii="Times New Roman" w:hAnsi="Times New Roman" w:eastAsia="楷体_GB2312"/>
          <w:b/>
          <w:color w:val="000000"/>
          <w:sz w:val="32"/>
          <w:szCs w:val="32"/>
        </w:rPr>
        <w:t>（一）存在的问题</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全县政务公开工作整体水平持续提升，各地方单位公开意识逐步加强，公开质量稳步提高。但是还存在以下三个方面的差距。</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一是政策解读能力有待提升。今年我县制定了政策解读制度，并进行政策解读优秀案例的评选活动，仍有部分单位政策解读工作机制没有捋顺，政策解读质量不高，解读的及时性、解读方式的多样性还需进一步提升；对于重要政策、规范性文件未能按照要求对政策背景、出台目的、重要举措等进行实质性解读，政策解读专业性不强，解读不深入，形式不丰富，数字化、问答式、音频视频等方式解读较少。</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二是政务服务网办事服务实用性不强。政务服务网部分服务事项内容不实用，存在部分办事指南要素缺失，办事指南内容不准确，或者未提供办事指南中要求申请人提供的申请书、申请表的规范获取渠道（如下载、窗口领取等）。</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三基层基础有待加强，基础工作人员流动性快，业务不精问题仍然存在，政务公开向村居延伸仍需进一步加强。</w:t>
      </w:r>
    </w:p>
    <w:p>
      <w:pPr>
        <w:overflowPunct w:val="0"/>
        <w:autoSpaceDN w:val="0"/>
        <w:adjustRightInd w:val="0"/>
        <w:snapToGrid w:val="0"/>
        <w:spacing w:line="500" w:lineRule="exact"/>
        <w:ind w:firstLine="643" w:firstLineChars="200"/>
        <w:rPr>
          <w:rFonts w:ascii="Times New Roman" w:hAnsi="Times New Roman" w:eastAsia="楷体_GB2312"/>
          <w:b/>
          <w:color w:val="000000"/>
          <w:sz w:val="32"/>
          <w:szCs w:val="32"/>
        </w:rPr>
      </w:pPr>
      <w:r>
        <w:rPr>
          <w:rFonts w:hint="eastAsia" w:ascii="Times New Roman" w:hAnsi="Times New Roman" w:eastAsia="楷体_GB2312"/>
          <w:b/>
          <w:color w:val="000000"/>
          <w:sz w:val="32"/>
          <w:szCs w:val="32"/>
        </w:rPr>
        <w:t>（二）下一步打算</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一是持续推动政务公开常态化工作，加强重点领域信息公开，加大政策解读、新闻发布和回应关切力度，强化政务公开测评力度，特别是对后续整改落实的督查力度。</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二是根据国务院有关部委发布的基层政务公开标准指引，结合本县实际，调整主动公开目录，优化目录设置，深化公开力度，规范公开流程。</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三着力创建基层示范，认真总结基层政务公开向村（居）延伸工作在工作机制、公开事项、公开方式等方面的经验做法，推进新界埠镇示范点建设，力争形成可借鉴、可推广模式。</w:t>
      </w:r>
    </w:p>
    <w:p>
      <w:pPr>
        <w:pStyle w:val="5"/>
        <w:shd w:val="clear" w:color="auto" w:fill="FFFFFF"/>
        <w:spacing w:beforeAutospacing="0" w:afterAutospacing="0" w:line="560" w:lineRule="exact"/>
        <w:ind w:firstLine="640" w:firstLineChars="200"/>
        <w:jc w:val="both"/>
        <w:rPr>
          <w:rFonts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四进一步加强政府网站建设管理，网站全面升级改造，提高网站服务质量和水平。</w:t>
      </w:r>
      <w:r>
        <w:rPr>
          <w:rFonts w:ascii="Times New Roman" w:hAnsi="Times New Roman" w:eastAsia="仿宋_GB2312"/>
          <w:color w:val="000000"/>
          <w:kern w:val="32"/>
          <w:sz w:val="32"/>
          <w:szCs w:val="32"/>
        </w:rPr>
        <w:t xml:space="preserve"> </w:t>
      </w:r>
    </w:p>
    <w:p>
      <w:pPr>
        <w:pStyle w:val="5"/>
        <w:shd w:val="clear" w:color="auto" w:fill="FFFFFF"/>
        <w:spacing w:beforeAutospacing="0" w:afterAutospacing="0" w:line="560" w:lineRule="exact"/>
        <w:ind w:firstLine="640" w:firstLineChars="200"/>
        <w:jc w:val="both"/>
        <w:rPr>
          <w:rFonts w:ascii="Times New Roman" w:hAnsi="Times New Roman" w:eastAsia="黑体"/>
          <w:bCs/>
          <w:color w:val="000000"/>
          <w:kern w:val="32"/>
          <w:sz w:val="32"/>
          <w:szCs w:val="32"/>
          <w:shd w:val="clear" w:color="auto" w:fill="FFFFFF"/>
        </w:rPr>
      </w:pPr>
      <w:r>
        <w:rPr>
          <w:rFonts w:hint="eastAsia" w:ascii="Times New Roman" w:hAnsi="黑体" w:eastAsia="黑体"/>
          <w:bCs/>
          <w:color w:val="000000"/>
          <w:kern w:val="32"/>
          <w:sz w:val="32"/>
          <w:szCs w:val="32"/>
          <w:shd w:val="clear" w:color="auto" w:fill="FFFFFF"/>
        </w:rPr>
        <w:t>六、其他需要报告的事项</w:t>
      </w:r>
    </w:p>
    <w:p>
      <w:pPr>
        <w:pStyle w:val="5"/>
        <w:shd w:val="clear" w:color="auto" w:fill="FFFFFF"/>
        <w:spacing w:beforeAutospacing="0" w:afterAutospacing="0" w:line="560" w:lineRule="exact"/>
        <w:ind w:firstLine="640" w:firstLineChars="200"/>
        <w:jc w:val="both"/>
        <w:rPr>
          <w:rFonts w:hint="eastAsia" w:ascii="Times New Roman" w:hAnsi="Times New Roman" w:eastAsia="仿宋_GB2312"/>
          <w:color w:val="000000"/>
          <w:kern w:val="32"/>
          <w:sz w:val="32"/>
          <w:szCs w:val="32"/>
        </w:rPr>
      </w:pPr>
      <w:r>
        <w:rPr>
          <w:rFonts w:hint="eastAsia" w:ascii="Times New Roman" w:hAnsi="Times New Roman" w:eastAsia="仿宋_GB2312"/>
          <w:color w:val="000000"/>
          <w:kern w:val="32"/>
          <w:sz w:val="32"/>
          <w:szCs w:val="32"/>
        </w:rPr>
        <w:t>本年度依申请公开政府信息未收取任何费用。</w:t>
      </w:r>
    </w:p>
    <w:p>
      <w:pPr>
        <w:pStyle w:val="5"/>
        <w:shd w:val="clear" w:color="auto" w:fill="FFFFFF"/>
        <w:spacing w:beforeAutospacing="0" w:afterAutospacing="0" w:line="560" w:lineRule="exact"/>
        <w:ind w:firstLine="640" w:firstLineChars="200"/>
        <w:jc w:val="both"/>
        <w:rPr>
          <w:rFonts w:ascii="Times New Roman" w:hAnsi="Times New Roman" w:eastAsia="仿宋"/>
          <w:color w:val="000000"/>
          <w:sz w:val="32"/>
          <w:szCs w:val="32"/>
          <w:shd w:val="clear" w:color="auto" w:fill="FFFFFF"/>
        </w:rPr>
      </w:pPr>
      <w:r>
        <w:rPr>
          <w:rFonts w:hint="eastAsia" w:ascii="Times New Roman" w:hAnsi="Times New Roman" w:eastAsia="仿宋_GB2312"/>
          <w:color w:val="000000"/>
          <w:kern w:val="32"/>
          <w:sz w:val="32"/>
          <w:szCs w:val="32"/>
        </w:rPr>
        <w:t>如需了解更多政府信息，请登录上高县人民政府网</w:t>
      </w:r>
      <w:r>
        <w:rPr>
          <w:rFonts w:hint="eastAsia" w:ascii="Times New Roman" w:hAnsi="仿宋" w:eastAsia="仿宋"/>
          <w:color w:val="000000"/>
          <w:sz w:val="32"/>
          <w:szCs w:val="32"/>
          <w:shd w:val="clear" w:color="auto" w:fill="FFFFFF"/>
        </w:rPr>
        <w:t>（</w:t>
      </w:r>
      <w:r>
        <w:rPr>
          <w:rFonts w:ascii="Times New Roman" w:hAnsi="Times New Roman" w:eastAsia="仿宋"/>
          <w:color w:val="000000"/>
          <w:sz w:val="32"/>
          <w:szCs w:val="32"/>
          <w:shd w:val="clear" w:color="auto" w:fill="FFFFFF"/>
        </w:rPr>
        <w:t>http://www.shanggao.gov.cn</w:t>
      </w:r>
      <w:r>
        <w:rPr>
          <w:rFonts w:hint="eastAsia" w:ascii="Times New Roman" w:hAnsi="仿宋" w:eastAsia="仿宋"/>
          <w:color w:val="000000"/>
          <w:sz w:val="32"/>
          <w:szCs w:val="32"/>
          <w:shd w:val="clear" w:color="auto" w:fill="FFFFFF"/>
        </w:rPr>
        <w:t>）查询。</w:t>
      </w:r>
    </w:p>
    <w:sectPr>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yMjNkYWViOThiMWY0ZjIzZTA4ZmU0Mjg0YmNhMzQifQ=="/>
  </w:docVars>
  <w:rsids>
    <w:rsidRoot w:val="006C3125"/>
    <w:rsid w:val="00002B5A"/>
    <w:rsid w:val="00007628"/>
    <w:rsid w:val="000212A0"/>
    <w:rsid w:val="000258F8"/>
    <w:rsid w:val="0003627E"/>
    <w:rsid w:val="0003703E"/>
    <w:rsid w:val="0004190C"/>
    <w:rsid w:val="00050700"/>
    <w:rsid w:val="000528BD"/>
    <w:rsid w:val="0008119A"/>
    <w:rsid w:val="00084A77"/>
    <w:rsid w:val="00086803"/>
    <w:rsid w:val="000A107D"/>
    <w:rsid w:val="000B42C2"/>
    <w:rsid w:val="000D46C7"/>
    <w:rsid w:val="000E0C8E"/>
    <w:rsid w:val="000E2C16"/>
    <w:rsid w:val="0010472D"/>
    <w:rsid w:val="001305BA"/>
    <w:rsid w:val="001354FE"/>
    <w:rsid w:val="00136084"/>
    <w:rsid w:val="00140C5F"/>
    <w:rsid w:val="00156BCB"/>
    <w:rsid w:val="001712C7"/>
    <w:rsid w:val="0018227C"/>
    <w:rsid w:val="001D1EED"/>
    <w:rsid w:val="00224C4D"/>
    <w:rsid w:val="00243D39"/>
    <w:rsid w:val="00247B66"/>
    <w:rsid w:val="002564CD"/>
    <w:rsid w:val="002728C2"/>
    <w:rsid w:val="002838E9"/>
    <w:rsid w:val="002A4E6C"/>
    <w:rsid w:val="002B6344"/>
    <w:rsid w:val="002C1C15"/>
    <w:rsid w:val="002E0FDA"/>
    <w:rsid w:val="0035024E"/>
    <w:rsid w:val="00353026"/>
    <w:rsid w:val="003537C1"/>
    <w:rsid w:val="0035705F"/>
    <w:rsid w:val="00363C33"/>
    <w:rsid w:val="0036723C"/>
    <w:rsid w:val="00371C2E"/>
    <w:rsid w:val="00377B03"/>
    <w:rsid w:val="00381870"/>
    <w:rsid w:val="0039555B"/>
    <w:rsid w:val="003B520C"/>
    <w:rsid w:val="003E344D"/>
    <w:rsid w:val="00400CE9"/>
    <w:rsid w:val="00403654"/>
    <w:rsid w:val="00423653"/>
    <w:rsid w:val="00473266"/>
    <w:rsid w:val="004B4752"/>
    <w:rsid w:val="004F13A9"/>
    <w:rsid w:val="005176FC"/>
    <w:rsid w:val="005228CD"/>
    <w:rsid w:val="00525951"/>
    <w:rsid w:val="00564DBF"/>
    <w:rsid w:val="00594CA9"/>
    <w:rsid w:val="005F290B"/>
    <w:rsid w:val="005F5F7F"/>
    <w:rsid w:val="006018F0"/>
    <w:rsid w:val="00620781"/>
    <w:rsid w:val="006416F4"/>
    <w:rsid w:val="00644F49"/>
    <w:rsid w:val="00656371"/>
    <w:rsid w:val="006903FC"/>
    <w:rsid w:val="00691BDF"/>
    <w:rsid w:val="00695830"/>
    <w:rsid w:val="006A0F9E"/>
    <w:rsid w:val="006A7F71"/>
    <w:rsid w:val="006C01BE"/>
    <w:rsid w:val="006C3125"/>
    <w:rsid w:val="006D06B8"/>
    <w:rsid w:val="006E4F0C"/>
    <w:rsid w:val="00723119"/>
    <w:rsid w:val="00757200"/>
    <w:rsid w:val="007826CA"/>
    <w:rsid w:val="00795B22"/>
    <w:rsid w:val="00795C58"/>
    <w:rsid w:val="007A5A9F"/>
    <w:rsid w:val="007B3DD1"/>
    <w:rsid w:val="007C1AEA"/>
    <w:rsid w:val="007E42B4"/>
    <w:rsid w:val="007E4612"/>
    <w:rsid w:val="007E6EAD"/>
    <w:rsid w:val="007F114A"/>
    <w:rsid w:val="00824556"/>
    <w:rsid w:val="00851B09"/>
    <w:rsid w:val="00891766"/>
    <w:rsid w:val="0089400F"/>
    <w:rsid w:val="008B7E9A"/>
    <w:rsid w:val="008C2F5F"/>
    <w:rsid w:val="008D6333"/>
    <w:rsid w:val="008E496B"/>
    <w:rsid w:val="0091067C"/>
    <w:rsid w:val="00914206"/>
    <w:rsid w:val="00930EF4"/>
    <w:rsid w:val="0097297C"/>
    <w:rsid w:val="00980583"/>
    <w:rsid w:val="00981553"/>
    <w:rsid w:val="0098328B"/>
    <w:rsid w:val="009B5839"/>
    <w:rsid w:val="009C07F9"/>
    <w:rsid w:val="009D0206"/>
    <w:rsid w:val="009E3EB4"/>
    <w:rsid w:val="00A215A5"/>
    <w:rsid w:val="00A302FB"/>
    <w:rsid w:val="00AA5D9B"/>
    <w:rsid w:val="00AB3026"/>
    <w:rsid w:val="00AD0A6A"/>
    <w:rsid w:val="00AD39E5"/>
    <w:rsid w:val="00B230D9"/>
    <w:rsid w:val="00B478D6"/>
    <w:rsid w:val="00B7055C"/>
    <w:rsid w:val="00BA1010"/>
    <w:rsid w:val="00BC3F2A"/>
    <w:rsid w:val="00BE1984"/>
    <w:rsid w:val="00BE60DA"/>
    <w:rsid w:val="00BF478B"/>
    <w:rsid w:val="00C0609D"/>
    <w:rsid w:val="00C063A3"/>
    <w:rsid w:val="00C100F7"/>
    <w:rsid w:val="00C650DA"/>
    <w:rsid w:val="00C66258"/>
    <w:rsid w:val="00C70866"/>
    <w:rsid w:val="00C864AE"/>
    <w:rsid w:val="00C9412C"/>
    <w:rsid w:val="00CB3C3C"/>
    <w:rsid w:val="00CC102B"/>
    <w:rsid w:val="00CC1087"/>
    <w:rsid w:val="00CC322A"/>
    <w:rsid w:val="00CD2340"/>
    <w:rsid w:val="00CD32C2"/>
    <w:rsid w:val="00CD5265"/>
    <w:rsid w:val="00CE465A"/>
    <w:rsid w:val="00D36931"/>
    <w:rsid w:val="00D62A90"/>
    <w:rsid w:val="00D966FF"/>
    <w:rsid w:val="00DA2640"/>
    <w:rsid w:val="00DF0D1F"/>
    <w:rsid w:val="00E06B3B"/>
    <w:rsid w:val="00E11CE0"/>
    <w:rsid w:val="00E25BD3"/>
    <w:rsid w:val="00E30271"/>
    <w:rsid w:val="00E60568"/>
    <w:rsid w:val="00E62293"/>
    <w:rsid w:val="00EA0456"/>
    <w:rsid w:val="00EA7587"/>
    <w:rsid w:val="00EB02B3"/>
    <w:rsid w:val="00EB1D6F"/>
    <w:rsid w:val="00EB3E4F"/>
    <w:rsid w:val="00EC29A2"/>
    <w:rsid w:val="00EC7DE8"/>
    <w:rsid w:val="00EE0C88"/>
    <w:rsid w:val="00EF2861"/>
    <w:rsid w:val="00EF2DAF"/>
    <w:rsid w:val="00F0378A"/>
    <w:rsid w:val="00F371CA"/>
    <w:rsid w:val="00F51574"/>
    <w:rsid w:val="00F639EF"/>
    <w:rsid w:val="00FC48E4"/>
    <w:rsid w:val="00FC6E56"/>
    <w:rsid w:val="00FD21D5"/>
    <w:rsid w:val="00FD685A"/>
    <w:rsid w:val="00FD7479"/>
    <w:rsid w:val="00FF3C1E"/>
    <w:rsid w:val="01C26E13"/>
    <w:rsid w:val="024E4C05"/>
    <w:rsid w:val="038D43FE"/>
    <w:rsid w:val="04F14A63"/>
    <w:rsid w:val="05F23F40"/>
    <w:rsid w:val="06EF4FF4"/>
    <w:rsid w:val="06F15717"/>
    <w:rsid w:val="08CB64DD"/>
    <w:rsid w:val="0BA323F2"/>
    <w:rsid w:val="0D392A9D"/>
    <w:rsid w:val="0DF2282E"/>
    <w:rsid w:val="0ED13990"/>
    <w:rsid w:val="11E4732B"/>
    <w:rsid w:val="12296E13"/>
    <w:rsid w:val="124341AB"/>
    <w:rsid w:val="1297170F"/>
    <w:rsid w:val="13D749A0"/>
    <w:rsid w:val="14EC5B4D"/>
    <w:rsid w:val="15333622"/>
    <w:rsid w:val="155913E5"/>
    <w:rsid w:val="19772C68"/>
    <w:rsid w:val="1A0758B3"/>
    <w:rsid w:val="1AB4496C"/>
    <w:rsid w:val="1BEA22A4"/>
    <w:rsid w:val="1BF9747E"/>
    <w:rsid w:val="1D7D6135"/>
    <w:rsid w:val="1EE15FE8"/>
    <w:rsid w:val="1F3F5155"/>
    <w:rsid w:val="1F891BF3"/>
    <w:rsid w:val="1FEA7809"/>
    <w:rsid w:val="21696E53"/>
    <w:rsid w:val="21D85626"/>
    <w:rsid w:val="2299676A"/>
    <w:rsid w:val="259207B1"/>
    <w:rsid w:val="25C40AFC"/>
    <w:rsid w:val="26D829E9"/>
    <w:rsid w:val="27CB4854"/>
    <w:rsid w:val="28916513"/>
    <w:rsid w:val="28E63FBE"/>
    <w:rsid w:val="29A81E49"/>
    <w:rsid w:val="2A465F91"/>
    <w:rsid w:val="2C6A78FC"/>
    <w:rsid w:val="2E993699"/>
    <w:rsid w:val="31871996"/>
    <w:rsid w:val="31E27909"/>
    <w:rsid w:val="32256B8B"/>
    <w:rsid w:val="327B14BC"/>
    <w:rsid w:val="3443325D"/>
    <w:rsid w:val="357165DC"/>
    <w:rsid w:val="360465FC"/>
    <w:rsid w:val="377D1455"/>
    <w:rsid w:val="37F80C39"/>
    <w:rsid w:val="3A8A0F8A"/>
    <w:rsid w:val="3C123735"/>
    <w:rsid w:val="3CE23414"/>
    <w:rsid w:val="3D8802EA"/>
    <w:rsid w:val="40B0729A"/>
    <w:rsid w:val="40BF44BA"/>
    <w:rsid w:val="411F0E72"/>
    <w:rsid w:val="4185518C"/>
    <w:rsid w:val="42F93A27"/>
    <w:rsid w:val="44352E99"/>
    <w:rsid w:val="46FC1A4C"/>
    <w:rsid w:val="4792311A"/>
    <w:rsid w:val="485F6737"/>
    <w:rsid w:val="48D06BDA"/>
    <w:rsid w:val="4A5E1027"/>
    <w:rsid w:val="4C2C34BA"/>
    <w:rsid w:val="4C9F3297"/>
    <w:rsid w:val="4E1A1D63"/>
    <w:rsid w:val="533E62DD"/>
    <w:rsid w:val="54730017"/>
    <w:rsid w:val="54B1145F"/>
    <w:rsid w:val="573B7B2C"/>
    <w:rsid w:val="582F5EE5"/>
    <w:rsid w:val="58760D79"/>
    <w:rsid w:val="5BBB4694"/>
    <w:rsid w:val="5C003E28"/>
    <w:rsid w:val="5CE96632"/>
    <w:rsid w:val="5DAD53F7"/>
    <w:rsid w:val="5F1D65AC"/>
    <w:rsid w:val="612A3A23"/>
    <w:rsid w:val="61F726EF"/>
    <w:rsid w:val="62141EE8"/>
    <w:rsid w:val="62692834"/>
    <w:rsid w:val="631D02F6"/>
    <w:rsid w:val="644751C1"/>
    <w:rsid w:val="66712B6A"/>
    <w:rsid w:val="66A43744"/>
    <w:rsid w:val="67124879"/>
    <w:rsid w:val="68C857DA"/>
    <w:rsid w:val="69D41542"/>
    <w:rsid w:val="6AE95E56"/>
    <w:rsid w:val="6C963990"/>
    <w:rsid w:val="6CD04C5E"/>
    <w:rsid w:val="6CF52916"/>
    <w:rsid w:val="6F652F30"/>
    <w:rsid w:val="70E228B5"/>
    <w:rsid w:val="7342505B"/>
    <w:rsid w:val="76EA412A"/>
    <w:rsid w:val="78DD0E2E"/>
    <w:rsid w:val="7ABB5EAE"/>
    <w:rsid w:val="7C257CBE"/>
    <w:rsid w:val="7CE751A4"/>
    <w:rsid w:val="7EB318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8"/>
    <w:qFormat/>
    <w:uiPriority w:val="99"/>
    <w:pPr>
      <w:spacing w:beforeAutospacing="1" w:afterAutospacing="1"/>
      <w:jc w:val="left"/>
      <w:outlineLvl w:val="2"/>
    </w:pPr>
    <w:rPr>
      <w:rFonts w:ascii="宋体" w:hAnsi="宋体"/>
      <w:b/>
      <w:bCs/>
      <w:kern w:val="0"/>
      <w:sz w:val="27"/>
      <w:szCs w:val="27"/>
    </w:rPr>
  </w:style>
  <w:style w:type="character" w:default="1" w:styleId="7">
    <w:name w:val="Default Paragraph Font"/>
    <w:autoRedefine/>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autoRedefine/>
    <w:semiHidden/>
    <w:qFormat/>
    <w:locked/>
    <w:uiPriority w:val="99"/>
    <w:pPr>
      <w:tabs>
        <w:tab w:val="center" w:pos="4153"/>
        <w:tab w:val="right" w:pos="8306"/>
      </w:tabs>
      <w:snapToGrid w:val="0"/>
      <w:jc w:val="left"/>
    </w:pPr>
    <w:rPr>
      <w:sz w:val="18"/>
      <w:szCs w:val="18"/>
    </w:rPr>
  </w:style>
  <w:style w:type="paragraph" w:styleId="4">
    <w:name w:val="header"/>
    <w:basedOn w:val="1"/>
    <w:link w:val="9"/>
    <w:autoRedefine/>
    <w:semiHidden/>
    <w:qFormat/>
    <w:lock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spacing w:beforeAutospacing="1" w:afterAutospacing="1"/>
      <w:jc w:val="left"/>
    </w:pPr>
    <w:rPr>
      <w:kern w:val="0"/>
      <w:sz w:val="24"/>
    </w:rPr>
  </w:style>
  <w:style w:type="character" w:customStyle="1" w:styleId="8">
    <w:name w:val="Heading 3 Char"/>
    <w:basedOn w:val="7"/>
    <w:link w:val="2"/>
    <w:autoRedefine/>
    <w:semiHidden/>
    <w:locked/>
    <w:uiPriority w:val="99"/>
    <w:rPr>
      <w:rFonts w:ascii="Calibri" w:hAnsi="Calibri" w:cs="Times New Roman"/>
      <w:b/>
      <w:bCs/>
      <w:sz w:val="32"/>
      <w:szCs w:val="32"/>
    </w:rPr>
  </w:style>
  <w:style w:type="character" w:customStyle="1" w:styleId="9">
    <w:name w:val="Header Char"/>
    <w:basedOn w:val="7"/>
    <w:link w:val="4"/>
    <w:semiHidden/>
    <w:qFormat/>
    <w:locked/>
    <w:uiPriority w:val="99"/>
    <w:rPr>
      <w:rFonts w:ascii="Calibri" w:hAnsi="Calibri" w:cs="Times New Roman"/>
      <w:sz w:val="18"/>
      <w:szCs w:val="18"/>
    </w:rPr>
  </w:style>
  <w:style w:type="character" w:customStyle="1" w:styleId="10">
    <w:name w:val="Footer Char"/>
    <w:basedOn w:val="7"/>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8</Pages>
  <Words>3315</Words>
  <Characters>3457</Characters>
  <Lines>0</Lines>
  <Paragraphs>0</Paragraphs>
  <TotalTime>36</TotalTime>
  <ScaleCrop>false</ScaleCrop>
  <LinksUpToDate>false</LinksUpToDate>
  <CharactersWithSpaces>3459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cp:lastModifiedBy>
  <cp:lastPrinted>2022-02-07T06:36:00Z</cp:lastPrinted>
  <dcterms:modified xsi:type="dcterms:W3CDTF">2024-02-19T08:22:40Z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F54302DE8A764CA082C5AE3400D7E427</vt:lpwstr>
  </property>
</Properties>
</file>