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p>
    <w:p>
      <w:pPr>
        <w:rPr>
          <w:b/>
          <w:sz w:val="32"/>
          <w:szCs w:val="32"/>
        </w:rPr>
      </w:pPr>
    </w:p>
    <w:p>
      <w:pPr>
        <w:jc w:val="center"/>
        <w:rPr>
          <w:rFonts w:ascii="黑体" w:hAnsi="黑体" w:eastAsia="黑体"/>
          <w:b/>
          <w:bCs/>
          <w:sz w:val="44"/>
          <w:szCs w:val="44"/>
        </w:rPr>
      </w:pPr>
      <w:r>
        <w:rPr>
          <w:rFonts w:hint="eastAsia" w:ascii="黑体" w:hAnsi="黑体" w:eastAsia="黑体"/>
          <w:b/>
          <w:bCs/>
          <w:sz w:val="44"/>
          <w:szCs w:val="44"/>
        </w:rPr>
        <w:t>上高县</w:t>
      </w:r>
      <w:r>
        <w:rPr>
          <w:rFonts w:hint="eastAsia" w:ascii="黑体" w:hAnsi="黑体" w:eastAsia="黑体"/>
          <w:b/>
          <w:bCs/>
          <w:sz w:val="44"/>
          <w:szCs w:val="44"/>
          <w:lang w:val="en-US" w:eastAsia="zh-CN"/>
        </w:rPr>
        <w:t>2022</w:t>
      </w:r>
      <w:r>
        <w:rPr>
          <w:rFonts w:hint="eastAsia" w:ascii="黑体" w:hAnsi="黑体" w:eastAsia="黑体"/>
          <w:b/>
          <w:bCs/>
          <w:sz w:val="44"/>
          <w:szCs w:val="44"/>
        </w:rPr>
        <w:t>年肇事肇祸监护责任以奖代补专项资金绩效评价报告</w:t>
      </w:r>
    </w:p>
    <w:p>
      <w:pPr>
        <w:rPr>
          <w:b/>
          <w:sz w:val="32"/>
          <w:szCs w:val="32"/>
        </w:rPr>
      </w:pPr>
    </w:p>
    <w:p>
      <w:pPr>
        <w:rPr>
          <w:b/>
          <w:sz w:val="32"/>
          <w:szCs w:val="32"/>
        </w:rPr>
      </w:pPr>
    </w:p>
    <w:p>
      <w:pPr>
        <w:rPr>
          <w:b/>
          <w:sz w:val="32"/>
          <w:szCs w:val="32"/>
        </w:rPr>
      </w:pPr>
    </w:p>
    <w:p>
      <w:pPr>
        <w:rPr>
          <w:rFonts w:ascii="仿宋" w:hAnsi="仿宋" w:eastAsia="仿宋"/>
          <w:bCs/>
          <w:sz w:val="32"/>
          <w:szCs w:val="32"/>
        </w:rPr>
      </w:pPr>
      <w:r>
        <w:rPr>
          <w:rFonts w:hint="eastAsia" w:ascii="仿宋" w:hAnsi="仿宋" w:eastAsia="仿宋"/>
          <w:bCs/>
          <w:sz w:val="32"/>
          <w:szCs w:val="32"/>
        </w:rPr>
        <w:t>项目名称：</w:t>
      </w:r>
      <w:r>
        <w:rPr>
          <w:rFonts w:hint="eastAsia" w:ascii="仿宋" w:hAnsi="仿宋" w:eastAsia="仿宋"/>
          <w:bCs/>
          <w:sz w:val="32"/>
          <w:szCs w:val="32"/>
          <w:lang w:val="en-US" w:eastAsia="zh-CN"/>
        </w:rPr>
        <w:t>2022</w:t>
      </w:r>
      <w:r>
        <w:rPr>
          <w:rFonts w:hint="eastAsia" w:ascii="仿宋" w:hAnsi="仿宋" w:eastAsia="仿宋"/>
          <w:bCs/>
          <w:sz w:val="32"/>
          <w:szCs w:val="32"/>
        </w:rPr>
        <w:t>年肇事肇祸监护责任以奖代补资金</w:t>
      </w:r>
    </w:p>
    <w:p>
      <w:pPr>
        <w:rPr>
          <w:rFonts w:ascii="仿宋" w:hAnsi="仿宋" w:eastAsia="仿宋"/>
          <w:bCs/>
          <w:sz w:val="32"/>
          <w:szCs w:val="32"/>
        </w:rPr>
      </w:pPr>
    </w:p>
    <w:p>
      <w:pPr>
        <w:rPr>
          <w:rFonts w:ascii="仿宋" w:hAnsi="仿宋" w:eastAsia="仿宋"/>
          <w:bCs/>
          <w:sz w:val="32"/>
          <w:szCs w:val="32"/>
        </w:rPr>
      </w:pPr>
      <w:r>
        <w:rPr>
          <w:rFonts w:hint="eastAsia" w:ascii="仿宋" w:hAnsi="仿宋" w:eastAsia="仿宋"/>
          <w:bCs/>
          <w:sz w:val="32"/>
          <w:szCs w:val="32"/>
        </w:rPr>
        <w:t>自评部门： 中共上高县委政法委员会</w:t>
      </w:r>
    </w:p>
    <w:p>
      <w:pPr>
        <w:rPr>
          <w:rFonts w:ascii="仿宋" w:hAnsi="仿宋" w:eastAsia="仿宋"/>
          <w:bCs/>
          <w:sz w:val="32"/>
          <w:szCs w:val="32"/>
        </w:rPr>
      </w:pPr>
    </w:p>
    <w:p>
      <w:pPr>
        <w:rPr>
          <w:rFonts w:ascii="仿宋" w:hAnsi="仿宋" w:eastAsia="仿宋"/>
          <w:bCs/>
          <w:sz w:val="32"/>
          <w:szCs w:val="32"/>
        </w:rPr>
      </w:pPr>
      <w:r>
        <w:rPr>
          <w:rFonts w:hint="eastAsia" w:ascii="仿宋" w:hAnsi="仿宋" w:eastAsia="仿宋"/>
          <w:bCs/>
          <w:sz w:val="32"/>
          <w:szCs w:val="32"/>
        </w:rPr>
        <w:t>评价时间： 20</w:t>
      </w:r>
      <w:r>
        <w:rPr>
          <w:rFonts w:hint="eastAsia" w:ascii="仿宋" w:hAnsi="仿宋" w:eastAsia="仿宋"/>
          <w:bCs/>
          <w:sz w:val="32"/>
          <w:szCs w:val="32"/>
          <w:lang w:val="en-US" w:eastAsia="zh-CN"/>
        </w:rPr>
        <w:t>23</w:t>
      </w:r>
      <w:r>
        <w:rPr>
          <w:rFonts w:hint="eastAsia" w:ascii="仿宋" w:hAnsi="仿宋" w:eastAsia="仿宋"/>
          <w:bCs/>
          <w:sz w:val="32"/>
          <w:szCs w:val="32"/>
        </w:rPr>
        <w:t>年</w:t>
      </w:r>
      <w:r>
        <w:rPr>
          <w:rFonts w:hint="eastAsia" w:ascii="仿宋" w:hAnsi="仿宋" w:eastAsia="仿宋"/>
          <w:bCs/>
          <w:sz w:val="32"/>
          <w:szCs w:val="32"/>
          <w:lang w:val="en-US" w:eastAsia="zh-CN"/>
        </w:rPr>
        <w:t>4</w:t>
      </w:r>
      <w:r>
        <w:rPr>
          <w:rFonts w:hint="eastAsia" w:ascii="仿宋" w:hAnsi="仿宋" w:eastAsia="仿宋"/>
          <w:bCs/>
          <w:sz w:val="32"/>
          <w:szCs w:val="32"/>
        </w:rPr>
        <w:t>月10日</w:t>
      </w: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jc w:val="center"/>
        <w:rPr>
          <w:rFonts w:ascii="仿宋" w:hAnsi="仿宋" w:eastAsia="仿宋"/>
          <w:bCs/>
          <w:sz w:val="32"/>
          <w:szCs w:val="32"/>
        </w:rPr>
      </w:pPr>
      <w:r>
        <w:rPr>
          <w:rFonts w:hint="eastAsia" w:ascii="仿宋" w:hAnsi="仿宋" w:eastAsia="仿宋"/>
          <w:bCs/>
          <w:sz w:val="32"/>
          <w:szCs w:val="32"/>
          <w:lang w:val="en-US" w:eastAsia="zh-CN"/>
        </w:rPr>
        <w:t>2023</w:t>
      </w:r>
      <w:r>
        <w:rPr>
          <w:rFonts w:hint="eastAsia" w:ascii="仿宋" w:hAnsi="仿宋" w:eastAsia="仿宋"/>
          <w:bCs/>
          <w:sz w:val="32"/>
          <w:szCs w:val="32"/>
        </w:rPr>
        <w:t>年</w:t>
      </w:r>
      <w:r>
        <w:rPr>
          <w:rFonts w:hint="eastAsia" w:ascii="仿宋" w:hAnsi="仿宋" w:eastAsia="仿宋"/>
          <w:bCs/>
          <w:sz w:val="32"/>
          <w:szCs w:val="32"/>
          <w:lang w:val="en-US" w:eastAsia="zh-CN"/>
        </w:rPr>
        <w:t>4</w:t>
      </w:r>
      <w:r>
        <w:rPr>
          <w:rFonts w:hint="eastAsia" w:ascii="仿宋" w:hAnsi="仿宋" w:eastAsia="仿宋"/>
          <w:bCs/>
          <w:sz w:val="32"/>
          <w:szCs w:val="32"/>
        </w:rPr>
        <w:t>月10日</w:t>
      </w:r>
    </w:p>
    <w:p>
      <w:pPr>
        <w:jc w:val="center"/>
        <w:rPr>
          <w:rFonts w:ascii="仿宋" w:hAnsi="仿宋" w:eastAsia="仿宋"/>
          <w:bCs/>
          <w:sz w:val="32"/>
          <w:szCs w:val="32"/>
        </w:rPr>
      </w:pPr>
      <w:r>
        <w:rPr>
          <w:rFonts w:hint="eastAsia" w:ascii="仿宋" w:hAnsi="仿宋" w:eastAsia="仿宋"/>
          <w:bCs/>
          <w:sz w:val="32"/>
          <w:szCs w:val="32"/>
        </w:rPr>
        <w:t>县委政法委　制</w:t>
      </w: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sz w:val="32"/>
          <w:szCs w:val="32"/>
        </w:rPr>
      </w:pPr>
      <w:r>
        <w:rPr>
          <w:rFonts w:hint="eastAsia" w:ascii="仿宋" w:hAnsi="仿宋" w:eastAsia="仿宋"/>
          <w:sz w:val="32"/>
          <w:szCs w:val="32"/>
        </w:rPr>
        <w:t>本次绩效评价结果</w:t>
      </w:r>
    </w:p>
    <w:tbl>
      <w:tblPr>
        <w:tblStyle w:val="8"/>
        <w:tblW w:w="8168" w:type="dxa"/>
        <w:tblInd w:w="0" w:type="dxa"/>
        <w:tblLayout w:type="fixed"/>
        <w:tblCellMar>
          <w:top w:w="15" w:type="dxa"/>
          <w:left w:w="15" w:type="dxa"/>
          <w:bottom w:w="15" w:type="dxa"/>
          <w:right w:w="15" w:type="dxa"/>
        </w:tblCellMar>
      </w:tblPr>
      <w:tblGrid>
        <w:gridCol w:w="4084"/>
        <w:gridCol w:w="4084"/>
      </w:tblGrid>
      <w:tr>
        <w:tblPrEx>
          <w:tblCellMar>
            <w:top w:w="15" w:type="dxa"/>
            <w:left w:w="15" w:type="dxa"/>
            <w:bottom w:w="15" w:type="dxa"/>
            <w:right w:w="15" w:type="dxa"/>
          </w:tblCellMar>
        </w:tblPrEx>
        <w:trPr>
          <w:trHeight w:val="373" w:hRule="atLeast"/>
        </w:trPr>
        <w:tc>
          <w:tcPr>
            <w:tcW w:w="4084" w:type="dxa"/>
            <w:tcBorders>
              <w:top w:val="single" w:color="000000" w:sz="12" w:space="0"/>
              <w:bottom w:val="single" w:color="000000" w:sz="4" w:space="0"/>
              <w:right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投入指标得分</w:t>
            </w:r>
          </w:p>
        </w:tc>
        <w:tc>
          <w:tcPr>
            <w:tcW w:w="4084" w:type="dxa"/>
            <w:tcBorders>
              <w:top w:val="single" w:color="000000" w:sz="12" w:space="0"/>
              <w:left w:val="single" w:color="000000" w:sz="4" w:space="0"/>
              <w:bottom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19.00</w:t>
            </w:r>
          </w:p>
        </w:tc>
      </w:tr>
      <w:tr>
        <w:tblPrEx>
          <w:tblCellMar>
            <w:top w:w="15" w:type="dxa"/>
            <w:left w:w="15" w:type="dxa"/>
            <w:bottom w:w="15" w:type="dxa"/>
            <w:right w:w="15" w:type="dxa"/>
          </w:tblCellMar>
        </w:tblPrEx>
        <w:trPr>
          <w:trHeight w:val="373" w:hRule="atLeast"/>
        </w:trPr>
        <w:tc>
          <w:tcPr>
            <w:tcW w:w="4084" w:type="dxa"/>
            <w:tcBorders>
              <w:top w:val="single" w:color="000000" w:sz="4" w:space="0"/>
              <w:bottom w:val="single" w:color="000000" w:sz="4" w:space="0"/>
              <w:right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过程指标得分</w:t>
            </w:r>
          </w:p>
        </w:tc>
        <w:tc>
          <w:tcPr>
            <w:tcW w:w="4084" w:type="dxa"/>
            <w:tcBorders>
              <w:top w:val="single" w:color="000000" w:sz="4" w:space="0"/>
              <w:left w:val="single" w:color="000000" w:sz="4" w:space="0"/>
              <w:bottom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20.00</w:t>
            </w:r>
          </w:p>
        </w:tc>
      </w:tr>
      <w:tr>
        <w:tblPrEx>
          <w:tblCellMar>
            <w:top w:w="15" w:type="dxa"/>
            <w:left w:w="15" w:type="dxa"/>
            <w:bottom w:w="15" w:type="dxa"/>
            <w:right w:w="15" w:type="dxa"/>
          </w:tblCellMar>
        </w:tblPrEx>
        <w:trPr>
          <w:trHeight w:val="373" w:hRule="atLeast"/>
        </w:trPr>
        <w:tc>
          <w:tcPr>
            <w:tcW w:w="4084" w:type="dxa"/>
            <w:tcBorders>
              <w:top w:val="single" w:color="000000" w:sz="4" w:space="0"/>
              <w:bottom w:val="single" w:color="000000" w:sz="4" w:space="0"/>
              <w:right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项目产出指标得分</w:t>
            </w:r>
          </w:p>
        </w:tc>
        <w:tc>
          <w:tcPr>
            <w:tcW w:w="4084" w:type="dxa"/>
            <w:tcBorders>
              <w:top w:val="single" w:color="000000" w:sz="4" w:space="0"/>
              <w:left w:val="single" w:color="000000" w:sz="4" w:space="0"/>
              <w:bottom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30.00</w:t>
            </w:r>
          </w:p>
        </w:tc>
      </w:tr>
      <w:tr>
        <w:tblPrEx>
          <w:tblCellMar>
            <w:top w:w="15" w:type="dxa"/>
            <w:left w:w="15" w:type="dxa"/>
            <w:bottom w:w="15" w:type="dxa"/>
            <w:right w:w="15" w:type="dxa"/>
          </w:tblCellMar>
        </w:tblPrEx>
        <w:trPr>
          <w:trHeight w:val="373" w:hRule="atLeast"/>
        </w:trPr>
        <w:tc>
          <w:tcPr>
            <w:tcW w:w="4084" w:type="dxa"/>
            <w:tcBorders>
              <w:top w:val="single" w:color="000000" w:sz="4" w:space="0"/>
              <w:bottom w:val="single" w:color="000000" w:sz="4" w:space="0"/>
              <w:right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项目效果指标得分</w:t>
            </w:r>
          </w:p>
        </w:tc>
        <w:tc>
          <w:tcPr>
            <w:tcW w:w="4084" w:type="dxa"/>
            <w:tcBorders>
              <w:top w:val="single" w:color="000000" w:sz="4" w:space="0"/>
              <w:left w:val="single" w:color="000000" w:sz="4" w:space="0"/>
              <w:bottom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30.00</w:t>
            </w:r>
          </w:p>
        </w:tc>
      </w:tr>
      <w:tr>
        <w:tblPrEx>
          <w:tblCellMar>
            <w:top w:w="15" w:type="dxa"/>
            <w:left w:w="15" w:type="dxa"/>
            <w:bottom w:w="15" w:type="dxa"/>
            <w:right w:w="15" w:type="dxa"/>
          </w:tblCellMar>
        </w:tblPrEx>
        <w:trPr>
          <w:trHeight w:val="373" w:hRule="atLeast"/>
        </w:trPr>
        <w:tc>
          <w:tcPr>
            <w:tcW w:w="4084" w:type="dxa"/>
            <w:tcBorders>
              <w:top w:val="single" w:color="000000" w:sz="4" w:space="0"/>
              <w:bottom w:val="single" w:color="000000" w:sz="4" w:space="0"/>
              <w:right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项目总得分</w:t>
            </w:r>
          </w:p>
        </w:tc>
        <w:tc>
          <w:tcPr>
            <w:tcW w:w="4084" w:type="dxa"/>
            <w:tcBorders>
              <w:top w:val="single" w:color="000000" w:sz="4" w:space="0"/>
              <w:left w:val="single" w:color="000000" w:sz="4" w:space="0"/>
              <w:bottom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99.00</w:t>
            </w:r>
          </w:p>
        </w:tc>
      </w:tr>
      <w:tr>
        <w:tblPrEx>
          <w:tblCellMar>
            <w:top w:w="15" w:type="dxa"/>
            <w:left w:w="15" w:type="dxa"/>
            <w:bottom w:w="15" w:type="dxa"/>
            <w:right w:w="15" w:type="dxa"/>
          </w:tblCellMar>
        </w:tblPrEx>
        <w:trPr>
          <w:trHeight w:val="373" w:hRule="atLeast"/>
        </w:trPr>
        <w:tc>
          <w:tcPr>
            <w:tcW w:w="4084" w:type="dxa"/>
            <w:tcBorders>
              <w:top w:val="single" w:color="000000" w:sz="4" w:space="0"/>
              <w:bottom w:val="single" w:color="000000" w:sz="12" w:space="0"/>
              <w:right w:val="single" w:color="000000" w:sz="4" w:space="0"/>
            </w:tcBorders>
            <w:vAlign w:val="center"/>
          </w:tcPr>
          <w:p>
            <w:pPr>
              <w:widowControl/>
              <w:jc w:val="center"/>
              <w:rPr>
                <w:rFonts w:ascii="仿宋" w:hAnsi="仿宋" w:eastAsia="仿宋"/>
                <w:sz w:val="32"/>
                <w:szCs w:val="32"/>
              </w:rPr>
            </w:pPr>
            <w:r>
              <w:rPr>
                <w:rFonts w:hint="eastAsia" w:ascii="仿宋" w:hAnsi="仿宋" w:eastAsia="仿宋"/>
                <w:sz w:val="32"/>
                <w:szCs w:val="32"/>
              </w:rPr>
              <w:t>综合绩效评价结果</w:t>
            </w:r>
          </w:p>
        </w:tc>
        <w:tc>
          <w:tcPr>
            <w:tcW w:w="4084" w:type="dxa"/>
            <w:tcBorders>
              <w:top w:val="single" w:color="000000" w:sz="4" w:space="0"/>
              <w:left w:val="single" w:color="000000" w:sz="4" w:space="0"/>
              <w:bottom w:val="single" w:color="000000" w:sz="12" w:space="0"/>
            </w:tcBorders>
            <w:vAlign w:val="center"/>
          </w:tcPr>
          <w:p>
            <w:pPr>
              <w:widowControl/>
              <w:jc w:val="center"/>
              <w:rPr>
                <w:rFonts w:ascii="仿宋" w:hAnsi="仿宋" w:eastAsia="仿宋"/>
                <w:sz w:val="32"/>
                <w:szCs w:val="32"/>
              </w:rPr>
            </w:pPr>
            <w:r>
              <w:rPr>
                <w:rFonts w:hint="eastAsia" w:ascii="仿宋" w:hAnsi="仿宋" w:eastAsia="仿宋"/>
                <w:sz w:val="32"/>
                <w:szCs w:val="32"/>
              </w:rPr>
              <w:t>优</w:t>
            </w:r>
          </w:p>
        </w:tc>
      </w:tr>
    </w:tbl>
    <w:p>
      <w:pPr>
        <w:rPr>
          <w:rFonts w:ascii="仿宋_GB2312" w:eastAsia="仿宋_GB2312"/>
          <w:sz w:val="32"/>
          <w:szCs w:val="32"/>
        </w:rPr>
      </w:pPr>
    </w:p>
    <w:p>
      <w:pPr>
        <w:jc w:val="center"/>
        <w:rPr>
          <w:rFonts w:ascii="仿宋" w:hAnsi="仿宋" w:eastAsia="仿宋"/>
          <w:sz w:val="32"/>
          <w:szCs w:val="32"/>
        </w:rPr>
      </w:pPr>
      <w:r>
        <w:rPr>
          <w:rFonts w:hint="eastAsia" w:ascii="仿宋" w:hAnsi="仿宋" w:eastAsia="仿宋"/>
          <w:sz w:val="32"/>
          <w:szCs w:val="32"/>
        </w:rPr>
        <w:t>评价工作由县委政法委</w:t>
      </w:r>
      <w:r>
        <w:rPr>
          <w:rFonts w:hint="eastAsia" w:ascii="仿宋" w:hAnsi="仿宋" w:eastAsia="仿宋"/>
          <w:sz w:val="32"/>
          <w:szCs w:val="32"/>
          <w:lang w:val="en-US" w:eastAsia="zh-CN"/>
        </w:rPr>
        <w:t>2022</w:t>
      </w:r>
      <w:r>
        <w:rPr>
          <w:rFonts w:hint="eastAsia" w:ascii="仿宋" w:hAnsi="仿宋" w:eastAsia="仿宋"/>
          <w:sz w:val="32"/>
          <w:szCs w:val="32"/>
        </w:rPr>
        <w:t>年肇事肇祸监护责任以奖代补资金项目绩效评价小组组织进行</w:t>
      </w: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bCs/>
          <w:sz w:val="32"/>
          <w:szCs w:val="32"/>
        </w:rPr>
      </w:pPr>
      <w:r>
        <w:rPr>
          <w:rFonts w:hint="eastAsia" w:ascii="仿宋" w:hAnsi="仿宋" w:eastAsia="仿宋"/>
          <w:bCs/>
          <w:sz w:val="32"/>
          <w:szCs w:val="32"/>
          <w:lang w:val="en-US" w:eastAsia="zh-CN"/>
        </w:rPr>
        <w:t>2023</w:t>
      </w:r>
      <w:r>
        <w:rPr>
          <w:rFonts w:hint="eastAsia" w:ascii="仿宋" w:hAnsi="仿宋" w:eastAsia="仿宋"/>
          <w:bCs/>
          <w:sz w:val="32"/>
          <w:szCs w:val="32"/>
        </w:rPr>
        <w:t>年新增肇事肇祸监护责任以奖代补资金</w:t>
      </w:r>
      <w:r>
        <w:rPr>
          <w:rFonts w:hint="eastAsia" w:ascii="仿宋" w:hAnsi="仿宋" w:eastAsia="仿宋"/>
          <w:sz w:val="32"/>
          <w:szCs w:val="32"/>
        </w:rPr>
        <w:t>项目绩效评价小组</w:t>
      </w:r>
    </w:p>
    <w:p>
      <w:pPr>
        <w:spacing w:line="360" w:lineRule="auto"/>
        <w:rPr>
          <w:rFonts w:hint="eastAsia" w:ascii="仿宋" w:hAnsi="仿宋" w:eastAsia="仿宋"/>
          <w:sz w:val="32"/>
          <w:szCs w:val="32"/>
          <w:lang w:eastAsia="zh-CN"/>
        </w:rPr>
      </w:pPr>
      <w:r>
        <w:rPr>
          <w:rFonts w:hint="eastAsia" w:ascii="仿宋" w:hAnsi="仿宋" w:eastAsia="仿宋"/>
          <w:sz w:val="32"/>
          <w:szCs w:val="32"/>
        </w:rPr>
        <w:t>组长：</w:t>
      </w:r>
      <w:r>
        <w:rPr>
          <w:rFonts w:hint="eastAsia" w:ascii="仿宋" w:hAnsi="仿宋" w:eastAsia="仿宋"/>
          <w:sz w:val="32"/>
          <w:szCs w:val="32"/>
          <w:lang w:eastAsia="zh-CN"/>
        </w:rPr>
        <w:t>余颂</w:t>
      </w:r>
    </w:p>
    <w:p>
      <w:pPr>
        <w:spacing w:line="360" w:lineRule="auto"/>
        <w:rPr>
          <w:rFonts w:ascii="仿宋" w:hAnsi="仿宋" w:eastAsia="仿宋"/>
          <w:sz w:val="32"/>
          <w:szCs w:val="32"/>
        </w:rPr>
      </w:pPr>
      <w:r>
        <w:rPr>
          <w:rFonts w:hint="eastAsia" w:ascii="仿宋" w:hAnsi="仿宋" w:eastAsia="仿宋"/>
          <w:sz w:val="32"/>
          <w:szCs w:val="32"/>
        </w:rPr>
        <w:t>成员：李佳、丁燕、何梁</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b/>
          <w:sz w:val="32"/>
          <w:szCs w:val="32"/>
        </w:rPr>
      </w:pPr>
    </w:p>
    <w:p>
      <w:pPr>
        <w:jc w:val="center"/>
        <w:rPr>
          <w:rFonts w:ascii="仿宋_GB2312" w:eastAsia="仿宋_GB2312"/>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目    录</w:t>
      </w:r>
    </w:p>
    <w:p>
      <w:pPr>
        <w:spacing w:line="540" w:lineRule="exact"/>
        <w:jc w:val="center"/>
        <w:rPr>
          <w:b/>
          <w:sz w:val="32"/>
          <w:szCs w:val="32"/>
        </w:rPr>
      </w:pPr>
    </w:p>
    <w:p>
      <w:pPr>
        <w:pStyle w:val="13"/>
        <w:spacing w:line="540" w:lineRule="exact"/>
        <w:ind w:firstLine="0" w:firstLineChars="0"/>
        <w:jc w:val="left"/>
        <w:rPr>
          <w:rFonts w:ascii="仿宋" w:hAnsi="仿宋" w:eastAsia="仿宋"/>
          <w:sz w:val="32"/>
          <w:szCs w:val="32"/>
        </w:rPr>
      </w:pPr>
      <w:r>
        <w:rPr>
          <w:rFonts w:hint="eastAsia" w:ascii="仿宋" w:hAnsi="仿宋" w:eastAsia="仿宋"/>
          <w:sz w:val="32"/>
          <w:szCs w:val="32"/>
        </w:rPr>
        <w:t>一、绩效评价工作组织实施情况</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（一）评价依据</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1、行为依据</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2、法律法规依据</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（二）评价原则</w:t>
      </w:r>
    </w:p>
    <w:p>
      <w:pPr>
        <w:spacing w:line="540" w:lineRule="exact"/>
        <w:ind w:firstLine="320" w:firstLineChars="100"/>
        <w:jc w:val="left"/>
        <w:rPr>
          <w:rFonts w:ascii="仿宋_GB2312" w:hAnsi="仿宋" w:eastAsia="仿宋_GB2312"/>
          <w:sz w:val="32"/>
          <w:szCs w:val="32"/>
        </w:rPr>
      </w:pPr>
      <w:r>
        <w:rPr>
          <w:rFonts w:hint="eastAsia" w:ascii="仿宋_GB2312" w:hAnsi="仿宋" w:eastAsia="仿宋_GB2312"/>
          <w:sz w:val="32"/>
          <w:szCs w:val="32"/>
        </w:rPr>
        <w:t>1、科学规范的原则</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2、公开、公平、公正的原则</w:t>
      </w:r>
    </w:p>
    <w:p>
      <w:pPr>
        <w:spacing w:line="540" w:lineRule="exact"/>
        <w:ind w:firstLine="160" w:firstLineChars="50"/>
        <w:jc w:val="left"/>
        <w:rPr>
          <w:rFonts w:ascii="仿宋_GB2312" w:hAnsi="仿宋" w:eastAsia="仿宋_GB2312"/>
          <w:sz w:val="32"/>
          <w:szCs w:val="32"/>
        </w:rPr>
      </w:pPr>
      <w:r>
        <w:rPr>
          <w:rFonts w:hint="eastAsia" w:ascii="仿宋_GB2312" w:hAnsi="仿宋" w:eastAsia="仿宋_GB2312"/>
          <w:sz w:val="32"/>
          <w:szCs w:val="32"/>
        </w:rPr>
        <w:t>3、绩效相关的原则</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（三）评价对象和范围</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（四）评价方法和程序</w:t>
      </w:r>
    </w:p>
    <w:p>
      <w:pPr>
        <w:spacing w:line="540" w:lineRule="exact"/>
        <w:ind w:firstLine="480" w:firstLineChars="150"/>
        <w:jc w:val="left"/>
        <w:rPr>
          <w:rFonts w:ascii="仿宋_GB2312" w:hAnsi="仿宋" w:eastAsia="仿宋_GB2312"/>
          <w:sz w:val="44"/>
          <w:szCs w:val="44"/>
        </w:rPr>
      </w:pPr>
      <w:r>
        <w:rPr>
          <w:rFonts w:hint="eastAsia" w:ascii="仿宋_GB2312" w:hAnsi="仿宋" w:eastAsia="仿宋_GB2312"/>
          <w:sz w:val="32"/>
          <w:szCs w:val="32"/>
        </w:rPr>
        <w:t>（五）评价工作实施机构和评价人员</w:t>
      </w:r>
    </w:p>
    <w:p>
      <w:pPr>
        <w:pStyle w:val="13"/>
        <w:spacing w:line="540" w:lineRule="exact"/>
        <w:ind w:firstLine="0" w:firstLineChars="0"/>
        <w:jc w:val="left"/>
        <w:rPr>
          <w:rFonts w:ascii="仿宋" w:hAnsi="仿宋" w:eastAsia="仿宋"/>
          <w:sz w:val="32"/>
          <w:szCs w:val="32"/>
        </w:rPr>
      </w:pPr>
      <w:r>
        <w:rPr>
          <w:rFonts w:hint="eastAsia" w:ascii="仿宋" w:hAnsi="仿宋" w:eastAsia="仿宋"/>
          <w:sz w:val="32"/>
          <w:szCs w:val="32"/>
        </w:rPr>
        <w:t>二、项目基本情况</w:t>
      </w:r>
    </w:p>
    <w:p>
      <w:pPr>
        <w:spacing w:line="540" w:lineRule="exact"/>
        <w:jc w:val="left"/>
        <w:rPr>
          <w:rFonts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（一）项目实施背景</w:t>
      </w:r>
    </w:p>
    <w:p>
      <w:pPr>
        <w:spacing w:line="540" w:lineRule="exact"/>
        <w:ind w:firstLine="160" w:firstLineChars="50"/>
        <w:jc w:val="left"/>
        <w:rPr>
          <w:rFonts w:ascii="仿宋_GB2312" w:hAnsi="仿宋" w:eastAsia="仿宋_GB2312"/>
          <w:sz w:val="32"/>
          <w:szCs w:val="32"/>
        </w:rPr>
      </w:pPr>
      <w:r>
        <w:rPr>
          <w:rFonts w:hint="eastAsia" w:ascii="仿宋_GB2312" w:hAnsi="仿宋" w:eastAsia="仿宋_GB2312"/>
          <w:sz w:val="32"/>
          <w:szCs w:val="32"/>
        </w:rPr>
        <w:t xml:space="preserve">  （二）项目基本情况</w:t>
      </w:r>
    </w:p>
    <w:p>
      <w:pPr>
        <w:spacing w:line="540" w:lineRule="exact"/>
        <w:jc w:val="left"/>
        <w:rPr>
          <w:rFonts w:ascii="仿宋" w:hAnsi="仿宋" w:eastAsia="仿宋"/>
          <w:sz w:val="32"/>
          <w:szCs w:val="32"/>
        </w:rPr>
      </w:pPr>
      <w:r>
        <w:rPr>
          <w:rFonts w:hint="eastAsia" w:ascii="仿宋" w:hAnsi="仿宋" w:eastAsia="仿宋"/>
          <w:sz w:val="32"/>
          <w:szCs w:val="32"/>
        </w:rPr>
        <w:t>三、项目绩效评价实施情况</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（一）项目资金使用情况分析</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（二）项目财务管理情况分析</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（三）项目产出情况分析</w:t>
      </w:r>
    </w:p>
    <w:p>
      <w:pPr>
        <w:spacing w:line="54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（四）绩效评价结论</w:t>
      </w:r>
    </w:p>
    <w:p>
      <w:pPr>
        <w:spacing w:line="540" w:lineRule="exact"/>
        <w:ind w:firstLine="160" w:firstLineChars="50"/>
        <w:jc w:val="left"/>
        <w:rPr>
          <w:rFonts w:ascii="仿宋" w:hAnsi="仿宋" w:eastAsia="仿宋"/>
          <w:sz w:val="32"/>
          <w:szCs w:val="32"/>
        </w:rPr>
      </w:pPr>
      <w:r>
        <w:rPr>
          <w:rFonts w:hint="eastAsia" w:ascii="仿宋" w:hAnsi="仿宋" w:eastAsia="仿宋"/>
          <w:sz w:val="32"/>
          <w:szCs w:val="32"/>
        </w:rPr>
        <w:t>四、主要工作成绩</w:t>
      </w:r>
    </w:p>
    <w:p>
      <w:pPr>
        <w:spacing w:line="540" w:lineRule="exact"/>
        <w:ind w:firstLine="160" w:firstLineChars="50"/>
        <w:jc w:val="left"/>
        <w:rPr>
          <w:rFonts w:ascii="仿宋" w:hAnsi="仿宋" w:eastAsia="仿宋"/>
          <w:sz w:val="32"/>
          <w:szCs w:val="32"/>
        </w:rPr>
      </w:pPr>
      <w:r>
        <w:rPr>
          <w:rFonts w:hint="eastAsia" w:ascii="仿宋" w:hAnsi="仿宋" w:eastAsia="仿宋"/>
          <w:sz w:val="32"/>
          <w:szCs w:val="32"/>
        </w:rPr>
        <w:t>五、存在的问题</w:t>
      </w:r>
    </w:p>
    <w:p>
      <w:pPr>
        <w:spacing w:line="540" w:lineRule="exact"/>
        <w:ind w:firstLine="160" w:firstLineChars="50"/>
        <w:jc w:val="left"/>
        <w:rPr>
          <w:rFonts w:ascii="仿宋" w:hAnsi="仿宋" w:eastAsia="仿宋"/>
          <w:sz w:val="32"/>
          <w:szCs w:val="32"/>
        </w:rPr>
      </w:pPr>
      <w:r>
        <w:rPr>
          <w:rFonts w:hint="eastAsia" w:ascii="仿宋" w:hAnsi="仿宋" w:eastAsia="仿宋"/>
          <w:sz w:val="32"/>
          <w:szCs w:val="32"/>
        </w:rPr>
        <w:t>六、下一步工作</w:t>
      </w:r>
    </w:p>
    <w:p>
      <w:pPr>
        <w:spacing w:line="540" w:lineRule="exact"/>
        <w:ind w:firstLine="160" w:firstLineChars="50"/>
        <w:jc w:val="left"/>
        <w:rPr>
          <w:color w:val="FF0000"/>
          <w:sz w:val="32"/>
          <w:szCs w:val="32"/>
        </w:rPr>
        <w:sectPr>
          <w:headerReference r:id="rId3" w:type="default"/>
          <w:pgSz w:w="11906" w:h="16838"/>
          <w:pgMar w:top="1440" w:right="1418" w:bottom="1440" w:left="1588" w:header="851" w:footer="992" w:gutter="0"/>
          <w:cols w:space="425" w:num="1"/>
          <w:docGrid w:type="lines" w:linePitch="312" w:charSpace="0"/>
        </w:sectPr>
      </w:pPr>
    </w:p>
    <w:p>
      <w:pPr>
        <w:pStyle w:val="13"/>
        <w:ind w:firstLine="321" w:firstLineChars="100"/>
        <w:jc w:val="left"/>
        <w:rPr>
          <w:rFonts w:ascii="黑体" w:hAnsi="黑体" w:eastAsia="黑体"/>
          <w:b/>
          <w:sz w:val="32"/>
          <w:szCs w:val="32"/>
        </w:rPr>
      </w:pPr>
      <w:r>
        <w:rPr>
          <w:rFonts w:hint="eastAsia" w:ascii="黑体" w:hAnsi="黑体" w:eastAsia="黑体"/>
          <w:b/>
          <w:sz w:val="32"/>
          <w:szCs w:val="32"/>
        </w:rPr>
        <w:t>一、绩效评价工作组织实施情况</w:t>
      </w:r>
    </w:p>
    <w:p>
      <w:pPr>
        <w:spacing w:line="640" w:lineRule="exact"/>
        <w:ind w:firstLine="482" w:firstLineChars="150"/>
        <w:rPr>
          <w:rFonts w:ascii="楷体" w:hAnsi="楷体" w:eastAsia="楷体" w:cs="宋体"/>
          <w:sz w:val="32"/>
          <w:szCs w:val="32"/>
        </w:rPr>
      </w:pPr>
      <w:r>
        <w:rPr>
          <w:rFonts w:hint="eastAsia" w:ascii="楷体" w:hAnsi="楷体" w:eastAsia="楷体" w:cs="宋体"/>
          <w:b/>
          <w:bCs/>
          <w:sz w:val="32"/>
          <w:szCs w:val="32"/>
        </w:rPr>
        <w:t>（一）评价依据</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1.行为依据</w:t>
      </w:r>
    </w:p>
    <w:p>
      <w:pPr>
        <w:spacing w:line="640" w:lineRule="exact"/>
        <w:rPr>
          <w:rFonts w:ascii="仿宋_GB2312" w:hAnsi="仿宋" w:eastAsia="仿宋_GB2312" w:cs="宋体"/>
          <w:sz w:val="32"/>
          <w:szCs w:val="32"/>
        </w:rPr>
      </w:pPr>
      <w:r>
        <w:rPr>
          <w:rFonts w:hint="eastAsia" w:ascii="仿宋_GB2312" w:hAnsi="仿宋" w:eastAsia="仿宋_GB2312" w:cs="宋体"/>
          <w:sz w:val="32"/>
          <w:szCs w:val="32"/>
        </w:rPr>
        <w:t xml:space="preserve">   （1）江西省综治办《关于实施以奖代补政策落实严重精神障碍患者监护责任的通知》（赣综治办[2016]4号）；</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（2）宜春市综治办《关于实施以奖代补政策落实严重精神障碍患者监护责任的意见》（宜综治办[2016]19号）；</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（3）上高县综治办《关于实施以奖代补政策落实严重精神障碍患者监护责任的意见》（上综治办[2016]36号）；</w:t>
      </w:r>
    </w:p>
    <w:p>
      <w:pPr>
        <w:spacing w:line="640" w:lineRule="exact"/>
        <w:ind w:firstLine="480" w:firstLineChars="150"/>
        <w:rPr>
          <w:rFonts w:ascii="仿宋_GB2312" w:hAnsi="仿宋" w:eastAsia="仿宋_GB2312"/>
          <w:sz w:val="32"/>
          <w:szCs w:val="32"/>
        </w:rPr>
      </w:pPr>
      <w:r>
        <w:rPr>
          <w:rFonts w:hint="eastAsia" w:ascii="仿宋_GB2312" w:hAnsi="仿宋" w:eastAsia="仿宋_GB2312" w:cs="宋体"/>
          <w:sz w:val="32"/>
          <w:szCs w:val="32"/>
        </w:rPr>
        <w:t>（4）</w:t>
      </w:r>
      <w:r>
        <w:rPr>
          <w:rFonts w:hint="eastAsia" w:ascii="仿宋_GB2312" w:hAnsi="仿宋" w:eastAsia="仿宋_GB2312"/>
          <w:sz w:val="32"/>
          <w:szCs w:val="32"/>
        </w:rPr>
        <w:t>上高县财政局《关于开展2016年度县级部门项目支出绩效评价的通知》（上财绩[2017] 2号）。</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2.法律法规依据</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（1）《中华人民共和国预算法》；</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（2）江西省人民政府《关于全面推进预算绩效管理的实施意见》（赣府发</w:t>
      </w:r>
      <w:r>
        <w:rPr>
          <w:rFonts w:hint="eastAsia" w:ascii="仿宋_GB2312" w:hAnsi="仿宋" w:eastAsia="仿宋" w:cs="宋体"/>
          <w:sz w:val="32"/>
          <w:szCs w:val="32"/>
        </w:rPr>
        <w:t>﹝</w:t>
      </w:r>
      <w:r>
        <w:rPr>
          <w:rFonts w:hint="eastAsia" w:ascii="仿宋_GB2312" w:hAnsi="仿宋" w:eastAsia="仿宋_GB2312" w:cs="宋体"/>
          <w:sz w:val="32"/>
          <w:szCs w:val="32"/>
        </w:rPr>
        <w:t>2013</w:t>
      </w:r>
      <w:r>
        <w:rPr>
          <w:rFonts w:hint="eastAsia" w:ascii="仿宋_GB2312" w:hAnsi="仿宋" w:eastAsia="仿宋" w:cs="宋体"/>
          <w:sz w:val="32"/>
          <w:szCs w:val="32"/>
        </w:rPr>
        <w:t>﹞</w:t>
      </w:r>
      <w:r>
        <w:rPr>
          <w:rFonts w:hint="eastAsia" w:ascii="仿宋_GB2312" w:hAnsi="仿宋" w:eastAsia="仿宋_GB2312" w:cs="宋体"/>
          <w:sz w:val="32"/>
          <w:szCs w:val="32"/>
        </w:rPr>
        <w:t>8号）；</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（3）财政部和江西省财政厅有关财政支出绩效评价管理办法；</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（4）</w:t>
      </w:r>
      <w:r>
        <w:rPr>
          <w:rFonts w:hint="eastAsia" w:ascii="仿宋_GB2312" w:hAnsi="仿宋" w:eastAsia="仿宋_GB2312"/>
          <w:sz w:val="32"/>
          <w:szCs w:val="32"/>
        </w:rPr>
        <w:t>《宜春市人民政府办公室关于印发宜春市全面推进预算绩效管理实施方案的通知》（宜府办发[2013]24号）；</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（5）宜春市财政局关于印发</w:t>
      </w:r>
      <w:r>
        <w:rPr>
          <w:rFonts w:hint="eastAsia" w:ascii="仿宋_GB2312" w:hAnsi="仿宋" w:eastAsia="仿宋_GB2312"/>
          <w:sz w:val="32"/>
          <w:szCs w:val="32"/>
        </w:rPr>
        <w:t>《宜春市财政支出绩效评价管理暂行办法的通知》（宜财绩[2013]5号）；</w:t>
      </w:r>
    </w:p>
    <w:p>
      <w:pPr>
        <w:spacing w:line="640" w:lineRule="exact"/>
        <w:ind w:firstLine="480" w:firstLineChars="150"/>
        <w:rPr>
          <w:rFonts w:ascii="仿宋_GB2312" w:hAnsi="仿宋" w:eastAsia="仿宋_GB2312"/>
          <w:sz w:val="32"/>
          <w:szCs w:val="32"/>
        </w:rPr>
      </w:pPr>
      <w:r>
        <w:rPr>
          <w:rFonts w:hint="eastAsia" w:ascii="仿宋_GB2312" w:hAnsi="仿宋" w:eastAsia="仿宋_GB2312"/>
          <w:sz w:val="32"/>
          <w:szCs w:val="32"/>
        </w:rPr>
        <w:t>（6）上府发[2013]13号《上高县人民政府关于印发全面推进预算绩效管理实施方案的通知》；</w:t>
      </w:r>
    </w:p>
    <w:p>
      <w:pPr>
        <w:spacing w:line="64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（7）其他相关法律、法规。</w:t>
      </w:r>
    </w:p>
    <w:p>
      <w:pPr>
        <w:spacing w:line="640" w:lineRule="exact"/>
        <w:ind w:firstLine="482" w:firstLineChars="150"/>
        <w:rPr>
          <w:rFonts w:ascii="楷体" w:hAnsi="楷体" w:eastAsia="楷体" w:cs="宋体"/>
          <w:b/>
          <w:bCs/>
          <w:sz w:val="32"/>
          <w:szCs w:val="32"/>
        </w:rPr>
      </w:pPr>
      <w:r>
        <w:rPr>
          <w:rFonts w:hint="eastAsia" w:ascii="楷体" w:hAnsi="楷体" w:eastAsia="楷体" w:cs="宋体"/>
          <w:b/>
          <w:bCs/>
          <w:sz w:val="32"/>
          <w:szCs w:val="32"/>
        </w:rPr>
        <w:t>（二）评价原则</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1、科学规范的原则</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依照国家财政支出绩效评价管理办法和上高县</w:t>
      </w: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年度县级部门项目支出绩效评价工作的通知精神，结合本次评价工作的特点，采用科学的方法和程序进行。</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2、公开、公平、公正的原则</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对评价方案、评价过程、评价结果做到公开透明，客观公正。</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3、绩效相关的原则</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充分考虑资金投入、产出成效及项目目标任务之间的对应关系和紧密联系。</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（三）评价对象和范围</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本次绩效评价的对象是</w:t>
      </w: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年肇事肇祸监护责任以奖代补专项资金使用绩效，</w:t>
      </w:r>
      <w:r>
        <w:rPr>
          <w:rFonts w:hint="eastAsia" w:ascii="仿宋_GB2312" w:hAnsi="仿宋" w:eastAsia="仿宋_GB2312" w:cs="宋体"/>
          <w:sz w:val="32"/>
          <w:szCs w:val="32"/>
          <w:lang w:val="en-US" w:eastAsia="zh-CN"/>
        </w:rPr>
        <w:t>2023</w:t>
      </w:r>
      <w:r>
        <w:rPr>
          <w:rFonts w:hint="eastAsia" w:ascii="仿宋_GB2312" w:hAnsi="仿宋" w:eastAsia="仿宋_GB2312" w:cs="宋体"/>
          <w:sz w:val="32"/>
          <w:szCs w:val="32"/>
        </w:rPr>
        <w:t>年度本项目预算安排资金总额</w:t>
      </w:r>
      <w:r>
        <w:rPr>
          <w:rFonts w:hint="eastAsia" w:ascii="仿宋_GB2312" w:hAnsi="仿宋" w:eastAsia="仿宋_GB2312" w:cs="宋体"/>
          <w:sz w:val="32"/>
          <w:szCs w:val="32"/>
          <w:lang w:val="en-US" w:eastAsia="zh-CN"/>
        </w:rPr>
        <w:t>49.22</w:t>
      </w:r>
      <w:r>
        <w:rPr>
          <w:rFonts w:hint="eastAsia" w:ascii="仿宋_GB2312" w:hAnsi="仿宋" w:eastAsia="仿宋_GB2312" w:cs="宋体"/>
          <w:sz w:val="32"/>
          <w:szCs w:val="32"/>
        </w:rPr>
        <w:t>万元。</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（四）评价方法和程序</w:t>
      </w:r>
    </w:p>
    <w:p>
      <w:pPr>
        <w:spacing w:line="640" w:lineRule="exact"/>
        <w:ind w:firstLine="640" w:firstLineChars="200"/>
        <w:rPr>
          <w:rFonts w:ascii="仿宋" w:hAnsi="仿宋" w:eastAsia="仿宋" w:cs="宋体"/>
          <w:sz w:val="32"/>
          <w:szCs w:val="32"/>
        </w:rPr>
      </w:pPr>
      <w:r>
        <w:rPr>
          <w:rFonts w:hint="eastAsia" w:ascii="仿宋_GB2312" w:hAnsi="仿宋" w:eastAsia="仿宋_GB2312" w:cs="宋体"/>
          <w:sz w:val="32"/>
          <w:szCs w:val="32"/>
        </w:rPr>
        <w:t>本次绩效评价工作将采取单位自评、财政再评价和评价结果应用三个阶段进行。本次报告为单位自评，为财政再评价提供基础数据和绩效信息。单位自评将认真按照评价程序、要求，收集、整理评价基础指标、数据和相关资料，并对资料进行审核核实，对照评价指标和评价办法，逐项评价计分，形成客观的评价结论。</w:t>
      </w:r>
    </w:p>
    <w:p>
      <w:pPr>
        <w:spacing w:line="640" w:lineRule="exact"/>
        <w:ind w:firstLine="643" w:firstLineChars="200"/>
        <w:rPr>
          <w:rFonts w:ascii="仿宋" w:hAnsi="仿宋" w:eastAsia="仿宋" w:cs="宋体"/>
          <w:sz w:val="32"/>
          <w:szCs w:val="32"/>
        </w:rPr>
      </w:pPr>
      <w:r>
        <w:rPr>
          <w:rFonts w:hint="eastAsia" w:ascii="楷体" w:hAnsi="楷体" w:eastAsia="楷体" w:cs="宋体"/>
          <w:b/>
          <w:sz w:val="32"/>
          <w:szCs w:val="32"/>
        </w:rPr>
        <w:t>（五）评价工作实施机构和评价人员</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 xml:space="preserve"> </w:t>
      </w:r>
      <w:r>
        <w:rPr>
          <w:rFonts w:hint="eastAsia" w:ascii="仿宋_GB2312" w:hAnsi="仿宋" w:eastAsia="仿宋_GB2312" w:cs="宋体"/>
          <w:sz w:val="32"/>
          <w:szCs w:val="32"/>
        </w:rPr>
        <w:t>本次评价工作由县委政法委评价工作领导小组负责制定方案、考核指标并指导实施并完成。</w:t>
      </w:r>
    </w:p>
    <w:p>
      <w:pPr>
        <w:spacing w:line="640" w:lineRule="exact"/>
        <w:ind w:firstLine="643" w:firstLineChars="200"/>
        <w:rPr>
          <w:rFonts w:ascii="黑体" w:hAnsi="黑体" w:eastAsia="黑体" w:cs="宋体"/>
          <w:b/>
          <w:sz w:val="32"/>
          <w:szCs w:val="32"/>
        </w:rPr>
      </w:pPr>
      <w:r>
        <w:rPr>
          <w:rFonts w:hint="eastAsia" w:ascii="黑体" w:hAnsi="黑体" w:eastAsia="黑体" w:cs="宋体"/>
          <w:b/>
          <w:sz w:val="32"/>
          <w:szCs w:val="32"/>
        </w:rPr>
        <w:t>二、项目基本情况</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（一）项目实施背景</w:t>
      </w:r>
    </w:p>
    <w:p>
      <w:pPr>
        <w:spacing w:line="640" w:lineRule="exact"/>
        <w:ind w:firstLine="640" w:firstLineChars="200"/>
        <w:rPr>
          <w:rFonts w:ascii="仿宋" w:hAnsi="仿宋" w:eastAsia="仿宋"/>
          <w:sz w:val="32"/>
          <w:szCs w:val="32"/>
        </w:rPr>
      </w:pPr>
      <w:r>
        <w:rPr>
          <w:rFonts w:hint="eastAsia" w:ascii="仿宋_GB2312" w:hAnsi="仿宋" w:eastAsia="仿宋_GB2312" w:cs="宋体"/>
          <w:sz w:val="32"/>
          <w:szCs w:val="32"/>
        </w:rPr>
        <w:t>精神障碍患者监护人依法对患者履行监护责任，精神障碍患者所在乡镇（街道）和县级人民政府部门要帮助患者解决实际困难，是《民法通则》、《精神卫生法》、《残疾人保障法》、《侵权责任法》等法律的明确规定。为贯彻落实中央、省、市有关文件要求，履行法定职责，坚持“属地管理”和“谁主管、谁负责”原则，切实摸清患者底数，依法落实监护责任；合理确定奖补对象，依法认定监护情况；明确奖补标准，加强经费保障；加强组织领导，严格责任追加，确保患者不因贫困得不到救治，不因疏于救治管理而伤害自身或危害社会，做到“应管尽管、应收尽收、应治尽治”，从源头上预防和减少肇事肇祸案事件发生，中央、省、市和县均出台实施以奖代补政策落实严重精神障碍患者监护责任的工作意见。</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（二）项目基本情况</w:t>
      </w:r>
    </w:p>
    <w:p>
      <w:pPr>
        <w:ind w:firstLine="600"/>
        <w:rPr>
          <w:rFonts w:ascii="仿宋" w:hAnsi="仿宋" w:eastAsia="仿宋"/>
          <w:sz w:val="32"/>
          <w:szCs w:val="32"/>
        </w:rPr>
      </w:pPr>
      <w:r>
        <w:rPr>
          <w:rFonts w:hint="eastAsia" w:ascii="仿宋_GB2312" w:hAnsi="仿宋" w:eastAsia="仿宋_GB2312" w:cs="宋体"/>
          <w:sz w:val="32"/>
          <w:szCs w:val="32"/>
        </w:rPr>
        <w:t>该项目安排资金</w:t>
      </w:r>
      <w:r>
        <w:rPr>
          <w:rFonts w:hint="eastAsia" w:ascii="仿宋_GB2312" w:hAnsi="仿宋" w:eastAsia="仿宋_GB2312" w:cs="宋体"/>
          <w:sz w:val="32"/>
          <w:szCs w:val="32"/>
          <w:lang w:val="en-US" w:eastAsia="zh-CN"/>
        </w:rPr>
        <w:t>53.15</w:t>
      </w:r>
      <w:r>
        <w:rPr>
          <w:rFonts w:hint="eastAsia" w:ascii="仿宋_GB2312" w:hAnsi="仿宋" w:eastAsia="仿宋_GB2312" w:cs="宋体"/>
          <w:sz w:val="32"/>
          <w:szCs w:val="32"/>
        </w:rPr>
        <w:t>万元，具体明细如下：按照中央、省、市要求，对没有发生肇事肇祸签了协议的患者家属，县财政安排</w:t>
      </w:r>
      <w:r>
        <w:rPr>
          <w:rFonts w:hint="eastAsia" w:ascii="仿宋_GB2312" w:hAnsi="仿宋" w:eastAsia="仿宋_GB2312" w:cs="宋体"/>
          <w:sz w:val="32"/>
          <w:szCs w:val="32"/>
          <w:lang w:val="en-US" w:eastAsia="zh-CN"/>
        </w:rPr>
        <w:t>53.15</w:t>
      </w:r>
      <w:r>
        <w:rPr>
          <w:rFonts w:hint="eastAsia" w:ascii="仿宋_GB2312" w:hAnsi="仿宋" w:eastAsia="仿宋_GB2312" w:cs="宋体"/>
          <w:sz w:val="32"/>
          <w:szCs w:val="32"/>
        </w:rPr>
        <w:t>万元的专项资金落实了“以奖代补”举措，在今年年初通过一卡通对监护责任人三级以上</w:t>
      </w:r>
      <w:r>
        <w:rPr>
          <w:rFonts w:hint="eastAsia" w:ascii="仿宋_GB2312" w:hAnsi="仿宋" w:eastAsia="仿宋_GB2312" w:cs="宋体"/>
          <w:sz w:val="32"/>
          <w:szCs w:val="32"/>
          <w:lang w:val="en-US" w:eastAsia="zh-CN"/>
        </w:rPr>
        <w:t>85</w:t>
      </w:r>
      <w:r>
        <w:rPr>
          <w:rFonts w:hint="eastAsia" w:ascii="仿宋_GB2312" w:hAnsi="仿宋" w:eastAsia="仿宋_GB2312" w:cs="宋体"/>
          <w:sz w:val="32"/>
          <w:szCs w:val="32"/>
        </w:rPr>
        <w:t>人计</w:t>
      </w:r>
      <w:r>
        <w:rPr>
          <w:rFonts w:hint="eastAsia" w:ascii="仿宋_GB2312" w:hAnsi="仿宋" w:eastAsia="仿宋_GB2312" w:cs="宋体"/>
          <w:sz w:val="32"/>
          <w:szCs w:val="32"/>
          <w:lang w:val="en-US" w:eastAsia="zh-CN"/>
        </w:rPr>
        <w:t>17.5</w:t>
      </w:r>
      <w:r>
        <w:rPr>
          <w:rFonts w:hint="eastAsia" w:ascii="仿宋_GB2312" w:hAnsi="仿宋" w:eastAsia="仿宋_GB2312" w:cs="宋体"/>
          <w:sz w:val="32"/>
          <w:szCs w:val="32"/>
        </w:rPr>
        <w:t>万元，三级以下</w:t>
      </w:r>
      <w:r>
        <w:rPr>
          <w:rFonts w:hint="eastAsia" w:ascii="仿宋_GB2312" w:hAnsi="仿宋" w:eastAsia="仿宋_GB2312" w:cs="宋体"/>
          <w:sz w:val="32"/>
          <w:szCs w:val="32"/>
          <w:lang w:val="en-US" w:eastAsia="zh-CN"/>
        </w:rPr>
        <w:t>280</w:t>
      </w:r>
      <w:r>
        <w:rPr>
          <w:rFonts w:hint="eastAsia" w:ascii="仿宋_GB2312" w:hAnsi="仿宋" w:eastAsia="仿宋_GB2312" w:cs="宋体"/>
          <w:sz w:val="32"/>
          <w:szCs w:val="32"/>
        </w:rPr>
        <w:t>人计</w:t>
      </w:r>
      <w:r>
        <w:rPr>
          <w:rFonts w:hint="eastAsia" w:ascii="仿宋_GB2312" w:hAnsi="仿宋" w:eastAsia="仿宋_GB2312" w:cs="宋体"/>
          <w:sz w:val="32"/>
          <w:szCs w:val="32"/>
          <w:lang w:val="en-US" w:eastAsia="zh-CN"/>
        </w:rPr>
        <w:t>29.6</w:t>
      </w:r>
      <w:r>
        <w:rPr>
          <w:rFonts w:hint="eastAsia" w:ascii="仿宋_GB2312" w:hAnsi="仿宋" w:eastAsia="仿宋_GB2312" w:cs="宋体"/>
          <w:sz w:val="32"/>
          <w:szCs w:val="32"/>
        </w:rPr>
        <w:t>万元进行了奖补，并为纳入“有奖监护”的精神病患者购买监护责任险，为精神病患者减轻了经济负担。</w:t>
      </w:r>
    </w:p>
    <w:p>
      <w:pPr>
        <w:spacing w:line="640" w:lineRule="exact"/>
        <w:ind w:firstLine="643" w:firstLineChars="200"/>
        <w:rPr>
          <w:rFonts w:ascii="黑体" w:hAnsi="黑体" w:eastAsia="黑体" w:cs="宋体"/>
          <w:b/>
          <w:sz w:val="32"/>
          <w:szCs w:val="32"/>
        </w:rPr>
      </w:pPr>
      <w:r>
        <w:rPr>
          <w:rFonts w:hint="eastAsia" w:ascii="黑体" w:hAnsi="黑体" w:eastAsia="黑体" w:cs="宋体"/>
          <w:b/>
          <w:sz w:val="32"/>
          <w:szCs w:val="32"/>
        </w:rPr>
        <w:t>三、项目绩效评价实施情况</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20</w:t>
      </w:r>
      <w:r>
        <w:rPr>
          <w:rFonts w:hint="eastAsia" w:ascii="仿宋_GB2312" w:hAnsi="仿宋" w:eastAsia="仿宋_GB2312" w:cs="宋体"/>
          <w:sz w:val="32"/>
          <w:szCs w:val="32"/>
          <w:lang w:val="en-US" w:eastAsia="zh-CN"/>
        </w:rPr>
        <w:t>23</w:t>
      </w:r>
      <w:r>
        <w:rPr>
          <w:rFonts w:hint="eastAsia" w:ascii="仿宋_GB2312" w:hAnsi="仿宋" w:eastAsia="仿宋_GB2312" w:cs="宋体"/>
          <w:sz w:val="32"/>
          <w:szCs w:val="32"/>
        </w:rPr>
        <w:t>年4月上旬由县委政法委组成绩效评价小组，对</w:t>
      </w: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年新增肇事肇祸监护责任以奖代补资金实施了评价，评价情况如下：</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（一）项目资金使用情况分析</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1、项目资金预算到位情况。</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年12月</w:t>
      </w:r>
      <w:r>
        <w:rPr>
          <w:rFonts w:hint="eastAsia" w:ascii="仿宋_GB2312" w:hAnsi="仿宋" w:eastAsia="仿宋_GB2312" w:cs="宋体"/>
          <w:sz w:val="32"/>
          <w:szCs w:val="32"/>
          <w:lang w:val="en-US" w:eastAsia="zh-CN"/>
        </w:rPr>
        <w:t>2</w:t>
      </w:r>
      <w:r>
        <w:rPr>
          <w:rFonts w:hint="eastAsia" w:ascii="仿宋_GB2312" w:hAnsi="仿宋" w:eastAsia="仿宋_GB2312" w:cs="宋体"/>
          <w:sz w:val="32"/>
          <w:szCs w:val="32"/>
        </w:rPr>
        <w:t>9日，县财政局下达上高县</w:t>
      </w: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年新增肇事肇祸监护责任以奖代补资金</w:t>
      </w:r>
      <w:r>
        <w:rPr>
          <w:rFonts w:hint="eastAsia" w:ascii="仿宋_GB2312" w:hAnsi="仿宋" w:eastAsia="仿宋_GB2312" w:cs="宋体"/>
          <w:sz w:val="32"/>
          <w:szCs w:val="32"/>
          <w:lang w:val="en-US" w:eastAsia="zh-CN"/>
        </w:rPr>
        <w:t>53.15</w:t>
      </w:r>
      <w:r>
        <w:rPr>
          <w:rFonts w:hint="eastAsia" w:ascii="仿宋_GB2312" w:hAnsi="仿宋" w:eastAsia="仿宋_GB2312" w:cs="宋体"/>
          <w:sz w:val="32"/>
          <w:szCs w:val="32"/>
        </w:rPr>
        <w:t>万元，到位率100%。</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2、项目资金实际支出情况。</w:t>
      </w:r>
    </w:p>
    <w:p>
      <w:pPr>
        <w:ind w:firstLine="600"/>
        <w:rPr>
          <w:rFonts w:ascii="仿宋" w:hAnsi="仿宋" w:eastAsia="仿宋"/>
          <w:sz w:val="32"/>
          <w:szCs w:val="32"/>
        </w:rPr>
      </w:pPr>
      <w:r>
        <w:rPr>
          <w:rFonts w:hint="eastAsia" w:ascii="仿宋_GB2312" w:hAnsi="仿宋" w:eastAsia="仿宋_GB2312" w:cs="宋体"/>
          <w:sz w:val="32"/>
          <w:szCs w:val="32"/>
        </w:rPr>
        <w:t>截止到</w:t>
      </w:r>
      <w:r>
        <w:rPr>
          <w:rFonts w:hint="eastAsia" w:ascii="仿宋_GB2312" w:hAnsi="仿宋" w:eastAsia="仿宋_GB2312" w:cs="宋体"/>
          <w:sz w:val="32"/>
          <w:szCs w:val="32"/>
          <w:lang w:val="en-US" w:eastAsia="zh-CN"/>
        </w:rPr>
        <w:t>2023</w:t>
      </w:r>
      <w:r>
        <w:rPr>
          <w:rFonts w:hint="eastAsia" w:ascii="仿宋_GB2312" w:hAnsi="仿宋" w:eastAsia="仿宋_GB2312" w:cs="宋体"/>
          <w:sz w:val="32"/>
          <w:szCs w:val="32"/>
        </w:rPr>
        <w:t>年</w:t>
      </w:r>
      <w:r>
        <w:rPr>
          <w:rFonts w:hint="eastAsia" w:ascii="仿宋_GB2312" w:hAnsi="仿宋" w:eastAsia="仿宋_GB2312" w:cs="宋体"/>
          <w:sz w:val="32"/>
          <w:szCs w:val="32"/>
          <w:lang w:val="en-US" w:eastAsia="zh-CN"/>
        </w:rPr>
        <w:t>4</w:t>
      </w:r>
      <w:r>
        <w:rPr>
          <w:rFonts w:hint="eastAsia" w:ascii="仿宋_GB2312" w:hAnsi="仿宋" w:eastAsia="仿宋_GB2312" w:cs="宋体"/>
          <w:sz w:val="32"/>
          <w:szCs w:val="32"/>
        </w:rPr>
        <w:t>月26日，上高县</w:t>
      </w: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年新增肇事肇祸监护责任以奖代补资金实际支出</w:t>
      </w:r>
      <w:r>
        <w:rPr>
          <w:rFonts w:hint="eastAsia" w:ascii="仿宋_GB2312" w:hAnsi="仿宋" w:eastAsia="仿宋_GB2312" w:cs="宋体"/>
          <w:sz w:val="32"/>
          <w:szCs w:val="32"/>
          <w:lang w:val="en-US" w:eastAsia="zh-CN"/>
        </w:rPr>
        <w:t>53.15</w:t>
      </w:r>
      <w:r>
        <w:rPr>
          <w:rFonts w:hint="eastAsia" w:ascii="仿宋_GB2312" w:hAnsi="仿宋" w:eastAsia="仿宋_GB2312" w:cs="宋体"/>
          <w:sz w:val="32"/>
          <w:szCs w:val="32"/>
        </w:rPr>
        <w:t>万元，完成当年预算支出100.00%。精神障碍患者是动态的，并且每年有递增趋势，县财政用于精神障碍患者监护奖补，如有结余转入下年度使用。</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（二）项目财务管理情况分析</w:t>
      </w:r>
    </w:p>
    <w:p>
      <w:pPr>
        <w:ind w:firstLine="600"/>
        <w:rPr>
          <w:rFonts w:ascii="仿宋" w:hAnsi="仿宋" w:eastAsia="仿宋"/>
          <w:sz w:val="32"/>
          <w:szCs w:val="32"/>
        </w:rPr>
      </w:pPr>
      <w:r>
        <w:rPr>
          <w:rFonts w:hint="eastAsia" w:ascii="仿宋_GB2312" w:hAnsi="仿宋" w:eastAsia="仿宋_GB2312" w:cs="宋体"/>
          <w:sz w:val="32"/>
          <w:szCs w:val="32"/>
        </w:rPr>
        <w:t>经核查，本项目按照专项资金管理要求，实行了资金专户管理，专账核算，集中支付，专款专用。资金在实际使用中基本能按照管理暂行办法执行，符合国家财经法规和财务管理制度规定，项目资金由县财政局会计核算科统一管理，收入、支出按照相关规定设立专账，没有截留、挤占、挪用等情况。</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（三）项目产出情况分析</w:t>
      </w:r>
    </w:p>
    <w:p>
      <w:pPr>
        <w:shd w:val="clear" w:color="auto" w:fill="FFFFFF"/>
        <w:tabs>
          <w:tab w:val="left" w:pos="3420"/>
        </w:tabs>
        <w:spacing w:line="360" w:lineRule="auto"/>
        <w:ind w:firstLine="595" w:firstLineChars="186"/>
        <w:rPr>
          <w:rFonts w:ascii="仿宋" w:hAnsi="仿宋" w:eastAsia="仿宋"/>
          <w:sz w:val="32"/>
          <w:szCs w:val="32"/>
        </w:rPr>
      </w:pP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上高县肇事肇祸监护责任以奖代补资金支出项目总体绩效良好，完成了项目规划的各项工作，达到了项目所设立的主要目标。产出数量指标（实际完成率）为100.00%、产出质量指标（质量达标率）为100.00%、产出时效指标（完成及时率）为100.00%、产出成本指标（成本节约率）为0.00%。</w:t>
      </w:r>
    </w:p>
    <w:p>
      <w:pPr>
        <w:spacing w:line="640" w:lineRule="exact"/>
        <w:ind w:firstLine="643" w:firstLineChars="200"/>
        <w:rPr>
          <w:rFonts w:ascii="楷体" w:hAnsi="楷体" w:eastAsia="楷体" w:cs="宋体"/>
          <w:b/>
          <w:sz w:val="32"/>
          <w:szCs w:val="32"/>
        </w:rPr>
      </w:pPr>
      <w:r>
        <w:rPr>
          <w:rFonts w:hint="eastAsia" w:ascii="楷体" w:hAnsi="楷体" w:eastAsia="楷体" w:cs="宋体"/>
          <w:b/>
          <w:sz w:val="32"/>
          <w:szCs w:val="32"/>
        </w:rPr>
        <w:t>（四）绩效评价评价结论</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县委政法委按要求对项目进行绩效自评价，自我评分为99分，评价等级为“优”。绩效评价组对该项目的资金使用情况及项目绩效情况进行重点核查，给“</w:t>
      </w:r>
      <w:r>
        <w:rPr>
          <w:rFonts w:hint="eastAsia" w:ascii="仿宋_GB2312" w:hAnsi="仿宋" w:eastAsia="仿宋_GB2312" w:cs="宋体"/>
          <w:sz w:val="32"/>
          <w:szCs w:val="32"/>
          <w:lang w:val="en-US" w:eastAsia="zh-CN"/>
        </w:rPr>
        <w:t>2022</w:t>
      </w:r>
      <w:r>
        <w:rPr>
          <w:rFonts w:hint="eastAsia" w:ascii="仿宋_GB2312" w:hAnsi="仿宋" w:eastAsia="仿宋_GB2312" w:cs="宋体"/>
          <w:sz w:val="32"/>
          <w:szCs w:val="32"/>
        </w:rPr>
        <w:t>年肇事肇祸监护责任以奖代补资金”项目绩效评价打99.00分，评价等级为“优”。（详见附件1）</w:t>
      </w:r>
    </w:p>
    <w:p>
      <w:pPr>
        <w:spacing w:line="6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四、主要工作成绩</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今年，按照上级的要求，我县加强了对肇事肇祸等严重精神障碍患者的救治管理工作，目前，没有发生精神障碍患者肇事肇祸案件。</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形成工作合力。成立了综治办、卫生局、公安局、民政局、人社局、残联等部门及各乡镇为成员单位的重性精神病患者政府救治管理工作领导小组，加强信息沟通，密切配合，齐抓共管，对肇事肇祸精神病患者进行免费治疗救助。</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加强日常排查。制定下发了《关于进一步完善工作，切实防止发生严重精神障碍患者肇事肇祸案（事）件的通知》，组织相关部门在全县开展精神病患者调查摸底工作，采集基本信息，按病情类别分别登记造册，其中，危险评估等级三级以上</w:t>
      </w:r>
      <w:r>
        <w:rPr>
          <w:rFonts w:hint="eastAsia" w:ascii="仿宋_GB2312" w:hAnsi="仿宋" w:eastAsia="仿宋_GB2312" w:cs="宋体"/>
          <w:sz w:val="32"/>
          <w:szCs w:val="32"/>
          <w:lang w:val="en-US" w:eastAsia="zh-CN"/>
        </w:rPr>
        <w:t>85</w:t>
      </w:r>
      <w:r>
        <w:rPr>
          <w:rFonts w:hint="eastAsia" w:ascii="仿宋_GB2312" w:hAnsi="仿宋" w:eastAsia="仿宋_GB2312" w:cs="宋体"/>
          <w:sz w:val="32"/>
          <w:szCs w:val="32"/>
        </w:rPr>
        <w:t>人，三级以下</w:t>
      </w:r>
      <w:r>
        <w:rPr>
          <w:rFonts w:hint="eastAsia" w:ascii="仿宋_GB2312" w:hAnsi="仿宋" w:eastAsia="仿宋_GB2312" w:cs="宋体"/>
          <w:sz w:val="32"/>
          <w:szCs w:val="32"/>
          <w:lang w:val="en-US" w:eastAsia="zh-CN"/>
        </w:rPr>
        <w:t>280</w:t>
      </w:r>
      <w:r>
        <w:rPr>
          <w:rFonts w:hint="eastAsia" w:ascii="仿宋_GB2312" w:hAnsi="仿宋" w:eastAsia="仿宋_GB2312" w:cs="宋体"/>
          <w:sz w:val="32"/>
          <w:szCs w:val="32"/>
        </w:rPr>
        <w:t>人，做到底数清、情况明、早发现、早治疗。今年，全县纳入管控视线的精神病患者共</w:t>
      </w:r>
      <w:r>
        <w:rPr>
          <w:rFonts w:hint="eastAsia" w:ascii="仿宋_GB2312" w:hAnsi="仿宋" w:eastAsia="仿宋_GB2312" w:cs="宋体"/>
          <w:sz w:val="32"/>
          <w:szCs w:val="32"/>
          <w:lang w:val="en-US" w:eastAsia="zh-CN"/>
        </w:rPr>
        <w:t>365</w:t>
      </w:r>
      <w:r>
        <w:rPr>
          <w:rFonts w:hint="eastAsia" w:ascii="仿宋_GB2312" w:hAnsi="仿宋" w:eastAsia="仿宋_GB2312" w:cs="宋体"/>
          <w:sz w:val="32"/>
          <w:szCs w:val="32"/>
        </w:rPr>
        <w:t>人。</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落实管控责任。对排查出的严重肇事肇祸精神病患者，按照属地管理的原则，建立了派出所民警、乡村医生、社区（村）干部或单位负责人员、网格管理员、家属或监护人共同管控的“五包一”管控机制，强化管控责任，开展定期走访。</w:t>
      </w:r>
    </w:p>
    <w:p>
      <w:pPr>
        <w:spacing w:line="640" w:lineRule="exact"/>
        <w:ind w:firstLine="640" w:firstLineChars="200"/>
        <w:rPr>
          <w:rFonts w:ascii="仿宋" w:hAnsi="仿宋" w:eastAsia="仿宋" w:cs="宋体"/>
          <w:sz w:val="32"/>
          <w:szCs w:val="32"/>
        </w:rPr>
      </w:pPr>
      <w:r>
        <w:rPr>
          <w:rFonts w:hint="eastAsia" w:ascii="仿宋_GB2312" w:hAnsi="仿宋" w:eastAsia="仿宋_GB2312" w:cs="宋体"/>
          <w:sz w:val="32"/>
          <w:szCs w:val="32"/>
        </w:rPr>
        <w:t>4、落实有奖监护。按照中央、省、市要求，对没有发生肇事肇祸签了协议的患者家属，县财政安排</w:t>
      </w:r>
      <w:r>
        <w:rPr>
          <w:rFonts w:hint="eastAsia" w:ascii="仿宋_GB2312" w:hAnsi="仿宋" w:eastAsia="仿宋_GB2312" w:cs="宋体"/>
          <w:sz w:val="32"/>
          <w:szCs w:val="32"/>
          <w:lang w:val="en-US" w:eastAsia="zh-CN"/>
        </w:rPr>
        <w:t>53.15</w:t>
      </w:r>
      <w:r>
        <w:rPr>
          <w:rFonts w:hint="eastAsia" w:ascii="仿宋_GB2312" w:hAnsi="仿宋" w:eastAsia="仿宋_GB2312" w:cs="宋体"/>
          <w:sz w:val="32"/>
          <w:szCs w:val="32"/>
        </w:rPr>
        <w:t>万元的专项资金落实了“以奖代补”举措，在今年年初通过一卡通对监护责任人三级以上</w:t>
      </w:r>
      <w:r>
        <w:rPr>
          <w:rFonts w:hint="eastAsia" w:ascii="仿宋_GB2312" w:hAnsi="仿宋" w:eastAsia="仿宋_GB2312" w:cs="宋体"/>
          <w:sz w:val="32"/>
          <w:szCs w:val="32"/>
          <w:lang w:val="en-US" w:eastAsia="zh-CN"/>
        </w:rPr>
        <w:t>85</w:t>
      </w:r>
      <w:r>
        <w:rPr>
          <w:rFonts w:hint="eastAsia" w:ascii="仿宋_GB2312" w:hAnsi="仿宋" w:eastAsia="仿宋_GB2312" w:cs="宋体"/>
          <w:sz w:val="32"/>
          <w:szCs w:val="32"/>
        </w:rPr>
        <w:t>人计</w:t>
      </w:r>
      <w:r>
        <w:rPr>
          <w:rFonts w:hint="eastAsia" w:ascii="仿宋_GB2312" w:hAnsi="仿宋" w:eastAsia="仿宋_GB2312" w:cs="宋体"/>
          <w:sz w:val="32"/>
          <w:szCs w:val="32"/>
          <w:lang w:val="en-US" w:eastAsia="zh-CN"/>
        </w:rPr>
        <w:t>17.5</w:t>
      </w:r>
      <w:r>
        <w:rPr>
          <w:rFonts w:hint="eastAsia" w:ascii="仿宋_GB2312" w:hAnsi="仿宋" w:eastAsia="仿宋_GB2312" w:cs="宋体"/>
          <w:sz w:val="32"/>
          <w:szCs w:val="32"/>
        </w:rPr>
        <w:t>万元，三级以下</w:t>
      </w:r>
      <w:r>
        <w:rPr>
          <w:rFonts w:hint="eastAsia" w:ascii="仿宋_GB2312" w:hAnsi="仿宋" w:eastAsia="仿宋_GB2312" w:cs="宋体"/>
          <w:sz w:val="32"/>
          <w:szCs w:val="32"/>
          <w:lang w:val="en-US" w:eastAsia="zh-CN"/>
        </w:rPr>
        <w:t>280</w:t>
      </w:r>
      <w:r>
        <w:rPr>
          <w:rFonts w:hint="eastAsia" w:ascii="仿宋_GB2312" w:hAnsi="仿宋" w:eastAsia="仿宋_GB2312" w:cs="宋体"/>
          <w:sz w:val="32"/>
          <w:szCs w:val="32"/>
        </w:rPr>
        <w:t>人计</w:t>
      </w:r>
      <w:r>
        <w:rPr>
          <w:rFonts w:hint="eastAsia" w:ascii="仿宋_GB2312" w:hAnsi="仿宋" w:eastAsia="仿宋_GB2312" w:cs="宋体"/>
          <w:sz w:val="32"/>
          <w:szCs w:val="32"/>
          <w:lang w:val="en-US" w:eastAsia="zh-CN"/>
        </w:rPr>
        <w:t>29.6</w:t>
      </w:r>
      <w:bookmarkStart w:id="0" w:name="_GoBack"/>
      <w:bookmarkEnd w:id="0"/>
      <w:r>
        <w:rPr>
          <w:rFonts w:hint="eastAsia" w:ascii="仿宋_GB2312" w:hAnsi="仿宋" w:eastAsia="仿宋_GB2312" w:cs="宋体"/>
          <w:sz w:val="32"/>
          <w:szCs w:val="32"/>
        </w:rPr>
        <w:t>万元进行了奖补，并为纳入“有奖监护”的精神病患者购买监护责任险，为精神病患者减轻了经济负担。</w:t>
      </w:r>
    </w:p>
    <w:p>
      <w:pPr>
        <w:spacing w:line="640" w:lineRule="exact"/>
        <w:ind w:firstLine="642"/>
        <w:rPr>
          <w:rFonts w:ascii="黑体" w:hAnsi="黑体" w:eastAsia="黑体" w:cs="宋体"/>
          <w:b/>
          <w:sz w:val="32"/>
          <w:szCs w:val="32"/>
        </w:rPr>
      </w:pPr>
      <w:r>
        <w:rPr>
          <w:rFonts w:hint="eastAsia" w:ascii="黑体" w:hAnsi="黑体" w:eastAsia="黑体" w:cs="宋体"/>
          <w:b/>
          <w:sz w:val="32"/>
          <w:szCs w:val="32"/>
        </w:rPr>
        <w:t>五、存在的问题</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1、在绩效管理上，事前没有制定明确、细化的绩效考核指标和标准值。</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由于该项目事前没有制定明确、细化的绩效考核指标和标准值，导致我们在绩效评价设置绩效指标和评价标准时缺少充分的依据。</w:t>
      </w:r>
    </w:p>
    <w:p>
      <w:pPr>
        <w:spacing w:line="640" w:lineRule="exact"/>
        <w:ind w:firstLine="642"/>
        <w:rPr>
          <w:rFonts w:ascii="黑体" w:hAnsi="黑体" w:eastAsia="黑体" w:cs="宋体"/>
          <w:b/>
          <w:sz w:val="32"/>
          <w:szCs w:val="32"/>
        </w:rPr>
      </w:pPr>
      <w:r>
        <w:rPr>
          <w:rFonts w:hint="eastAsia" w:ascii="黑体" w:hAnsi="黑体" w:eastAsia="黑体" w:cs="宋体"/>
          <w:b/>
          <w:sz w:val="32"/>
          <w:szCs w:val="32"/>
        </w:rPr>
        <w:t>六、下步工作：</w:t>
      </w:r>
    </w:p>
    <w:p>
      <w:pPr>
        <w:shd w:val="clear" w:color="auto" w:fill="FFFFFF"/>
        <w:tabs>
          <w:tab w:val="left" w:pos="3420"/>
        </w:tabs>
        <w:spacing w:line="360" w:lineRule="auto"/>
        <w:ind w:firstLine="595" w:firstLineChars="186"/>
        <w:rPr>
          <w:rFonts w:ascii="仿宋_GB2312" w:hAnsi="仿宋" w:eastAsia="仿宋_GB2312" w:cs="宋体"/>
          <w:sz w:val="32"/>
          <w:szCs w:val="32"/>
        </w:rPr>
      </w:pPr>
      <w:r>
        <w:rPr>
          <w:rFonts w:hint="eastAsia" w:ascii="仿宋_GB2312" w:hAnsi="仿宋" w:eastAsia="仿宋_GB2312" w:cs="宋体"/>
          <w:sz w:val="32"/>
          <w:szCs w:val="32"/>
        </w:rPr>
        <w:t>1、加强组织管理。组建综治干部、派出所民警、基层医务人员、民政干事、助残员、志愿者及村（居）干部等组成严重精神障碍患者管理帮扶组，进一步加强管理，做好服务。</w:t>
      </w:r>
    </w:p>
    <w:p>
      <w:pPr>
        <w:shd w:val="clear" w:color="auto" w:fill="FFFFFF"/>
        <w:tabs>
          <w:tab w:val="left" w:pos="3420"/>
        </w:tabs>
        <w:spacing w:line="360" w:lineRule="auto"/>
        <w:ind w:firstLine="595" w:firstLineChars="186"/>
        <w:rPr>
          <w:rFonts w:ascii="仿宋_GB2312" w:hAnsi="仿宋" w:eastAsia="仿宋_GB2312" w:cs="宋体"/>
          <w:sz w:val="32"/>
          <w:szCs w:val="32"/>
        </w:rPr>
      </w:pPr>
      <w:r>
        <w:rPr>
          <w:rFonts w:hint="eastAsia" w:ascii="仿宋_GB2312" w:hAnsi="仿宋" w:eastAsia="仿宋_GB2312" w:cs="宋体"/>
          <w:sz w:val="32"/>
          <w:szCs w:val="32"/>
        </w:rPr>
        <w:t>2、开展一次全面排查。立即组织一次全面排查，对有肇事肇祸行为倾向的精神障碍患者做到应送尽送、应治尽治。</w:t>
      </w:r>
    </w:p>
    <w:p>
      <w:pPr>
        <w:shd w:val="clear" w:color="auto" w:fill="FFFFFF"/>
        <w:tabs>
          <w:tab w:val="left" w:pos="3420"/>
        </w:tabs>
        <w:spacing w:line="360" w:lineRule="auto"/>
        <w:ind w:firstLine="595" w:firstLineChars="186"/>
        <w:rPr>
          <w:rFonts w:ascii="仿宋_GB2312" w:hAnsi="仿宋" w:eastAsia="仿宋_GB2312" w:cs="宋体"/>
          <w:sz w:val="32"/>
          <w:szCs w:val="32"/>
        </w:rPr>
      </w:pPr>
      <w:r>
        <w:rPr>
          <w:rFonts w:hint="eastAsia" w:ascii="仿宋_GB2312" w:hAnsi="仿宋" w:eastAsia="仿宋_GB2312" w:cs="宋体"/>
          <w:sz w:val="32"/>
          <w:szCs w:val="32"/>
        </w:rPr>
        <w:t>3、落实管控责任。由派出所建立“一人一策”档案，由社区（村）、派出所及基层卫生院建立规范的管控、走访、随访责任，派出所管控责任人每月至少走访一次，村（居）委会管控责任人每月至少走访两次，乡村医生对病情稳定的患者每季度至少随访一次，对病情不稳定的患者立即转送到上级医院。</w:t>
      </w:r>
    </w:p>
    <w:p>
      <w:pPr>
        <w:shd w:val="clear" w:color="auto" w:fill="FFFFFF"/>
        <w:tabs>
          <w:tab w:val="left" w:pos="3420"/>
        </w:tabs>
        <w:spacing w:line="360" w:lineRule="auto"/>
        <w:ind w:firstLine="595" w:firstLineChars="186"/>
        <w:rPr>
          <w:rFonts w:ascii="仿宋_GB2312" w:hAnsi="仿宋" w:eastAsia="仿宋_GB2312" w:cs="宋体"/>
          <w:sz w:val="32"/>
          <w:szCs w:val="32"/>
        </w:rPr>
      </w:pPr>
      <w:r>
        <w:rPr>
          <w:rFonts w:hint="eastAsia" w:ascii="仿宋_GB2312" w:hAnsi="仿宋" w:eastAsia="仿宋_GB2312" w:cs="宋体"/>
          <w:sz w:val="32"/>
          <w:szCs w:val="32"/>
        </w:rPr>
        <w:t>4、加强危险性评估及信息管理。公安派出所送治肇事肇祸等严重精神障碍患者到定点救治医院由精神卫生专业机构进行诊断，开展危险性评估，确立危险等级，有针对性进行管控。</w:t>
      </w:r>
    </w:p>
    <w:p>
      <w:pPr>
        <w:shd w:val="clear" w:color="auto" w:fill="FFFFFF"/>
        <w:tabs>
          <w:tab w:val="left" w:pos="3420"/>
        </w:tabs>
        <w:spacing w:line="360" w:lineRule="auto"/>
        <w:ind w:firstLine="595" w:firstLineChars="186"/>
        <w:rPr>
          <w:rFonts w:ascii="仿宋" w:hAnsi="仿宋" w:eastAsia="仿宋"/>
          <w:sz w:val="32"/>
          <w:szCs w:val="32"/>
        </w:rPr>
      </w:pPr>
      <w:r>
        <w:rPr>
          <w:rFonts w:hint="eastAsia" w:ascii="仿宋_GB2312" w:hAnsi="仿宋" w:eastAsia="仿宋_GB2312" w:cs="宋体"/>
          <w:sz w:val="32"/>
          <w:szCs w:val="32"/>
        </w:rPr>
        <w:t>5、落实好以奖代补政策。根据中央、省、市要求对纳入有奖监护范围的严重精神障碍患者，继续签订有奖监护责任书，实行有奖监护。</w:t>
      </w:r>
      <w:r>
        <w:rPr>
          <w:rFonts w:hint="eastAsia" w:ascii="仿宋" w:hAnsi="仿宋" w:eastAsia="仿宋"/>
          <w:sz w:val="32"/>
          <w:szCs w:val="32"/>
        </w:rPr>
        <w:t xml:space="preserve"> </w:t>
      </w:r>
    </w:p>
    <w:p>
      <w:pPr>
        <w:spacing w:line="640" w:lineRule="exact"/>
        <w:ind w:firstLine="5120" w:firstLineChars="1600"/>
        <w:rPr>
          <w:rFonts w:ascii="仿宋_GB2312" w:hAnsi="仿宋" w:eastAsia="仿宋_GB2312" w:cs="宋体"/>
          <w:sz w:val="32"/>
          <w:szCs w:val="32"/>
        </w:rPr>
      </w:pPr>
    </w:p>
    <w:p>
      <w:pPr>
        <w:spacing w:line="640" w:lineRule="exact"/>
        <w:ind w:firstLine="5120" w:firstLineChars="1600"/>
        <w:rPr>
          <w:rFonts w:ascii="仿宋_GB2312" w:hAnsi="仿宋" w:eastAsia="仿宋_GB2312" w:cs="宋体"/>
          <w:sz w:val="32"/>
          <w:szCs w:val="32"/>
        </w:rPr>
      </w:pPr>
    </w:p>
    <w:p>
      <w:pPr>
        <w:spacing w:line="640" w:lineRule="exact"/>
        <w:ind w:firstLine="5120" w:firstLineChars="1600"/>
        <w:rPr>
          <w:rFonts w:ascii="仿宋_GB2312" w:hAnsi="仿宋" w:eastAsia="仿宋_GB2312" w:cs="宋体"/>
          <w:sz w:val="32"/>
          <w:szCs w:val="32"/>
        </w:rPr>
      </w:pPr>
      <w:r>
        <w:rPr>
          <w:rFonts w:hint="eastAsia" w:ascii="仿宋_GB2312" w:hAnsi="仿宋" w:eastAsia="仿宋_GB2312" w:cs="宋体"/>
          <w:sz w:val="32"/>
          <w:szCs w:val="32"/>
        </w:rPr>
        <w:t>中共上高县委政法委员会</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 xml:space="preserve">                                 202</w:t>
      </w:r>
      <w:r>
        <w:rPr>
          <w:rFonts w:hint="eastAsia" w:ascii="仿宋_GB2312" w:hAnsi="仿宋" w:eastAsia="仿宋_GB2312" w:cs="宋体"/>
          <w:sz w:val="32"/>
          <w:szCs w:val="32"/>
          <w:lang w:val="en-US" w:eastAsia="zh-CN"/>
        </w:rPr>
        <w:t>3</w:t>
      </w:r>
      <w:r>
        <w:rPr>
          <w:rFonts w:hint="eastAsia" w:ascii="仿宋_GB2312" w:hAnsi="仿宋" w:eastAsia="仿宋_GB2312" w:cs="宋体"/>
          <w:sz w:val="32"/>
          <w:szCs w:val="32"/>
        </w:rPr>
        <w:t>年4月10日</w:t>
      </w:r>
    </w:p>
    <w:sectPr>
      <w:headerReference r:id="rId4" w:type="default"/>
      <w:footerReference r:id="rId5" w:type="default"/>
      <w:pgSz w:w="11906" w:h="16838"/>
      <w:pgMar w:top="1246" w:right="1418" w:bottom="1246"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Pr>
      <w:t>7</w:t>
    </w:r>
    <w:r>
      <w:rPr>
        <w:rStyle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NmVmMDQyZjU5ZGJhNDc3NTJmNGZlMTA1NWNjOWMifQ=="/>
  </w:docVars>
  <w:rsids>
    <w:rsidRoot w:val="006777A4"/>
    <w:rsid w:val="000029FD"/>
    <w:rsid w:val="00002C24"/>
    <w:rsid w:val="00004D79"/>
    <w:rsid w:val="0001126F"/>
    <w:rsid w:val="00020C82"/>
    <w:rsid w:val="000236D0"/>
    <w:rsid w:val="00023E46"/>
    <w:rsid w:val="00030096"/>
    <w:rsid w:val="000422B2"/>
    <w:rsid w:val="00047AD5"/>
    <w:rsid w:val="00047D76"/>
    <w:rsid w:val="0005056C"/>
    <w:rsid w:val="00052E79"/>
    <w:rsid w:val="0005787A"/>
    <w:rsid w:val="000579BA"/>
    <w:rsid w:val="00071303"/>
    <w:rsid w:val="00071734"/>
    <w:rsid w:val="00073794"/>
    <w:rsid w:val="00075CC7"/>
    <w:rsid w:val="00080963"/>
    <w:rsid w:val="00081A43"/>
    <w:rsid w:val="00084489"/>
    <w:rsid w:val="00086980"/>
    <w:rsid w:val="00093843"/>
    <w:rsid w:val="000A1169"/>
    <w:rsid w:val="000A69F3"/>
    <w:rsid w:val="000B331F"/>
    <w:rsid w:val="000B4740"/>
    <w:rsid w:val="000B71EB"/>
    <w:rsid w:val="000C78BF"/>
    <w:rsid w:val="000D1891"/>
    <w:rsid w:val="000D20C8"/>
    <w:rsid w:val="000D247A"/>
    <w:rsid w:val="000D256C"/>
    <w:rsid w:val="000D2A10"/>
    <w:rsid w:val="000D2B37"/>
    <w:rsid w:val="000D482A"/>
    <w:rsid w:val="000D4CD6"/>
    <w:rsid w:val="000E00C8"/>
    <w:rsid w:val="000E11D3"/>
    <w:rsid w:val="000F2DA3"/>
    <w:rsid w:val="000F3229"/>
    <w:rsid w:val="000F349C"/>
    <w:rsid w:val="000F49D2"/>
    <w:rsid w:val="000F4FCF"/>
    <w:rsid w:val="000F63D8"/>
    <w:rsid w:val="00100A73"/>
    <w:rsid w:val="0010181E"/>
    <w:rsid w:val="00102999"/>
    <w:rsid w:val="00111E85"/>
    <w:rsid w:val="00114B09"/>
    <w:rsid w:val="001212BD"/>
    <w:rsid w:val="00121529"/>
    <w:rsid w:val="00121580"/>
    <w:rsid w:val="00124E54"/>
    <w:rsid w:val="00127748"/>
    <w:rsid w:val="001302B0"/>
    <w:rsid w:val="001313DA"/>
    <w:rsid w:val="00134603"/>
    <w:rsid w:val="00134984"/>
    <w:rsid w:val="00134A37"/>
    <w:rsid w:val="00137FB1"/>
    <w:rsid w:val="00140ACD"/>
    <w:rsid w:val="00142451"/>
    <w:rsid w:val="0014352A"/>
    <w:rsid w:val="00146526"/>
    <w:rsid w:val="001477FD"/>
    <w:rsid w:val="001509A9"/>
    <w:rsid w:val="001527D0"/>
    <w:rsid w:val="00160474"/>
    <w:rsid w:val="00161A4E"/>
    <w:rsid w:val="00161B2A"/>
    <w:rsid w:val="00163CE5"/>
    <w:rsid w:val="001670C0"/>
    <w:rsid w:val="001705F0"/>
    <w:rsid w:val="00170921"/>
    <w:rsid w:val="00171AC5"/>
    <w:rsid w:val="001720A0"/>
    <w:rsid w:val="00173D29"/>
    <w:rsid w:val="00176B78"/>
    <w:rsid w:val="0018034E"/>
    <w:rsid w:val="00183B77"/>
    <w:rsid w:val="001863C1"/>
    <w:rsid w:val="001871A8"/>
    <w:rsid w:val="00196467"/>
    <w:rsid w:val="001965A2"/>
    <w:rsid w:val="00196677"/>
    <w:rsid w:val="00196F52"/>
    <w:rsid w:val="001A410A"/>
    <w:rsid w:val="001A44C6"/>
    <w:rsid w:val="001A5465"/>
    <w:rsid w:val="001A5612"/>
    <w:rsid w:val="001A5B1F"/>
    <w:rsid w:val="001B133A"/>
    <w:rsid w:val="001B1E14"/>
    <w:rsid w:val="001C3B39"/>
    <w:rsid w:val="001C55E2"/>
    <w:rsid w:val="001C738A"/>
    <w:rsid w:val="001D21A3"/>
    <w:rsid w:val="001D41D8"/>
    <w:rsid w:val="001D7479"/>
    <w:rsid w:val="001E6C29"/>
    <w:rsid w:val="001E73CA"/>
    <w:rsid w:val="001F0E4A"/>
    <w:rsid w:val="001F2817"/>
    <w:rsid w:val="001F4D08"/>
    <w:rsid w:val="00200C07"/>
    <w:rsid w:val="00206044"/>
    <w:rsid w:val="00214614"/>
    <w:rsid w:val="002163A0"/>
    <w:rsid w:val="002170C7"/>
    <w:rsid w:val="002176C1"/>
    <w:rsid w:val="002201C6"/>
    <w:rsid w:val="002217B9"/>
    <w:rsid w:val="00221AC8"/>
    <w:rsid w:val="00221CD9"/>
    <w:rsid w:val="0022586F"/>
    <w:rsid w:val="002260FB"/>
    <w:rsid w:val="0022726B"/>
    <w:rsid w:val="002322FC"/>
    <w:rsid w:val="00237CDD"/>
    <w:rsid w:val="00237E69"/>
    <w:rsid w:val="00241670"/>
    <w:rsid w:val="0024376E"/>
    <w:rsid w:val="00247D95"/>
    <w:rsid w:val="00250410"/>
    <w:rsid w:val="0025439A"/>
    <w:rsid w:val="00255B3A"/>
    <w:rsid w:val="00257E00"/>
    <w:rsid w:val="002610BE"/>
    <w:rsid w:val="0026664F"/>
    <w:rsid w:val="00267E9E"/>
    <w:rsid w:val="00270A25"/>
    <w:rsid w:val="00272938"/>
    <w:rsid w:val="00272C50"/>
    <w:rsid w:val="00274868"/>
    <w:rsid w:val="002757D0"/>
    <w:rsid w:val="002827D5"/>
    <w:rsid w:val="00284F25"/>
    <w:rsid w:val="002910C4"/>
    <w:rsid w:val="0029273B"/>
    <w:rsid w:val="00297D91"/>
    <w:rsid w:val="002A2585"/>
    <w:rsid w:val="002A3BA4"/>
    <w:rsid w:val="002A51E1"/>
    <w:rsid w:val="002A7E5F"/>
    <w:rsid w:val="002A7F13"/>
    <w:rsid w:val="002B1A4B"/>
    <w:rsid w:val="002B259E"/>
    <w:rsid w:val="002B3D5D"/>
    <w:rsid w:val="002C0B4E"/>
    <w:rsid w:val="002C1796"/>
    <w:rsid w:val="002C2B78"/>
    <w:rsid w:val="002C7728"/>
    <w:rsid w:val="002D1743"/>
    <w:rsid w:val="002D495C"/>
    <w:rsid w:val="002D5760"/>
    <w:rsid w:val="002D7B7F"/>
    <w:rsid w:val="002D7E4E"/>
    <w:rsid w:val="002E02A6"/>
    <w:rsid w:val="002E0853"/>
    <w:rsid w:val="002E13CB"/>
    <w:rsid w:val="002E4DB8"/>
    <w:rsid w:val="002F360F"/>
    <w:rsid w:val="00303F4A"/>
    <w:rsid w:val="0030456F"/>
    <w:rsid w:val="00306935"/>
    <w:rsid w:val="0031167C"/>
    <w:rsid w:val="003125B3"/>
    <w:rsid w:val="00313293"/>
    <w:rsid w:val="003154AC"/>
    <w:rsid w:val="003157E9"/>
    <w:rsid w:val="003159DA"/>
    <w:rsid w:val="00325A39"/>
    <w:rsid w:val="00327A64"/>
    <w:rsid w:val="00330BCD"/>
    <w:rsid w:val="00331308"/>
    <w:rsid w:val="00334ED8"/>
    <w:rsid w:val="0033510F"/>
    <w:rsid w:val="003373C8"/>
    <w:rsid w:val="00340246"/>
    <w:rsid w:val="0034052C"/>
    <w:rsid w:val="00345684"/>
    <w:rsid w:val="0035604D"/>
    <w:rsid w:val="00357764"/>
    <w:rsid w:val="003577E1"/>
    <w:rsid w:val="00360D20"/>
    <w:rsid w:val="003631B0"/>
    <w:rsid w:val="0036672D"/>
    <w:rsid w:val="003731E4"/>
    <w:rsid w:val="00374FEF"/>
    <w:rsid w:val="00376888"/>
    <w:rsid w:val="0037790A"/>
    <w:rsid w:val="00386255"/>
    <w:rsid w:val="00390A7B"/>
    <w:rsid w:val="00393584"/>
    <w:rsid w:val="003948A2"/>
    <w:rsid w:val="00394AF8"/>
    <w:rsid w:val="003968BB"/>
    <w:rsid w:val="00397594"/>
    <w:rsid w:val="003A2FC5"/>
    <w:rsid w:val="003A69B1"/>
    <w:rsid w:val="003B0389"/>
    <w:rsid w:val="003B14B1"/>
    <w:rsid w:val="003B252B"/>
    <w:rsid w:val="003B5DE4"/>
    <w:rsid w:val="003C0D13"/>
    <w:rsid w:val="003C12FD"/>
    <w:rsid w:val="003C1947"/>
    <w:rsid w:val="003D13B1"/>
    <w:rsid w:val="003D3AE5"/>
    <w:rsid w:val="003D448D"/>
    <w:rsid w:val="003D6C5B"/>
    <w:rsid w:val="003E0434"/>
    <w:rsid w:val="003E58A3"/>
    <w:rsid w:val="003E60C0"/>
    <w:rsid w:val="003F2045"/>
    <w:rsid w:val="00404533"/>
    <w:rsid w:val="00406A7F"/>
    <w:rsid w:val="00406D6B"/>
    <w:rsid w:val="004116DB"/>
    <w:rsid w:val="00412B4F"/>
    <w:rsid w:val="00414AB3"/>
    <w:rsid w:val="0041694F"/>
    <w:rsid w:val="00417CE5"/>
    <w:rsid w:val="0042501D"/>
    <w:rsid w:val="004257CC"/>
    <w:rsid w:val="00426AB0"/>
    <w:rsid w:val="0042759D"/>
    <w:rsid w:val="004304AE"/>
    <w:rsid w:val="004317CB"/>
    <w:rsid w:val="00431A09"/>
    <w:rsid w:val="004329C8"/>
    <w:rsid w:val="00436931"/>
    <w:rsid w:val="004376BE"/>
    <w:rsid w:val="00440C0F"/>
    <w:rsid w:val="00440F31"/>
    <w:rsid w:val="0044367A"/>
    <w:rsid w:val="00443F97"/>
    <w:rsid w:val="0044417C"/>
    <w:rsid w:val="004449A6"/>
    <w:rsid w:val="00445644"/>
    <w:rsid w:val="004466F0"/>
    <w:rsid w:val="004504CC"/>
    <w:rsid w:val="004526F9"/>
    <w:rsid w:val="00456539"/>
    <w:rsid w:val="004578AB"/>
    <w:rsid w:val="004615B9"/>
    <w:rsid w:val="00462AA4"/>
    <w:rsid w:val="004700BA"/>
    <w:rsid w:val="004730A4"/>
    <w:rsid w:val="004734EF"/>
    <w:rsid w:val="00473631"/>
    <w:rsid w:val="0047452D"/>
    <w:rsid w:val="004824FD"/>
    <w:rsid w:val="0048564A"/>
    <w:rsid w:val="00486B5F"/>
    <w:rsid w:val="00487389"/>
    <w:rsid w:val="00491545"/>
    <w:rsid w:val="00493F6E"/>
    <w:rsid w:val="00495DD6"/>
    <w:rsid w:val="004B4933"/>
    <w:rsid w:val="004B519B"/>
    <w:rsid w:val="004C06F0"/>
    <w:rsid w:val="004C2682"/>
    <w:rsid w:val="004C3282"/>
    <w:rsid w:val="004C33DF"/>
    <w:rsid w:val="004C6B9E"/>
    <w:rsid w:val="004D1306"/>
    <w:rsid w:val="004D25C9"/>
    <w:rsid w:val="004D2B0B"/>
    <w:rsid w:val="004D3261"/>
    <w:rsid w:val="004D4209"/>
    <w:rsid w:val="004D5366"/>
    <w:rsid w:val="004D5960"/>
    <w:rsid w:val="004E2C29"/>
    <w:rsid w:val="004E6399"/>
    <w:rsid w:val="004F11E3"/>
    <w:rsid w:val="004F221D"/>
    <w:rsid w:val="004F2221"/>
    <w:rsid w:val="004F249F"/>
    <w:rsid w:val="004F24D1"/>
    <w:rsid w:val="004F6017"/>
    <w:rsid w:val="00501456"/>
    <w:rsid w:val="005025F3"/>
    <w:rsid w:val="00502D92"/>
    <w:rsid w:val="005109EA"/>
    <w:rsid w:val="00513796"/>
    <w:rsid w:val="00517622"/>
    <w:rsid w:val="005176B3"/>
    <w:rsid w:val="00521287"/>
    <w:rsid w:val="005236CB"/>
    <w:rsid w:val="005240BB"/>
    <w:rsid w:val="0052470E"/>
    <w:rsid w:val="00530E97"/>
    <w:rsid w:val="005357E2"/>
    <w:rsid w:val="0053658D"/>
    <w:rsid w:val="00537F32"/>
    <w:rsid w:val="005427F8"/>
    <w:rsid w:val="005429BF"/>
    <w:rsid w:val="005435A9"/>
    <w:rsid w:val="00550BAD"/>
    <w:rsid w:val="00552546"/>
    <w:rsid w:val="00552ABE"/>
    <w:rsid w:val="00555716"/>
    <w:rsid w:val="00557480"/>
    <w:rsid w:val="0056483E"/>
    <w:rsid w:val="00565C5E"/>
    <w:rsid w:val="00566D85"/>
    <w:rsid w:val="00571550"/>
    <w:rsid w:val="0057599B"/>
    <w:rsid w:val="005766AD"/>
    <w:rsid w:val="005766FB"/>
    <w:rsid w:val="00576B5C"/>
    <w:rsid w:val="00580670"/>
    <w:rsid w:val="005807B0"/>
    <w:rsid w:val="00581BEB"/>
    <w:rsid w:val="005853A6"/>
    <w:rsid w:val="00586251"/>
    <w:rsid w:val="00586D57"/>
    <w:rsid w:val="0059290A"/>
    <w:rsid w:val="00593F00"/>
    <w:rsid w:val="00596CBE"/>
    <w:rsid w:val="005A1B74"/>
    <w:rsid w:val="005A31CA"/>
    <w:rsid w:val="005A6598"/>
    <w:rsid w:val="005A6689"/>
    <w:rsid w:val="005A6C49"/>
    <w:rsid w:val="005B3720"/>
    <w:rsid w:val="005C1D62"/>
    <w:rsid w:val="005C6579"/>
    <w:rsid w:val="005C787D"/>
    <w:rsid w:val="005C7B6E"/>
    <w:rsid w:val="005D0C67"/>
    <w:rsid w:val="005D0E2E"/>
    <w:rsid w:val="005D0E7A"/>
    <w:rsid w:val="005D4395"/>
    <w:rsid w:val="005D6907"/>
    <w:rsid w:val="005E1676"/>
    <w:rsid w:val="005E1CBC"/>
    <w:rsid w:val="005E38D5"/>
    <w:rsid w:val="005E4103"/>
    <w:rsid w:val="005E5889"/>
    <w:rsid w:val="005E5CE7"/>
    <w:rsid w:val="005F5542"/>
    <w:rsid w:val="006027D3"/>
    <w:rsid w:val="00602AC3"/>
    <w:rsid w:val="00604BE7"/>
    <w:rsid w:val="006052C7"/>
    <w:rsid w:val="00606369"/>
    <w:rsid w:val="0060650E"/>
    <w:rsid w:val="00607158"/>
    <w:rsid w:val="006101A1"/>
    <w:rsid w:val="0061452A"/>
    <w:rsid w:val="00621AD2"/>
    <w:rsid w:val="00626247"/>
    <w:rsid w:val="006277CF"/>
    <w:rsid w:val="00634AA9"/>
    <w:rsid w:val="0063738B"/>
    <w:rsid w:val="00640E7D"/>
    <w:rsid w:val="00644586"/>
    <w:rsid w:val="00646EB1"/>
    <w:rsid w:val="006502C2"/>
    <w:rsid w:val="00650A61"/>
    <w:rsid w:val="006529CA"/>
    <w:rsid w:val="00652ADB"/>
    <w:rsid w:val="00652C6F"/>
    <w:rsid w:val="006556FA"/>
    <w:rsid w:val="006561FD"/>
    <w:rsid w:val="00656941"/>
    <w:rsid w:val="00657596"/>
    <w:rsid w:val="00663C57"/>
    <w:rsid w:val="00666511"/>
    <w:rsid w:val="006675CF"/>
    <w:rsid w:val="006709D2"/>
    <w:rsid w:val="00671047"/>
    <w:rsid w:val="00672D32"/>
    <w:rsid w:val="0067605A"/>
    <w:rsid w:val="006777A4"/>
    <w:rsid w:val="006838EE"/>
    <w:rsid w:val="00683920"/>
    <w:rsid w:val="00683A81"/>
    <w:rsid w:val="006852E0"/>
    <w:rsid w:val="00690204"/>
    <w:rsid w:val="00691271"/>
    <w:rsid w:val="00692EBF"/>
    <w:rsid w:val="00695F1E"/>
    <w:rsid w:val="00696C0E"/>
    <w:rsid w:val="006A1FC5"/>
    <w:rsid w:val="006A7B83"/>
    <w:rsid w:val="006B016D"/>
    <w:rsid w:val="006B25EE"/>
    <w:rsid w:val="006B3E9B"/>
    <w:rsid w:val="006B642F"/>
    <w:rsid w:val="006C0035"/>
    <w:rsid w:val="006C225E"/>
    <w:rsid w:val="006C399F"/>
    <w:rsid w:val="006C5FB0"/>
    <w:rsid w:val="006C673E"/>
    <w:rsid w:val="006D36C4"/>
    <w:rsid w:val="006D3C4B"/>
    <w:rsid w:val="006D4538"/>
    <w:rsid w:val="006D6391"/>
    <w:rsid w:val="006E3156"/>
    <w:rsid w:val="006E375E"/>
    <w:rsid w:val="006E4BA5"/>
    <w:rsid w:val="006E59CA"/>
    <w:rsid w:val="006F1A64"/>
    <w:rsid w:val="006F2D32"/>
    <w:rsid w:val="006F707C"/>
    <w:rsid w:val="00701AF6"/>
    <w:rsid w:val="00701DAB"/>
    <w:rsid w:val="00702E91"/>
    <w:rsid w:val="007077D2"/>
    <w:rsid w:val="00714AA2"/>
    <w:rsid w:val="00715445"/>
    <w:rsid w:val="00717583"/>
    <w:rsid w:val="00717872"/>
    <w:rsid w:val="00720489"/>
    <w:rsid w:val="00721888"/>
    <w:rsid w:val="00723B1C"/>
    <w:rsid w:val="007240DE"/>
    <w:rsid w:val="00725A77"/>
    <w:rsid w:val="00727E08"/>
    <w:rsid w:val="00731A3B"/>
    <w:rsid w:val="00733EBA"/>
    <w:rsid w:val="0073581F"/>
    <w:rsid w:val="00742436"/>
    <w:rsid w:val="00742A0E"/>
    <w:rsid w:val="007446A5"/>
    <w:rsid w:val="00744CE3"/>
    <w:rsid w:val="00745953"/>
    <w:rsid w:val="007477DF"/>
    <w:rsid w:val="00747FD4"/>
    <w:rsid w:val="007522BD"/>
    <w:rsid w:val="007532B8"/>
    <w:rsid w:val="0075330D"/>
    <w:rsid w:val="0075375A"/>
    <w:rsid w:val="00753D41"/>
    <w:rsid w:val="00757071"/>
    <w:rsid w:val="00760ED7"/>
    <w:rsid w:val="00763719"/>
    <w:rsid w:val="0076786E"/>
    <w:rsid w:val="00770619"/>
    <w:rsid w:val="007720A5"/>
    <w:rsid w:val="00780B46"/>
    <w:rsid w:val="00784B29"/>
    <w:rsid w:val="00784C62"/>
    <w:rsid w:val="007877C4"/>
    <w:rsid w:val="00797D70"/>
    <w:rsid w:val="00797F2D"/>
    <w:rsid w:val="007A1EBB"/>
    <w:rsid w:val="007B2298"/>
    <w:rsid w:val="007B3A87"/>
    <w:rsid w:val="007B414C"/>
    <w:rsid w:val="007B5086"/>
    <w:rsid w:val="007B5AB1"/>
    <w:rsid w:val="007B6B0B"/>
    <w:rsid w:val="007B77CF"/>
    <w:rsid w:val="007C1FFA"/>
    <w:rsid w:val="007C37D0"/>
    <w:rsid w:val="007C5932"/>
    <w:rsid w:val="007C73E0"/>
    <w:rsid w:val="007D1492"/>
    <w:rsid w:val="007D3B9F"/>
    <w:rsid w:val="007E05A2"/>
    <w:rsid w:val="007E1C72"/>
    <w:rsid w:val="007E375D"/>
    <w:rsid w:val="007E3BDE"/>
    <w:rsid w:val="007E5B8F"/>
    <w:rsid w:val="007F0421"/>
    <w:rsid w:val="007F24FA"/>
    <w:rsid w:val="007F2B64"/>
    <w:rsid w:val="007F38E1"/>
    <w:rsid w:val="007F42DB"/>
    <w:rsid w:val="00802DF9"/>
    <w:rsid w:val="00803BB8"/>
    <w:rsid w:val="008044D3"/>
    <w:rsid w:val="0080538A"/>
    <w:rsid w:val="008069BE"/>
    <w:rsid w:val="00807986"/>
    <w:rsid w:val="00811841"/>
    <w:rsid w:val="008119AF"/>
    <w:rsid w:val="0081241E"/>
    <w:rsid w:val="0081650E"/>
    <w:rsid w:val="00816D63"/>
    <w:rsid w:val="00817726"/>
    <w:rsid w:val="0082544A"/>
    <w:rsid w:val="0083614F"/>
    <w:rsid w:val="0083776A"/>
    <w:rsid w:val="00842CB8"/>
    <w:rsid w:val="00843188"/>
    <w:rsid w:val="00843C39"/>
    <w:rsid w:val="00845201"/>
    <w:rsid w:val="00846140"/>
    <w:rsid w:val="00846D04"/>
    <w:rsid w:val="00847174"/>
    <w:rsid w:val="00852A96"/>
    <w:rsid w:val="008548AA"/>
    <w:rsid w:val="00855810"/>
    <w:rsid w:val="008572A6"/>
    <w:rsid w:val="008574A4"/>
    <w:rsid w:val="00857DE9"/>
    <w:rsid w:val="00861E97"/>
    <w:rsid w:val="00862C6F"/>
    <w:rsid w:val="008646A1"/>
    <w:rsid w:val="00866060"/>
    <w:rsid w:val="00866DE8"/>
    <w:rsid w:val="00867C92"/>
    <w:rsid w:val="0087252C"/>
    <w:rsid w:val="0087290F"/>
    <w:rsid w:val="0087359A"/>
    <w:rsid w:val="0087556B"/>
    <w:rsid w:val="00876198"/>
    <w:rsid w:val="0088008C"/>
    <w:rsid w:val="00884938"/>
    <w:rsid w:val="00891514"/>
    <w:rsid w:val="008926BE"/>
    <w:rsid w:val="00893278"/>
    <w:rsid w:val="00896A84"/>
    <w:rsid w:val="008A2A7B"/>
    <w:rsid w:val="008A6BB3"/>
    <w:rsid w:val="008A7340"/>
    <w:rsid w:val="008B058D"/>
    <w:rsid w:val="008B35E0"/>
    <w:rsid w:val="008B3E8C"/>
    <w:rsid w:val="008B5A5D"/>
    <w:rsid w:val="008B7842"/>
    <w:rsid w:val="008C0586"/>
    <w:rsid w:val="008C1307"/>
    <w:rsid w:val="008C2A8B"/>
    <w:rsid w:val="008C3762"/>
    <w:rsid w:val="008C3B5F"/>
    <w:rsid w:val="008C4024"/>
    <w:rsid w:val="008C589E"/>
    <w:rsid w:val="008D0563"/>
    <w:rsid w:val="008D0B73"/>
    <w:rsid w:val="008D31F8"/>
    <w:rsid w:val="008D3D54"/>
    <w:rsid w:val="008D5A91"/>
    <w:rsid w:val="008D5B77"/>
    <w:rsid w:val="008D7538"/>
    <w:rsid w:val="008D7D34"/>
    <w:rsid w:val="008E3353"/>
    <w:rsid w:val="008E4EA4"/>
    <w:rsid w:val="008F2BA2"/>
    <w:rsid w:val="008F346C"/>
    <w:rsid w:val="008F62B1"/>
    <w:rsid w:val="00904D8A"/>
    <w:rsid w:val="00907BB2"/>
    <w:rsid w:val="0091092C"/>
    <w:rsid w:val="00911B12"/>
    <w:rsid w:val="00914E69"/>
    <w:rsid w:val="00915A7D"/>
    <w:rsid w:val="0091768F"/>
    <w:rsid w:val="00920113"/>
    <w:rsid w:val="009216C1"/>
    <w:rsid w:val="00921E20"/>
    <w:rsid w:val="00922154"/>
    <w:rsid w:val="00925A46"/>
    <w:rsid w:val="00925DDB"/>
    <w:rsid w:val="00937891"/>
    <w:rsid w:val="00941215"/>
    <w:rsid w:val="00943E48"/>
    <w:rsid w:val="0094475E"/>
    <w:rsid w:val="00944C15"/>
    <w:rsid w:val="00944C5C"/>
    <w:rsid w:val="00945B0F"/>
    <w:rsid w:val="00946493"/>
    <w:rsid w:val="00946528"/>
    <w:rsid w:val="009538B4"/>
    <w:rsid w:val="00955B5B"/>
    <w:rsid w:val="0096021B"/>
    <w:rsid w:val="0096544D"/>
    <w:rsid w:val="00967AA7"/>
    <w:rsid w:val="00967EB3"/>
    <w:rsid w:val="00971D80"/>
    <w:rsid w:val="00973DEE"/>
    <w:rsid w:val="00976270"/>
    <w:rsid w:val="00980110"/>
    <w:rsid w:val="0098174A"/>
    <w:rsid w:val="009875F8"/>
    <w:rsid w:val="0099060E"/>
    <w:rsid w:val="00990D57"/>
    <w:rsid w:val="009916C1"/>
    <w:rsid w:val="009925B1"/>
    <w:rsid w:val="00993C09"/>
    <w:rsid w:val="00994B1F"/>
    <w:rsid w:val="00994C59"/>
    <w:rsid w:val="009963DB"/>
    <w:rsid w:val="00996442"/>
    <w:rsid w:val="00997462"/>
    <w:rsid w:val="009A0675"/>
    <w:rsid w:val="009A267D"/>
    <w:rsid w:val="009B513C"/>
    <w:rsid w:val="009B54BC"/>
    <w:rsid w:val="009B6B1C"/>
    <w:rsid w:val="009C0318"/>
    <w:rsid w:val="009C4911"/>
    <w:rsid w:val="009D1225"/>
    <w:rsid w:val="009D425B"/>
    <w:rsid w:val="009D6F03"/>
    <w:rsid w:val="009E70C7"/>
    <w:rsid w:val="009F0FA8"/>
    <w:rsid w:val="009F4A4E"/>
    <w:rsid w:val="009F4DCA"/>
    <w:rsid w:val="009F547D"/>
    <w:rsid w:val="00A00848"/>
    <w:rsid w:val="00A036FD"/>
    <w:rsid w:val="00A06B6E"/>
    <w:rsid w:val="00A137B9"/>
    <w:rsid w:val="00A14714"/>
    <w:rsid w:val="00A14762"/>
    <w:rsid w:val="00A16BEF"/>
    <w:rsid w:val="00A209E1"/>
    <w:rsid w:val="00A20BEE"/>
    <w:rsid w:val="00A21C1E"/>
    <w:rsid w:val="00A23245"/>
    <w:rsid w:val="00A24C34"/>
    <w:rsid w:val="00A34176"/>
    <w:rsid w:val="00A34DA8"/>
    <w:rsid w:val="00A350B4"/>
    <w:rsid w:val="00A4011F"/>
    <w:rsid w:val="00A44080"/>
    <w:rsid w:val="00A47735"/>
    <w:rsid w:val="00A54C9B"/>
    <w:rsid w:val="00A5758F"/>
    <w:rsid w:val="00A61501"/>
    <w:rsid w:val="00A70294"/>
    <w:rsid w:val="00A76705"/>
    <w:rsid w:val="00A82B27"/>
    <w:rsid w:val="00A86F7E"/>
    <w:rsid w:val="00AA30FF"/>
    <w:rsid w:val="00AA4AC4"/>
    <w:rsid w:val="00AA7148"/>
    <w:rsid w:val="00AA7517"/>
    <w:rsid w:val="00AB0BFB"/>
    <w:rsid w:val="00AB3930"/>
    <w:rsid w:val="00AB5DC7"/>
    <w:rsid w:val="00AB7740"/>
    <w:rsid w:val="00AC075B"/>
    <w:rsid w:val="00AD518C"/>
    <w:rsid w:val="00AD6E18"/>
    <w:rsid w:val="00AD7EB8"/>
    <w:rsid w:val="00AE51C7"/>
    <w:rsid w:val="00AE59E4"/>
    <w:rsid w:val="00AF1833"/>
    <w:rsid w:val="00AF2BF5"/>
    <w:rsid w:val="00AF3280"/>
    <w:rsid w:val="00AF4780"/>
    <w:rsid w:val="00B01266"/>
    <w:rsid w:val="00B017C9"/>
    <w:rsid w:val="00B02473"/>
    <w:rsid w:val="00B03307"/>
    <w:rsid w:val="00B06547"/>
    <w:rsid w:val="00B07404"/>
    <w:rsid w:val="00B13476"/>
    <w:rsid w:val="00B14882"/>
    <w:rsid w:val="00B14DFA"/>
    <w:rsid w:val="00B1685A"/>
    <w:rsid w:val="00B16F43"/>
    <w:rsid w:val="00B2432F"/>
    <w:rsid w:val="00B248D4"/>
    <w:rsid w:val="00B30C5B"/>
    <w:rsid w:val="00B33539"/>
    <w:rsid w:val="00B36DBA"/>
    <w:rsid w:val="00B3758F"/>
    <w:rsid w:val="00B4209E"/>
    <w:rsid w:val="00B42413"/>
    <w:rsid w:val="00B470F3"/>
    <w:rsid w:val="00B4799A"/>
    <w:rsid w:val="00B47BC2"/>
    <w:rsid w:val="00B47F25"/>
    <w:rsid w:val="00B503D5"/>
    <w:rsid w:val="00B55B02"/>
    <w:rsid w:val="00B5787F"/>
    <w:rsid w:val="00B5799F"/>
    <w:rsid w:val="00B57AF1"/>
    <w:rsid w:val="00B57FE3"/>
    <w:rsid w:val="00B6279D"/>
    <w:rsid w:val="00B629E0"/>
    <w:rsid w:val="00B6332A"/>
    <w:rsid w:val="00B63701"/>
    <w:rsid w:val="00B63E8F"/>
    <w:rsid w:val="00B65AC8"/>
    <w:rsid w:val="00B67EA3"/>
    <w:rsid w:val="00B710AD"/>
    <w:rsid w:val="00B72E86"/>
    <w:rsid w:val="00B75F73"/>
    <w:rsid w:val="00B76328"/>
    <w:rsid w:val="00B8135C"/>
    <w:rsid w:val="00B82A37"/>
    <w:rsid w:val="00B83C4A"/>
    <w:rsid w:val="00B83FB2"/>
    <w:rsid w:val="00B84011"/>
    <w:rsid w:val="00B86C81"/>
    <w:rsid w:val="00B965E8"/>
    <w:rsid w:val="00B966CA"/>
    <w:rsid w:val="00B96BAB"/>
    <w:rsid w:val="00B973C7"/>
    <w:rsid w:val="00B9744E"/>
    <w:rsid w:val="00BB2178"/>
    <w:rsid w:val="00BB358C"/>
    <w:rsid w:val="00BB5A46"/>
    <w:rsid w:val="00BC0770"/>
    <w:rsid w:val="00BC3C9C"/>
    <w:rsid w:val="00BC728A"/>
    <w:rsid w:val="00BC72DA"/>
    <w:rsid w:val="00BD5AC6"/>
    <w:rsid w:val="00BE3F85"/>
    <w:rsid w:val="00BF068D"/>
    <w:rsid w:val="00BF22DA"/>
    <w:rsid w:val="00BF546F"/>
    <w:rsid w:val="00BF6823"/>
    <w:rsid w:val="00C03017"/>
    <w:rsid w:val="00C117DD"/>
    <w:rsid w:val="00C14F98"/>
    <w:rsid w:val="00C158AD"/>
    <w:rsid w:val="00C162DB"/>
    <w:rsid w:val="00C20660"/>
    <w:rsid w:val="00C20EBA"/>
    <w:rsid w:val="00C22A7F"/>
    <w:rsid w:val="00C2580C"/>
    <w:rsid w:val="00C260A0"/>
    <w:rsid w:val="00C30E6F"/>
    <w:rsid w:val="00C342EF"/>
    <w:rsid w:val="00C436B0"/>
    <w:rsid w:val="00C4632D"/>
    <w:rsid w:val="00C46B8E"/>
    <w:rsid w:val="00C506F0"/>
    <w:rsid w:val="00C5280A"/>
    <w:rsid w:val="00C55F36"/>
    <w:rsid w:val="00C60A71"/>
    <w:rsid w:val="00C62DA7"/>
    <w:rsid w:val="00C66551"/>
    <w:rsid w:val="00C66E40"/>
    <w:rsid w:val="00C66E9E"/>
    <w:rsid w:val="00C717CF"/>
    <w:rsid w:val="00C72024"/>
    <w:rsid w:val="00C72946"/>
    <w:rsid w:val="00C73FC9"/>
    <w:rsid w:val="00C84561"/>
    <w:rsid w:val="00C84579"/>
    <w:rsid w:val="00C85ED3"/>
    <w:rsid w:val="00C97849"/>
    <w:rsid w:val="00CA1EA1"/>
    <w:rsid w:val="00CA677F"/>
    <w:rsid w:val="00CB0AAB"/>
    <w:rsid w:val="00CB0B51"/>
    <w:rsid w:val="00CB6E23"/>
    <w:rsid w:val="00CC0026"/>
    <w:rsid w:val="00CC06B4"/>
    <w:rsid w:val="00CC0ADC"/>
    <w:rsid w:val="00CC23D7"/>
    <w:rsid w:val="00CC2B3D"/>
    <w:rsid w:val="00CC4FE3"/>
    <w:rsid w:val="00CD2A39"/>
    <w:rsid w:val="00CE790C"/>
    <w:rsid w:val="00CF0F31"/>
    <w:rsid w:val="00CF183B"/>
    <w:rsid w:val="00CF680C"/>
    <w:rsid w:val="00D04837"/>
    <w:rsid w:val="00D04964"/>
    <w:rsid w:val="00D17352"/>
    <w:rsid w:val="00D247FA"/>
    <w:rsid w:val="00D2546A"/>
    <w:rsid w:val="00D2716F"/>
    <w:rsid w:val="00D30917"/>
    <w:rsid w:val="00D36EE9"/>
    <w:rsid w:val="00D43A0F"/>
    <w:rsid w:val="00D53568"/>
    <w:rsid w:val="00D542C9"/>
    <w:rsid w:val="00D54B25"/>
    <w:rsid w:val="00D557E8"/>
    <w:rsid w:val="00D57E73"/>
    <w:rsid w:val="00D616FA"/>
    <w:rsid w:val="00D63302"/>
    <w:rsid w:val="00D63E5B"/>
    <w:rsid w:val="00D73629"/>
    <w:rsid w:val="00D77A66"/>
    <w:rsid w:val="00D8306B"/>
    <w:rsid w:val="00D841EA"/>
    <w:rsid w:val="00D85326"/>
    <w:rsid w:val="00D85395"/>
    <w:rsid w:val="00D85581"/>
    <w:rsid w:val="00D86EEC"/>
    <w:rsid w:val="00D91DA2"/>
    <w:rsid w:val="00D93170"/>
    <w:rsid w:val="00D93633"/>
    <w:rsid w:val="00D96AAD"/>
    <w:rsid w:val="00D96DAB"/>
    <w:rsid w:val="00D97B15"/>
    <w:rsid w:val="00DA02EC"/>
    <w:rsid w:val="00DA10A9"/>
    <w:rsid w:val="00DA1CE6"/>
    <w:rsid w:val="00DA3A69"/>
    <w:rsid w:val="00DA4A21"/>
    <w:rsid w:val="00DA558A"/>
    <w:rsid w:val="00DA7F60"/>
    <w:rsid w:val="00DC0F48"/>
    <w:rsid w:val="00DC1C50"/>
    <w:rsid w:val="00DC2309"/>
    <w:rsid w:val="00DC2AD6"/>
    <w:rsid w:val="00DC3231"/>
    <w:rsid w:val="00DC65C9"/>
    <w:rsid w:val="00DC6B75"/>
    <w:rsid w:val="00DD0C70"/>
    <w:rsid w:val="00DD3D4D"/>
    <w:rsid w:val="00DD4AA0"/>
    <w:rsid w:val="00DE005E"/>
    <w:rsid w:val="00DE094F"/>
    <w:rsid w:val="00DE15A0"/>
    <w:rsid w:val="00DE504B"/>
    <w:rsid w:val="00DE5544"/>
    <w:rsid w:val="00DE65E9"/>
    <w:rsid w:val="00DE7573"/>
    <w:rsid w:val="00DE7C2F"/>
    <w:rsid w:val="00DF09D3"/>
    <w:rsid w:val="00DF289F"/>
    <w:rsid w:val="00DF2EEC"/>
    <w:rsid w:val="00DF41CB"/>
    <w:rsid w:val="00DF7884"/>
    <w:rsid w:val="00E01682"/>
    <w:rsid w:val="00E03A5C"/>
    <w:rsid w:val="00E05376"/>
    <w:rsid w:val="00E05458"/>
    <w:rsid w:val="00E10453"/>
    <w:rsid w:val="00E13EF5"/>
    <w:rsid w:val="00E15B21"/>
    <w:rsid w:val="00E1676A"/>
    <w:rsid w:val="00E167B5"/>
    <w:rsid w:val="00E21787"/>
    <w:rsid w:val="00E21BDD"/>
    <w:rsid w:val="00E2660D"/>
    <w:rsid w:val="00E2678C"/>
    <w:rsid w:val="00E26D62"/>
    <w:rsid w:val="00E36BFB"/>
    <w:rsid w:val="00E37CCE"/>
    <w:rsid w:val="00E40316"/>
    <w:rsid w:val="00E42512"/>
    <w:rsid w:val="00E47187"/>
    <w:rsid w:val="00E47486"/>
    <w:rsid w:val="00E50B50"/>
    <w:rsid w:val="00E536C3"/>
    <w:rsid w:val="00E53FA4"/>
    <w:rsid w:val="00E55D29"/>
    <w:rsid w:val="00E576C0"/>
    <w:rsid w:val="00E57AE5"/>
    <w:rsid w:val="00E619EB"/>
    <w:rsid w:val="00E631B5"/>
    <w:rsid w:val="00E665A6"/>
    <w:rsid w:val="00E73212"/>
    <w:rsid w:val="00E77603"/>
    <w:rsid w:val="00E82D5D"/>
    <w:rsid w:val="00E8431B"/>
    <w:rsid w:val="00E84AAF"/>
    <w:rsid w:val="00E84BD5"/>
    <w:rsid w:val="00E869D1"/>
    <w:rsid w:val="00E878DF"/>
    <w:rsid w:val="00E90C03"/>
    <w:rsid w:val="00E90FAB"/>
    <w:rsid w:val="00E9430D"/>
    <w:rsid w:val="00E9635A"/>
    <w:rsid w:val="00EA2A0C"/>
    <w:rsid w:val="00EA4740"/>
    <w:rsid w:val="00EA4A21"/>
    <w:rsid w:val="00EA52F7"/>
    <w:rsid w:val="00EA7AA5"/>
    <w:rsid w:val="00EB059B"/>
    <w:rsid w:val="00EB0AA3"/>
    <w:rsid w:val="00EB2F86"/>
    <w:rsid w:val="00EB6CAB"/>
    <w:rsid w:val="00EB7857"/>
    <w:rsid w:val="00EC461A"/>
    <w:rsid w:val="00EC6708"/>
    <w:rsid w:val="00ED0C9A"/>
    <w:rsid w:val="00ED10DC"/>
    <w:rsid w:val="00ED28F9"/>
    <w:rsid w:val="00ED78CC"/>
    <w:rsid w:val="00EE12D9"/>
    <w:rsid w:val="00EE626C"/>
    <w:rsid w:val="00EF5105"/>
    <w:rsid w:val="00EF52CD"/>
    <w:rsid w:val="00EF6C17"/>
    <w:rsid w:val="00F00298"/>
    <w:rsid w:val="00F00C37"/>
    <w:rsid w:val="00F0455C"/>
    <w:rsid w:val="00F06A2B"/>
    <w:rsid w:val="00F07503"/>
    <w:rsid w:val="00F07602"/>
    <w:rsid w:val="00F13CEB"/>
    <w:rsid w:val="00F162D9"/>
    <w:rsid w:val="00F173D9"/>
    <w:rsid w:val="00F24CE8"/>
    <w:rsid w:val="00F30780"/>
    <w:rsid w:val="00F31CCB"/>
    <w:rsid w:val="00F34786"/>
    <w:rsid w:val="00F34A08"/>
    <w:rsid w:val="00F3572D"/>
    <w:rsid w:val="00F37B15"/>
    <w:rsid w:val="00F47977"/>
    <w:rsid w:val="00F51B79"/>
    <w:rsid w:val="00F53365"/>
    <w:rsid w:val="00F57906"/>
    <w:rsid w:val="00F663E3"/>
    <w:rsid w:val="00F66741"/>
    <w:rsid w:val="00F722A5"/>
    <w:rsid w:val="00F7258E"/>
    <w:rsid w:val="00F734FB"/>
    <w:rsid w:val="00F7371F"/>
    <w:rsid w:val="00F73FFA"/>
    <w:rsid w:val="00F74FE2"/>
    <w:rsid w:val="00F775FA"/>
    <w:rsid w:val="00F812E8"/>
    <w:rsid w:val="00F857C2"/>
    <w:rsid w:val="00F87EB1"/>
    <w:rsid w:val="00F901FA"/>
    <w:rsid w:val="00F92C4B"/>
    <w:rsid w:val="00F9325D"/>
    <w:rsid w:val="00F94824"/>
    <w:rsid w:val="00F962BA"/>
    <w:rsid w:val="00F962EE"/>
    <w:rsid w:val="00F96A6E"/>
    <w:rsid w:val="00FA3716"/>
    <w:rsid w:val="00FA45A5"/>
    <w:rsid w:val="00FA54BC"/>
    <w:rsid w:val="00FA6477"/>
    <w:rsid w:val="00FB02DF"/>
    <w:rsid w:val="00FB22F3"/>
    <w:rsid w:val="00FB309E"/>
    <w:rsid w:val="00FB45BF"/>
    <w:rsid w:val="00FB573C"/>
    <w:rsid w:val="00FC5BB2"/>
    <w:rsid w:val="00FC745B"/>
    <w:rsid w:val="00FD4D3D"/>
    <w:rsid w:val="00FD6628"/>
    <w:rsid w:val="00FE360E"/>
    <w:rsid w:val="00FE653D"/>
    <w:rsid w:val="00FF1039"/>
    <w:rsid w:val="00FF3747"/>
    <w:rsid w:val="00FF46BB"/>
    <w:rsid w:val="0A6868BE"/>
    <w:rsid w:val="0E8D5534"/>
    <w:rsid w:val="30AD1888"/>
    <w:rsid w:val="3B5A262F"/>
    <w:rsid w:val="5BD603C9"/>
    <w:rsid w:val="620D5C2C"/>
    <w:rsid w:val="69FB2EAF"/>
    <w:rsid w:val="6C017280"/>
    <w:rsid w:val="6F9C443C"/>
    <w:rsid w:val="7F0E3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591</Words>
  <Characters>3375</Characters>
  <Lines>28</Lines>
  <Paragraphs>7</Paragraphs>
  <TotalTime>12</TotalTime>
  <ScaleCrop>false</ScaleCrop>
  <LinksUpToDate>false</LinksUpToDate>
  <CharactersWithSpaces>3959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2020-04-08T07:55:00Z</dcterms:created>
  <dc:creator>User</dc:creator>
  <cp:lastModifiedBy>Administrator</cp:lastModifiedBy>
  <cp:lastPrinted>2017-08-08T08:59:00Z</cp:lastPrinted>
  <dcterms:modified xsi:type="dcterms:W3CDTF">2023-08-31T07:43:23Z</dcterms:modified>
  <dc:title>江西省利用亚行贷款中国农村能源生态建设二期项目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A1A046CC1B714F6C9F0BC41BBCF063FB_13</vt:lpwstr>
  </property>
</Properties>
</file>