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bmp" ContentType="image/bmp"/>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numPr>
          <w:ilvl w:val="0"/>
          <w:numId w:val="0"/>
        </w:numPr>
        <w:spacing w:before="0" w:after="0"/>
        <w:rPr>
          <w:rFonts w:ascii="Times New Roman"/>
          <w:sz w:val="24"/>
          <w:szCs w:val="24"/>
        </w:rPr>
      </w:pPr>
      <w:bookmarkStart w:id="0" w:name="_Toc22582"/>
      <w:bookmarkStart w:id="1" w:name="_Toc3903174"/>
      <w:bookmarkStart w:id="2" w:name="_Toc534386195"/>
      <w:bookmarkStart w:id="3" w:name="_Toc533577301"/>
      <w:bookmarkStart w:id="4" w:name="_Toc529278733"/>
      <w:bookmarkStart w:id="5" w:name="_Toc534807400"/>
      <w:bookmarkStart w:id="6" w:name="_Toc534895406"/>
      <w:bookmarkStart w:id="7" w:name="_Toc529279185"/>
      <w:bookmarkStart w:id="8" w:name="_Toc534806954"/>
      <w:bookmarkStart w:id="9" w:name="_Toc528082237"/>
      <w:bookmarkStart w:id="10" w:name="_Toc526950203"/>
      <w:bookmarkStart w:id="11" w:name="_Toc323219196"/>
      <w:bookmarkStart w:id="12" w:name="_Toc533499169"/>
      <w:bookmarkStart w:id="13" w:name="_Toc9318"/>
      <w:bookmarkStart w:id="14" w:name="_Toc11151"/>
      <w:bookmarkStart w:id="15" w:name="_Toc528576355"/>
      <w:bookmarkStart w:id="16" w:name="_Toc413254723"/>
      <w:bookmarkStart w:id="17" w:name="_Toc11442"/>
      <w:bookmarkStart w:id="18" w:name="_Toc536265037"/>
      <w:bookmarkStart w:id="19" w:name="_Toc6236632"/>
      <w:bookmarkStart w:id="20" w:name="_Toc529278957"/>
      <w:bookmarkStart w:id="21" w:name="_Toc12389"/>
      <w:bookmarkStart w:id="22" w:name="_Toc528576589"/>
      <w:bookmarkStart w:id="23" w:name="_Toc13833"/>
      <w:bookmarkStart w:id="24" w:name="_Toc346359268"/>
      <w:bookmarkStart w:id="25" w:name="_Toc534895172"/>
      <w:bookmarkStart w:id="26" w:name="_Toc536265272"/>
      <w:bookmarkStart w:id="27" w:name="_Toc22453"/>
      <w:bookmarkStart w:id="28" w:name="_Toc16038"/>
      <w:bookmarkStart w:id="29" w:name="_Toc346522707"/>
      <w:r>
        <w:rPr>
          <w:rFonts w:ascii="Times New Roman"/>
          <w:sz w:val="24"/>
          <w:szCs w:val="24"/>
        </w:rPr>
        <w:t>目  录</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pPr>
        <w:pStyle w:val="57"/>
        <w:tabs>
          <w:tab w:val="right" w:leader="dot" w:pos="10183"/>
        </w:tabs>
        <w:spacing w:before="0" w:after="0"/>
        <w:ind w:firstLine="480"/>
        <w:jc w:val="both"/>
        <w:rPr>
          <w:sz w:val="24"/>
          <w:szCs w:val="24"/>
        </w:rPr>
      </w:pPr>
      <w:r>
        <w:rPr>
          <w:rFonts w:ascii="宋体" w:hAnsi="宋体"/>
          <w:b w:val="0"/>
          <w:sz w:val="24"/>
          <w:szCs w:val="24"/>
        </w:rPr>
        <w:fldChar w:fldCharType="begin"/>
      </w:r>
      <w:r>
        <w:rPr>
          <w:rFonts w:ascii="宋体" w:hAnsi="宋体"/>
          <w:b w:val="0"/>
          <w:sz w:val="24"/>
          <w:szCs w:val="24"/>
        </w:rPr>
        <w:instrText xml:space="preserve"> TOC \o "1-2" \h \z \u </w:instrText>
      </w:r>
      <w:r>
        <w:rPr>
          <w:rFonts w:ascii="宋体" w:hAnsi="宋体"/>
          <w:b w:val="0"/>
          <w:sz w:val="24"/>
          <w:szCs w:val="24"/>
        </w:rPr>
        <w:fldChar w:fldCharType="separate"/>
      </w:r>
      <w:r>
        <w:fldChar w:fldCharType="begin"/>
      </w:r>
      <w:r>
        <w:instrText xml:space="preserve"> HYPERLINK \l "_Toc12389" </w:instrText>
      </w:r>
      <w:r>
        <w:fldChar w:fldCharType="separate"/>
      </w:r>
      <w:r>
        <w:rPr>
          <w:rFonts w:ascii="Times New Roman"/>
          <w:sz w:val="24"/>
          <w:szCs w:val="24"/>
        </w:rPr>
        <w:t>目  录</w:t>
      </w:r>
      <w:r>
        <w:rPr>
          <w:sz w:val="24"/>
          <w:szCs w:val="24"/>
        </w:rPr>
        <w:tab/>
      </w:r>
      <w:r>
        <w:rPr>
          <w:sz w:val="24"/>
          <w:szCs w:val="24"/>
        </w:rPr>
        <w:fldChar w:fldCharType="begin"/>
      </w:r>
      <w:r>
        <w:rPr>
          <w:sz w:val="24"/>
          <w:szCs w:val="24"/>
        </w:rPr>
        <w:instrText xml:space="preserve"> PAGEREF _Toc12389 \h </w:instrText>
      </w:r>
      <w:r>
        <w:rPr>
          <w:sz w:val="24"/>
          <w:szCs w:val="24"/>
        </w:rPr>
        <w:fldChar w:fldCharType="separate"/>
      </w:r>
      <w:r>
        <w:rPr>
          <w:sz w:val="24"/>
          <w:szCs w:val="24"/>
        </w:rPr>
        <w:t>I</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"_Toc23231" </w:instrText>
      </w:r>
      <w:r>
        <w:fldChar w:fldCharType="separate"/>
      </w:r>
      <w:r>
        <w:rPr>
          <w:rFonts w:ascii="Times New Roman"/>
          <w:sz w:val="24"/>
          <w:szCs w:val="24"/>
        </w:rPr>
        <w:t>概  述</w:t>
      </w:r>
      <w:r>
        <w:rPr>
          <w:sz w:val="24"/>
          <w:szCs w:val="24"/>
        </w:rPr>
        <w:tab/>
      </w:r>
      <w:r>
        <w:rPr>
          <w:sz w:val="24"/>
          <w:szCs w:val="24"/>
        </w:rPr>
        <w:fldChar w:fldCharType="begin"/>
      </w:r>
      <w:r>
        <w:rPr>
          <w:sz w:val="24"/>
          <w:szCs w:val="24"/>
        </w:rPr>
        <w:instrText xml:space="preserve"> PAGEREF _Toc23231 \h </w:instrText>
      </w:r>
      <w:r>
        <w:rPr>
          <w:sz w:val="24"/>
          <w:szCs w:val="24"/>
        </w:rPr>
        <w:fldChar w:fldCharType="separate"/>
      </w:r>
      <w:r>
        <w:rPr>
          <w:sz w:val="24"/>
          <w:szCs w:val="24"/>
        </w:rPr>
        <w:t>1</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"_Toc2001" </w:instrText>
      </w:r>
      <w:r>
        <w:fldChar w:fldCharType="separate"/>
      </w:r>
      <w:r>
        <w:rPr>
          <w:rFonts w:ascii="Times New Roman"/>
          <w:sz w:val="24"/>
          <w:szCs w:val="24"/>
        </w:rPr>
        <w:t>第一章  总 则</w:t>
      </w:r>
      <w:r>
        <w:rPr>
          <w:sz w:val="24"/>
          <w:szCs w:val="24"/>
        </w:rPr>
        <w:tab/>
      </w:r>
      <w:r>
        <w:rPr>
          <w:sz w:val="24"/>
          <w:szCs w:val="24"/>
        </w:rPr>
        <w:fldChar w:fldCharType="begin"/>
      </w:r>
      <w:r>
        <w:rPr>
          <w:sz w:val="24"/>
          <w:szCs w:val="24"/>
        </w:rPr>
        <w:instrText xml:space="preserve"> PAGEREF _Toc2001 \h </w:instrText>
      </w:r>
      <w:r>
        <w:rPr>
          <w:sz w:val="24"/>
          <w:szCs w:val="24"/>
        </w:rPr>
        <w:fldChar w:fldCharType="separate"/>
      </w:r>
      <w:r>
        <w:rPr>
          <w:sz w:val="24"/>
          <w:szCs w:val="24"/>
        </w:rPr>
        <w:t>11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"_Toc13096" </w:instrText>
      </w:r>
      <w:r>
        <w:fldChar w:fldCharType="separate"/>
      </w:r>
      <w:r>
        <w:rPr>
          <w:sz w:val="24"/>
          <w:szCs w:val="24"/>
        </w:rPr>
        <w:t>1.1评价目的和原则</w:t>
      </w:r>
      <w:r>
        <w:rPr>
          <w:sz w:val="24"/>
          <w:szCs w:val="24"/>
        </w:rPr>
        <w:tab/>
      </w:r>
      <w:r>
        <w:rPr>
          <w:sz w:val="24"/>
          <w:szCs w:val="24"/>
        </w:rPr>
        <w:fldChar w:fldCharType="begin"/>
      </w:r>
      <w:r>
        <w:rPr>
          <w:sz w:val="24"/>
          <w:szCs w:val="24"/>
        </w:rPr>
        <w:instrText xml:space="preserve"> PAGEREF _Toc13096 \h </w:instrText>
      </w:r>
      <w:r>
        <w:rPr>
          <w:sz w:val="24"/>
          <w:szCs w:val="24"/>
        </w:rPr>
        <w:fldChar w:fldCharType="separate"/>
      </w:r>
      <w:r>
        <w:rPr>
          <w:sz w:val="24"/>
          <w:szCs w:val="24"/>
        </w:rPr>
        <w:t>11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"_Toc13486" </w:instrText>
      </w:r>
      <w:r>
        <w:fldChar w:fldCharType="separate"/>
      </w:r>
      <w:r>
        <w:rPr>
          <w:sz w:val="24"/>
          <w:szCs w:val="24"/>
        </w:rPr>
        <w:t>1.</w:t>
      </w:r>
      <w:r>
        <w:rPr>
          <w:rFonts w:hint="eastAsia"/>
          <w:sz w:val="24"/>
          <w:szCs w:val="24"/>
        </w:rPr>
        <w:t>2</w:t>
      </w:r>
      <w:r>
        <w:rPr>
          <w:sz w:val="24"/>
          <w:szCs w:val="24"/>
        </w:rPr>
        <w:t>编制依据</w:t>
      </w:r>
      <w:r>
        <w:rPr>
          <w:sz w:val="24"/>
          <w:szCs w:val="24"/>
        </w:rPr>
        <w:tab/>
      </w:r>
      <w:r>
        <w:rPr>
          <w:sz w:val="24"/>
          <w:szCs w:val="24"/>
        </w:rPr>
        <w:fldChar w:fldCharType="begin"/>
      </w:r>
      <w:r>
        <w:rPr>
          <w:sz w:val="24"/>
          <w:szCs w:val="24"/>
        </w:rPr>
        <w:instrText xml:space="preserve"> PAGEREF _Toc13486 \h </w:instrText>
      </w:r>
      <w:r>
        <w:rPr>
          <w:sz w:val="24"/>
          <w:szCs w:val="24"/>
        </w:rPr>
        <w:fldChar w:fldCharType="separate"/>
      </w:r>
      <w:r>
        <w:rPr>
          <w:sz w:val="24"/>
          <w:szCs w:val="24"/>
        </w:rPr>
        <w:t>12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"_Toc5104" </w:instrText>
      </w:r>
      <w:r>
        <w:fldChar w:fldCharType="separate"/>
      </w:r>
      <w:r>
        <w:rPr>
          <w:sz w:val="24"/>
          <w:szCs w:val="24"/>
        </w:rPr>
        <w:t>1.3环境影响要素与评价因子识别</w:t>
      </w:r>
      <w:r>
        <w:rPr>
          <w:sz w:val="24"/>
          <w:szCs w:val="24"/>
        </w:rPr>
        <w:tab/>
      </w:r>
      <w:r>
        <w:rPr>
          <w:sz w:val="24"/>
          <w:szCs w:val="24"/>
        </w:rPr>
        <w:fldChar w:fldCharType="begin"/>
      </w:r>
      <w:r>
        <w:rPr>
          <w:sz w:val="24"/>
          <w:szCs w:val="24"/>
        </w:rPr>
        <w:instrText xml:space="preserve"> PAGEREF _Toc5104 \h </w:instrText>
      </w:r>
      <w:r>
        <w:rPr>
          <w:sz w:val="24"/>
          <w:szCs w:val="24"/>
        </w:rPr>
        <w:fldChar w:fldCharType="separate"/>
      </w:r>
      <w:r>
        <w:rPr>
          <w:sz w:val="24"/>
          <w:szCs w:val="24"/>
        </w:rPr>
        <w:t>16</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"_Toc16216" </w:instrText>
      </w:r>
      <w:r>
        <w:fldChar w:fldCharType="separate"/>
      </w:r>
      <w:r>
        <w:rPr>
          <w:sz w:val="24"/>
          <w:szCs w:val="24"/>
        </w:rPr>
        <w:t>1.</w:t>
      </w:r>
      <w:r>
        <w:rPr>
          <w:rFonts w:hint="eastAsia"/>
          <w:sz w:val="24"/>
          <w:szCs w:val="24"/>
        </w:rPr>
        <w:t>4环境功能区划</w:t>
      </w:r>
      <w:r>
        <w:rPr>
          <w:sz w:val="24"/>
          <w:szCs w:val="24"/>
        </w:rPr>
        <w:tab/>
      </w:r>
      <w:r>
        <w:rPr>
          <w:sz w:val="24"/>
          <w:szCs w:val="24"/>
        </w:rPr>
        <w:fldChar w:fldCharType="begin"/>
      </w:r>
      <w:r>
        <w:rPr>
          <w:sz w:val="24"/>
          <w:szCs w:val="24"/>
        </w:rPr>
        <w:instrText xml:space="preserve"> PAGEREF _Toc16216 \h </w:instrText>
      </w:r>
      <w:r>
        <w:rPr>
          <w:sz w:val="24"/>
          <w:szCs w:val="24"/>
        </w:rPr>
        <w:fldChar w:fldCharType="separate"/>
      </w:r>
      <w:r>
        <w:rPr>
          <w:sz w:val="24"/>
          <w:szCs w:val="24"/>
        </w:rPr>
        <w:t>18</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"_Toc17282" </w:instrText>
      </w:r>
      <w:r>
        <w:fldChar w:fldCharType="separate"/>
      </w:r>
      <w:r>
        <w:rPr>
          <w:sz w:val="24"/>
          <w:szCs w:val="24"/>
        </w:rPr>
        <w:t>1.</w:t>
      </w:r>
      <w:r>
        <w:rPr>
          <w:rFonts w:hint="eastAsia"/>
          <w:sz w:val="24"/>
          <w:szCs w:val="24"/>
        </w:rPr>
        <w:t>5</w:t>
      </w:r>
      <w:r>
        <w:rPr>
          <w:sz w:val="24"/>
          <w:szCs w:val="24"/>
        </w:rPr>
        <w:t>评价标准</w:t>
      </w:r>
      <w:r>
        <w:rPr>
          <w:sz w:val="24"/>
          <w:szCs w:val="24"/>
        </w:rPr>
        <w:tab/>
      </w:r>
      <w:r>
        <w:rPr>
          <w:sz w:val="24"/>
          <w:szCs w:val="24"/>
        </w:rPr>
        <w:fldChar w:fldCharType="begin"/>
      </w:r>
      <w:r>
        <w:rPr>
          <w:sz w:val="24"/>
          <w:szCs w:val="24"/>
        </w:rPr>
        <w:instrText xml:space="preserve"> PAGEREF _Toc17282 \h </w:instrText>
      </w:r>
      <w:r>
        <w:rPr>
          <w:sz w:val="24"/>
          <w:szCs w:val="24"/>
        </w:rPr>
        <w:fldChar w:fldCharType="separate"/>
      </w:r>
      <w:r>
        <w:rPr>
          <w:sz w:val="24"/>
          <w:szCs w:val="24"/>
        </w:rPr>
        <w:t>19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"_Toc15890" </w:instrText>
      </w:r>
      <w:r>
        <w:fldChar w:fldCharType="separate"/>
      </w:r>
      <w:r>
        <w:rPr>
          <w:sz w:val="24"/>
          <w:szCs w:val="24"/>
        </w:rPr>
        <w:t>1.6评价工作等级及评价</w:t>
      </w:r>
      <w:r>
        <w:rPr>
          <w:rFonts w:hint="eastAsia"/>
          <w:sz w:val="24"/>
          <w:szCs w:val="24"/>
        </w:rPr>
        <w:t>范围</w:t>
      </w:r>
      <w:r>
        <w:rPr>
          <w:sz w:val="24"/>
          <w:szCs w:val="24"/>
        </w:rPr>
        <w:tab/>
      </w:r>
      <w:r>
        <w:rPr>
          <w:sz w:val="24"/>
          <w:szCs w:val="24"/>
        </w:rPr>
        <w:fldChar w:fldCharType="begin"/>
      </w:r>
      <w:r>
        <w:rPr>
          <w:sz w:val="24"/>
          <w:szCs w:val="24"/>
        </w:rPr>
        <w:instrText xml:space="preserve"> PAGEREF _Toc15890 \h </w:instrText>
      </w:r>
      <w:r>
        <w:rPr>
          <w:sz w:val="24"/>
          <w:szCs w:val="24"/>
        </w:rPr>
        <w:fldChar w:fldCharType="separate"/>
      </w:r>
      <w:r>
        <w:rPr>
          <w:sz w:val="24"/>
          <w:szCs w:val="24"/>
        </w:rPr>
        <w:t>22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"_Toc10921" </w:instrText>
      </w:r>
      <w:r>
        <w:fldChar w:fldCharType="separate"/>
      </w:r>
      <w:r>
        <w:rPr>
          <w:sz w:val="24"/>
          <w:szCs w:val="24"/>
        </w:rPr>
        <w:t>1.</w:t>
      </w:r>
      <w:r>
        <w:rPr>
          <w:rFonts w:hint="eastAsia"/>
          <w:sz w:val="24"/>
          <w:szCs w:val="24"/>
        </w:rPr>
        <w:t>7</w:t>
      </w:r>
      <w:r>
        <w:rPr>
          <w:sz w:val="24"/>
          <w:szCs w:val="24"/>
        </w:rPr>
        <w:t>评价内容和评价重点</w:t>
      </w:r>
      <w:r>
        <w:rPr>
          <w:sz w:val="24"/>
          <w:szCs w:val="24"/>
        </w:rPr>
        <w:tab/>
      </w:r>
      <w:r>
        <w:rPr>
          <w:sz w:val="24"/>
          <w:szCs w:val="24"/>
        </w:rPr>
        <w:fldChar w:fldCharType="begin"/>
      </w:r>
      <w:r>
        <w:rPr>
          <w:sz w:val="24"/>
          <w:szCs w:val="24"/>
        </w:rPr>
        <w:instrText xml:space="preserve"> PAGEREF _Toc10921 \h </w:instrText>
      </w:r>
      <w:r>
        <w:rPr>
          <w:sz w:val="24"/>
          <w:szCs w:val="24"/>
        </w:rPr>
        <w:fldChar w:fldCharType="separate"/>
      </w:r>
      <w:r>
        <w:rPr>
          <w:sz w:val="24"/>
          <w:szCs w:val="24"/>
        </w:rPr>
        <w:t>27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"_Toc15295" </w:instrText>
      </w:r>
      <w:r>
        <w:fldChar w:fldCharType="separate"/>
      </w:r>
      <w:r>
        <w:rPr>
          <w:sz w:val="24"/>
          <w:szCs w:val="24"/>
        </w:rPr>
        <w:t>1.</w:t>
      </w:r>
      <w:r>
        <w:rPr>
          <w:rFonts w:hint="eastAsia"/>
          <w:sz w:val="24"/>
          <w:szCs w:val="24"/>
        </w:rPr>
        <w:t>8</w:t>
      </w:r>
      <w:r>
        <w:rPr>
          <w:sz w:val="24"/>
          <w:szCs w:val="24"/>
        </w:rPr>
        <w:t>评价时段及评价方法</w:t>
      </w:r>
      <w:r>
        <w:rPr>
          <w:sz w:val="24"/>
          <w:szCs w:val="24"/>
        </w:rPr>
        <w:tab/>
      </w:r>
      <w:r>
        <w:rPr>
          <w:sz w:val="24"/>
          <w:szCs w:val="24"/>
        </w:rPr>
        <w:fldChar w:fldCharType="begin"/>
      </w:r>
      <w:r>
        <w:rPr>
          <w:sz w:val="24"/>
          <w:szCs w:val="24"/>
        </w:rPr>
        <w:instrText xml:space="preserve"> PAGEREF _Toc15295 \h </w:instrText>
      </w:r>
      <w:r>
        <w:rPr>
          <w:sz w:val="24"/>
          <w:szCs w:val="24"/>
        </w:rPr>
        <w:fldChar w:fldCharType="separate"/>
      </w:r>
      <w:r>
        <w:rPr>
          <w:sz w:val="24"/>
          <w:szCs w:val="24"/>
        </w:rPr>
        <w:t>28</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"_Toc220" </w:instrText>
      </w:r>
      <w:r>
        <w:fldChar w:fldCharType="separate"/>
      </w:r>
      <w:r>
        <w:rPr>
          <w:sz w:val="24"/>
          <w:szCs w:val="24"/>
        </w:rPr>
        <w:t>1.</w:t>
      </w:r>
      <w:r>
        <w:rPr>
          <w:rFonts w:hint="eastAsia"/>
          <w:sz w:val="24"/>
          <w:szCs w:val="24"/>
        </w:rPr>
        <w:t>9污染</w:t>
      </w:r>
      <w:r>
        <w:rPr>
          <w:sz w:val="24"/>
          <w:szCs w:val="24"/>
        </w:rPr>
        <w:t>控制污染和环境保护目标</w:t>
      </w:r>
      <w:r>
        <w:rPr>
          <w:sz w:val="24"/>
          <w:szCs w:val="24"/>
        </w:rPr>
        <w:tab/>
      </w:r>
      <w:r>
        <w:rPr>
          <w:sz w:val="24"/>
          <w:szCs w:val="24"/>
        </w:rPr>
        <w:fldChar w:fldCharType="begin"/>
      </w:r>
      <w:r>
        <w:rPr>
          <w:sz w:val="24"/>
          <w:szCs w:val="24"/>
        </w:rPr>
        <w:instrText xml:space="preserve"> PAGEREF _Toc220 \h </w:instrText>
      </w:r>
      <w:r>
        <w:rPr>
          <w:sz w:val="24"/>
          <w:szCs w:val="24"/>
        </w:rPr>
        <w:fldChar w:fldCharType="separate"/>
      </w:r>
      <w:r>
        <w:rPr>
          <w:sz w:val="24"/>
          <w:szCs w:val="24"/>
        </w:rPr>
        <w:t>29</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"_Toc4501" </w:instrText>
      </w:r>
      <w:r>
        <w:fldChar w:fldCharType="separate"/>
      </w:r>
      <w:r>
        <w:rPr>
          <w:rFonts w:ascii="Times New Roman"/>
          <w:sz w:val="24"/>
          <w:szCs w:val="24"/>
        </w:rPr>
        <w:t>第二章 工程概况</w:t>
      </w:r>
      <w:r>
        <w:rPr>
          <w:sz w:val="24"/>
          <w:szCs w:val="24"/>
        </w:rPr>
        <w:tab/>
      </w:r>
      <w:r>
        <w:rPr>
          <w:sz w:val="24"/>
          <w:szCs w:val="24"/>
        </w:rPr>
        <w:fldChar w:fldCharType="begin"/>
      </w:r>
      <w:r>
        <w:rPr>
          <w:sz w:val="24"/>
          <w:szCs w:val="24"/>
        </w:rPr>
        <w:instrText xml:space="preserve"> PAGEREF _Toc4501 \h </w:instrText>
      </w:r>
      <w:r>
        <w:rPr>
          <w:sz w:val="24"/>
          <w:szCs w:val="24"/>
        </w:rPr>
        <w:fldChar w:fldCharType="separate"/>
      </w:r>
      <w:r>
        <w:rPr>
          <w:sz w:val="24"/>
          <w:szCs w:val="24"/>
        </w:rPr>
        <w:t>32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"_Toc9136" </w:instrText>
      </w:r>
      <w:r>
        <w:fldChar w:fldCharType="separate"/>
      </w:r>
      <w:r>
        <w:rPr>
          <w:sz w:val="24"/>
          <w:szCs w:val="24"/>
        </w:rPr>
        <w:t>2.1流域</w:t>
      </w:r>
      <w:r>
        <w:rPr>
          <w:rFonts w:hint="eastAsia"/>
          <w:sz w:val="24"/>
          <w:szCs w:val="24"/>
        </w:rPr>
        <w:t>及</w:t>
      </w:r>
      <w:r>
        <w:rPr>
          <w:sz w:val="24"/>
          <w:szCs w:val="24"/>
        </w:rPr>
        <w:t>水资源规划概况</w:t>
      </w:r>
      <w:r>
        <w:rPr>
          <w:sz w:val="24"/>
          <w:szCs w:val="24"/>
        </w:rPr>
        <w:tab/>
      </w:r>
      <w:r>
        <w:rPr>
          <w:sz w:val="24"/>
          <w:szCs w:val="24"/>
        </w:rPr>
        <w:fldChar w:fldCharType="begin"/>
      </w:r>
      <w:r>
        <w:rPr>
          <w:sz w:val="24"/>
          <w:szCs w:val="24"/>
        </w:rPr>
        <w:instrText xml:space="preserve"> PAGEREF _Toc9136 \h </w:instrText>
      </w:r>
      <w:r>
        <w:rPr>
          <w:sz w:val="24"/>
          <w:szCs w:val="24"/>
        </w:rPr>
        <w:fldChar w:fldCharType="separate"/>
      </w:r>
      <w:r>
        <w:rPr>
          <w:sz w:val="24"/>
          <w:szCs w:val="24"/>
        </w:rPr>
        <w:t>32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"_Toc13119" </w:instrText>
      </w:r>
      <w:r>
        <w:fldChar w:fldCharType="separate"/>
      </w:r>
      <w:r>
        <w:rPr>
          <w:sz w:val="24"/>
          <w:szCs w:val="24"/>
        </w:rPr>
        <w:t>2.2工程地理位置</w:t>
      </w:r>
      <w:r>
        <w:rPr>
          <w:sz w:val="24"/>
          <w:szCs w:val="24"/>
        </w:rPr>
        <w:tab/>
      </w:r>
      <w:r>
        <w:rPr>
          <w:sz w:val="24"/>
          <w:szCs w:val="24"/>
        </w:rPr>
        <w:fldChar w:fldCharType="begin"/>
      </w:r>
      <w:r>
        <w:rPr>
          <w:sz w:val="24"/>
          <w:szCs w:val="24"/>
        </w:rPr>
        <w:instrText xml:space="preserve"> PAGEREF _Toc13119 \h </w:instrText>
      </w:r>
      <w:r>
        <w:rPr>
          <w:sz w:val="24"/>
          <w:szCs w:val="24"/>
        </w:rPr>
        <w:fldChar w:fldCharType="separate"/>
      </w:r>
      <w:r>
        <w:rPr>
          <w:sz w:val="24"/>
          <w:szCs w:val="24"/>
        </w:rPr>
        <w:t>34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"_Toc15069" </w:instrText>
      </w:r>
      <w:r>
        <w:fldChar w:fldCharType="separate"/>
      </w:r>
      <w:r>
        <w:rPr>
          <w:sz w:val="24"/>
          <w:szCs w:val="24"/>
        </w:rPr>
        <w:t>2.3工程任务及建设的必要性</w:t>
      </w:r>
      <w:r>
        <w:rPr>
          <w:sz w:val="24"/>
          <w:szCs w:val="24"/>
        </w:rPr>
        <w:tab/>
      </w:r>
      <w:r>
        <w:rPr>
          <w:sz w:val="24"/>
          <w:szCs w:val="24"/>
        </w:rPr>
        <w:fldChar w:fldCharType="begin"/>
      </w:r>
      <w:r>
        <w:rPr>
          <w:sz w:val="24"/>
          <w:szCs w:val="24"/>
        </w:rPr>
        <w:instrText xml:space="preserve"> PAGEREF _Toc15069 \h </w:instrText>
      </w:r>
      <w:r>
        <w:rPr>
          <w:sz w:val="24"/>
          <w:szCs w:val="24"/>
        </w:rPr>
        <w:fldChar w:fldCharType="separate"/>
      </w:r>
      <w:r>
        <w:rPr>
          <w:sz w:val="24"/>
          <w:szCs w:val="24"/>
        </w:rPr>
        <w:t>35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"_Toc10576" </w:instrText>
      </w:r>
      <w:r>
        <w:fldChar w:fldCharType="separate"/>
      </w:r>
      <w:r>
        <w:rPr>
          <w:rFonts w:hint="eastAsia"/>
          <w:sz w:val="24"/>
          <w:szCs w:val="24"/>
        </w:rPr>
        <w:t>2.4工程规模及特性</w:t>
      </w:r>
      <w:r>
        <w:rPr>
          <w:sz w:val="24"/>
          <w:szCs w:val="24"/>
        </w:rPr>
        <w:tab/>
      </w:r>
      <w:r>
        <w:rPr>
          <w:sz w:val="24"/>
          <w:szCs w:val="24"/>
        </w:rPr>
        <w:fldChar w:fldCharType="begin"/>
      </w:r>
      <w:r>
        <w:rPr>
          <w:sz w:val="24"/>
          <w:szCs w:val="24"/>
        </w:rPr>
        <w:instrText xml:space="preserve"> PAGEREF _Toc10576 \h </w:instrText>
      </w:r>
      <w:r>
        <w:rPr>
          <w:sz w:val="24"/>
          <w:szCs w:val="24"/>
        </w:rPr>
        <w:fldChar w:fldCharType="separate"/>
      </w:r>
      <w:r>
        <w:rPr>
          <w:sz w:val="24"/>
          <w:szCs w:val="24"/>
        </w:rPr>
        <w:t>37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"_Toc5509" </w:instrText>
      </w:r>
      <w:r>
        <w:fldChar w:fldCharType="separate"/>
      </w:r>
      <w:r>
        <w:rPr>
          <w:sz w:val="24"/>
          <w:szCs w:val="24"/>
        </w:rPr>
        <w:t>2.</w:t>
      </w:r>
      <w:r>
        <w:rPr>
          <w:rFonts w:hint="eastAsia"/>
          <w:sz w:val="24"/>
          <w:szCs w:val="24"/>
        </w:rPr>
        <w:t>5</w:t>
      </w:r>
      <w:r>
        <w:rPr>
          <w:sz w:val="24"/>
          <w:szCs w:val="24"/>
        </w:rPr>
        <w:t>工程组成</w:t>
      </w:r>
      <w:r>
        <w:rPr>
          <w:sz w:val="24"/>
          <w:szCs w:val="24"/>
        </w:rPr>
        <w:tab/>
      </w:r>
      <w:r>
        <w:rPr>
          <w:sz w:val="24"/>
          <w:szCs w:val="24"/>
        </w:rPr>
        <w:fldChar w:fldCharType="begin"/>
      </w:r>
      <w:r>
        <w:rPr>
          <w:sz w:val="24"/>
          <w:szCs w:val="24"/>
        </w:rPr>
        <w:instrText xml:space="preserve"> PAGEREF _Toc5509 \h </w:instrText>
      </w:r>
      <w:r>
        <w:rPr>
          <w:sz w:val="24"/>
          <w:szCs w:val="24"/>
        </w:rPr>
        <w:fldChar w:fldCharType="separate"/>
      </w:r>
      <w:r>
        <w:rPr>
          <w:sz w:val="24"/>
          <w:szCs w:val="24"/>
        </w:rPr>
        <w:t>39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"_Toc5099" </w:instrText>
      </w:r>
      <w:r>
        <w:fldChar w:fldCharType="separate"/>
      </w:r>
      <w:r>
        <w:rPr>
          <w:sz w:val="24"/>
          <w:szCs w:val="24"/>
        </w:rPr>
        <w:t>2.</w:t>
      </w:r>
      <w:r>
        <w:rPr>
          <w:rFonts w:hint="eastAsia"/>
          <w:sz w:val="24"/>
          <w:szCs w:val="24"/>
        </w:rPr>
        <w:t>6</w:t>
      </w:r>
      <w:r>
        <w:rPr>
          <w:sz w:val="24"/>
          <w:szCs w:val="24"/>
        </w:rPr>
        <w:t>工程总布置与主要建筑物</w:t>
      </w:r>
      <w:r>
        <w:rPr>
          <w:sz w:val="24"/>
          <w:szCs w:val="24"/>
        </w:rPr>
        <w:tab/>
      </w:r>
      <w:r>
        <w:rPr>
          <w:sz w:val="24"/>
          <w:szCs w:val="24"/>
        </w:rPr>
        <w:fldChar w:fldCharType="begin"/>
      </w:r>
      <w:r>
        <w:rPr>
          <w:sz w:val="24"/>
          <w:szCs w:val="24"/>
        </w:rPr>
        <w:instrText xml:space="preserve"> PAGEREF _Toc5099 \h </w:instrText>
      </w:r>
      <w:r>
        <w:rPr>
          <w:sz w:val="24"/>
          <w:szCs w:val="24"/>
        </w:rPr>
        <w:fldChar w:fldCharType="separate"/>
      </w:r>
      <w:r>
        <w:rPr>
          <w:sz w:val="24"/>
          <w:szCs w:val="24"/>
        </w:rPr>
        <w:t>41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"_Toc21148" </w:instrText>
      </w:r>
      <w:r>
        <w:fldChar w:fldCharType="separate"/>
      </w:r>
      <w:r>
        <w:rPr>
          <w:sz w:val="24"/>
          <w:szCs w:val="24"/>
        </w:rPr>
        <w:t>2.</w:t>
      </w:r>
      <w:r>
        <w:rPr>
          <w:rFonts w:hint="eastAsia"/>
          <w:sz w:val="24"/>
          <w:szCs w:val="24"/>
        </w:rPr>
        <w:t>7</w:t>
      </w:r>
      <w:r>
        <w:rPr>
          <w:sz w:val="24"/>
          <w:szCs w:val="24"/>
        </w:rPr>
        <w:t>工程施组织设计</w:t>
      </w:r>
      <w:r>
        <w:rPr>
          <w:sz w:val="24"/>
          <w:szCs w:val="24"/>
        </w:rPr>
        <w:tab/>
      </w:r>
      <w:r>
        <w:rPr>
          <w:sz w:val="24"/>
          <w:szCs w:val="24"/>
        </w:rPr>
        <w:fldChar w:fldCharType="begin"/>
      </w:r>
      <w:r>
        <w:rPr>
          <w:sz w:val="24"/>
          <w:szCs w:val="24"/>
        </w:rPr>
        <w:instrText xml:space="preserve"> PAGEREF _Toc21148 \h </w:instrText>
      </w:r>
      <w:r>
        <w:rPr>
          <w:sz w:val="24"/>
          <w:szCs w:val="24"/>
        </w:rPr>
        <w:fldChar w:fldCharType="separate"/>
      </w:r>
      <w:r>
        <w:rPr>
          <w:sz w:val="24"/>
          <w:szCs w:val="24"/>
        </w:rPr>
        <w:t>44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"_Toc8204" </w:instrText>
      </w:r>
      <w:r>
        <w:fldChar w:fldCharType="separate"/>
      </w:r>
      <w:r>
        <w:rPr>
          <w:rFonts w:hint="eastAsia"/>
          <w:sz w:val="24"/>
          <w:szCs w:val="24"/>
        </w:rPr>
        <w:t>2.8施工工艺及施工机械设备</w:t>
      </w:r>
      <w:r>
        <w:rPr>
          <w:sz w:val="24"/>
          <w:szCs w:val="24"/>
        </w:rPr>
        <w:tab/>
      </w:r>
      <w:r>
        <w:rPr>
          <w:sz w:val="24"/>
          <w:szCs w:val="24"/>
        </w:rPr>
        <w:fldChar w:fldCharType="begin"/>
      </w:r>
      <w:r>
        <w:rPr>
          <w:sz w:val="24"/>
          <w:szCs w:val="24"/>
        </w:rPr>
        <w:instrText xml:space="preserve"> PAGEREF _Toc8204 \h </w:instrText>
      </w:r>
      <w:r>
        <w:rPr>
          <w:sz w:val="24"/>
          <w:szCs w:val="24"/>
        </w:rPr>
        <w:fldChar w:fldCharType="separate"/>
      </w:r>
      <w:r>
        <w:rPr>
          <w:sz w:val="24"/>
          <w:szCs w:val="24"/>
        </w:rPr>
        <w:t>47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"_Toc13730" </w:instrText>
      </w:r>
      <w:r>
        <w:fldChar w:fldCharType="separate"/>
      </w:r>
      <w:r>
        <w:rPr>
          <w:rFonts w:hint="eastAsia"/>
          <w:sz w:val="24"/>
          <w:szCs w:val="24"/>
        </w:rPr>
        <w:t>2.9抬水工程运行方式</w:t>
      </w:r>
      <w:r>
        <w:rPr>
          <w:sz w:val="24"/>
          <w:szCs w:val="24"/>
        </w:rPr>
        <w:tab/>
      </w:r>
      <w:r>
        <w:rPr>
          <w:sz w:val="24"/>
          <w:szCs w:val="24"/>
        </w:rPr>
        <w:fldChar w:fldCharType="begin"/>
      </w:r>
      <w:r>
        <w:rPr>
          <w:sz w:val="24"/>
          <w:szCs w:val="24"/>
        </w:rPr>
        <w:instrText xml:space="preserve"> PAGEREF _Toc13730 \h </w:instrText>
      </w:r>
      <w:r>
        <w:rPr>
          <w:sz w:val="24"/>
          <w:szCs w:val="24"/>
        </w:rPr>
        <w:fldChar w:fldCharType="separate"/>
      </w:r>
      <w:r>
        <w:rPr>
          <w:sz w:val="24"/>
          <w:szCs w:val="24"/>
        </w:rPr>
        <w:t>49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"_Toc27618" </w:instrText>
      </w:r>
      <w:r>
        <w:fldChar w:fldCharType="separate"/>
      </w:r>
      <w:r>
        <w:rPr>
          <w:rFonts w:hint="eastAsia"/>
          <w:sz w:val="24"/>
          <w:szCs w:val="24"/>
        </w:rPr>
        <w:t>2.10施工布置情况</w:t>
      </w:r>
      <w:r>
        <w:rPr>
          <w:sz w:val="24"/>
          <w:szCs w:val="24"/>
        </w:rPr>
        <w:tab/>
      </w:r>
      <w:r>
        <w:rPr>
          <w:sz w:val="24"/>
          <w:szCs w:val="24"/>
        </w:rPr>
        <w:fldChar w:fldCharType="begin"/>
      </w:r>
      <w:r>
        <w:rPr>
          <w:sz w:val="24"/>
          <w:szCs w:val="24"/>
        </w:rPr>
        <w:instrText xml:space="preserve"> PAGEREF _Toc27618 \h </w:instrText>
      </w:r>
      <w:r>
        <w:rPr>
          <w:sz w:val="24"/>
          <w:szCs w:val="24"/>
        </w:rPr>
        <w:fldChar w:fldCharType="separate"/>
      </w:r>
      <w:r>
        <w:rPr>
          <w:sz w:val="24"/>
          <w:szCs w:val="24"/>
        </w:rPr>
        <w:t>50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"_Toc21000" </w:instrText>
      </w:r>
      <w:r>
        <w:fldChar w:fldCharType="separate"/>
      </w:r>
      <w:r>
        <w:rPr>
          <w:sz w:val="24"/>
          <w:szCs w:val="24"/>
        </w:rPr>
        <w:t>2.</w:t>
      </w:r>
      <w:r>
        <w:rPr>
          <w:rFonts w:hint="eastAsia"/>
          <w:sz w:val="24"/>
          <w:szCs w:val="24"/>
        </w:rPr>
        <w:t>11</w:t>
      </w:r>
      <w:r>
        <w:rPr>
          <w:sz w:val="24"/>
          <w:szCs w:val="24"/>
        </w:rPr>
        <w:t>淹没、占地与移民安置规划</w:t>
      </w:r>
      <w:r>
        <w:rPr>
          <w:sz w:val="24"/>
          <w:szCs w:val="24"/>
        </w:rPr>
        <w:tab/>
      </w:r>
      <w:r>
        <w:rPr>
          <w:sz w:val="24"/>
          <w:szCs w:val="24"/>
        </w:rPr>
        <w:fldChar w:fldCharType="begin"/>
      </w:r>
      <w:r>
        <w:rPr>
          <w:sz w:val="24"/>
          <w:szCs w:val="24"/>
        </w:rPr>
        <w:instrText xml:space="preserve"> PAGEREF _Toc21000 \h </w:instrText>
      </w:r>
      <w:r>
        <w:rPr>
          <w:sz w:val="24"/>
          <w:szCs w:val="24"/>
        </w:rPr>
        <w:fldChar w:fldCharType="separate"/>
      </w:r>
      <w:r>
        <w:rPr>
          <w:sz w:val="24"/>
          <w:szCs w:val="24"/>
        </w:rPr>
        <w:t>55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"_Toc31503" </w:instrText>
      </w:r>
      <w:r>
        <w:fldChar w:fldCharType="separate"/>
      </w:r>
      <w:r>
        <w:rPr>
          <w:rFonts w:hint="eastAsia"/>
          <w:sz w:val="24"/>
          <w:szCs w:val="24"/>
        </w:rPr>
        <w:t>2.12</w:t>
      </w:r>
      <w:r>
        <w:rPr>
          <w:sz w:val="24"/>
          <w:szCs w:val="24"/>
        </w:rPr>
        <w:t>土石方平衡</w:t>
      </w:r>
      <w:r>
        <w:rPr>
          <w:sz w:val="24"/>
          <w:szCs w:val="24"/>
        </w:rPr>
        <w:tab/>
      </w:r>
      <w:r>
        <w:rPr>
          <w:sz w:val="24"/>
          <w:szCs w:val="24"/>
        </w:rPr>
        <w:fldChar w:fldCharType="begin"/>
      </w:r>
      <w:r>
        <w:rPr>
          <w:sz w:val="24"/>
          <w:szCs w:val="24"/>
        </w:rPr>
        <w:instrText xml:space="preserve"> PAGEREF _Toc31503 \h </w:instrText>
      </w:r>
      <w:r>
        <w:rPr>
          <w:sz w:val="24"/>
          <w:szCs w:val="24"/>
        </w:rPr>
        <w:fldChar w:fldCharType="separate"/>
      </w:r>
      <w:r>
        <w:rPr>
          <w:sz w:val="24"/>
          <w:szCs w:val="24"/>
        </w:rPr>
        <w:t>60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"_Toc19201" </w:instrText>
      </w:r>
      <w:r>
        <w:fldChar w:fldCharType="separate"/>
      </w:r>
      <w:r>
        <w:rPr>
          <w:sz w:val="24"/>
          <w:szCs w:val="24"/>
        </w:rPr>
        <w:t>2.</w:t>
      </w:r>
      <w:r>
        <w:rPr>
          <w:rFonts w:hint="eastAsia"/>
          <w:sz w:val="24"/>
          <w:szCs w:val="24"/>
        </w:rPr>
        <w:t>13</w:t>
      </w:r>
      <w:r>
        <w:rPr>
          <w:sz w:val="24"/>
          <w:szCs w:val="24"/>
        </w:rPr>
        <w:t>施工总进度</w:t>
      </w:r>
      <w:r>
        <w:rPr>
          <w:sz w:val="24"/>
          <w:szCs w:val="24"/>
        </w:rPr>
        <w:tab/>
      </w:r>
      <w:r>
        <w:rPr>
          <w:sz w:val="24"/>
          <w:szCs w:val="24"/>
        </w:rPr>
        <w:fldChar w:fldCharType="begin"/>
      </w:r>
      <w:r>
        <w:rPr>
          <w:sz w:val="24"/>
          <w:szCs w:val="24"/>
        </w:rPr>
        <w:instrText xml:space="preserve"> PAGEREF _Toc19201 \h </w:instrText>
      </w:r>
      <w:r>
        <w:rPr>
          <w:sz w:val="24"/>
          <w:szCs w:val="24"/>
        </w:rPr>
        <w:fldChar w:fldCharType="separate"/>
      </w:r>
      <w:r>
        <w:rPr>
          <w:sz w:val="24"/>
          <w:szCs w:val="24"/>
        </w:rPr>
        <w:t>61</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"_Toc8649" </w:instrText>
      </w:r>
      <w:r>
        <w:fldChar w:fldCharType="separate"/>
      </w:r>
      <w:r>
        <w:rPr>
          <w:rFonts w:ascii="Times New Roman"/>
          <w:sz w:val="24"/>
          <w:szCs w:val="24"/>
        </w:rPr>
        <w:t>第三章 工程分析</w:t>
      </w:r>
      <w:r>
        <w:rPr>
          <w:sz w:val="24"/>
          <w:szCs w:val="24"/>
        </w:rPr>
        <w:tab/>
      </w:r>
      <w:r>
        <w:rPr>
          <w:sz w:val="24"/>
          <w:szCs w:val="24"/>
        </w:rPr>
        <w:fldChar w:fldCharType="begin"/>
      </w:r>
      <w:r>
        <w:rPr>
          <w:sz w:val="24"/>
          <w:szCs w:val="24"/>
        </w:rPr>
        <w:instrText xml:space="preserve"> PAGEREF _Toc8649 \h </w:instrText>
      </w:r>
      <w:r>
        <w:rPr>
          <w:sz w:val="24"/>
          <w:szCs w:val="24"/>
        </w:rPr>
        <w:fldChar w:fldCharType="separate"/>
      </w:r>
      <w:r>
        <w:rPr>
          <w:sz w:val="24"/>
          <w:szCs w:val="24"/>
        </w:rPr>
        <w:t>62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"_Toc4744" </w:instrText>
      </w:r>
      <w:r>
        <w:fldChar w:fldCharType="separate"/>
      </w:r>
      <w:r>
        <w:rPr>
          <w:sz w:val="24"/>
          <w:szCs w:val="24"/>
        </w:rPr>
        <w:t>3.1政策</w:t>
      </w:r>
      <w:r>
        <w:rPr>
          <w:rFonts w:hint="eastAsia"/>
          <w:sz w:val="24"/>
          <w:szCs w:val="24"/>
        </w:rPr>
        <w:t>、规划</w:t>
      </w:r>
      <w:r>
        <w:rPr>
          <w:sz w:val="24"/>
          <w:szCs w:val="24"/>
        </w:rPr>
        <w:t>符合性分析</w:t>
      </w:r>
      <w:r>
        <w:rPr>
          <w:sz w:val="24"/>
          <w:szCs w:val="24"/>
        </w:rPr>
        <w:tab/>
      </w:r>
      <w:r>
        <w:rPr>
          <w:sz w:val="24"/>
          <w:szCs w:val="24"/>
        </w:rPr>
        <w:fldChar w:fldCharType="begin"/>
      </w:r>
      <w:r>
        <w:rPr>
          <w:sz w:val="24"/>
          <w:szCs w:val="24"/>
        </w:rPr>
        <w:instrText xml:space="preserve"> PAGEREF _Toc4744 \h </w:instrText>
      </w:r>
      <w:r>
        <w:rPr>
          <w:sz w:val="24"/>
          <w:szCs w:val="24"/>
        </w:rPr>
        <w:fldChar w:fldCharType="separate"/>
      </w:r>
      <w:r>
        <w:rPr>
          <w:sz w:val="24"/>
          <w:szCs w:val="24"/>
        </w:rPr>
        <w:t>62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"_Toc17974" </w:instrText>
      </w:r>
      <w:r>
        <w:fldChar w:fldCharType="separate"/>
      </w:r>
      <w:r>
        <w:rPr>
          <w:sz w:val="24"/>
          <w:szCs w:val="24"/>
        </w:rPr>
        <w:t>3.</w:t>
      </w:r>
      <w:r>
        <w:rPr>
          <w:rFonts w:hint="eastAsia"/>
          <w:sz w:val="24"/>
          <w:szCs w:val="24"/>
        </w:rPr>
        <w:t>2</w:t>
      </w:r>
      <w:r>
        <w:rPr>
          <w:sz w:val="24"/>
          <w:szCs w:val="24"/>
        </w:rPr>
        <w:t>工程</w:t>
      </w:r>
      <w:r>
        <w:rPr>
          <w:rFonts w:hint="eastAsia"/>
          <w:sz w:val="24"/>
          <w:szCs w:val="24"/>
        </w:rPr>
        <w:t>方案环境</w:t>
      </w:r>
      <w:r>
        <w:rPr>
          <w:sz w:val="24"/>
          <w:szCs w:val="24"/>
        </w:rPr>
        <w:t>合理性分析</w:t>
      </w:r>
      <w:r>
        <w:rPr>
          <w:sz w:val="24"/>
          <w:szCs w:val="24"/>
        </w:rPr>
        <w:tab/>
      </w:r>
      <w:r>
        <w:rPr>
          <w:sz w:val="24"/>
          <w:szCs w:val="24"/>
        </w:rPr>
        <w:fldChar w:fldCharType="begin"/>
      </w:r>
      <w:r>
        <w:rPr>
          <w:sz w:val="24"/>
          <w:szCs w:val="24"/>
        </w:rPr>
        <w:instrText xml:space="preserve"> PAGEREF _Toc17974 \h </w:instrText>
      </w:r>
      <w:r>
        <w:rPr>
          <w:sz w:val="24"/>
          <w:szCs w:val="24"/>
        </w:rPr>
        <w:fldChar w:fldCharType="separate"/>
      </w:r>
      <w:r>
        <w:rPr>
          <w:sz w:val="24"/>
          <w:szCs w:val="24"/>
        </w:rPr>
        <w:t>74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"_Toc10719" </w:instrText>
      </w:r>
      <w:r>
        <w:fldChar w:fldCharType="separate"/>
      </w:r>
      <w:r>
        <w:rPr>
          <w:sz w:val="24"/>
          <w:szCs w:val="24"/>
        </w:rPr>
        <w:t>3.</w:t>
      </w:r>
      <w:r>
        <w:rPr>
          <w:rFonts w:hint="eastAsia"/>
          <w:sz w:val="24"/>
          <w:szCs w:val="24"/>
        </w:rPr>
        <w:t>3环境影响源</w:t>
      </w:r>
      <w:r>
        <w:rPr>
          <w:sz w:val="24"/>
          <w:szCs w:val="24"/>
        </w:rPr>
        <w:t>分析</w:t>
      </w:r>
      <w:r>
        <w:rPr>
          <w:sz w:val="24"/>
          <w:szCs w:val="24"/>
        </w:rPr>
        <w:tab/>
      </w:r>
      <w:r>
        <w:rPr>
          <w:sz w:val="24"/>
          <w:szCs w:val="24"/>
        </w:rPr>
        <w:fldChar w:fldCharType="begin"/>
      </w:r>
      <w:r>
        <w:rPr>
          <w:sz w:val="24"/>
          <w:szCs w:val="24"/>
        </w:rPr>
        <w:instrText xml:space="preserve"> PAGEREF _Toc10719 \h </w:instrText>
      </w:r>
      <w:r>
        <w:rPr>
          <w:sz w:val="24"/>
          <w:szCs w:val="24"/>
        </w:rPr>
        <w:fldChar w:fldCharType="separate"/>
      </w:r>
      <w:r>
        <w:rPr>
          <w:sz w:val="24"/>
          <w:szCs w:val="24"/>
        </w:rPr>
        <w:t>81</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"_Toc4473" </w:instrText>
      </w:r>
      <w:r>
        <w:fldChar w:fldCharType="separate"/>
      </w:r>
      <w:r>
        <w:rPr>
          <w:rFonts w:ascii="Times New Roman"/>
          <w:sz w:val="24"/>
          <w:szCs w:val="24"/>
          <w:lang w:val="en-GB"/>
        </w:rPr>
        <w:t>第四章 环境</w:t>
      </w:r>
      <w:r>
        <w:rPr>
          <w:rFonts w:hint="eastAsia" w:ascii="Times New Roman"/>
          <w:sz w:val="24"/>
          <w:szCs w:val="24"/>
          <w:lang w:val="en-GB"/>
        </w:rPr>
        <w:t>质量</w:t>
      </w:r>
      <w:r>
        <w:rPr>
          <w:rFonts w:ascii="Times New Roman"/>
          <w:sz w:val="24"/>
          <w:szCs w:val="24"/>
          <w:lang w:val="en-GB"/>
        </w:rPr>
        <w:t>现状调查与评价</w:t>
      </w:r>
      <w:r>
        <w:rPr>
          <w:sz w:val="24"/>
          <w:szCs w:val="24"/>
        </w:rPr>
        <w:tab/>
      </w:r>
      <w:r>
        <w:rPr>
          <w:sz w:val="24"/>
          <w:szCs w:val="24"/>
        </w:rPr>
        <w:fldChar w:fldCharType="begin"/>
      </w:r>
      <w:r>
        <w:rPr>
          <w:sz w:val="24"/>
          <w:szCs w:val="24"/>
        </w:rPr>
        <w:instrText xml:space="preserve"> PAGEREF _Toc4473 \h </w:instrText>
      </w:r>
      <w:r>
        <w:rPr>
          <w:sz w:val="24"/>
          <w:szCs w:val="24"/>
        </w:rPr>
        <w:fldChar w:fldCharType="separate"/>
      </w:r>
      <w:r>
        <w:rPr>
          <w:sz w:val="24"/>
          <w:szCs w:val="24"/>
        </w:rPr>
        <w:t>93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"_Toc14046" </w:instrText>
      </w:r>
      <w:r>
        <w:fldChar w:fldCharType="separate"/>
      </w:r>
      <w:r>
        <w:rPr>
          <w:sz w:val="24"/>
          <w:szCs w:val="24"/>
        </w:rPr>
        <w:t>4.1自然环境</w:t>
      </w:r>
      <w:r>
        <w:rPr>
          <w:rFonts w:hint="eastAsia"/>
          <w:sz w:val="24"/>
          <w:szCs w:val="24"/>
        </w:rPr>
        <w:t>概况</w:t>
      </w:r>
      <w:r>
        <w:rPr>
          <w:sz w:val="24"/>
          <w:szCs w:val="24"/>
        </w:rPr>
        <w:tab/>
      </w:r>
      <w:r>
        <w:rPr>
          <w:sz w:val="24"/>
          <w:szCs w:val="24"/>
        </w:rPr>
        <w:fldChar w:fldCharType="begin"/>
      </w:r>
      <w:r>
        <w:rPr>
          <w:sz w:val="24"/>
          <w:szCs w:val="24"/>
        </w:rPr>
        <w:instrText xml:space="preserve"> PAGEREF _Toc14046 \h </w:instrText>
      </w:r>
      <w:r>
        <w:rPr>
          <w:sz w:val="24"/>
          <w:szCs w:val="24"/>
        </w:rPr>
        <w:fldChar w:fldCharType="separate"/>
      </w:r>
      <w:r>
        <w:rPr>
          <w:sz w:val="24"/>
          <w:szCs w:val="24"/>
        </w:rPr>
        <w:t>93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"_Toc13892" </w:instrText>
      </w:r>
      <w:r>
        <w:fldChar w:fldCharType="separate"/>
      </w:r>
      <w:r>
        <w:rPr>
          <w:rFonts w:hint="eastAsia"/>
          <w:sz w:val="24"/>
          <w:szCs w:val="24"/>
        </w:rPr>
        <w:t>4.2上高县保护区概况</w:t>
      </w:r>
      <w:r>
        <w:rPr>
          <w:sz w:val="24"/>
          <w:szCs w:val="24"/>
        </w:rPr>
        <w:tab/>
      </w:r>
      <w:r>
        <w:rPr>
          <w:sz w:val="24"/>
          <w:szCs w:val="24"/>
        </w:rPr>
        <w:fldChar w:fldCharType="begin"/>
      </w:r>
      <w:r>
        <w:rPr>
          <w:sz w:val="24"/>
          <w:szCs w:val="24"/>
        </w:rPr>
        <w:instrText xml:space="preserve"> PAGEREF _Toc13892 \h </w:instrText>
      </w:r>
      <w:r>
        <w:rPr>
          <w:sz w:val="24"/>
          <w:szCs w:val="24"/>
        </w:rPr>
        <w:fldChar w:fldCharType="separate"/>
      </w:r>
      <w:r>
        <w:rPr>
          <w:sz w:val="24"/>
          <w:szCs w:val="24"/>
        </w:rPr>
        <w:t>101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"_Toc7360" </w:instrText>
      </w:r>
      <w:r>
        <w:fldChar w:fldCharType="separate"/>
      </w:r>
      <w:r>
        <w:rPr>
          <w:rFonts w:hint="eastAsia"/>
          <w:sz w:val="24"/>
          <w:szCs w:val="24"/>
        </w:rPr>
        <w:t>4.3区域污染源</w:t>
      </w:r>
      <w:r>
        <w:rPr>
          <w:sz w:val="24"/>
          <w:szCs w:val="24"/>
        </w:rPr>
        <w:tab/>
      </w:r>
      <w:r>
        <w:rPr>
          <w:sz w:val="24"/>
          <w:szCs w:val="24"/>
        </w:rPr>
        <w:fldChar w:fldCharType="begin"/>
      </w:r>
      <w:r>
        <w:rPr>
          <w:sz w:val="24"/>
          <w:szCs w:val="24"/>
        </w:rPr>
        <w:instrText xml:space="preserve"> PAGEREF _Toc7360 \h </w:instrText>
      </w:r>
      <w:r>
        <w:rPr>
          <w:sz w:val="24"/>
          <w:szCs w:val="24"/>
        </w:rPr>
        <w:fldChar w:fldCharType="separate"/>
      </w:r>
      <w:r>
        <w:rPr>
          <w:sz w:val="24"/>
          <w:szCs w:val="24"/>
        </w:rPr>
        <w:t>105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"_Toc24820" </w:instrText>
      </w:r>
      <w:r>
        <w:fldChar w:fldCharType="separate"/>
      </w:r>
      <w:r>
        <w:rPr>
          <w:sz w:val="24"/>
          <w:szCs w:val="24"/>
        </w:rPr>
        <w:t>4.</w:t>
      </w:r>
      <w:r>
        <w:rPr>
          <w:rFonts w:hint="eastAsia"/>
          <w:sz w:val="24"/>
          <w:szCs w:val="24"/>
        </w:rPr>
        <w:t>4</w:t>
      </w:r>
      <w:r>
        <w:rPr>
          <w:sz w:val="24"/>
          <w:szCs w:val="24"/>
        </w:rPr>
        <w:t>环境质量现状</w:t>
      </w:r>
      <w:r>
        <w:rPr>
          <w:rFonts w:hint="eastAsia"/>
          <w:sz w:val="24"/>
          <w:szCs w:val="24"/>
        </w:rPr>
        <w:t>及评价</w:t>
      </w:r>
      <w:r>
        <w:rPr>
          <w:sz w:val="24"/>
          <w:szCs w:val="24"/>
        </w:rPr>
        <w:tab/>
      </w:r>
      <w:r>
        <w:rPr>
          <w:sz w:val="24"/>
          <w:szCs w:val="24"/>
        </w:rPr>
        <w:fldChar w:fldCharType="begin"/>
      </w:r>
      <w:r>
        <w:rPr>
          <w:sz w:val="24"/>
          <w:szCs w:val="24"/>
        </w:rPr>
        <w:instrText xml:space="preserve"> PAGEREF _Toc24820 \h </w:instrText>
      </w:r>
      <w:r>
        <w:rPr>
          <w:sz w:val="24"/>
          <w:szCs w:val="24"/>
        </w:rPr>
        <w:fldChar w:fldCharType="separate"/>
      </w:r>
      <w:r>
        <w:rPr>
          <w:sz w:val="24"/>
          <w:szCs w:val="24"/>
        </w:rPr>
        <w:t>107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"_Toc31825" </w:instrText>
      </w:r>
      <w:r>
        <w:fldChar w:fldCharType="separate"/>
      </w:r>
      <w:r>
        <w:rPr>
          <w:sz w:val="24"/>
          <w:szCs w:val="24"/>
        </w:rPr>
        <w:t>4.</w:t>
      </w:r>
      <w:r>
        <w:rPr>
          <w:rFonts w:hint="eastAsia"/>
          <w:sz w:val="24"/>
          <w:szCs w:val="24"/>
        </w:rPr>
        <w:t>5</w:t>
      </w:r>
      <w:r>
        <w:rPr>
          <w:sz w:val="24"/>
          <w:szCs w:val="24"/>
        </w:rPr>
        <w:t>生态环境现状调查与评价</w:t>
      </w:r>
      <w:r>
        <w:rPr>
          <w:sz w:val="24"/>
          <w:szCs w:val="24"/>
        </w:rPr>
        <w:tab/>
      </w:r>
      <w:r>
        <w:rPr>
          <w:sz w:val="24"/>
          <w:szCs w:val="24"/>
        </w:rPr>
        <w:fldChar w:fldCharType="begin"/>
      </w:r>
      <w:r>
        <w:rPr>
          <w:sz w:val="24"/>
          <w:szCs w:val="24"/>
        </w:rPr>
        <w:instrText xml:space="preserve"> PAGEREF _Toc31825 \h </w:instrText>
      </w:r>
      <w:r>
        <w:rPr>
          <w:sz w:val="24"/>
          <w:szCs w:val="24"/>
        </w:rPr>
        <w:fldChar w:fldCharType="separate"/>
      </w:r>
      <w:r>
        <w:rPr>
          <w:sz w:val="24"/>
          <w:szCs w:val="24"/>
        </w:rPr>
        <w:t>119</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"_Toc17786" </w:instrText>
      </w:r>
      <w:r>
        <w:fldChar w:fldCharType="separate"/>
      </w:r>
      <w:r>
        <w:rPr>
          <w:rFonts w:ascii="Times New Roman"/>
          <w:sz w:val="24"/>
          <w:szCs w:val="24"/>
        </w:rPr>
        <w:t>第五章 环境影响预测与评价</w:t>
      </w:r>
      <w:r>
        <w:rPr>
          <w:sz w:val="24"/>
          <w:szCs w:val="24"/>
        </w:rPr>
        <w:tab/>
      </w:r>
      <w:r>
        <w:rPr>
          <w:sz w:val="24"/>
          <w:szCs w:val="24"/>
        </w:rPr>
        <w:fldChar w:fldCharType="begin"/>
      </w:r>
      <w:r>
        <w:rPr>
          <w:sz w:val="24"/>
          <w:szCs w:val="24"/>
        </w:rPr>
        <w:instrText xml:space="preserve"> PAGEREF _Toc17786 \h </w:instrText>
      </w:r>
      <w:r>
        <w:rPr>
          <w:sz w:val="24"/>
          <w:szCs w:val="24"/>
        </w:rPr>
        <w:fldChar w:fldCharType="separate"/>
      </w:r>
      <w:r>
        <w:rPr>
          <w:sz w:val="24"/>
          <w:szCs w:val="24"/>
        </w:rPr>
        <w:t>157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"_Toc24243" </w:instrText>
      </w:r>
      <w:r>
        <w:fldChar w:fldCharType="separate"/>
      </w:r>
      <w:r>
        <w:rPr>
          <w:sz w:val="24"/>
          <w:szCs w:val="24"/>
        </w:rPr>
        <w:t>5.1</w:t>
      </w:r>
      <w:r>
        <w:rPr>
          <w:rFonts w:hint="eastAsia"/>
          <w:sz w:val="24"/>
          <w:szCs w:val="24"/>
        </w:rPr>
        <w:t>水资源配置及水资源利用的影响</w:t>
      </w:r>
      <w:r>
        <w:rPr>
          <w:sz w:val="24"/>
          <w:szCs w:val="24"/>
        </w:rPr>
        <w:tab/>
      </w:r>
      <w:r>
        <w:rPr>
          <w:sz w:val="24"/>
          <w:szCs w:val="24"/>
        </w:rPr>
        <w:fldChar w:fldCharType="begin"/>
      </w:r>
      <w:r>
        <w:rPr>
          <w:sz w:val="24"/>
          <w:szCs w:val="24"/>
        </w:rPr>
        <w:instrText xml:space="preserve"> PAGEREF _Toc24243 \h </w:instrText>
      </w:r>
      <w:r>
        <w:rPr>
          <w:sz w:val="24"/>
          <w:szCs w:val="24"/>
        </w:rPr>
        <w:fldChar w:fldCharType="separate"/>
      </w:r>
      <w:r>
        <w:rPr>
          <w:sz w:val="24"/>
          <w:szCs w:val="24"/>
        </w:rPr>
        <w:t>157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"_Toc8606" </w:instrText>
      </w:r>
      <w:r>
        <w:fldChar w:fldCharType="separate"/>
      </w:r>
      <w:r>
        <w:rPr>
          <w:sz w:val="24"/>
          <w:szCs w:val="24"/>
        </w:rPr>
        <w:t>5.2</w:t>
      </w:r>
      <w:r>
        <w:rPr>
          <w:rFonts w:hint="eastAsia"/>
          <w:sz w:val="24"/>
          <w:szCs w:val="24"/>
        </w:rPr>
        <w:t>水文情势影响分析</w:t>
      </w:r>
      <w:r>
        <w:rPr>
          <w:sz w:val="24"/>
          <w:szCs w:val="24"/>
        </w:rPr>
        <w:tab/>
      </w:r>
      <w:r>
        <w:rPr>
          <w:sz w:val="24"/>
          <w:szCs w:val="24"/>
        </w:rPr>
        <w:fldChar w:fldCharType="begin"/>
      </w:r>
      <w:r>
        <w:rPr>
          <w:sz w:val="24"/>
          <w:szCs w:val="24"/>
        </w:rPr>
        <w:instrText xml:space="preserve"> PAGEREF _Toc8606 \h </w:instrText>
      </w:r>
      <w:r>
        <w:rPr>
          <w:sz w:val="24"/>
          <w:szCs w:val="24"/>
        </w:rPr>
        <w:fldChar w:fldCharType="separate"/>
      </w:r>
      <w:r>
        <w:rPr>
          <w:sz w:val="24"/>
          <w:szCs w:val="24"/>
        </w:rPr>
        <w:t>159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"_Toc9995" </w:instrText>
      </w:r>
      <w:r>
        <w:fldChar w:fldCharType="separate"/>
      </w:r>
      <w:r>
        <w:rPr>
          <w:sz w:val="24"/>
          <w:szCs w:val="24"/>
        </w:rPr>
        <w:t>5.</w:t>
      </w:r>
      <w:r>
        <w:rPr>
          <w:rFonts w:hint="eastAsia"/>
          <w:sz w:val="24"/>
          <w:szCs w:val="24"/>
        </w:rPr>
        <w:t>3</w:t>
      </w:r>
      <w:r>
        <w:rPr>
          <w:sz w:val="24"/>
          <w:szCs w:val="24"/>
        </w:rPr>
        <w:t>地表水环境影响评价</w:t>
      </w:r>
      <w:r>
        <w:rPr>
          <w:sz w:val="24"/>
          <w:szCs w:val="24"/>
        </w:rPr>
        <w:tab/>
      </w:r>
      <w:r>
        <w:rPr>
          <w:sz w:val="24"/>
          <w:szCs w:val="24"/>
        </w:rPr>
        <w:fldChar w:fldCharType="begin"/>
      </w:r>
      <w:r>
        <w:rPr>
          <w:sz w:val="24"/>
          <w:szCs w:val="24"/>
        </w:rPr>
        <w:instrText xml:space="preserve"> PAGEREF _Toc9995 \h </w:instrText>
      </w:r>
      <w:r>
        <w:rPr>
          <w:sz w:val="24"/>
          <w:szCs w:val="24"/>
        </w:rPr>
        <w:fldChar w:fldCharType="separate"/>
      </w:r>
      <w:r>
        <w:rPr>
          <w:sz w:val="24"/>
          <w:szCs w:val="24"/>
        </w:rPr>
        <w:t>164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"_Toc32360" </w:instrText>
      </w:r>
      <w:r>
        <w:fldChar w:fldCharType="separate"/>
      </w:r>
      <w:r>
        <w:rPr>
          <w:sz w:val="24"/>
          <w:szCs w:val="24"/>
        </w:rPr>
        <w:t>5.</w:t>
      </w:r>
      <w:r>
        <w:rPr>
          <w:rFonts w:hint="eastAsia"/>
          <w:sz w:val="24"/>
          <w:szCs w:val="24"/>
        </w:rPr>
        <w:t>4</w:t>
      </w:r>
      <w:r>
        <w:rPr>
          <w:sz w:val="24"/>
          <w:szCs w:val="24"/>
        </w:rPr>
        <w:t>地下水环境影响分析</w:t>
      </w:r>
      <w:r>
        <w:rPr>
          <w:sz w:val="24"/>
          <w:szCs w:val="24"/>
        </w:rPr>
        <w:tab/>
      </w:r>
      <w:r>
        <w:rPr>
          <w:sz w:val="24"/>
          <w:szCs w:val="24"/>
        </w:rPr>
        <w:fldChar w:fldCharType="begin"/>
      </w:r>
      <w:r>
        <w:rPr>
          <w:sz w:val="24"/>
          <w:szCs w:val="24"/>
        </w:rPr>
        <w:instrText xml:space="preserve"> PAGEREF _Toc32360 \h </w:instrText>
      </w:r>
      <w:r>
        <w:rPr>
          <w:sz w:val="24"/>
          <w:szCs w:val="24"/>
        </w:rPr>
        <w:fldChar w:fldCharType="separate"/>
      </w:r>
      <w:r>
        <w:rPr>
          <w:sz w:val="24"/>
          <w:szCs w:val="24"/>
        </w:rPr>
        <w:t>172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"_Toc2775" </w:instrText>
      </w:r>
      <w:r>
        <w:fldChar w:fldCharType="separate"/>
      </w:r>
      <w:r>
        <w:rPr>
          <w:sz w:val="24"/>
          <w:szCs w:val="24"/>
        </w:rPr>
        <w:t>5.</w:t>
      </w:r>
      <w:r>
        <w:rPr>
          <w:rFonts w:hint="eastAsia"/>
          <w:sz w:val="24"/>
          <w:szCs w:val="24"/>
        </w:rPr>
        <w:t>5</w:t>
      </w:r>
      <w:r>
        <w:rPr>
          <w:sz w:val="24"/>
          <w:szCs w:val="24"/>
        </w:rPr>
        <w:t>大气环境影响分析与评价</w:t>
      </w:r>
      <w:r>
        <w:rPr>
          <w:sz w:val="24"/>
          <w:szCs w:val="24"/>
        </w:rPr>
        <w:tab/>
      </w:r>
      <w:r>
        <w:rPr>
          <w:sz w:val="24"/>
          <w:szCs w:val="24"/>
        </w:rPr>
        <w:fldChar w:fldCharType="begin"/>
      </w:r>
      <w:r>
        <w:rPr>
          <w:sz w:val="24"/>
          <w:szCs w:val="24"/>
        </w:rPr>
        <w:instrText xml:space="preserve"> PAGEREF _Toc2775 \h </w:instrText>
      </w:r>
      <w:r>
        <w:rPr>
          <w:sz w:val="24"/>
          <w:szCs w:val="24"/>
        </w:rPr>
        <w:fldChar w:fldCharType="separate"/>
      </w:r>
      <w:r>
        <w:rPr>
          <w:sz w:val="24"/>
          <w:szCs w:val="24"/>
        </w:rPr>
        <w:t>174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"_Toc4522" </w:instrText>
      </w:r>
      <w:r>
        <w:fldChar w:fldCharType="separate"/>
      </w:r>
      <w:r>
        <w:rPr>
          <w:sz w:val="24"/>
          <w:szCs w:val="24"/>
        </w:rPr>
        <w:t>5.</w:t>
      </w:r>
      <w:r>
        <w:rPr>
          <w:rFonts w:hint="eastAsia"/>
          <w:sz w:val="24"/>
          <w:szCs w:val="24"/>
        </w:rPr>
        <w:t>6</w:t>
      </w:r>
      <w:r>
        <w:rPr>
          <w:sz w:val="24"/>
          <w:szCs w:val="24"/>
        </w:rPr>
        <w:t>噪声环境影响评价</w:t>
      </w:r>
      <w:r>
        <w:rPr>
          <w:sz w:val="24"/>
          <w:szCs w:val="24"/>
        </w:rPr>
        <w:tab/>
      </w:r>
      <w:r>
        <w:rPr>
          <w:sz w:val="24"/>
          <w:szCs w:val="24"/>
        </w:rPr>
        <w:fldChar w:fldCharType="begin"/>
      </w:r>
      <w:r>
        <w:rPr>
          <w:sz w:val="24"/>
          <w:szCs w:val="24"/>
        </w:rPr>
        <w:instrText xml:space="preserve"> PAGEREF _Toc4522 \h </w:instrText>
      </w:r>
      <w:r>
        <w:rPr>
          <w:sz w:val="24"/>
          <w:szCs w:val="24"/>
        </w:rPr>
        <w:fldChar w:fldCharType="separate"/>
      </w:r>
      <w:r>
        <w:rPr>
          <w:sz w:val="24"/>
          <w:szCs w:val="24"/>
        </w:rPr>
        <w:t>176</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"_Toc3520" </w:instrText>
      </w:r>
      <w:r>
        <w:fldChar w:fldCharType="separate"/>
      </w:r>
      <w:r>
        <w:rPr>
          <w:sz w:val="24"/>
          <w:szCs w:val="24"/>
        </w:rPr>
        <w:t>5.</w:t>
      </w:r>
      <w:r>
        <w:rPr>
          <w:rFonts w:hint="eastAsia"/>
          <w:sz w:val="24"/>
          <w:szCs w:val="24"/>
        </w:rPr>
        <w:t>7</w:t>
      </w:r>
      <w:r>
        <w:rPr>
          <w:sz w:val="24"/>
          <w:szCs w:val="24"/>
        </w:rPr>
        <w:t>固体废物影响评价</w:t>
      </w:r>
      <w:r>
        <w:rPr>
          <w:sz w:val="24"/>
          <w:szCs w:val="24"/>
        </w:rPr>
        <w:tab/>
      </w:r>
      <w:r>
        <w:rPr>
          <w:sz w:val="24"/>
          <w:szCs w:val="24"/>
        </w:rPr>
        <w:fldChar w:fldCharType="begin"/>
      </w:r>
      <w:r>
        <w:rPr>
          <w:sz w:val="24"/>
          <w:szCs w:val="24"/>
        </w:rPr>
        <w:instrText xml:space="preserve"> PAGEREF _Toc3520 \h </w:instrText>
      </w:r>
      <w:r>
        <w:rPr>
          <w:sz w:val="24"/>
          <w:szCs w:val="24"/>
        </w:rPr>
        <w:fldChar w:fldCharType="separate"/>
      </w:r>
      <w:r>
        <w:rPr>
          <w:sz w:val="24"/>
          <w:szCs w:val="24"/>
        </w:rPr>
        <w:t>180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"_Toc26882" </w:instrText>
      </w:r>
      <w:r>
        <w:fldChar w:fldCharType="separate"/>
      </w:r>
      <w:r>
        <w:rPr>
          <w:sz w:val="24"/>
          <w:szCs w:val="24"/>
        </w:rPr>
        <w:t>5.</w:t>
      </w:r>
      <w:r>
        <w:rPr>
          <w:rFonts w:hint="eastAsia"/>
          <w:sz w:val="24"/>
          <w:szCs w:val="24"/>
        </w:rPr>
        <w:t>8土壤环境影响评价</w:t>
      </w:r>
      <w:r>
        <w:rPr>
          <w:sz w:val="24"/>
          <w:szCs w:val="24"/>
        </w:rPr>
        <w:tab/>
      </w:r>
      <w:r>
        <w:rPr>
          <w:sz w:val="24"/>
          <w:szCs w:val="24"/>
        </w:rPr>
        <w:fldChar w:fldCharType="begin"/>
      </w:r>
      <w:r>
        <w:rPr>
          <w:sz w:val="24"/>
          <w:szCs w:val="24"/>
        </w:rPr>
        <w:instrText xml:space="preserve"> PAGEREF _Toc26882 \h </w:instrText>
      </w:r>
      <w:r>
        <w:rPr>
          <w:sz w:val="24"/>
          <w:szCs w:val="24"/>
        </w:rPr>
        <w:fldChar w:fldCharType="separate"/>
      </w:r>
      <w:r>
        <w:rPr>
          <w:sz w:val="24"/>
          <w:szCs w:val="24"/>
        </w:rPr>
        <w:t>181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"_Toc9502" </w:instrText>
      </w:r>
      <w:r>
        <w:fldChar w:fldCharType="separate"/>
      </w:r>
      <w:r>
        <w:rPr>
          <w:sz w:val="24"/>
          <w:szCs w:val="24"/>
        </w:rPr>
        <w:t>5.</w:t>
      </w:r>
      <w:r>
        <w:rPr>
          <w:rFonts w:hint="eastAsia"/>
          <w:sz w:val="24"/>
          <w:szCs w:val="24"/>
        </w:rPr>
        <w:t>9生态环境影响预测评价</w:t>
      </w:r>
      <w:r>
        <w:rPr>
          <w:sz w:val="24"/>
          <w:szCs w:val="24"/>
        </w:rPr>
        <w:tab/>
      </w:r>
      <w:r>
        <w:rPr>
          <w:sz w:val="24"/>
          <w:szCs w:val="24"/>
        </w:rPr>
        <w:fldChar w:fldCharType="begin"/>
      </w:r>
      <w:r>
        <w:rPr>
          <w:sz w:val="24"/>
          <w:szCs w:val="24"/>
        </w:rPr>
        <w:instrText xml:space="preserve"> PAGEREF _Toc9502 \h </w:instrText>
      </w:r>
      <w:r>
        <w:rPr>
          <w:sz w:val="24"/>
          <w:szCs w:val="24"/>
        </w:rPr>
        <w:fldChar w:fldCharType="separate"/>
      </w:r>
      <w:r>
        <w:rPr>
          <w:sz w:val="24"/>
          <w:szCs w:val="24"/>
        </w:rPr>
        <w:t>184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"_Toc4562" </w:instrText>
      </w:r>
      <w:r>
        <w:fldChar w:fldCharType="separate"/>
      </w:r>
      <w:r>
        <w:rPr>
          <w:sz w:val="24"/>
          <w:szCs w:val="24"/>
        </w:rPr>
        <w:t>5.</w:t>
      </w:r>
      <w:r>
        <w:rPr>
          <w:rFonts w:hint="eastAsia"/>
          <w:sz w:val="24"/>
          <w:szCs w:val="24"/>
        </w:rPr>
        <w:t>10</w:t>
      </w:r>
      <w:r>
        <w:rPr>
          <w:sz w:val="24"/>
          <w:szCs w:val="24"/>
        </w:rPr>
        <w:t>环境地质影响分析</w:t>
      </w:r>
      <w:r>
        <w:rPr>
          <w:sz w:val="24"/>
          <w:szCs w:val="24"/>
        </w:rPr>
        <w:tab/>
      </w:r>
      <w:r>
        <w:rPr>
          <w:sz w:val="24"/>
          <w:szCs w:val="24"/>
        </w:rPr>
        <w:fldChar w:fldCharType="begin"/>
      </w:r>
      <w:r>
        <w:rPr>
          <w:sz w:val="24"/>
          <w:szCs w:val="24"/>
        </w:rPr>
        <w:instrText xml:space="preserve"> PAGEREF _Toc4562 \h </w:instrText>
      </w:r>
      <w:r>
        <w:rPr>
          <w:sz w:val="24"/>
          <w:szCs w:val="24"/>
        </w:rPr>
        <w:fldChar w:fldCharType="separate"/>
      </w:r>
      <w:r>
        <w:rPr>
          <w:sz w:val="24"/>
          <w:szCs w:val="24"/>
        </w:rPr>
        <w:t>199</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"_Toc2192" </w:instrText>
      </w:r>
      <w:r>
        <w:fldChar w:fldCharType="separate"/>
      </w:r>
      <w:r>
        <w:rPr>
          <w:rFonts w:ascii="Times New Roman"/>
          <w:sz w:val="24"/>
          <w:szCs w:val="24"/>
        </w:rPr>
        <w:t>第六章</w:t>
      </w:r>
      <w:r>
        <w:rPr>
          <w:rFonts w:hint="eastAsia" w:ascii="Times New Roman"/>
          <w:sz w:val="24"/>
          <w:szCs w:val="24"/>
        </w:rPr>
        <w:t xml:space="preserve"> </w:t>
      </w:r>
      <w:r>
        <w:rPr>
          <w:rFonts w:ascii="Times New Roman"/>
          <w:sz w:val="24"/>
          <w:szCs w:val="24"/>
        </w:rPr>
        <w:t>环境风险分析</w:t>
      </w:r>
      <w:r>
        <w:rPr>
          <w:sz w:val="24"/>
          <w:szCs w:val="24"/>
        </w:rPr>
        <w:tab/>
      </w:r>
      <w:r>
        <w:rPr>
          <w:sz w:val="24"/>
          <w:szCs w:val="24"/>
        </w:rPr>
        <w:fldChar w:fldCharType="begin"/>
      </w:r>
      <w:r>
        <w:rPr>
          <w:sz w:val="24"/>
          <w:szCs w:val="24"/>
        </w:rPr>
        <w:instrText xml:space="preserve"> PAGEREF _Toc2192 \h </w:instrText>
      </w:r>
      <w:r>
        <w:rPr>
          <w:sz w:val="24"/>
          <w:szCs w:val="24"/>
        </w:rPr>
        <w:fldChar w:fldCharType="separate"/>
      </w:r>
      <w:r>
        <w:rPr>
          <w:sz w:val="24"/>
          <w:szCs w:val="24"/>
        </w:rPr>
        <w:t>201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"_Toc19958" </w:instrText>
      </w:r>
      <w:r>
        <w:fldChar w:fldCharType="separate"/>
      </w:r>
      <w:r>
        <w:rPr>
          <w:rFonts w:hint="eastAsia"/>
          <w:sz w:val="24"/>
          <w:szCs w:val="24"/>
        </w:rPr>
        <w:t>6.1环境风险评价目的</w:t>
      </w:r>
      <w:r>
        <w:rPr>
          <w:sz w:val="24"/>
          <w:szCs w:val="24"/>
        </w:rPr>
        <w:tab/>
      </w:r>
      <w:r>
        <w:rPr>
          <w:sz w:val="24"/>
          <w:szCs w:val="24"/>
        </w:rPr>
        <w:fldChar w:fldCharType="begin"/>
      </w:r>
      <w:r>
        <w:rPr>
          <w:sz w:val="24"/>
          <w:szCs w:val="24"/>
        </w:rPr>
        <w:instrText xml:space="preserve"> PAGEREF _Toc19958 \h </w:instrText>
      </w:r>
      <w:r>
        <w:rPr>
          <w:sz w:val="24"/>
          <w:szCs w:val="24"/>
        </w:rPr>
        <w:fldChar w:fldCharType="separate"/>
      </w:r>
      <w:r>
        <w:rPr>
          <w:sz w:val="24"/>
          <w:szCs w:val="24"/>
        </w:rPr>
        <w:t>201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"_Toc8273" </w:instrText>
      </w:r>
      <w:r>
        <w:fldChar w:fldCharType="separate"/>
      </w:r>
      <w:r>
        <w:rPr>
          <w:rFonts w:hint="eastAsia"/>
          <w:sz w:val="24"/>
          <w:szCs w:val="24"/>
        </w:rPr>
        <w:t>6</w:t>
      </w:r>
      <w:r>
        <w:rPr>
          <w:sz w:val="24"/>
          <w:szCs w:val="24"/>
        </w:rPr>
        <w:t>.2</w:t>
      </w:r>
      <w:r>
        <w:rPr>
          <w:rFonts w:hint="eastAsia"/>
          <w:sz w:val="24"/>
          <w:szCs w:val="24"/>
        </w:rPr>
        <w:t>风险识别</w:t>
      </w:r>
      <w:r>
        <w:rPr>
          <w:sz w:val="24"/>
          <w:szCs w:val="24"/>
        </w:rPr>
        <w:tab/>
      </w:r>
      <w:r>
        <w:rPr>
          <w:sz w:val="24"/>
          <w:szCs w:val="24"/>
        </w:rPr>
        <w:fldChar w:fldCharType="begin"/>
      </w:r>
      <w:r>
        <w:rPr>
          <w:sz w:val="24"/>
          <w:szCs w:val="24"/>
        </w:rPr>
        <w:instrText xml:space="preserve"> PAGEREF _Toc8273 \h </w:instrText>
      </w:r>
      <w:r>
        <w:rPr>
          <w:sz w:val="24"/>
          <w:szCs w:val="24"/>
        </w:rPr>
        <w:fldChar w:fldCharType="separate"/>
      </w:r>
      <w:r>
        <w:rPr>
          <w:sz w:val="24"/>
          <w:szCs w:val="24"/>
        </w:rPr>
        <w:t>201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"_Toc9035" </w:instrText>
      </w:r>
      <w:r>
        <w:fldChar w:fldCharType="separate"/>
      </w:r>
      <w:r>
        <w:rPr>
          <w:rFonts w:hint="eastAsia"/>
          <w:sz w:val="24"/>
          <w:szCs w:val="24"/>
        </w:rPr>
        <w:t>6</w:t>
      </w:r>
      <w:r>
        <w:rPr>
          <w:sz w:val="24"/>
          <w:szCs w:val="24"/>
        </w:rPr>
        <w:t>.3</w:t>
      </w:r>
      <w:r>
        <w:rPr>
          <w:rFonts w:hint="eastAsia"/>
          <w:sz w:val="24"/>
          <w:szCs w:val="24"/>
        </w:rPr>
        <w:t>环境风险潜势初判</w:t>
      </w:r>
      <w:r>
        <w:rPr>
          <w:sz w:val="24"/>
          <w:szCs w:val="24"/>
        </w:rPr>
        <w:tab/>
      </w:r>
      <w:r>
        <w:rPr>
          <w:sz w:val="24"/>
          <w:szCs w:val="24"/>
        </w:rPr>
        <w:fldChar w:fldCharType="begin"/>
      </w:r>
      <w:r>
        <w:rPr>
          <w:sz w:val="24"/>
          <w:szCs w:val="24"/>
        </w:rPr>
        <w:instrText xml:space="preserve"> PAGEREF _Toc9035 \h </w:instrText>
      </w:r>
      <w:r>
        <w:rPr>
          <w:sz w:val="24"/>
          <w:szCs w:val="24"/>
        </w:rPr>
        <w:fldChar w:fldCharType="separate"/>
      </w:r>
      <w:r>
        <w:rPr>
          <w:sz w:val="24"/>
          <w:szCs w:val="24"/>
        </w:rPr>
        <w:t>201</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"_Toc18223" </w:instrText>
      </w:r>
      <w:r>
        <w:fldChar w:fldCharType="separate"/>
      </w:r>
      <w:r>
        <w:rPr>
          <w:rFonts w:hint="eastAsia"/>
          <w:sz w:val="24"/>
          <w:szCs w:val="24"/>
        </w:rPr>
        <w:t>6</w:t>
      </w:r>
      <w:r>
        <w:rPr>
          <w:sz w:val="24"/>
          <w:szCs w:val="24"/>
        </w:rPr>
        <w:t>.4</w:t>
      </w:r>
      <w:r>
        <w:rPr>
          <w:rFonts w:hint="eastAsia"/>
          <w:sz w:val="24"/>
          <w:szCs w:val="24"/>
        </w:rPr>
        <w:t>环境风险评价等级</w:t>
      </w:r>
      <w:r>
        <w:rPr>
          <w:sz w:val="24"/>
          <w:szCs w:val="24"/>
        </w:rPr>
        <w:tab/>
      </w:r>
      <w:r>
        <w:rPr>
          <w:sz w:val="24"/>
          <w:szCs w:val="24"/>
        </w:rPr>
        <w:fldChar w:fldCharType="begin"/>
      </w:r>
      <w:r>
        <w:rPr>
          <w:sz w:val="24"/>
          <w:szCs w:val="24"/>
        </w:rPr>
        <w:instrText xml:space="preserve"> PAGEREF _Toc18223 \h </w:instrText>
      </w:r>
      <w:r>
        <w:rPr>
          <w:sz w:val="24"/>
          <w:szCs w:val="24"/>
        </w:rPr>
        <w:fldChar w:fldCharType="separate"/>
      </w:r>
      <w:r>
        <w:rPr>
          <w:sz w:val="24"/>
          <w:szCs w:val="24"/>
        </w:rPr>
        <w:t>203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"_Toc17469" </w:instrText>
      </w:r>
      <w:r>
        <w:fldChar w:fldCharType="separate"/>
      </w:r>
      <w:r>
        <w:rPr>
          <w:rFonts w:hint="eastAsia"/>
          <w:sz w:val="24"/>
          <w:szCs w:val="24"/>
        </w:rPr>
        <w:t>6</w:t>
      </w:r>
      <w:r>
        <w:rPr>
          <w:sz w:val="24"/>
          <w:szCs w:val="24"/>
        </w:rPr>
        <w:t>.5</w:t>
      </w:r>
      <w:r>
        <w:rPr>
          <w:rFonts w:hint="eastAsia"/>
          <w:sz w:val="24"/>
          <w:szCs w:val="24"/>
        </w:rPr>
        <w:t>风险影响分析及防范措施</w:t>
      </w:r>
      <w:r>
        <w:rPr>
          <w:sz w:val="24"/>
          <w:szCs w:val="24"/>
        </w:rPr>
        <w:tab/>
      </w:r>
      <w:r>
        <w:rPr>
          <w:sz w:val="24"/>
          <w:szCs w:val="24"/>
        </w:rPr>
        <w:fldChar w:fldCharType="begin"/>
      </w:r>
      <w:r>
        <w:rPr>
          <w:sz w:val="24"/>
          <w:szCs w:val="24"/>
        </w:rPr>
        <w:instrText xml:space="preserve"> PAGEREF _Toc17469 \h </w:instrText>
      </w:r>
      <w:r>
        <w:rPr>
          <w:sz w:val="24"/>
          <w:szCs w:val="24"/>
        </w:rPr>
        <w:fldChar w:fldCharType="separate"/>
      </w:r>
      <w:r>
        <w:rPr>
          <w:sz w:val="24"/>
          <w:szCs w:val="24"/>
        </w:rPr>
        <w:t>203</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"_Toc1364" </w:instrText>
      </w:r>
      <w:r>
        <w:fldChar w:fldCharType="separate"/>
      </w:r>
      <w:r>
        <w:rPr>
          <w:rFonts w:ascii="Times New Roman"/>
          <w:sz w:val="24"/>
          <w:szCs w:val="24"/>
        </w:rPr>
        <w:t>第</w:t>
      </w:r>
      <w:r>
        <w:rPr>
          <w:rFonts w:hint="eastAsia" w:ascii="Times New Roman"/>
          <w:sz w:val="24"/>
          <w:szCs w:val="24"/>
        </w:rPr>
        <w:t>七</w:t>
      </w:r>
      <w:r>
        <w:rPr>
          <w:rFonts w:ascii="Times New Roman"/>
          <w:sz w:val="24"/>
          <w:szCs w:val="24"/>
        </w:rPr>
        <w:t>章 环境保护措施及技术可行性分析</w:t>
      </w:r>
      <w:r>
        <w:rPr>
          <w:sz w:val="24"/>
          <w:szCs w:val="24"/>
        </w:rPr>
        <w:tab/>
      </w:r>
      <w:r>
        <w:rPr>
          <w:sz w:val="24"/>
          <w:szCs w:val="24"/>
        </w:rPr>
        <w:fldChar w:fldCharType="begin"/>
      </w:r>
      <w:r>
        <w:rPr>
          <w:sz w:val="24"/>
          <w:szCs w:val="24"/>
        </w:rPr>
        <w:instrText xml:space="preserve"> PAGEREF _Toc1364 \h </w:instrText>
      </w:r>
      <w:r>
        <w:rPr>
          <w:sz w:val="24"/>
          <w:szCs w:val="24"/>
        </w:rPr>
        <w:fldChar w:fldCharType="separate"/>
      </w:r>
      <w:r>
        <w:rPr>
          <w:sz w:val="24"/>
          <w:szCs w:val="24"/>
        </w:rPr>
        <w:t>209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"_Toc504" </w:instrText>
      </w:r>
      <w:r>
        <w:fldChar w:fldCharType="separate"/>
      </w:r>
      <w:r>
        <w:rPr>
          <w:rFonts w:hint="eastAsia"/>
          <w:sz w:val="24"/>
          <w:szCs w:val="24"/>
        </w:rPr>
        <w:t>7</w:t>
      </w:r>
      <w:r>
        <w:rPr>
          <w:sz w:val="24"/>
          <w:szCs w:val="24"/>
        </w:rPr>
        <w:t>.1环保措施设计原则、总体布局</w:t>
      </w:r>
      <w:r>
        <w:rPr>
          <w:sz w:val="24"/>
          <w:szCs w:val="24"/>
        </w:rPr>
        <w:tab/>
      </w:r>
      <w:r>
        <w:rPr>
          <w:sz w:val="24"/>
          <w:szCs w:val="24"/>
        </w:rPr>
        <w:fldChar w:fldCharType="begin"/>
      </w:r>
      <w:r>
        <w:rPr>
          <w:sz w:val="24"/>
          <w:szCs w:val="24"/>
        </w:rPr>
        <w:instrText xml:space="preserve"> PAGEREF _Toc504 \h </w:instrText>
      </w:r>
      <w:r>
        <w:rPr>
          <w:sz w:val="24"/>
          <w:szCs w:val="24"/>
        </w:rPr>
        <w:fldChar w:fldCharType="separate"/>
      </w:r>
      <w:r>
        <w:rPr>
          <w:sz w:val="24"/>
          <w:szCs w:val="24"/>
        </w:rPr>
        <w:t>209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"_Toc21059" </w:instrText>
      </w:r>
      <w:r>
        <w:fldChar w:fldCharType="separate"/>
      </w:r>
      <w:r>
        <w:rPr>
          <w:rFonts w:hint="eastAsia"/>
          <w:sz w:val="24"/>
          <w:szCs w:val="24"/>
        </w:rPr>
        <w:t>7</w:t>
      </w:r>
      <w:r>
        <w:rPr>
          <w:sz w:val="24"/>
          <w:szCs w:val="24"/>
        </w:rPr>
        <w:t>.2地表水环境保护措施</w:t>
      </w:r>
      <w:r>
        <w:rPr>
          <w:rFonts w:hint="eastAsia"/>
          <w:sz w:val="24"/>
          <w:szCs w:val="24"/>
        </w:rPr>
        <w:t>及可行性分析</w:t>
      </w:r>
      <w:r>
        <w:rPr>
          <w:sz w:val="24"/>
          <w:szCs w:val="24"/>
        </w:rPr>
        <w:tab/>
      </w:r>
      <w:r>
        <w:rPr>
          <w:sz w:val="24"/>
          <w:szCs w:val="24"/>
        </w:rPr>
        <w:fldChar w:fldCharType="begin"/>
      </w:r>
      <w:r>
        <w:rPr>
          <w:sz w:val="24"/>
          <w:szCs w:val="24"/>
        </w:rPr>
        <w:instrText xml:space="preserve"> PAGEREF _Toc21059 \h </w:instrText>
      </w:r>
      <w:r>
        <w:rPr>
          <w:sz w:val="24"/>
          <w:szCs w:val="24"/>
        </w:rPr>
        <w:fldChar w:fldCharType="separate"/>
      </w:r>
      <w:r>
        <w:rPr>
          <w:sz w:val="24"/>
          <w:szCs w:val="24"/>
        </w:rPr>
        <w:t>210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"_Toc15600" </w:instrText>
      </w:r>
      <w:r>
        <w:fldChar w:fldCharType="separate"/>
      </w:r>
      <w:r>
        <w:rPr>
          <w:rFonts w:hint="eastAsia"/>
          <w:sz w:val="24"/>
          <w:szCs w:val="24"/>
        </w:rPr>
        <w:t>7</w:t>
      </w:r>
      <w:r>
        <w:rPr>
          <w:sz w:val="24"/>
          <w:szCs w:val="24"/>
        </w:rPr>
        <w:t>.3地下水环境保护措施</w:t>
      </w:r>
      <w:r>
        <w:rPr>
          <w:rFonts w:hint="eastAsia"/>
          <w:sz w:val="24"/>
          <w:szCs w:val="24"/>
        </w:rPr>
        <w:t>及可行性分析</w:t>
      </w:r>
      <w:r>
        <w:rPr>
          <w:sz w:val="24"/>
          <w:szCs w:val="24"/>
        </w:rPr>
        <w:tab/>
      </w:r>
      <w:r>
        <w:rPr>
          <w:sz w:val="24"/>
          <w:szCs w:val="24"/>
        </w:rPr>
        <w:fldChar w:fldCharType="begin"/>
      </w:r>
      <w:r>
        <w:rPr>
          <w:sz w:val="24"/>
          <w:szCs w:val="24"/>
        </w:rPr>
        <w:instrText xml:space="preserve"> PAGEREF _Toc15600 \h </w:instrText>
      </w:r>
      <w:r>
        <w:rPr>
          <w:sz w:val="24"/>
          <w:szCs w:val="24"/>
        </w:rPr>
        <w:fldChar w:fldCharType="separate"/>
      </w:r>
      <w:r>
        <w:rPr>
          <w:sz w:val="24"/>
          <w:szCs w:val="24"/>
        </w:rPr>
        <w:t>213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"_Toc8108" </w:instrText>
      </w:r>
      <w:r>
        <w:fldChar w:fldCharType="separate"/>
      </w:r>
      <w:r>
        <w:rPr>
          <w:rFonts w:hint="eastAsia"/>
          <w:sz w:val="24"/>
          <w:szCs w:val="24"/>
        </w:rPr>
        <w:t>7</w:t>
      </w:r>
      <w:r>
        <w:rPr>
          <w:sz w:val="24"/>
          <w:szCs w:val="24"/>
        </w:rPr>
        <w:t>.</w:t>
      </w:r>
      <w:r>
        <w:rPr>
          <w:rFonts w:hint="eastAsia"/>
          <w:sz w:val="24"/>
          <w:szCs w:val="24"/>
        </w:rPr>
        <w:t>4</w:t>
      </w:r>
      <w:r>
        <w:rPr>
          <w:sz w:val="24"/>
          <w:szCs w:val="24"/>
        </w:rPr>
        <w:t>大气环境保护措施</w:t>
      </w:r>
      <w:r>
        <w:rPr>
          <w:rFonts w:hint="eastAsia"/>
          <w:sz w:val="24"/>
          <w:szCs w:val="24"/>
        </w:rPr>
        <w:t>及可行性分析</w:t>
      </w:r>
      <w:r>
        <w:rPr>
          <w:sz w:val="24"/>
          <w:szCs w:val="24"/>
        </w:rPr>
        <w:tab/>
      </w:r>
      <w:r>
        <w:rPr>
          <w:sz w:val="24"/>
          <w:szCs w:val="24"/>
        </w:rPr>
        <w:fldChar w:fldCharType="begin"/>
      </w:r>
      <w:r>
        <w:rPr>
          <w:sz w:val="24"/>
          <w:szCs w:val="24"/>
        </w:rPr>
        <w:instrText xml:space="preserve"> PAGEREF _Toc8108 \h </w:instrText>
      </w:r>
      <w:r>
        <w:rPr>
          <w:sz w:val="24"/>
          <w:szCs w:val="24"/>
        </w:rPr>
        <w:fldChar w:fldCharType="separate"/>
      </w:r>
      <w:r>
        <w:rPr>
          <w:sz w:val="24"/>
          <w:szCs w:val="24"/>
        </w:rPr>
        <w:t>214</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"_Toc11998" </w:instrText>
      </w:r>
      <w:r>
        <w:fldChar w:fldCharType="separate"/>
      </w:r>
      <w:r>
        <w:rPr>
          <w:rFonts w:hint="eastAsia"/>
          <w:sz w:val="24"/>
          <w:szCs w:val="24"/>
        </w:rPr>
        <w:t>7</w:t>
      </w:r>
      <w:r>
        <w:rPr>
          <w:sz w:val="24"/>
          <w:szCs w:val="24"/>
        </w:rPr>
        <w:t>.</w:t>
      </w:r>
      <w:r>
        <w:rPr>
          <w:rFonts w:hint="eastAsia"/>
          <w:sz w:val="24"/>
          <w:szCs w:val="24"/>
        </w:rPr>
        <w:t>5</w:t>
      </w:r>
      <w:r>
        <w:rPr>
          <w:sz w:val="24"/>
          <w:szCs w:val="24"/>
        </w:rPr>
        <w:t>声环境保护措施</w:t>
      </w:r>
      <w:r>
        <w:rPr>
          <w:rFonts w:hint="eastAsia"/>
          <w:sz w:val="24"/>
          <w:szCs w:val="24"/>
        </w:rPr>
        <w:t>及可行性分析</w:t>
      </w:r>
      <w:r>
        <w:rPr>
          <w:sz w:val="24"/>
          <w:szCs w:val="24"/>
        </w:rPr>
        <w:tab/>
      </w:r>
      <w:r>
        <w:rPr>
          <w:sz w:val="24"/>
          <w:szCs w:val="24"/>
        </w:rPr>
        <w:fldChar w:fldCharType="begin"/>
      </w:r>
      <w:r>
        <w:rPr>
          <w:sz w:val="24"/>
          <w:szCs w:val="24"/>
        </w:rPr>
        <w:instrText xml:space="preserve"> PAGEREF _Toc11998 \h </w:instrText>
      </w:r>
      <w:r>
        <w:rPr>
          <w:sz w:val="24"/>
          <w:szCs w:val="24"/>
        </w:rPr>
        <w:fldChar w:fldCharType="separate"/>
      </w:r>
      <w:r>
        <w:rPr>
          <w:sz w:val="24"/>
          <w:szCs w:val="24"/>
        </w:rPr>
        <w:t>217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"_Toc15373" </w:instrText>
      </w:r>
      <w:r>
        <w:fldChar w:fldCharType="separate"/>
      </w:r>
      <w:r>
        <w:rPr>
          <w:rFonts w:hint="eastAsia"/>
          <w:sz w:val="24"/>
          <w:szCs w:val="24"/>
        </w:rPr>
        <w:t>7</w:t>
      </w:r>
      <w:r>
        <w:rPr>
          <w:sz w:val="24"/>
          <w:szCs w:val="24"/>
        </w:rPr>
        <w:t>.</w:t>
      </w:r>
      <w:r>
        <w:rPr>
          <w:rFonts w:hint="eastAsia"/>
          <w:sz w:val="24"/>
          <w:szCs w:val="24"/>
        </w:rPr>
        <w:t>6</w:t>
      </w:r>
      <w:r>
        <w:rPr>
          <w:sz w:val="24"/>
          <w:szCs w:val="24"/>
        </w:rPr>
        <w:t>固体废物处置</w:t>
      </w:r>
      <w:r>
        <w:rPr>
          <w:rFonts w:hint="eastAsia"/>
          <w:sz w:val="24"/>
          <w:szCs w:val="24"/>
        </w:rPr>
        <w:t>措施及可行性分析</w:t>
      </w:r>
      <w:r>
        <w:rPr>
          <w:sz w:val="24"/>
          <w:szCs w:val="24"/>
        </w:rPr>
        <w:tab/>
      </w:r>
      <w:r>
        <w:rPr>
          <w:sz w:val="24"/>
          <w:szCs w:val="24"/>
        </w:rPr>
        <w:fldChar w:fldCharType="begin"/>
      </w:r>
      <w:r>
        <w:rPr>
          <w:sz w:val="24"/>
          <w:szCs w:val="24"/>
        </w:rPr>
        <w:instrText xml:space="preserve"> PAGEREF _Toc15373 \h </w:instrText>
      </w:r>
      <w:r>
        <w:rPr>
          <w:sz w:val="24"/>
          <w:szCs w:val="24"/>
        </w:rPr>
        <w:fldChar w:fldCharType="separate"/>
      </w:r>
      <w:r>
        <w:rPr>
          <w:sz w:val="24"/>
          <w:szCs w:val="24"/>
        </w:rPr>
        <w:t>219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"_Toc350" </w:instrText>
      </w:r>
      <w:r>
        <w:fldChar w:fldCharType="separate"/>
      </w:r>
      <w:r>
        <w:rPr>
          <w:rFonts w:hint="eastAsia"/>
          <w:sz w:val="24"/>
          <w:szCs w:val="24"/>
        </w:rPr>
        <w:t>7.7土壤污染防治措施及可行性分析</w:t>
      </w:r>
      <w:r>
        <w:rPr>
          <w:sz w:val="24"/>
          <w:szCs w:val="24"/>
        </w:rPr>
        <w:tab/>
      </w:r>
      <w:r>
        <w:rPr>
          <w:sz w:val="24"/>
          <w:szCs w:val="24"/>
        </w:rPr>
        <w:fldChar w:fldCharType="begin"/>
      </w:r>
      <w:r>
        <w:rPr>
          <w:sz w:val="24"/>
          <w:szCs w:val="24"/>
        </w:rPr>
        <w:instrText xml:space="preserve"> PAGEREF _Toc350 \h </w:instrText>
      </w:r>
      <w:r>
        <w:rPr>
          <w:sz w:val="24"/>
          <w:szCs w:val="24"/>
        </w:rPr>
        <w:fldChar w:fldCharType="separate"/>
      </w:r>
      <w:r>
        <w:rPr>
          <w:sz w:val="24"/>
          <w:szCs w:val="24"/>
        </w:rPr>
        <w:t>220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"_Toc21310" </w:instrText>
      </w:r>
      <w:r>
        <w:fldChar w:fldCharType="separate"/>
      </w:r>
      <w:r>
        <w:rPr>
          <w:rFonts w:hint="eastAsia"/>
          <w:sz w:val="24"/>
          <w:szCs w:val="24"/>
        </w:rPr>
        <w:t>7</w:t>
      </w:r>
      <w:r>
        <w:rPr>
          <w:sz w:val="24"/>
          <w:szCs w:val="24"/>
        </w:rPr>
        <w:t>.</w:t>
      </w:r>
      <w:r>
        <w:rPr>
          <w:rFonts w:hint="eastAsia"/>
          <w:sz w:val="24"/>
          <w:szCs w:val="24"/>
        </w:rPr>
        <w:t>8</w:t>
      </w:r>
      <w:r>
        <w:rPr>
          <w:sz w:val="24"/>
          <w:szCs w:val="24"/>
        </w:rPr>
        <w:t>生态环境保护措施</w:t>
      </w:r>
      <w:r>
        <w:rPr>
          <w:sz w:val="24"/>
          <w:szCs w:val="24"/>
        </w:rPr>
        <w:tab/>
      </w:r>
      <w:r>
        <w:rPr>
          <w:sz w:val="24"/>
          <w:szCs w:val="24"/>
        </w:rPr>
        <w:fldChar w:fldCharType="begin"/>
      </w:r>
      <w:r>
        <w:rPr>
          <w:sz w:val="24"/>
          <w:szCs w:val="24"/>
        </w:rPr>
        <w:instrText xml:space="preserve"> PAGEREF _Toc21310 \h </w:instrText>
      </w:r>
      <w:r>
        <w:rPr>
          <w:sz w:val="24"/>
          <w:szCs w:val="24"/>
        </w:rPr>
        <w:fldChar w:fldCharType="separate"/>
      </w:r>
      <w:r>
        <w:rPr>
          <w:sz w:val="24"/>
          <w:szCs w:val="24"/>
        </w:rPr>
        <w:t>220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"_Toc32472" </w:instrText>
      </w:r>
      <w:r>
        <w:fldChar w:fldCharType="separate"/>
      </w:r>
      <w:r>
        <w:rPr>
          <w:rFonts w:hint="eastAsia"/>
          <w:sz w:val="24"/>
          <w:szCs w:val="24"/>
        </w:rPr>
        <w:t>7</w:t>
      </w:r>
      <w:r>
        <w:rPr>
          <w:sz w:val="24"/>
          <w:szCs w:val="24"/>
        </w:rPr>
        <w:t>.9</w:t>
      </w:r>
      <w:r>
        <w:rPr>
          <w:rFonts w:hint="eastAsia"/>
          <w:sz w:val="24"/>
          <w:szCs w:val="24"/>
        </w:rPr>
        <w:t>环境地质保护措施</w:t>
      </w:r>
      <w:r>
        <w:rPr>
          <w:sz w:val="24"/>
          <w:szCs w:val="24"/>
        </w:rPr>
        <w:tab/>
      </w:r>
      <w:r>
        <w:rPr>
          <w:sz w:val="24"/>
          <w:szCs w:val="24"/>
        </w:rPr>
        <w:fldChar w:fldCharType="begin"/>
      </w:r>
      <w:r>
        <w:rPr>
          <w:sz w:val="24"/>
          <w:szCs w:val="24"/>
        </w:rPr>
        <w:instrText xml:space="preserve"> PAGEREF _Toc32472 \h </w:instrText>
      </w:r>
      <w:r>
        <w:rPr>
          <w:sz w:val="24"/>
          <w:szCs w:val="24"/>
        </w:rPr>
        <w:fldChar w:fldCharType="separate"/>
      </w:r>
      <w:r>
        <w:rPr>
          <w:sz w:val="24"/>
          <w:szCs w:val="24"/>
        </w:rPr>
        <w:t>233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"_Toc17484" </w:instrText>
      </w:r>
      <w:r>
        <w:fldChar w:fldCharType="separate"/>
      </w:r>
      <w:r>
        <w:rPr>
          <w:rFonts w:hint="eastAsia"/>
          <w:sz w:val="24"/>
          <w:szCs w:val="24"/>
        </w:rPr>
        <w:t>7</w:t>
      </w:r>
      <w:r>
        <w:rPr>
          <w:sz w:val="24"/>
          <w:szCs w:val="24"/>
        </w:rPr>
        <w:t>.</w:t>
      </w:r>
      <w:r>
        <w:rPr>
          <w:rFonts w:hint="eastAsia"/>
          <w:sz w:val="24"/>
          <w:szCs w:val="24"/>
        </w:rPr>
        <w:t>10</w:t>
      </w:r>
      <w:r>
        <w:rPr>
          <w:sz w:val="24"/>
          <w:szCs w:val="24"/>
        </w:rPr>
        <w:t>人群健康保护措施</w:t>
      </w:r>
      <w:r>
        <w:rPr>
          <w:sz w:val="24"/>
          <w:szCs w:val="24"/>
        </w:rPr>
        <w:tab/>
      </w:r>
      <w:r>
        <w:rPr>
          <w:sz w:val="24"/>
          <w:szCs w:val="24"/>
        </w:rPr>
        <w:fldChar w:fldCharType="begin"/>
      </w:r>
      <w:r>
        <w:rPr>
          <w:sz w:val="24"/>
          <w:szCs w:val="24"/>
        </w:rPr>
        <w:instrText xml:space="preserve"> PAGEREF _Toc17484 \h </w:instrText>
      </w:r>
      <w:r>
        <w:rPr>
          <w:sz w:val="24"/>
          <w:szCs w:val="24"/>
        </w:rPr>
        <w:fldChar w:fldCharType="separate"/>
      </w:r>
      <w:r>
        <w:rPr>
          <w:sz w:val="24"/>
          <w:szCs w:val="24"/>
        </w:rPr>
        <w:t>234</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"_Toc22363" </w:instrText>
      </w:r>
      <w:r>
        <w:fldChar w:fldCharType="separate"/>
      </w:r>
      <w:r>
        <w:rPr>
          <w:kern w:val="30"/>
          <w:sz w:val="24"/>
          <w:szCs w:val="24"/>
        </w:rPr>
        <w:t>第</w:t>
      </w:r>
      <w:r>
        <w:rPr>
          <w:rFonts w:hint="eastAsia"/>
          <w:kern w:val="30"/>
          <w:sz w:val="24"/>
          <w:szCs w:val="24"/>
        </w:rPr>
        <w:t>八</w:t>
      </w:r>
      <w:r>
        <w:rPr>
          <w:kern w:val="30"/>
          <w:sz w:val="24"/>
          <w:szCs w:val="24"/>
        </w:rPr>
        <w:t>章  环境</w:t>
      </w:r>
      <w:r>
        <w:rPr>
          <w:rFonts w:hint="eastAsia"/>
          <w:kern w:val="30"/>
          <w:sz w:val="24"/>
          <w:szCs w:val="24"/>
        </w:rPr>
        <w:t>管理</w:t>
      </w:r>
      <w:r>
        <w:rPr>
          <w:kern w:val="30"/>
          <w:sz w:val="24"/>
          <w:szCs w:val="24"/>
        </w:rPr>
        <w:t>与</w:t>
      </w:r>
      <w:r>
        <w:rPr>
          <w:rFonts w:hint="eastAsia"/>
          <w:kern w:val="30"/>
          <w:sz w:val="24"/>
          <w:szCs w:val="24"/>
        </w:rPr>
        <w:t>监测计划</w:t>
      </w:r>
      <w:r>
        <w:rPr>
          <w:sz w:val="24"/>
          <w:szCs w:val="24"/>
        </w:rPr>
        <w:tab/>
      </w:r>
      <w:r>
        <w:rPr>
          <w:sz w:val="24"/>
          <w:szCs w:val="24"/>
        </w:rPr>
        <w:fldChar w:fldCharType="begin"/>
      </w:r>
      <w:r>
        <w:rPr>
          <w:sz w:val="24"/>
          <w:szCs w:val="24"/>
        </w:rPr>
        <w:instrText xml:space="preserve"> PAGEREF _Toc22363 \h </w:instrText>
      </w:r>
      <w:r>
        <w:rPr>
          <w:sz w:val="24"/>
          <w:szCs w:val="24"/>
        </w:rPr>
        <w:fldChar w:fldCharType="separate"/>
      </w:r>
      <w:r>
        <w:rPr>
          <w:sz w:val="24"/>
          <w:szCs w:val="24"/>
        </w:rPr>
        <w:t>236</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"_Toc32601" </w:instrText>
      </w:r>
      <w:r>
        <w:fldChar w:fldCharType="separate"/>
      </w:r>
      <w:r>
        <w:rPr>
          <w:rFonts w:hint="eastAsia"/>
          <w:sz w:val="24"/>
          <w:szCs w:val="24"/>
        </w:rPr>
        <w:t>8</w:t>
      </w:r>
      <w:r>
        <w:rPr>
          <w:sz w:val="24"/>
          <w:szCs w:val="24"/>
        </w:rPr>
        <w:t>.</w:t>
      </w:r>
      <w:r>
        <w:rPr>
          <w:rFonts w:hint="eastAsia"/>
          <w:sz w:val="24"/>
          <w:szCs w:val="24"/>
        </w:rPr>
        <w:t>1</w:t>
      </w:r>
      <w:r>
        <w:rPr>
          <w:sz w:val="24"/>
          <w:szCs w:val="24"/>
        </w:rPr>
        <w:t>环境管理</w:t>
      </w:r>
      <w:r>
        <w:rPr>
          <w:sz w:val="24"/>
          <w:szCs w:val="24"/>
        </w:rPr>
        <w:tab/>
      </w:r>
      <w:r>
        <w:rPr>
          <w:sz w:val="24"/>
          <w:szCs w:val="24"/>
        </w:rPr>
        <w:fldChar w:fldCharType="begin"/>
      </w:r>
      <w:r>
        <w:rPr>
          <w:sz w:val="24"/>
          <w:szCs w:val="24"/>
        </w:rPr>
        <w:instrText xml:space="preserve"> PAGEREF _Toc32601 \h </w:instrText>
      </w:r>
      <w:r>
        <w:rPr>
          <w:sz w:val="24"/>
          <w:szCs w:val="24"/>
        </w:rPr>
        <w:fldChar w:fldCharType="separate"/>
      </w:r>
      <w:r>
        <w:rPr>
          <w:sz w:val="24"/>
          <w:szCs w:val="24"/>
        </w:rPr>
        <w:t>236</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"_Toc395" </w:instrText>
      </w:r>
      <w:r>
        <w:fldChar w:fldCharType="separate"/>
      </w:r>
      <w:r>
        <w:rPr>
          <w:sz w:val="24"/>
          <w:szCs w:val="24"/>
        </w:rPr>
        <w:t>8.2</w:t>
      </w:r>
      <w:r>
        <w:rPr>
          <w:rFonts w:hint="eastAsia"/>
          <w:sz w:val="24"/>
          <w:szCs w:val="24"/>
        </w:rPr>
        <w:t>环境监理</w:t>
      </w:r>
      <w:r>
        <w:rPr>
          <w:sz w:val="24"/>
          <w:szCs w:val="24"/>
        </w:rPr>
        <w:tab/>
      </w:r>
      <w:r>
        <w:rPr>
          <w:sz w:val="24"/>
          <w:szCs w:val="24"/>
        </w:rPr>
        <w:fldChar w:fldCharType="begin"/>
      </w:r>
      <w:r>
        <w:rPr>
          <w:sz w:val="24"/>
          <w:szCs w:val="24"/>
        </w:rPr>
        <w:instrText xml:space="preserve"> PAGEREF _Toc395 \h </w:instrText>
      </w:r>
      <w:r>
        <w:rPr>
          <w:sz w:val="24"/>
          <w:szCs w:val="24"/>
        </w:rPr>
        <w:fldChar w:fldCharType="separate"/>
      </w:r>
      <w:r>
        <w:rPr>
          <w:sz w:val="24"/>
          <w:szCs w:val="24"/>
        </w:rPr>
        <w:t>240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"_Toc29534" </w:instrText>
      </w:r>
      <w:r>
        <w:fldChar w:fldCharType="separate"/>
      </w:r>
      <w:r>
        <w:rPr>
          <w:sz w:val="24"/>
          <w:szCs w:val="24"/>
        </w:rPr>
        <w:t>8.3</w:t>
      </w:r>
      <w:r>
        <w:rPr>
          <w:rFonts w:hint="eastAsia"/>
          <w:sz w:val="24"/>
          <w:szCs w:val="24"/>
        </w:rPr>
        <w:t>环境监测计划</w:t>
      </w:r>
      <w:r>
        <w:rPr>
          <w:sz w:val="24"/>
          <w:szCs w:val="24"/>
        </w:rPr>
        <w:tab/>
      </w:r>
      <w:r>
        <w:rPr>
          <w:sz w:val="24"/>
          <w:szCs w:val="24"/>
        </w:rPr>
        <w:fldChar w:fldCharType="begin"/>
      </w:r>
      <w:r>
        <w:rPr>
          <w:sz w:val="24"/>
          <w:szCs w:val="24"/>
        </w:rPr>
        <w:instrText xml:space="preserve"> PAGEREF _Toc29534 \h </w:instrText>
      </w:r>
      <w:r>
        <w:rPr>
          <w:sz w:val="24"/>
          <w:szCs w:val="24"/>
        </w:rPr>
        <w:fldChar w:fldCharType="separate"/>
      </w:r>
      <w:r>
        <w:rPr>
          <w:sz w:val="24"/>
          <w:szCs w:val="24"/>
        </w:rPr>
        <w:t>242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"_Toc16347" </w:instrText>
      </w:r>
      <w:r>
        <w:fldChar w:fldCharType="separate"/>
      </w:r>
      <w:r>
        <w:rPr>
          <w:rFonts w:hint="eastAsia"/>
          <w:sz w:val="24"/>
          <w:szCs w:val="24"/>
        </w:rPr>
        <w:t>8.4</w:t>
      </w:r>
      <w:r>
        <w:rPr>
          <w:sz w:val="24"/>
          <w:szCs w:val="24"/>
        </w:rPr>
        <w:t>环保工程竣工验收</w:t>
      </w:r>
      <w:r>
        <w:rPr>
          <w:sz w:val="24"/>
          <w:szCs w:val="24"/>
        </w:rPr>
        <w:tab/>
      </w:r>
      <w:r>
        <w:rPr>
          <w:sz w:val="24"/>
          <w:szCs w:val="24"/>
        </w:rPr>
        <w:fldChar w:fldCharType="begin"/>
      </w:r>
      <w:r>
        <w:rPr>
          <w:sz w:val="24"/>
          <w:szCs w:val="24"/>
        </w:rPr>
        <w:instrText xml:space="preserve"> PAGEREF _Toc16347 \h </w:instrText>
      </w:r>
      <w:r>
        <w:rPr>
          <w:sz w:val="24"/>
          <w:szCs w:val="24"/>
        </w:rPr>
        <w:fldChar w:fldCharType="separate"/>
      </w:r>
      <w:r>
        <w:rPr>
          <w:sz w:val="24"/>
          <w:szCs w:val="24"/>
        </w:rPr>
        <w:t>245</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"_Toc4855" </w:instrText>
      </w:r>
      <w:r>
        <w:fldChar w:fldCharType="separate"/>
      </w:r>
      <w:r>
        <w:rPr>
          <w:kern w:val="30"/>
          <w:sz w:val="24"/>
          <w:szCs w:val="24"/>
        </w:rPr>
        <w:t>第</w:t>
      </w:r>
      <w:r>
        <w:rPr>
          <w:rFonts w:hint="eastAsia"/>
          <w:kern w:val="30"/>
          <w:sz w:val="24"/>
          <w:szCs w:val="24"/>
        </w:rPr>
        <w:t>九</w:t>
      </w:r>
      <w:r>
        <w:rPr>
          <w:kern w:val="30"/>
          <w:sz w:val="24"/>
          <w:szCs w:val="24"/>
        </w:rPr>
        <w:t>章  环境影响经济损益分析</w:t>
      </w:r>
      <w:r>
        <w:rPr>
          <w:sz w:val="24"/>
          <w:szCs w:val="24"/>
        </w:rPr>
        <w:tab/>
      </w:r>
      <w:r>
        <w:rPr>
          <w:sz w:val="24"/>
          <w:szCs w:val="24"/>
        </w:rPr>
        <w:fldChar w:fldCharType="begin"/>
      </w:r>
      <w:r>
        <w:rPr>
          <w:sz w:val="24"/>
          <w:szCs w:val="24"/>
        </w:rPr>
        <w:instrText xml:space="preserve"> PAGEREF _Toc4855 \h </w:instrText>
      </w:r>
      <w:r>
        <w:rPr>
          <w:sz w:val="24"/>
          <w:szCs w:val="24"/>
        </w:rPr>
        <w:fldChar w:fldCharType="separate"/>
      </w:r>
      <w:r>
        <w:rPr>
          <w:sz w:val="24"/>
          <w:szCs w:val="24"/>
        </w:rPr>
        <w:t>249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"_Toc21661" </w:instrText>
      </w:r>
      <w:r>
        <w:fldChar w:fldCharType="separate"/>
      </w:r>
      <w:r>
        <w:rPr>
          <w:rFonts w:hint="eastAsia"/>
          <w:sz w:val="24"/>
          <w:szCs w:val="24"/>
        </w:rPr>
        <w:t>9</w:t>
      </w:r>
      <w:r>
        <w:rPr>
          <w:sz w:val="24"/>
          <w:szCs w:val="24"/>
        </w:rPr>
        <w:t>.1环境保护投资估算</w:t>
      </w:r>
      <w:r>
        <w:rPr>
          <w:sz w:val="24"/>
          <w:szCs w:val="24"/>
        </w:rPr>
        <w:tab/>
      </w:r>
      <w:r>
        <w:rPr>
          <w:sz w:val="24"/>
          <w:szCs w:val="24"/>
        </w:rPr>
        <w:fldChar w:fldCharType="begin"/>
      </w:r>
      <w:r>
        <w:rPr>
          <w:sz w:val="24"/>
          <w:szCs w:val="24"/>
        </w:rPr>
        <w:instrText xml:space="preserve"> PAGEREF _Toc21661 \h </w:instrText>
      </w:r>
      <w:r>
        <w:rPr>
          <w:sz w:val="24"/>
          <w:szCs w:val="24"/>
        </w:rPr>
        <w:fldChar w:fldCharType="separate"/>
      </w:r>
      <w:r>
        <w:rPr>
          <w:sz w:val="24"/>
          <w:szCs w:val="24"/>
        </w:rPr>
        <w:t>249</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"_Toc28841" </w:instrText>
      </w:r>
      <w:r>
        <w:fldChar w:fldCharType="separate"/>
      </w:r>
      <w:r>
        <w:rPr>
          <w:rFonts w:hint="eastAsia"/>
          <w:sz w:val="24"/>
          <w:szCs w:val="24"/>
        </w:rPr>
        <w:t>9</w:t>
      </w:r>
      <w:r>
        <w:rPr>
          <w:sz w:val="24"/>
          <w:szCs w:val="24"/>
        </w:rPr>
        <w:t>.2环境经济损益分析</w:t>
      </w:r>
      <w:r>
        <w:rPr>
          <w:sz w:val="24"/>
          <w:szCs w:val="24"/>
        </w:rPr>
        <w:tab/>
      </w:r>
      <w:r>
        <w:rPr>
          <w:sz w:val="24"/>
          <w:szCs w:val="24"/>
        </w:rPr>
        <w:fldChar w:fldCharType="begin"/>
      </w:r>
      <w:r>
        <w:rPr>
          <w:sz w:val="24"/>
          <w:szCs w:val="24"/>
        </w:rPr>
        <w:instrText xml:space="preserve"> PAGEREF _Toc28841 \h </w:instrText>
      </w:r>
      <w:r>
        <w:rPr>
          <w:sz w:val="24"/>
          <w:szCs w:val="24"/>
        </w:rPr>
        <w:fldChar w:fldCharType="separate"/>
      </w:r>
      <w:r>
        <w:rPr>
          <w:sz w:val="24"/>
          <w:szCs w:val="24"/>
        </w:rPr>
        <w:t>252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"_Toc959" </w:instrText>
      </w:r>
      <w:r>
        <w:fldChar w:fldCharType="separate"/>
      </w:r>
      <w:r>
        <w:rPr>
          <w:rFonts w:hint="eastAsia"/>
          <w:sz w:val="24"/>
          <w:szCs w:val="24"/>
        </w:rPr>
        <w:t>9</w:t>
      </w:r>
      <w:r>
        <w:rPr>
          <w:sz w:val="24"/>
          <w:szCs w:val="24"/>
        </w:rPr>
        <w:t>.3环境影响经济损益结论</w:t>
      </w:r>
      <w:r>
        <w:rPr>
          <w:sz w:val="24"/>
          <w:szCs w:val="24"/>
        </w:rPr>
        <w:tab/>
      </w:r>
      <w:r>
        <w:rPr>
          <w:sz w:val="24"/>
          <w:szCs w:val="24"/>
        </w:rPr>
        <w:fldChar w:fldCharType="begin"/>
      </w:r>
      <w:r>
        <w:rPr>
          <w:sz w:val="24"/>
          <w:szCs w:val="24"/>
        </w:rPr>
        <w:instrText xml:space="preserve"> PAGEREF _Toc959 \h </w:instrText>
      </w:r>
      <w:r>
        <w:rPr>
          <w:sz w:val="24"/>
          <w:szCs w:val="24"/>
        </w:rPr>
        <w:fldChar w:fldCharType="separate"/>
      </w:r>
      <w:r>
        <w:rPr>
          <w:sz w:val="24"/>
          <w:szCs w:val="24"/>
        </w:rPr>
        <w:t>254</w:t>
      </w:r>
      <w:r>
        <w:rPr>
          <w:sz w:val="24"/>
          <w:szCs w:val="24"/>
        </w:rPr>
        <w:fldChar w:fldCharType="end"/>
      </w:r>
      <w:r>
        <w:rPr>
          <w:sz w:val="24"/>
          <w:szCs w:val="24"/>
        </w:rPr>
        <w:fldChar w:fldCharType="end"/>
      </w:r>
    </w:p>
    <w:p>
      <w:pPr>
        <w:pStyle w:val="57"/>
        <w:tabs>
          <w:tab w:val="right" w:leader="dot" w:pos="10183"/>
        </w:tabs>
        <w:spacing w:before="0" w:after="0"/>
        <w:ind w:firstLine="402"/>
        <w:jc w:val="both"/>
        <w:rPr>
          <w:sz w:val="24"/>
          <w:szCs w:val="24"/>
        </w:rPr>
      </w:pPr>
      <w:r>
        <w:fldChar w:fldCharType="begin"/>
      </w:r>
      <w:r>
        <w:instrText xml:space="preserve"> HYPERLINK \l "_Toc13888" </w:instrText>
      </w:r>
      <w:r>
        <w:fldChar w:fldCharType="separate"/>
      </w:r>
      <w:r>
        <w:rPr>
          <w:kern w:val="30"/>
          <w:sz w:val="24"/>
          <w:szCs w:val="24"/>
        </w:rPr>
        <w:t>第</w:t>
      </w:r>
      <w:r>
        <w:rPr>
          <w:rFonts w:hint="eastAsia"/>
          <w:kern w:val="30"/>
          <w:sz w:val="24"/>
          <w:szCs w:val="24"/>
        </w:rPr>
        <w:t>十</w:t>
      </w:r>
      <w:r>
        <w:rPr>
          <w:kern w:val="30"/>
          <w:sz w:val="24"/>
          <w:szCs w:val="24"/>
        </w:rPr>
        <w:t>章</w:t>
      </w:r>
      <w:r>
        <w:rPr>
          <w:rFonts w:hint="eastAsia"/>
          <w:kern w:val="30"/>
          <w:sz w:val="24"/>
          <w:szCs w:val="24"/>
        </w:rPr>
        <w:t xml:space="preserve"> </w:t>
      </w:r>
      <w:r>
        <w:rPr>
          <w:kern w:val="30"/>
          <w:sz w:val="24"/>
          <w:szCs w:val="24"/>
        </w:rPr>
        <w:t>评价结论</w:t>
      </w:r>
      <w:r>
        <w:rPr>
          <w:rFonts w:hint="eastAsia"/>
          <w:kern w:val="30"/>
          <w:sz w:val="24"/>
          <w:szCs w:val="24"/>
        </w:rPr>
        <w:t>与建议</w:t>
      </w:r>
      <w:r>
        <w:rPr>
          <w:sz w:val="24"/>
          <w:szCs w:val="24"/>
        </w:rPr>
        <w:tab/>
      </w:r>
      <w:r>
        <w:rPr>
          <w:sz w:val="24"/>
          <w:szCs w:val="24"/>
        </w:rPr>
        <w:fldChar w:fldCharType="begin"/>
      </w:r>
      <w:r>
        <w:rPr>
          <w:sz w:val="24"/>
          <w:szCs w:val="24"/>
        </w:rPr>
        <w:instrText xml:space="preserve"> PAGEREF _Toc13888 \h </w:instrText>
      </w:r>
      <w:r>
        <w:rPr>
          <w:sz w:val="24"/>
          <w:szCs w:val="24"/>
        </w:rPr>
        <w:fldChar w:fldCharType="separate"/>
      </w:r>
      <w:r>
        <w:rPr>
          <w:sz w:val="24"/>
          <w:szCs w:val="24"/>
        </w:rPr>
        <w:t>255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"_Toc14114" </w:instrText>
      </w:r>
      <w:r>
        <w:fldChar w:fldCharType="separate"/>
      </w:r>
      <w:r>
        <w:rPr>
          <w:rFonts w:hint="eastAsia"/>
          <w:sz w:val="24"/>
          <w:szCs w:val="24"/>
        </w:rPr>
        <w:t>10</w:t>
      </w:r>
      <w:r>
        <w:rPr>
          <w:sz w:val="24"/>
          <w:szCs w:val="24"/>
        </w:rPr>
        <w:t>.1项目概况</w:t>
      </w:r>
      <w:r>
        <w:rPr>
          <w:sz w:val="24"/>
          <w:szCs w:val="24"/>
        </w:rPr>
        <w:tab/>
      </w:r>
      <w:r>
        <w:rPr>
          <w:sz w:val="24"/>
          <w:szCs w:val="24"/>
        </w:rPr>
        <w:fldChar w:fldCharType="begin"/>
      </w:r>
      <w:r>
        <w:rPr>
          <w:sz w:val="24"/>
          <w:szCs w:val="24"/>
        </w:rPr>
        <w:instrText xml:space="preserve"> PAGEREF _Toc14114 \h </w:instrText>
      </w:r>
      <w:r>
        <w:rPr>
          <w:sz w:val="24"/>
          <w:szCs w:val="24"/>
        </w:rPr>
        <w:fldChar w:fldCharType="separate"/>
      </w:r>
      <w:r>
        <w:rPr>
          <w:sz w:val="24"/>
          <w:szCs w:val="24"/>
        </w:rPr>
        <w:t>255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"_Toc6201" </w:instrText>
      </w:r>
      <w:r>
        <w:fldChar w:fldCharType="separate"/>
      </w:r>
      <w:r>
        <w:rPr>
          <w:sz w:val="24"/>
          <w:szCs w:val="24"/>
        </w:rPr>
        <w:t>1</w:t>
      </w:r>
      <w:r>
        <w:rPr>
          <w:rFonts w:hint="eastAsia"/>
          <w:sz w:val="24"/>
          <w:szCs w:val="24"/>
        </w:rPr>
        <w:t>0</w:t>
      </w:r>
      <w:r>
        <w:rPr>
          <w:sz w:val="24"/>
          <w:szCs w:val="24"/>
        </w:rPr>
        <w:t>.2</w:t>
      </w:r>
      <w:r>
        <w:rPr>
          <w:rFonts w:hint="eastAsia"/>
          <w:sz w:val="24"/>
          <w:szCs w:val="24"/>
        </w:rPr>
        <w:t>项目建设的环境可行性分析</w:t>
      </w:r>
      <w:r>
        <w:rPr>
          <w:sz w:val="24"/>
          <w:szCs w:val="24"/>
        </w:rPr>
        <w:tab/>
      </w:r>
      <w:r>
        <w:rPr>
          <w:sz w:val="24"/>
          <w:szCs w:val="24"/>
        </w:rPr>
        <w:fldChar w:fldCharType="begin"/>
      </w:r>
      <w:r>
        <w:rPr>
          <w:sz w:val="24"/>
          <w:szCs w:val="24"/>
        </w:rPr>
        <w:instrText xml:space="preserve"> PAGEREF _Toc6201 \h </w:instrText>
      </w:r>
      <w:r>
        <w:rPr>
          <w:sz w:val="24"/>
          <w:szCs w:val="24"/>
        </w:rPr>
        <w:fldChar w:fldCharType="separate"/>
      </w:r>
      <w:r>
        <w:rPr>
          <w:sz w:val="24"/>
          <w:szCs w:val="24"/>
        </w:rPr>
        <w:t>255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"_Toc750" </w:instrText>
      </w:r>
      <w:r>
        <w:fldChar w:fldCharType="separate"/>
      </w:r>
      <w:r>
        <w:rPr>
          <w:rFonts w:hint="eastAsia"/>
          <w:sz w:val="24"/>
          <w:szCs w:val="24"/>
        </w:rPr>
        <w:t>10</w:t>
      </w:r>
      <w:r>
        <w:rPr>
          <w:sz w:val="24"/>
          <w:szCs w:val="24"/>
        </w:rPr>
        <w:t>.</w:t>
      </w:r>
      <w:r>
        <w:rPr>
          <w:rFonts w:hint="eastAsia"/>
          <w:sz w:val="24"/>
          <w:szCs w:val="24"/>
        </w:rPr>
        <w:t>3</w:t>
      </w:r>
      <w:r>
        <w:rPr>
          <w:sz w:val="24"/>
          <w:szCs w:val="24"/>
        </w:rPr>
        <w:t>环境现状评价结论</w:t>
      </w:r>
      <w:r>
        <w:rPr>
          <w:sz w:val="24"/>
          <w:szCs w:val="24"/>
        </w:rPr>
        <w:tab/>
      </w:r>
      <w:r>
        <w:rPr>
          <w:sz w:val="24"/>
          <w:szCs w:val="24"/>
        </w:rPr>
        <w:fldChar w:fldCharType="begin"/>
      </w:r>
      <w:r>
        <w:rPr>
          <w:sz w:val="24"/>
          <w:szCs w:val="24"/>
        </w:rPr>
        <w:instrText xml:space="preserve"> PAGEREF _Toc750 \h </w:instrText>
      </w:r>
      <w:r>
        <w:rPr>
          <w:sz w:val="24"/>
          <w:szCs w:val="24"/>
        </w:rPr>
        <w:fldChar w:fldCharType="separate"/>
      </w:r>
      <w:r>
        <w:rPr>
          <w:sz w:val="24"/>
          <w:szCs w:val="24"/>
        </w:rPr>
        <w:t>255</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"_Toc11600" </w:instrText>
      </w:r>
      <w:r>
        <w:fldChar w:fldCharType="separate"/>
      </w:r>
      <w:r>
        <w:rPr>
          <w:rFonts w:hint="eastAsia"/>
          <w:sz w:val="24"/>
          <w:szCs w:val="24"/>
        </w:rPr>
        <w:t>10</w:t>
      </w:r>
      <w:r>
        <w:rPr>
          <w:sz w:val="24"/>
          <w:szCs w:val="24"/>
        </w:rPr>
        <w:t>.</w:t>
      </w:r>
      <w:r>
        <w:rPr>
          <w:rFonts w:hint="eastAsia"/>
          <w:sz w:val="24"/>
          <w:szCs w:val="24"/>
        </w:rPr>
        <w:t>4</w:t>
      </w:r>
      <w:r>
        <w:rPr>
          <w:sz w:val="24"/>
          <w:szCs w:val="24"/>
        </w:rPr>
        <w:t>环境影响</w:t>
      </w:r>
      <w:r>
        <w:rPr>
          <w:rFonts w:hint="eastAsia"/>
          <w:sz w:val="24"/>
          <w:szCs w:val="24"/>
        </w:rPr>
        <w:t>评价</w:t>
      </w:r>
      <w:r>
        <w:rPr>
          <w:sz w:val="24"/>
          <w:szCs w:val="24"/>
        </w:rPr>
        <w:t>结论</w:t>
      </w:r>
      <w:r>
        <w:rPr>
          <w:sz w:val="24"/>
          <w:szCs w:val="24"/>
        </w:rPr>
        <w:tab/>
      </w:r>
      <w:r>
        <w:rPr>
          <w:sz w:val="24"/>
          <w:szCs w:val="24"/>
        </w:rPr>
        <w:fldChar w:fldCharType="begin"/>
      </w:r>
      <w:r>
        <w:rPr>
          <w:sz w:val="24"/>
          <w:szCs w:val="24"/>
        </w:rPr>
        <w:instrText xml:space="preserve"> PAGEREF _Toc11600 \h </w:instrText>
      </w:r>
      <w:r>
        <w:rPr>
          <w:sz w:val="24"/>
          <w:szCs w:val="24"/>
        </w:rPr>
        <w:fldChar w:fldCharType="separate"/>
      </w:r>
      <w:r>
        <w:rPr>
          <w:sz w:val="24"/>
          <w:szCs w:val="24"/>
        </w:rPr>
        <w:t>257</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"_Toc29015" </w:instrText>
      </w:r>
      <w:r>
        <w:fldChar w:fldCharType="separate"/>
      </w:r>
      <w:r>
        <w:rPr>
          <w:sz w:val="24"/>
          <w:szCs w:val="24"/>
        </w:rPr>
        <w:t>11.</w:t>
      </w:r>
      <w:r>
        <w:rPr>
          <w:rFonts w:hint="eastAsia"/>
          <w:sz w:val="24"/>
          <w:szCs w:val="24"/>
        </w:rPr>
        <w:t>5环境保护措施</w:t>
      </w:r>
      <w:r>
        <w:rPr>
          <w:sz w:val="24"/>
          <w:szCs w:val="24"/>
        </w:rPr>
        <w:tab/>
      </w:r>
      <w:r>
        <w:rPr>
          <w:sz w:val="24"/>
          <w:szCs w:val="24"/>
        </w:rPr>
        <w:fldChar w:fldCharType="begin"/>
      </w:r>
      <w:r>
        <w:rPr>
          <w:sz w:val="24"/>
          <w:szCs w:val="24"/>
        </w:rPr>
        <w:instrText xml:space="preserve"> PAGEREF _Toc29015 \h </w:instrText>
      </w:r>
      <w:r>
        <w:rPr>
          <w:sz w:val="24"/>
          <w:szCs w:val="24"/>
        </w:rPr>
        <w:fldChar w:fldCharType="separate"/>
      </w:r>
      <w:r>
        <w:rPr>
          <w:sz w:val="24"/>
          <w:szCs w:val="24"/>
        </w:rPr>
        <w:t>260</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"_Toc5034" </w:instrText>
      </w:r>
      <w:r>
        <w:fldChar w:fldCharType="separate"/>
      </w:r>
      <w:r>
        <w:rPr>
          <w:sz w:val="24"/>
          <w:szCs w:val="24"/>
        </w:rPr>
        <w:t>10.</w:t>
      </w:r>
      <w:r>
        <w:rPr>
          <w:rFonts w:hint="eastAsia"/>
          <w:sz w:val="24"/>
          <w:szCs w:val="24"/>
        </w:rPr>
        <w:t>6环境风险评价结论</w:t>
      </w:r>
      <w:r>
        <w:rPr>
          <w:sz w:val="24"/>
          <w:szCs w:val="24"/>
        </w:rPr>
        <w:tab/>
      </w:r>
      <w:r>
        <w:rPr>
          <w:sz w:val="24"/>
          <w:szCs w:val="24"/>
        </w:rPr>
        <w:fldChar w:fldCharType="begin"/>
      </w:r>
      <w:r>
        <w:rPr>
          <w:sz w:val="24"/>
          <w:szCs w:val="24"/>
        </w:rPr>
        <w:instrText xml:space="preserve"> PAGEREF _Toc5034 \h </w:instrText>
      </w:r>
      <w:r>
        <w:rPr>
          <w:sz w:val="24"/>
          <w:szCs w:val="24"/>
        </w:rPr>
        <w:fldChar w:fldCharType="separate"/>
      </w:r>
      <w:r>
        <w:rPr>
          <w:sz w:val="24"/>
          <w:szCs w:val="24"/>
        </w:rPr>
        <w:t>262</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"_Toc31144" </w:instrText>
      </w:r>
      <w:r>
        <w:fldChar w:fldCharType="separate"/>
      </w:r>
      <w:r>
        <w:rPr>
          <w:rFonts w:hint="eastAsia"/>
          <w:sz w:val="24"/>
          <w:szCs w:val="24"/>
        </w:rPr>
        <w:t>10</w:t>
      </w:r>
      <w:r>
        <w:rPr>
          <w:sz w:val="24"/>
          <w:szCs w:val="24"/>
        </w:rPr>
        <w:t>.</w:t>
      </w:r>
      <w:r>
        <w:rPr>
          <w:rFonts w:hint="eastAsia"/>
          <w:sz w:val="24"/>
          <w:szCs w:val="24"/>
        </w:rPr>
        <w:t>7公众参与调查</w:t>
      </w:r>
      <w:r>
        <w:rPr>
          <w:sz w:val="24"/>
          <w:szCs w:val="24"/>
        </w:rPr>
        <w:tab/>
      </w:r>
      <w:r>
        <w:rPr>
          <w:sz w:val="24"/>
          <w:szCs w:val="24"/>
        </w:rPr>
        <w:fldChar w:fldCharType="begin"/>
      </w:r>
      <w:r>
        <w:rPr>
          <w:sz w:val="24"/>
          <w:szCs w:val="24"/>
        </w:rPr>
        <w:instrText xml:space="preserve"> PAGEREF _Toc31144 \h </w:instrText>
      </w:r>
      <w:r>
        <w:rPr>
          <w:sz w:val="24"/>
          <w:szCs w:val="24"/>
        </w:rPr>
        <w:fldChar w:fldCharType="separate"/>
      </w:r>
      <w:r>
        <w:rPr>
          <w:sz w:val="24"/>
          <w:szCs w:val="24"/>
        </w:rPr>
        <w:t>263</w:t>
      </w:r>
      <w:r>
        <w:rPr>
          <w:sz w:val="24"/>
          <w:szCs w:val="24"/>
        </w:rPr>
        <w:fldChar w:fldCharType="end"/>
      </w:r>
      <w:r>
        <w:rPr>
          <w:sz w:val="24"/>
          <w:szCs w:val="24"/>
        </w:rPr>
        <w:fldChar w:fldCharType="end"/>
      </w:r>
    </w:p>
    <w:p>
      <w:pPr>
        <w:pStyle w:val="67"/>
        <w:tabs>
          <w:tab w:val="right" w:leader="dot" w:pos="10183"/>
        </w:tabs>
        <w:ind w:left="0" w:firstLine="400"/>
        <w:jc w:val="both"/>
        <w:rPr>
          <w:sz w:val="24"/>
          <w:szCs w:val="24"/>
        </w:rPr>
      </w:pPr>
      <w:r>
        <w:fldChar w:fldCharType="begin"/>
      </w:r>
      <w:r>
        <w:instrText xml:space="preserve"> HYPERLINK \l "_Toc22586" </w:instrText>
      </w:r>
      <w:r>
        <w:fldChar w:fldCharType="separate"/>
      </w:r>
      <w:r>
        <w:rPr>
          <w:rFonts w:hint="eastAsia"/>
          <w:sz w:val="24"/>
          <w:szCs w:val="24"/>
        </w:rPr>
        <w:t>10</w:t>
      </w:r>
      <w:r>
        <w:rPr>
          <w:sz w:val="24"/>
          <w:szCs w:val="24"/>
        </w:rPr>
        <w:t>.</w:t>
      </w:r>
      <w:r>
        <w:rPr>
          <w:rFonts w:hint="eastAsia"/>
          <w:sz w:val="24"/>
          <w:szCs w:val="24"/>
        </w:rPr>
        <w:t>8评价</w:t>
      </w:r>
      <w:r>
        <w:rPr>
          <w:sz w:val="24"/>
          <w:szCs w:val="24"/>
        </w:rPr>
        <w:t>总结论</w:t>
      </w:r>
      <w:r>
        <w:rPr>
          <w:sz w:val="24"/>
          <w:szCs w:val="24"/>
        </w:rPr>
        <w:tab/>
      </w:r>
      <w:r>
        <w:rPr>
          <w:sz w:val="24"/>
          <w:szCs w:val="24"/>
        </w:rPr>
        <w:fldChar w:fldCharType="begin"/>
      </w:r>
      <w:r>
        <w:rPr>
          <w:sz w:val="24"/>
          <w:szCs w:val="24"/>
        </w:rPr>
        <w:instrText xml:space="preserve"> PAGEREF _Toc22586 \h </w:instrText>
      </w:r>
      <w:r>
        <w:rPr>
          <w:sz w:val="24"/>
          <w:szCs w:val="24"/>
        </w:rPr>
        <w:fldChar w:fldCharType="separate"/>
      </w:r>
      <w:r>
        <w:rPr>
          <w:sz w:val="24"/>
          <w:szCs w:val="24"/>
        </w:rPr>
        <w:t>263</w:t>
      </w:r>
      <w:r>
        <w:rPr>
          <w:sz w:val="24"/>
          <w:szCs w:val="24"/>
        </w:rPr>
        <w:fldChar w:fldCharType="end"/>
      </w:r>
      <w:r>
        <w:rPr>
          <w:sz w:val="24"/>
          <w:szCs w:val="24"/>
        </w:rPr>
        <w:fldChar w:fldCharType="end"/>
      </w:r>
    </w:p>
    <w:p>
      <w:pPr>
        <w:pStyle w:val="67"/>
        <w:tabs>
          <w:tab w:val="right" w:leader="dot" w:pos="10183"/>
        </w:tabs>
        <w:ind w:left="0" w:firstLine="400"/>
        <w:jc w:val="both"/>
      </w:pPr>
      <w:r>
        <w:fldChar w:fldCharType="begin"/>
      </w:r>
      <w:r>
        <w:instrText xml:space="preserve"> HYPERLINK \l "_Toc25747" </w:instrText>
      </w:r>
      <w:r>
        <w:fldChar w:fldCharType="separate"/>
      </w:r>
      <w:r>
        <w:rPr>
          <w:rFonts w:hint="eastAsia"/>
          <w:sz w:val="24"/>
          <w:szCs w:val="24"/>
        </w:rPr>
        <w:t>10</w:t>
      </w:r>
      <w:r>
        <w:rPr>
          <w:sz w:val="24"/>
          <w:szCs w:val="24"/>
        </w:rPr>
        <w:t>.</w:t>
      </w:r>
      <w:r>
        <w:rPr>
          <w:rFonts w:hint="eastAsia"/>
          <w:sz w:val="24"/>
          <w:szCs w:val="24"/>
        </w:rPr>
        <w:t>9</w:t>
      </w:r>
      <w:r>
        <w:rPr>
          <w:sz w:val="24"/>
          <w:szCs w:val="24"/>
        </w:rPr>
        <w:t>建议</w:t>
      </w:r>
      <w:r>
        <w:rPr>
          <w:sz w:val="24"/>
          <w:szCs w:val="24"/>
        </w:rPr>
        <w:tab/>
      </w:r>
      <w:r>
        <w:rPr>
          <w:sz w:val="24"/>
          <w:szCs w:val="24"/>
        </w:rPr>
        <w:fldChar w:fldCharType="begin"/>
      </w:r>
      <w:r>
        <w:rPr>
          <w:sz w:val="24"/>
          <w:szCs w:val="24"/>
        </w:rPr>
        <w:instrText xml:space="preserve"> PAGEREF _Toc25747 \h </w:instrText>
      </w:r>
      <w:r>
        <w:rPr>
          <w:sz w:val="24"/>
          <w:szCs w:val="24"/>
        </w:rPr>
        <w:fldChar w:fldCharType="separate"/>
      </w:r>
      <w:r>
        <w:rPr>
          <w:sz w:val="24"/>
          <w:szCs w:val="24"/>
        </w:rPr>
        <w:t>263</w:t>
      </w:r>
      <w:r>
        <w:rPr>
          <w:sz w:val="24"/>
          <w:szCs w:val="24"/>
        </w:rPr>
        <w:fldChar w:fldCharType="end"/>
      </w:r>
      <w:r>
        <w:rPr>
          <w:sz w:val="24"/>
          <w:szCs w:val="24"/>
        </w:rPr>
        <w:fldChar w:fldCharType="end"/>
      </w:r>
    </w:p>
    <w:p>
      <w:pPr>
        <w:pStyle w:val="8"/>
        <w:ind w:firstLine="480"/>
        <w:rPr>
          <w:rFonts w:ascii="宋体" w:hAnsi="宋体"/>
          <w:szCs w:val="24"/>
        </w:rPr>
      </w:pPr>
      <w:r>
        <w:rPr>
          <w:rFonts w:ascii="宋体" w:hAnsi="宋体"/>
          <w:szCs w:val="24"/>
        </w:rPr>
        <w:fldChar w:fldCharType="end"/>
      </w:r>
    </w:p>
    <w:p>
      <w:pPr>
        <w:pStyle w:val="8"/>
        <w:ind w:firstLine="480"/>
        <w:rPr>
          <w:rFonts w:ascii="宋体" w:hAnsi="宋体"/>
          <w:szCs w:val="24"/>
        </w:rPr>
      </w:pPr>
    </w:p>
    <w:p>
      <w:pPr>
        <w:pStyle w:val="8"/>
        <w:ind w:firstLine="480"/>
        <w:rPr>
          <w:rFonts w:ascii="宋体" w:hAnsi="宋体"/>
          <w:szCs w:val="24"/>
        </w:rPr>
      </w:pPr>
    </w:p>
    <w:p>
      <w:pPr>
        <w:pStyle w:val="8"/>
        <w:ind w:firstLine="480"/>
        <w:rPr>
          <w:rFonts w:ascii="宋体" w:hAnsi="宋体"/>
          <w:szCs w:val="24"/>
        </w:rPr>
      </w:pPr>
    </w:p>
    <w:p>
      <w:pPr>
        <w:pStyle w:val="8"/>
        <w:ind w:firstLine="480"/>
        <w:rPr>
          <w:rFonts w:ascii="宋体" w:hAnsi="宋体"/>
          <w:szCs w:val="24"/>
        </w:rPr>
      </w:pPr>
    </w:p>
    <w:p>
      <w:pPr>
        <w:ind w:firstLine="480"/>
        <w:rPr>
          <w:rFonts w:ascii="宋体" w:hAnsi="宋体"/>
          <w:szCs w:val="24"/>
        </w:rPr>
      </w:pPr>
    </w:p>
    <w:p>
      <w:pPr>
        <w:pStyle w:val="8"/>
        <w:ind w:firstLine="480"/>
        <w:rPr>
          <w:rFonts w:ascii="宋体" w:hAnsi="宋体"/>
          <w:szCs w:val="24"/>
        </w:rPr>
      </w:pPr>
    </w:p>
    <w:p>
      <w:pPr>
        <w:pStyle w:val="8"/>
        <w:ind w:firstLine="480"/>
        <w:rPr>
          <w:bCs/>
          <w:szCs w:val="24"/>
        </w:rPr>
      </w:pPr>
      <w:r>
        <w:rPr>
          <w:bCs/>
          <w:szCs w:val="24"/>
        </w:rPr>
        <w:t>附图：</w:t>
      </w:r>
    </w:p>
    <w:p>
      <w:pPr>
        <w:spacing w:line="336" w:lineRule="auto"/>
        <w:ind w:firstLine="480"/>
        <w:rPr>
          <w:szCs w:val="24"/>
        </w:rPr>
      </w:pPr>
      <w:r>
        <w:rPr>
          <w:szCs w:val="24"/>
        </w:rPr>
        <w:t xml:space="preserve">附图一  项目地理位置图  </w:t>
      </w:r>
    </w:p>
    <w:p>
      <w:pPr>
        <w:spacing w:line="336" w:lineRule="auto"/>
        <w:ind w:firstLine="480"/>
      </w:pPr>
      <w:r>
        <w:rPr>
          <w:szCs w:val="24"/>
        </w:rPr>
        <w:t>附图二  项目</w:t>
      </w:r>
      <w:r>
        <w:t>总平面布置图</w:t>
      </w:r>
    </w:p>
    <w:p>
      <w:pPr>
        <w:spacing w:line="336" w:lineRule="auto"/>
        <w:ind w:firstLine="480"/>
      </w:pPr>
      <w:r>
        <w:rPr>
          <w:rFonts w:hint="eastAsia"/>
        </w:rPr>
        <w:t xml:space="preserve">附图三  </w:t>
      </w:r>
      <w:r>
        <w:rPr>
          <w:rFonts w:hint="eastAsia"/>
          <w:szCs w:val="24"/>
        </w:rPr>
        <w:t>抬水坝（垂直水流）纵断面图</w:t>
      </w:r>
    </w:p>
    <w:p>
      <w:pPr>
        <w:spacing w:line="336" w:lineRule="auto"/>
        <w:ind w:firstLine="480"/>
        <w:rPr>
          <w:szCs w:val="24"/>
        </w:rPr>
      </w:pPr>
      <w:r>
        <w:rPr>
          <w:szCs w:val="24"/>
        </w:rPr>
        <w:t>附图</w:t>
      </w:r>
      <w:r>
        <w:rPr>
          <w:rFonts w:hint="eastAsia"/>
          <w:szCs w:val="24"/>
        </w:rPr>
        <w:t>四</w:t>
      </w:r>
      <w:r>
        <w:rPr>
          <w:szCs w:val="24"/>
        </w:rPr>
        <w:t xml:space="preserve">  项目施工总平面布置图</w:t>
      </w:r>
    </w:p>
    <w:p>
      <w:pPr>
        <w:spacing w:line="336" w:lineRule="auto"/>
        <w:ind w:firstLine="480"/>
        <w:rPr>
          <w:szCs w:val="24"/>
        </w:rPr>
      </w:pPr>
      <w:r>
        <w:rPr>
          <w:szCs w:val="24"/>
        </w:rPr>
        <w:t>附图</w:t>
      </w:r>
      <w:r>
        <w:rPr>
          <w:rFonts w:hint="eastAsia"/>
          <w:szCs w:val="24"/>
        </w:rPr>
        <w:t>五</w:t>
      </w:r>
      <w:r>
        <w:rPr>
          <w:szCs w:val="24"/>
        </w:rPr>
        <w:t xml:space="preserve">  项目周边环境</w:t>
      </w:r>
      <w:r>
        <w:rPr>
          <w:rFonts w:hint="eastAsia"/>
          <w:szCs w:val="24"/>
        </w:rPr>
        <w:t>及敏感点</w:t>
      </w:r>
      <w:r>
        <w:rPr>
          <w:szCs w:val="24"/>
        </w:rPr>
        <w:t>示意图</w:t>
      </w:r>
    </w:p>
    <w:p>
      <w:pPr>
        <w:spacing w:line="336" w:lineRule="auto"/>
        <w:ind w:firstLine="480"/>
        <w:rPr>
          <w:szCs w:val="24"/>
        </w:rPr>
      </w:pPr>
      <w:r>
        <w:rPr>
          <w:rFonts w:hint="eastAsia"/>
          <w:szCs w:val="24"/>
        </w:rPr>
        <w:t>附图六  工程所在地地表水系图</w:t>
      </w:r>
    </w:p>
    <w:p>
      <w:pPr>
        <w:ind w:firstLine="480"/>
        <w:rPr>
          <w:szCs w:val="24"/>
        </w:rPr>
      </w:pPr>
      <w:r>
        <w:rPr>
          <w:szCs w:val="24"/>
        </w:rPr>
        <w:t>附图</w:t>
      </w:r>
      <w:r>
        <w:rPr>
          <w:rFonts w:hint="eastAsia"/>
          <w:szCs w:val="24"/>
        </w:rPr>
        <w:t>七</w:t>
      </w:r>
      <w:r>
        <w:rPr>
          <w:szCs w:val="24"/>
        </w:rPr>
        <w:t xml:space="preserve">  项目与</w:t>
      </w:r>
      <w:r>
        <w:rPr>
          <w:rFonts w:hint="eastAsia"/>
          <w:szCs w:val="24"/>
        </w:rPr>
        <w:t>上高</w:t>
      </w:r>
      <w:r>
        <w:rPr>
          <w:szCs w:val="24"/>
        </w:rPr>
        <w:t>县</w:t>
      </w:r>
      <w:r>
        <w:rPr>
          <w:rFonts w:hint="eastAsia"/>
          <w:szCs w:val="24"/>
        </w:rPr>
        <w:t>钟家渡水厂</w:t>
      </w:r>
      <w:r>
        <w:rPr>
          <w:szCs w:val="24"/>
        </w:rPr>
        <w:t>取水口保护区的位置关系图</w:t>
      </w:r>
    </w:p>
    <w:p>
      <w:pPr>
        <w:ind w:firstLine="480"/>
        <w:rPr>
          <w:rFonts w:ascii="黑体" w:hAnsi="黑体" w:eastAsia="黑体"/>
          <w:szCs w:val="24"/>
        </w:rPr>
      </w:pPr>
      <w:r>
        <w:rPr>
          <w:rFonts w:hint="eastAsia"/>
          <w:szCs w:val="24"/>
        </w:rPr>
        <w:t>附图八  工程评价范围内废水排口及下游饮用水源取水口分布图</w:t>
      </w:r>
    </w:p>
    <w:p>
      <w:pPr>
        <w:spacing w:line="336" w:lineRule="auto"/>
        <w:ind w:firstLine="480"/>
        <w:rPr>
          <w:szCs w:val="24"/>
        </w:rPr>
      </w:pPr>
      <w:r>
        <w:rPr>
          <w:rFonts w:hint="eastAsia"/>
          <w:szCs w:val="24"/>
        </w:rPr>
        <w:t>附图九  项目所在地表水功能区划图</w:t>
      </w:r>
    </w:p>
    <w:p>
      <w:pPr>
        <w:spacing w:line="336" w:lineRule="auto"/>
        <w:ind w:firstLine="480"/>
        <w:rPr>
          <w:szCs w:val="24"/>
        </w:rPr>
      </w:pPr>
      <w:r>
        <w:rPr>
          <w:rFonts w:hint="eastAsia"/>
          <w:szCs w:val="24"/>
        </w:rPr>
        <w:t xml:space="preserve">附图十  项目所在地水文地质图 </w:t>
      </w:r>
    </w:p>
    <w:p>
      <w:pPr>
        <w:spacing w:line="336" w:lineRule="auto"/>
        <w:ind w:firstLine="480"/>
        <w:rPr>
          <w:szCs w:val="24"/>
        </w:rPr>
      </w:pPr>
      <w:r>
        <w:rPr>
          <w:rFonts w:hint="eastAsia"/>
          <w:szCs w:val="24"/>
        </w:rPr>
        <w:t>附图十一  工程与上高锦江省级湿地公园规划位置关系图</w:t>
      </w:r>
    </w:p>
    <w:p>
      <w:pPr>
        <w:spacing w:line="336" w:lineRule="auto"/>
        <w:ind w:firstLine="480"/>
        <w:rPr>
          <w:szCs w:val="24"/>
        </w:rPr>
      </w:pPr>
      <w:r>
        <w:rPr>
          <w:rFonts w:hint="eastAsia"/>
          <w:szCs w:val="24"/>
        </w:rPr>
        <w:t>附图十二  重要生态敏感区空间分布（上高锦河省级湿地公园）图</w:t>
      </w:r>
    </w:p>
    <w:p>
      <w:pPr>
        <w:spacing w:line="336" w:lineRule="auto"/>
        <w:ind w:firstLine="480"/>
        <w:rPr>
          <w:szCs w:val="24"/>
        </w:rPr>
      </w:pPr>
      <w:r>
        <w:rPr>
          <w:rFonts w:hint="eastAsia"/>
          <w:szCs w:val="24"/>
        </w:rPr>
        <w:t>附图十三  项目</w:t>
      </w:r>
      <w:r>
        <w:rPr>
          <w:szCs w:val="24"/>
        </w:rPr>
        <w:t>地表水监测点位分布</w:t>
      </w:r>
      <w:r>
        <w:rPr>
          <w:rFonts w:hint="eastAsia"/>
          <w:szCs w:val="24"/>
        </w:rPr>
        <w:t>图</w:t>
      </w:r>
    </w:p>
    <w:p>
      <w:pPr>
        <w:spacing w:line="336" w:lineRule="auto"/>
        <w:ind w:firstLine="480"/>
        <w:rPr>
          <w:szCs w:val="24"/>
        </w:rPr>
      </w:pPr>
      <w:r>
        <w:rPr>
          <w:rFonts w:hint="eastAsia"/>
          <w:szCs w:val="24"/>
        </w:rPr>
        <w:t>附图十四  项目</w:t>
      </w:r>
      <w:r>
        <w:rPr>
          <w:szCs w:val="24"/>
        </w:rPr>
        <w:t>地下水、噪声</w:t>
      </w:r>
      <w:r>
        <w:rPr>
          <w:rFonts w:hint="eastAsia"/>
          <w:szCs w:val="24"/>
        </w:rPr>
        <w:t>、土壤</w:t>
      </w:r>
      <w:r>
        <w:rPr>
          <w:szCs w:val="24"/>
        </w:rPr>
        <w:t>监测点位分布</w:t>
      </w:r>
      <w:r>
        <w:rPr>
          <w:rFonts w:hint="eastAsia"/>
          <w:szCs w:val="24"/>
        </w:rPr>
        <w:t>图</w:t>
      </w:r>
    </w:p>
    <w:p>
      <w:pPr>
        <w:spacing w:line="336" w:lineRule="auto"/>
        <w:ind w:firstLine="480"/>
        <w:rPr>
          <w:szCs w:val="24"/>
        </w:rPr>
      </w:pPr>
      <w:r>
        <w:rPr>
          <w:rFonts w:hint="eastAsia"/>
          <w:szCs w:val="24"/>
        </w:rPr>
        <w:t>附图十五  工程所在地土地利用现状图</w:t>
      </w:r>
    </w:p>
    <w:p>
      <w:pPr>
        <w:spacing w:line="336" w:lineRule="auto"/>
        <w:ind w:firstLine="480"/>
        <w:rPr>
          <w:szCs w:val="24"/>
        </w:rPr>
      </w:pPr>
      <w:r>
        <w:rPr>
          <w:szCs w:val="24"/>
        </w:rPr>
        <w:t>附图</w:t>
      </w:r>
      <w:r>
        <w:rPr>
          <w:rFonts w:hint="eastAsia"/>
          <w:szCs w:val="24"/>
        </w:rPr>
        <w:t>十六</w:t>
      </w:r>
      <w:r>
        <w:rPr>
          <w:szCs w:val="24"/>
        </w:rPr>
        <w:t xml:space="preserve"> </w:t>
      </w:r>
      <w:r>
        <w:rPr>
          <w:rFonts w:hint="eastAsia"/>
          <w:szCs w:val="24"/>
        </w:rPr>
        <w:t xml:space="preserve"> 项目与保护区位置关系图</w:t>
      </w:r>
    </w:p>
    <w:p>
      <w:pPr>
        <w:spacing w:line="336" w:lineRule="auto"/>
        <w:ind w:firstLine="480"/>
        <w:rPr>
          <w:szCs w:val="24"/>
        </w:rPr>
      </w:pPr>
      <w:r>
        <w:rPr>
          <w:rFonts w:hint="eastAsia"/>
          <w:szCs w:val="24"/>
        </w:rPr>
        <w:t>附图十七  项目所在区域</w:t>
      </w:r>
      <w:r>
        <w:rPr>
          <w:szCs w:val="24"/>
        </w:rPr>
        <w:t>生态功能区划图</w:t>
      </w:r>
    </w:p>
    <w:p>
      <w:pPr>
        <w:spacing w:line="336" w:lineRule="auto"/>
        <w:ind w:firstLine="480"/>
        <w:rPr>
          <w:szCs w:val="24"/>
        </w:rPr>
      </w:pPr>
      <w:r>
        <w:rPr>
          <w:rFonts w:hint="eastAsia"/>
          <w:szCs w:val="24"/>
        </w:rPr>
        <w:t>附图十八  上高</w:t>
      </w:r>
      <w:r>
        <w:rPr>
          <w:szCs w:val="24"/>
        </w:rPr>
        <w:t>县生态保护红线划定范围图</w:t>
      </w:r>
    </w:p>
    <w:p>
      <w:pPr>
        <w:spacing w:line="336" w:lineRule="auto"/>
        <w:ind w:firstLine="480"/>
        <w:rPr>
          <w:szCs w:val="24"/>
        </w:rPr>
      </w:pPr>
      <w:r>
        <w:rPr>
          <w:szCs w:val="24"/>
        </w:rPr>
        <w:t>附图十</w:t>
      </w:r>
      <w:r>
        <w:rPr>
          <w:rFonts w:hint="eastAsia"/>
          <w:szCs w:val="24"/>
        </w:rPr>
        <w:t>九</w:t>
      </w:r>
      <w:r>
        <w:rPr>
          <w:szCs w:val="24"/>
        </w:rPr>
        <w:t xml:space="preserve">  </w:t>
      </w:r>
      <w:r>
        <w:rPr>
          <w:rFonts w:hint="eastAsia"/>
          <w:szCs w:val="24"/>
        </w:rPr>
        <w:t>上高</w:t>
      </w:r>
      <w:r>
        <w:rPr>
          <w:szCs w:val="24"/>
        </w:rPr>
        <w:t>县城城市总体规划（201</w:t>
      </w:r>
      <w:r>
        <w:rPr>
          <w:rFonts w:hint="eastAsia"/>
          <w:szCs w:val="24"/>
        </w:rPr>
        <w:t>5</w:t>
      </w:r>
      <w:r>
        <w:rPr>
          <w:szCs w:val="24"/>
        </w:rPr>
        <w:t>-2030）</w:t>
      </w:r>
    </w:p>
    <w:p>
      <w:pPr>
        <w:spacing w:line="336" w:lineRule="auto"/>
        <w:ind w:firstLine="480"/>
        <w:rPr>
          <w:szCs w:val="24"/>
        </w:rPr>
      </w:pPr>
      <w:r>
        <w:rPr>
          <w:rFonts w:hint="eastAsia"/>
          <w:szCs w:val="24"/>
        </w:rPr>
        <w:t>附图二十  项目水土流失防治责任范围及分区防治图</w:t>
      </w:r>
    </w:p>
    <w:p>
      <w:pPr>
        <w:spacing w:line="336" w:lineRule="auto"/>
        <w:ind w:firstLine="480"/>
        <w:rPr>
          <w:szCs w:val="24"/>
        </w:rPr>
      </w:pPr>
      <w:r>
        <w:rPr>
          <w:rFonts w:hint="eastAsia"/>
          <w:szCs w:val="24"/>
        </w:rPr>
        <w:t>附图二十一  项目典型生态保护措施平面布置示意图</w:t>
      </w:r>
    </w:p>
    <w:p>
      <w:pPr>
        <w:spacing w:line="336" w:lineRule="auto"/>
        <w:ind w:firstLine="480"/>
      </w:pPr>
    </w:p>
    <w:p>
      <w:pPr>
        <w:spacing w:line="336" w:lineRule="auto"/>
        <w:ind w:firstLine="480"/>
      </w:pPr>
    </w:p>
    <w:p>
      <w:pPr>
        <w:spacing w:line="336" w:lineRule="auto"/>
        <w:ind w:firstLine="480"/>
      </w:pPr>
      <w:r>
        <w:t>附件</w:t>
      </w:r>
    </w:p>
    <w:p>
      <w:pPr>
        <w:spacing w:line="336" w:lineRule="auto"/>
        <w:ind w:firstLine="464"/>
        <w:rPr>
          <w:spacing w:val="-4"/>
        </w:rPr>
      </w:pPr>
      <w:r>
        <w:rPr>
          <w:spacing w:val="-4"/>
        </w:rPr>
        <w:t>附件一：委托书</w:t>
      </w:r>
    </w:p>
    <w:p>
      <w:pPr>
        <w:spacing w:line="336" w:lineRule="auto"/>
        <w:ind w:firstLine="464"/>
      </w:pPr>
      <w:r>
        <w:rPr>
          <w:spacing w:val="-4"/>
        </w:rPr>
        <w:t>附件二：</w:t>
      </w:r>
      <w:r>
        <w:t>统一社会信用代码证书</w:t>
      </w:r>
    </w:p>
    <w:p>
      <w:pPr>
        <w:spacing w:line="336" w:lineRule="auto"/>
        <w:ind w:firstLine="480"/>
      </w:pPr>
      <w:r>
        <w:t>附件三：</w:t>
      </w:r>
      <w:r>
        <w:rPr>
          <w:rFonts w:hint="eastAsia"/>
        </w:rPr>
        <w:t>上高县发改委关于</w:t>
      </w:r>
      <w:r>
        <w:rPr>
          <w:rFonts w:hint="eastAsia"/>
          <w:szCs w:val="24"/>
        </w:rPr>
        <w:t>《关于上高县毛家渡抬水工程可行性研究报告》的批复</w:t>
      </w:r>
    </w:p>
    <w:p>
      <w:pPr>
        <w:spacing w:line="336" w:lineRule="auto"/>
        <w:ind w:firstLine="480"/>
      </w:pPr>
      <w:r>
        <w:t>附件</w:t>
      </w:r>
      <w:r>
        <w:rPr>
          <w:rFonts w:hint="eastAsia"/>
        </w:rPr>
        <w:t>四</w:t>
      </w:r>
      <w:r>
        <w:t>：</w:t>
      </w:r>
      <w:r>
        <w:rPr>
          <w:rFonts w:hint="eastAsia"/>
        </w:rPr>
        <w:t>建设项目用地预审与选址意见书</w:t>
      </w:r>
    </w:p>
    <w:p>
      <w:pPr>
        <w:spacing w:line="336" w:lineRule="auto"/>
        <w:ind w:firstLine="480"/>
      </w:pPr>
      <w:r>
        <w:t>附件</w:t>
      </w:r>
      <w:r>
        <w:rPr>
          <w:rFonts w:hint="eastAsia"/>
        </w:rPr>
        <w:t>五</w:t>
      </w:r>
      <w:r>
        <w:t>：</w:t>
      </w:r>
      <w:r>
        <w:rPr>
          <w:rFonts w:hint="eastAsia"/>
        </w:rPr>
        <w:t>现状质量检测报告</w:t>
      </w:r>
    </w:p>
    <w:p>
      <w:pPr>
        <w:spacing w:line="336" w:lineRule="auto"/>
        <w:ind w:firstLine="480"/>
      </w:pPr>
      <w:r>
        <w:rPr>
          <w:rFonts w:hint="eastAsia"/>
        </w:rPr>
        <w:t>附件六：江西省生态环境厅关于《江西省锦江流域综合规划修编环境影响报告书》审查意见的函</w:t>
      </w:r>
    </w:p>
    <w:p>
      <w:pPr>
        <w:keepNext/>
        <w:keepLines/>
        <w:ind w:firstLine="480"/>
      </w:pPr>
      <w:r>
        <w:rPr>
          <w:rFonts w:hint="eastAsia"/>
        </w:rPr>
        <w:t>附件七：本工程不涉及主要鱼类产卵场、索饵场及越冬场的证明</w:t>
      </w:r>
    </w:p>
    <w:p>
      <w:pPr>
        <w:keepNext/>
        <w:keepLines/>
        <w:ind w:firstLine="480"/>
      </w:pPr>
      <w:r>
        <w:rPr>
          <w:rFonts w:hint="eastAsia"/>
        </w:rPr>
        <w:t>附件八：专家函审意见</w:t>
      </w:r>
    </w:p>
    <w:p>
      <w:pPr>
        <w:keepNext/>
        <w:keepLines/>
        <w:ind w:firstLine="480"/>
      </w:pPr>
      <w:r>
        <w:rPr>
          <w:rFonts w:hint="eastAsia"/>
        </w:rPr>
        <w:t>附件九：专家函审意见修改清单</w:t>
      </w:r>
    </w:p>
    <w:p>
      <w:pPr>
        <w:keepNext/>
        <w:keepLines/>
        <w:ind w:firstLine="480"/>
      </w:pPr>
      <w:r>
        <w:rPr>
          <w:rFonts w:hint="eastAsia"/>
        </w:rPr>
        <w:t>附件十：标准确认函</w:t>
      </w:r>
    </w:p>
    <w:p>
      <w:pPr>
        <w:keepNext/>
        <w:keepLines/>
        <w:ind w:firstLine="480"/>
        <w:rPr>
          <w:rFonts w:hint="eastAsia"/>
        </w:rPr>
      </w:pPr>
      <w:r>
        <w:rPr>
          <w:rFonts w:hint="eastAsia"/>
        </w:rPr>
        <w:t>附件十一：关于毛家渡抬水坝建设项目占用上高锦江河流湿地的复函</w:t>
      </w:r>
    </w:p>
    <w:p>
      <w:pPr>
        <w:pStyle w:val="2"/>
        <w:ind w:left="0" w:leftChars="0" w:firstLine="480" w:firstLineChars="200"/>
        <w:rPr>
          <w:rFonts w:hint="eastAsia"/>
          <w:lang w:eastAsia="zh-CN"/>
        </w:rPr>
      </w:pPr>
      <w:r>
        <w:rPr>
          <w:rFonts w:hint="eastAsia"/>
          <w:lang w:eastAsia="zh-CN"/>
        </w:rPr>
        <w:t>附件十二：专家组意见</w:t>
      </w:r>
    </w:p>
    <w:p>
      <w:pPr>
        <w:rPr>
          <w:rFonts w:hint="eastAsia"/>
          <w:lang w:eastAsia="zh-CN"/>
        </w:rPr>
      </w:pPr>
      <w:r>
        <w:rPr>
          <w:rFonts w:hint="eastAsia"/>
          <w:lang w:eastAsia="zh-CN"/>
        </w:rPr>
        <w:t>附件十三：专家组意见修改清单</w:t>
      </w:r>
    </w:p>
    <w:p>
      <w:pPr>
        <w:pStyle w:val="2"/>
        <w:ind w:left="0" w:leftChars="0" w:firstLine="480" w:firstLineChars="200"/>
        <w:rPr>
          <w:rFonts w:hint="eastAsia"/>
          <w:lang w:eastAsia="zh-CN"/>
        </w:rPr>
      </w:pPr>
      <w:r>
        <w:rPr>
          <w:rFonts w:hint="eastAsia"/>
          <w:lang w:eastAsia="zh-CN"/>
        </w:rPr>
        <w:t>附件十四：专家组组长复核意见</w:t>
      </w:r>
    </w:p>
    <w:p>
      <w:pPr>
        <w:pStyle w:val="2"/>
        <w:rPr>
          <w:rFonts w:hint="eastAsia" w:eastAsia="宋体"/>
          <w:lang w:val="en-US" w:eastAsia="zh-CN"/>
        </w:rPr>
      </w:pPr>
    </w:p>
    <w:p>
      <w:pPr>
        <w:keepNext/>
        <w:keepLines/>
        <w:ind w:firstLine="480"/>
      </w:pPr>
    </w:p>
    <w:p>
      <w:pPr>
        <w:pStyle w:val="8"/>
        <w:ind w:firstLine="480"/>
      </w:pPr>
    </w:p>
    <w:p>
      <w:pPr>
        <w:keepNext/>
        <w:keepLines/>
        <w:tabs>
          <w:tab w:val="left" w:pos="3490"/>
        </w:tabs>
        <w:ind w:firstLine="0" w:firstLineChars="0"/>
      </w:pPr>
      <w:bookmarkStart w:id="30" w:name="_Toc534895173"/>
      <w:bookmarkStart w:id="31" w:name="_Toc536265038"/>
      <w:bookmarkStart w:id="32" w:name="_Toc534386196"/>
      <w:bookmarkStart w:id="33" w:name="_Toc534806955"/>
      <w:bookmarkStart w:id="34" w:name="_Toc3903175"/>
      <w:bookmarkStart w:id="35" w:name="_Toc529278958"/>
    </w:p>
    <w:p>
      <w:pPr>
        <w:ind w:firstLine="480"/>
        <w:sectPr>
          <w:headerReference r:id="rId7" w:type="first"/>
          <w:footerReference r:id="rId10" w:type="first"/>
          <w:headerReference r:id="rId5" w:type="default"/>
          <w:footerReference r:id="rId8" w:type="default"/>
          <w:headerReference r:id="rId6" w:type="even"/>
          <w:footerReference r:id="rId9" w:type="even"/>
          <w:pgSz w:w="11907" w:h="16840"/>
          <w:pgMar w:top="720" w:right="720" w:bottom="720" w:left="720" w:header="1134" w:footer="1021" w:gutter="284"/>
          <w:pgNumType w:fmt="upperRoman" w:start="1"/>
          <w:cols w:space="720" w:num="1"/>
          <w:docGrid w:linePitch="326" w:charSpace="0"/>
        </w:sectPr>
      </w:pPr>
    </w:p>
    <w:p>
      <w:pPr>
        <w:pStyle w:val="5"/>
        <w:numPr>
          <w:ilvl w:val="0"/>
          <w:numId w:val="0"/>
        </w:numPr>
        <w:rPr>
          <w:rFonts w:ascii="Times New Roman"/>
        </w:rPr>
      </w:pPr>
      <w:bookmarkStart w:id="36" w:name="_Toc23231"/>
      <w:r>
        <w:rPr>
          <w:rFonts w:ascii="Times New Roman"/>
        </w:rPr>
        <w:t>概  述</w:t>
      </w:r>
      <w:bookmarkEnd w:id="30"/>
      <w:bookmarkEnd w:id="31"/>
      <w:bookmarkEnd w:id="32"/>
      <w:bookmarkEnd w:id="33"/>
      <w:bookmarkEnd w:id="34"/>
      <w:bookmarkEnd w:id="35"/>
      <w:bookmarkEnd w:id="36"/>
    </w:p>
    <w:p>
      <w:pPr>
        <w:ind w:firstLine="482"/>
        <w:rPr>
          <w:rFonts w:ascii="宋体" w:hAnsi="宋体" w:cs="宋体"/>
          <w:b/>
        </w:rPr>
      </w:pPr>
      <w:r>
        <w:rPr>
          <w:rFonts w:hint="eastAsia" w:ascii="宋体" w:hAnsi="宋体" w:cs="宋体"/>
          <w:b/>
        </w:rPr>
        <w:t>(1)建设项目特点</w:t>
      </w:r>
    </w:p>
    <w:p>
      <w:pPr>
        <w:ind w:left="480" w:firstLine="0" w:firstLineChars="0"/>
      </w:pPr>
      <w:r>
        <w:rPr>
          <w:rFonts w:hAnsi="宋体"/>
        </w:rPr>
        <w:t>①</w:t>
      </w:r>
      <w:r>
        <w:t>项目由来</w:t>
      </w:r>
    </w:p>
    <w:p>
      <w:pPr>
        <w:ind w:firstLine="480"/>
      </w:pPr>
      <w:r>
        <w:rPr>
          <w:rFonts w:hint="eastAsia"/>
        </w:rPr>
        <w:t>锦河自西向东从上高县城区穿城而过，对上高的城市格局与市容环境有着重大影响，随着城市建设的迅速发展，城区一河两岸集防洪、交通、绿化、休闲为一体的防洪工程正在逐步建设完善，各类依江而建的城市景观已初具规模。然而，枯水期城区河道河床裸露，极大地影响了城市形象。根据新形势下发展的需要，为了改善城市生态环境，营造城区河道水体景观，美化城市环境，提升城市形象和品位，选择适当的位置兴建抬水工程，以抬高城区河段的枯水位显得十分必要。为此，根据《上高县城市总体规划》（2015－2030），上高县拟规划建设沿锦河两岸开敞的“水、绿、城”交融特色景观廊道。结合上高县政府的总体规划安排，拟在城区东面锦河大桥下游1.8km处兴建毛家渡抬水工程，旨在抬高上高县城区锦河河道枯水位。</w:t>
      </w:r>
    </w:p>
    <w:p>
      <w:pPr>
        <w:ind w:firstLine="480"/>
      </w:pPr>
      <w:r>
        <w:rPr>
          <w:color w:val="0000FF"/>
        </w:rPr>
        <w:t>为了改善</w:t>
      </w:r>
      <w:r>
        <w:rPr>
          <w:rFonts w:hint="eastAsia"/>
          <w:color w:val="0000FF"/>
        </w:rPr>
        <w:t>上高</w:t>
      </w:r>
      <w:r>
        <w:rPr>
          <w:color w:val="0000FF"/>
        </w:rPr>
        <w:t>县城生态环境</w:t>
      </w:r>
      <w:r>
        <w:rPr>
          <w:rFonts w:hint="eastAsia"/>
          <w:color w:val="0000FF"/>
        </w:rPr>
        <w:t>、防洪要求及取水条件</w:t>
      </w:r>
      <w:r>
        <w:rPr>
          <w:color w:val="0000FF"/>
        </w:rPr>
        <w:t>，兴建</w:t>
      </w:r>
      <w:r>
        <w:rPr>
          <w:rFonts w:hint="eastAsia"/>
          <w:color w:val="0000FF"/>
        </w:rPr>
        <w:t>毛家渡</w:t>
      </w:r>
      <w:r>
        <w:rPr>
          <w:color w:val="0000FF"/>
        </w:rPr>
        <w:t>抬水工程</w:t>
      </w:r>
      <w:r>
        <w:rPr>
          <w:bCs/>
          <w:color w:val="0000FF"/>
          <w:szCs w:val="28"/>
        </w:rPr>
        <w:t>是非常迫切和必要的</w:t>
      </w:r>
      <w:r>
        <w:rPr>
          <w:color w:val="0000FF"/>
        </w:rPr>
        <w:t>。</w:t>
      </w:r>
      <w:r>
        <w:t>根据</w:t>
      </w:r>
      <w:r>
        <w:rPr>
          <w:rFonts w:hint="eastAsia"/>
        </w:rPr>
        <w:t>上高</w:t>
      </w:r>
      <w:r>
        <w:t>县政府的总体规划安排，</w:t>
      </w:r>
      <w:r>
        <w:rPr>
          <w:rFonts w:hint="eastAsia"/>
        </w:rPr>
        <w:t>上高</w:t>
      </w:r>
      <w:r>
        <w:t>县水利局拟投资</w:t>
      </w:r>
      <w:r>
        <w:rPr>
          <w:rFonts w:hint="eastAsia" w:eastAsia="仿宋_GB2312"/>
          <w:kern w:val="0"/>
          <w:szCs w:val="24"/>
        </w:rPr>
        <w:t>18005.45</w:t>
      </w:r>
      <w:r>
        <w:t>元于</w:t>
      </w:r>
      <w:r>
        <w:rPr>
          <w:rFonts w:hint="eastAsia"/>
        </w:rPr>
        <w:t>上高</w:t>
      </w:r>
      <w:r>
        <w:t>县城</w:t>
      </w:r>
      <w:r>
        <w:rPr>
          <w:rFonts w:hint="eastAsia"/>
        </w:rPr>
        <w:t>城东</w:t>
      </w:r>
      <w:r>
        <w:t>，在</w:t>
      </w:r>
      <w:r>
        <w:rPr>
          <w:rFonts w:hint="eastAsia"/>
        </w:rPr>
        <w:t>锦河大桥</w:t>
      </w:r>
      <w:r>
        <w:t>下游约</w:t>
      </w:r>
      <w:r>
        <w:rPr>
          <w:rFonts w:hint="eastAsia"/>
        </w:rPr>
        <w:t>1.8k</w:t>
      </w:r>
      <w:r>
        <w:t>m处建设</w:t>
      </w:r>
      <w:r>
        <w:rPr>
          <w:rFonts w:hint="eastAsia"/>
        </w:rPr>
        <w:t>上高县毛家渡</w:t>
      </w:r>
      <w:r>
        <w:t>抬水工程</w:t>
      </w:r>
      <w:r>
        <w:rPr>
          <w:rFonts w:hint="eastAsia"/>
        </w:rPr>
        <w:t>，旨在抬高城区锦河河道枯水位</w:t>
      </w:r>
      <w:r>
        <w:t>。</w:t>
      </w:r>
    </w:p>
    <w:p>
      <w:pPr>
        <w:ind w:firstLine="480"/>
      </w:pPr>
      <w:r>
        <w:rPr>
          <w:rFonts w:hint="eastAsia"/>
        </w:rPr>
        <w:t>上高</w:t>
      </w:r>
      <w:r>
        <w:t>县</w:t>
      </w:r>
      <w:r>
        <w:rPr>
          <w:rFonts w:hint="eastAsia"/>
        </w:rPr>
        <w:t>毛家渡</w:t>
      </w:r>
      <w:r>
        <w:t>抬水工程位于</w:t>
      </w:r>
      <w:r>
        <w:rPr>
          <w:rFonts w:hint="eastAsia"/>
        </w:rPr>
        <w:t>上高</w:t>
      </w:r>
      <w:r>
        <w:t>县城</w:t>
      </w:r>
      <w:r>
        <w:rPr>
          <w:rFonts w:hint="eastAsia"/>
        </w:rPr>
        <w:t>城东</w:t>
      </w:r>
      <w:r>
        <w:t>，</w:t>
      </w:r>
      <w:r>
        <w:rPr>
          <w:rFonts w:hint="eastAsia"/>
        </w:rPr>
        <w:t>锦河大桥</w:t>
      </w:r>
      <w:r>
        <w:t>下游约</w:t>
      </w:r>
      <w:r>
        <w:rPr>
          <w:rFonts w:hint="eastAsia"/>
        </w:rPr>
        <w:t>1.8k</w:t>
      </w:r>
      <w:r>
        <w:t>m，属</w:t>
      </w:r>
      <w:r>
        <w:rPr>
          <w:rFonts w:hint="eastAsia"/>
        </w:rPr>
        <w:t>赣江水系锦河</w:t>
      </w:r>
      <w:r>
        <w:t>干流，坝址以上控制流域面积</w:t>
      </w:r>
      <w:r>
        <w:rPr>
          <w:rFonts w:hint="eastAsia"/>
        </w:rPr>
        <w:t>4150</w:t>
      </w:r>
      <w:r>
        <w:t>km</w:t>
      </w:r>
      <w:r>
        <w:rPr>
          <w:vertAlign w:val="superscript"/>
        </w:rPr>
        <w:t>2</w:t>
      </w:r>
      <w:r>
        <w:t>，是一座以城市景观抬水为主，兼顾</w:t>
      </w:r>
      <w:r>
        <w:rPr>
          <w:rFonts w:hint="eastAsia"/>
        </w:rPr>
        <w:t>防</w:t>
      </w:r>
      <w:r>
        <w:t>洪的水利工程。</w:t>
      </w:r>
      <w:r>
        <w:rPr>
          <w:rFonts w:hint="eastAsia"/>
        </w:rPr>
        <w:t>毛家渡</w:t>
      </w:r>
      <w:r>
        <w:t>抬水工程主要由抬水闸坝</w:t>
      </w:r>
      <w:r>
        <w:rPr>
          <w:rFonts w:hint="eastAsia"/>
        </w:rPr>
        <w:t>（包含</w:t>
      </w:r>
      <w:r>
        <w:t>泄洪闸、</w:t>
      </w:r>
      <w:r>
        <w:rPr>
          <w:rFonts w:hint="eastAsia"/>
        </w:rPr>
        <w:t>冲砂</w:t>
      </w:r>
      <w:r>
        <w:t>闸</w:t>
      </w:r>
      <w:r>
        <w:rPr>
          <w:rFonts w:hint="eastAsia"/>
        </w:rPr>
        <w:t>）</w:t>
      </w:r>
      <w:r>
        <w:t>、</w:t>
      </w:r>
      <w:r>
        <w:rPr>
          <w:rFonts w:hint="eastAsia"/>
        </w:rPr>
        <w:t>两岸</w:t>
      </w:r>
      <w:r>
        <w:t>堤岸</w:t>
      </w:r>
      <w:r>
        <w:rPr>
          <w:rFonts w:hint="eastAsia"/>
        </w:rPr>
        <w:t>挡墙</w:t>
      </w:r>
      <w:r>
        <w:t>、临时建筑物等组成。根据《水利水电工程等级划分及洪水标准》(SL252—2017)及有关规定</w:t>
      </w:r>
      <w:r>
        <w:rPr>
          <w:rFonts w:hint="eastAsia"/>
        </w:rPr>
        <w:t>，</w:t>
      </w:r>
      <w:r>
        <w:t>枢纽工程为中型水闸，工程等别为</w:t>
      </w:r>
      <w:r>
        <w:rPr>
          <w:rFonts w:hint="eastAsia"/>
        </w:rPr>
        <w:t>Ⅲ</w:t>
      </w:r>
      <w:r>
        <w:t>等，主要建筑物为3级，次要建筑物为4级。设计洪水标准取</w:t>
      </w:r>
      <w:r>
        <w:rPr>
          <w:rFonts w:hint="eastAsia"/>
        </w:rPr>
        <w:t>2</w:t>
      </w:r>
      <w:r>
        <w:t>0年一遇 (P=</w:t>
      </w:r>
      <w:r>
        <w:rPr>
          <w:rFonts w:hint="eastAsia"/>
        </w:rPr>
        <w:t>5.0</w:t>
      </w:r>
      <w:r>
        <w:t>%)，校核洪水标准为</w:t>
      </w:r>
      <w:r>
        <w:rPr>
          <w:rFonts w:hint="eastAsia"/>
        </w:rPr>
        <w:t>5</w:t>
      </w:r>
      <w:r>
        <w:t>0年一遇(P=</w:t>
      </w:r>
      <w:r>
        <w:rPr>
          <w:rFonts w:hint="eastAsia"/>
        </w:rPr>
        <w:t>2</w:t>
      </w:r>
      <w:r>
        <w:t>.0%)，下游消能防冲取</w:t>
      </w:r>
      <w:r>
        <w:rPr>
          <w:rFonts w:hint="eastAsia"/>
        </w:rPr>
        <w:t>2</w:t>
      </w:r>
      <w:r>
        <w:t>0年一遇(P=</w:t>
      </w:r>
      <w:r>
        <w:rPr>
          <w:rFonts w:hint="eastAsia"/>
        </w:rPr>
        <w:t>5.0</w:t>
      </w:r>
      <w:r>
        <w:t>%)。</w:t>
      </w:r>
    </w:p>
    <w:p>
      <w:pPr>
        <w:ind w:firstLine="480"/>
        <w:rPr>
          <w:snapToGrid w:val="0"/>
        </w:rPr>
      </w:pPr>
      <w:r>
        <w:rPr>
          <w:rFonts w:hint="eastAsia" w:ascii="宋体" w:hAnsi="Calibri" w:cs="宋体"/>
          <w:kern w:val="0"/>
          <w:szCs w:val="24"/>
        </w:rPr>
        <w:t>根据</w:t>
      </w:r>
      <w:r>
        <w:rPr>
          <w:snapToGrid w:val="0"/>
        </w:rPr>
        <w:t>《中华人民共和国环境保护法》、《中华人民共和国环境影响评价法》、《建设项目环境保护管理条例》（国务院令第682号）</w:t>
      </w:r>
      <w:r>
        <w:rPr>
          <w:rFonts w:hint="eastAsia" w:ascii="宋体" w:hAnsi="Calibri" w:cs="宋体"/>
          <w:kern w:val="0"/>
          <w:szCs w:val="24"/>
        </w:rPr>
        <w:t>的规定，该项目建设需进</w:t>
      </w:r>
      <w:r>
        <w:rPr>
          <w:kern w:val="0"/>
          <w:szCs w:val="24"/>
        </w:rPr>
        <w:t>行环境影响评价。根据《建设项目环境影响评价分类管理名录》（</w:t>
      </w:r>
      <w:r>
        <w:rPr>
          <w:rFonts w:hint="eastAsia"/>
          <w:kern w:val="0"/>
          <w:szCs w:val="24"/>
        </w:rPr>
        <w:t>2021年版</w:t>
      </w:r>
      <w:r>
        <w:rPr>
          <w:kern w:val="0"/>
          <w:szCs w:val="24"/>
        </w:rPr>
        <w:t>）中“</w:t>
      </w:r>
      <w:r>
        <w:rPr>
          <w:rFonts w:hint="eastAsia"/>
          <w:kern w:val="0"/>
          <w:szCs w:val="24"/>
        </w:rPr>
        <w:t>五十一</w:t>
      </w:r>
      <w:r>
        <w:rPr>
          <w:kern w:val="0"/>
          <w:szCs w:val="24"/>
        </w:rPr>
        <w:t>、</w:t>
      </w:r>
      <w:r>
        <w:rPr>
          <w:rFonts w:hint="eastAsia"/>
          <w:kern w:val="0"/>
          <w:szCs w:val="24"/>
        </w:rPr>
        <w:t>水利</w:t>
      </w:r>
      <w:r>
        <w:rPr>
          <w:kern w:val="0"/>
          <w:szCs w:val="24"/>
        </w:rPr>
        <w:t>‘</w:t>
      </w:r>
      <w:r>
        <w:rPr>
          <w:rFonts w:hint="eastAsia"/>
          <w:kern w:val="0"/>
          <w:szCs w:val="24"/>
        </w:rPr>
        <w:t>127</w:t>
      </w:r>
      <w:r>
        <w:rPr>
          <w:kern w:val="0"/>
          <w:szCs w:val="24"/>
        </w:rPr>
        <w:t>、</w:t>
      </w:r>
      <w:r>
        <w:rPr>
          <w:kern w:val="0"/>
          <w:szCs w:val="21"/>
        </w:rPr>
        <w:t>防洪治涝工程</w:t>
      </w:r>
      <w:r>
        <w:rPr>
          <w:kern w:val="0"/>
          <w:szCs w:val="24"/>
        </w:rPr>
        <w:t>’”规定：“</w:t>
      </w:r>
      <w:r>
        <w:rPr>
          <w:kern w:val="0"/>
          <w:szCs w:val="21"/>
        </w:rPr>
        <w:t>新建大中型</w:t>
      </w:r>
      <w:r>
        <w:rPr>
          <w:kern w:val="0"/>
          <w:szCs w:val="24"/>
        </w:rPr>
        <w:t>”需编制报告书，</w:t>
      </w:r>
      <w:r>
        <w:rPr>
          <w:rFonts w:hint="eastAsia"/>
          <w:kern w:val="0"/>
          <w:szCs w:val="24"/>
        </w:rPr>
        <w:t>本项目毛家渡抬水工程为中型水闸</w:t>
      </w:r>
      <w:r>
        <w:rPr>
          <w:kern w:val="0"/>
          <w:szCs w:val="24"/>
        </w:rPr>
        <w:t>，应编制环境影响评价报告书。</w:t>
      </w:r>
      <w:r>
        <w:rPr>
          <w:snapToGrid w:val="0"/>
        </w:rPr>
        <w:t>为此，建设单位委托</w:t>
      </w:r>
      <w:r>
        <w:rPr>
          <w:szCs w:val="24"/>
        </w:rPr>
        <w:t>江西瑞彼德环保科技有限公司</w:t>
      </w:r>
      <w:r>
        <w:rPr>
          <w:snapToGrid w:val="0"/>
        </w:rPr>
        <w:t>承担该项目的环境影响评价工作（详见附件一）。20</w:t>
      </w:r>
      <w:r>
        <w:rPr>
          <w:rFonts w:hint="eastAsia"/>
          <w:snapToGrid w:val="0"/>
        </w:rPr>
        <w:t>22</w:t>
      </w:r>
      <w:r>
        <w:rPr>
          <w:snapToGrid w:val="0"/>
        </w:rPr>
        <w:t>年</w:t>
      </w:r>
      <w:r>
        <w:rPr>
          <w:rFonts w:hint="eastAsia"/>
          <w:snapToGrid w:val="0"/>
        </w:rPr>
        <w:t>6</w:t>
      </w:r>
      <w:r>
        <w:rPr>
          <w:snapToGrid w:val="0"/>
        </w:rPr>
        <w:t>月接受委托后，评价单位立即组织有关技术人员进行现场踏勘、资料收集等一系列前期工作，在此基础上，按照环境影响评价技术导则的要求，结合项目的工程特点，进行环境影响报告书编写工作。20</w:t>
      </w:r>
      <w:r>
        <w:rPr>
          <w:rFonts w:hint="eastAsia"/>
          <w:snapToGrid w:val="0"/>
        </w:rPr>
        <w:t>22</w:t>
      </w:r>
      <w:r>
        <w:rPr>
          <w:snapToGrid w:val="0"/>
        </w:rPr>
        <w:t>年</w:t>
      </w:r>
      <w:r>
        <w:rPr>
          <w:rFonts w:hint="eastAsia"/>
          <w:snapToGrid w:val="0"/>
        </w:rPr>
        <w:t>7</w:t>
      </w:r>
      <w:r>
        <w:rPr>
          <w:snapToGrid w:val="0"/>
        </w:rPr>
        <w:t>月委托有资质单位进行环境监测、类比以及</w:t>
      </w:r>
      <w:r>
        <w:rPr>
          <w:rFonts w:hint="eastAsia"/>
          <w:snapToGrid w:val="0"/>
        </w:rPr>
        <w:t>相关</w:t>
      </w:r>
      <w:r>
        <w:rPr>
          <w:snapToGrid w:val="0"/>
        </w:rPr>
        <w:t>计算后，</w:t>
      </w:r>
      <w:r>
        <w:rPr>
          <w:snapToGrid w:val="0"/>
          <w:color w:val="0000FF"/>
        </w:rPr>
        <w:t>编制《</w:t>
      </w:r>
      <w:r>
        <w:rPr>
          <w:rFonts w:hint="eastAsia"/>
          <w:color w:val="0000FF"/>
        </w:rPr>
        <w:t>上高</w:t>
      </w:r>
      <w:r>
        <w:rPr>
          <w:color w:val="0000FF"/>
        </w:rPr>
        <w:t>县</w:t>
      </w:r>
      <w:r>
        <w:rPr>
          <w:rFonts w:hint="eastAsia"/>
          <w:color w:val="0000FF"/>
        </w:rPr>
        <w:t>毛家渡</w:t>
      </w:r>
      <w:r>
        <w:rPr>
          <w:color w:val="0000FF"/>
        </w:rPr>
        <w:t>抬水工程</w:t>
      </w:r>
      <w:r>
        <w:rPr>
          <w:rFonts w:hint="eastAsia"/>
          <w:color w:val="0000FF"/>
        </w:rPr>
        <w:t>项目</w:t>
      </w:r>
      <w:r>
        <w:rPr>
          <w:color w:val="0000FF"/>
          <w:szCs w:val="24"/>
        </w:rPr>
        <w:t>环境影响报告书</w:t>
      </w:r>
      <w:r>
        <w:rPr>
          <w:snapToGrid w:val="0"/>
          <w:color w:val="0000FF"/>
        </w:rPr>
        <w:t>》，供建设单位报送</w:t>
      </w:r>
      <w:r>
        <w:rPr>
          <w:rFonts w:hint="eastAsia"/>
          <w:snapToGrid w:val="0"/>
          <w:color w:val="0000FF"/>
        </w:rPr>
        <w:t>生态环境</w:t>
      </w:r>
      <w:r>
        <w:rPr>
          <w:snapToGrid w:val="0"/>
          <w:color w:val="0000FF"/>
        </w:rPr>
        <w:t>主管部门审批</w:t>
      </w:r>
      <w:r>
        <w:rPr>
          <w:snapToGrid w:val="0"/>
        </w:rPr>
        <w:t>。</w:t>
      </w:r>
    </w:p>
    <w:p>
      <w:pPr>
        <w:ind w:firstLine="480"/>
        <w:rPr>
          <w:rFonts w:hAnsi="宋体"/>
        </w:rPr>
      </w:pPr>
      <w:r>
        <w:rPr>
          <w:rFonts w:hAnsi="宋体"/>
        </w:rPr>
        <w:t>本次环评工作得到了</w:t>
      </w:r>
      <w:r>
        <w:rPr>
          <w:rFonts w:hint="eastAsia" w:hAnsi="宋体"/>
        </w:rPr>
        <w:t>宜春市上高生态环境局</w:t>
      </w:r>
      <w:r>
        <w:rPr>
          <w:rFonts w:hAnsi="宋体"/>
        </w:rPr>
        <w:t>的指导和帮助，同时得到了检测单位和建设单位的大力协助和密切配合，保证了环评工作的顺利完成，谨在此一并表示感谢！</w:t>
      </w:r>
    </w:p>
    <w:p>
      <w:pPr>
        <w:ind w:firstLine="480"/>
        <w:rPr>
          <w:snapToGrid w:val="0"/>
        </w:rPr>
      </w:pPr>
      <w:r>
        <w:rPr>
          <w:rFonts w:hint="eastAsia" w:ascii="宋体" w:hAnsi="宋体" w:cs="宋体"/>
          <w:snapToGrid w:val="0"/>
        </w:rPr>
        <w:t>②</w:t>
      </w:r>
      <w:r>
        <w:rPr>
          <w:snapToGrid w:val="0"/>
        </w:rPr>
        <w:t>项目特点</w:t>
      </w:r>
    </w:p>
    <w:p>
      <w:pPr>
        <w:ind w:firstLine="480"/>
      </w:pPr>
      <w:r>
        <w:t>A.</w:t>
      </w:r>
      <w:r>
        <w:rPr>
          <w:rFonts w:hint="eastAsia"/>
        </w:rPr>
        <w:t>上高</w:t>
      </w:r>
      <w:r>
        <w:t>县</w:t>
      </w:r>
      <w:r>
        <w:rPr>
          <w:rFonts w:hint="eastAsia"/>
        </w:rPr>
        <w:t>毛家渡</w:t>
      </w:r>
      <w:r>
        <w:t>抬水工程总投资</w:t>
      </w:r>
      <w:r>
        <w:rPr>
          <w:rFonts w:hint="eastAsia" w:eastAsia="仿宋_GB2312"/>
          <w:kern w:val="0"/>
          <w:szCs w:val="24"/>
        </w:rPr>
        <w:t>18005.45</w:t>
      </w:r>
      <w:r>
        <w:t>万元，枢纽工程主要由抬水闸坝</w:t>
      </w:r>
      <w:r>
        <w:rPr>
          <w:rFonts w:hint="eastAsia"/>
        </w:rPr>
        <w:t>（包含</w:t>
      </w:r>
      <w:r>
        <w:t>泄洪闸、</w:t>
      </w:r>
      <w:r>
        <w:rPr>
          <w:rFonts w:hint="eastAsia"/>
        </w:rPr>
        <w:t>冲砂</w:t>
      </w:r>
      <w:r>
        <w:t>闸</w:t>
      </w:r>
      <w:r>
        <w:rPr>
          <w:rFonts w:hint="eastAsia"/>
        </w:rPr>
        <w:t>）</w:t>
      </w:r>
      <w:r>
        <w:t>、</w:t>
      </w:r>
      <w:r>
        <w:rPr>
          <w:rFonts w:hint="eastAsia"/>
        </w:rPr>
        <w:t>两岸</w:t>
      </w:r>
      <w:r>
        <w:t>堤岸</w:t>
      </w:r>
      <w:r>
        <w:rPr>
          <w:rFonts w:hint="eastAsia"/>
        </w:rPr>
        <w:t>挡墙</w:t>
      </w:r>
      <w:r>
        <w:t>、临时建筑物等组成。是一座以城市景观抬水为主，兼顾防洪的水利工程。</w:t>
      </w:r>
    </w:p>
    <w:p>
      <w:pPr>
        <w:ind w:firstLine="480"/>
      </w:pPr>
      <w:r>
        <w:t>B.本项目为水利工程项目，不属于污染型项目，对环境的影响主要在项目施工期。项目选址符合</w:t>
      </w:r>
      <w:r>
        <w:rPr>
          <w:rFonts w:hint="eastAsia"/>
        </w:rPr>
        <w:t>上高</w:t>
      </w:r>
      <w:r>
        <w:t>县的总体规划及土地利用规划。</w:t>
      </w:r>
    </w:p>
    <w:p>
      <w:pPr>
        <w:ind w:firstLine="480"/>
      </w:pPr>
      <w:r>
        <w:t>C.项目用地位于</w:t>
      </w:r>
      <w:r>
        <w:rPr>
          <w:rFonts w:hint="eastAsia"/>
        </w:rPr>
        <w:t>上高</w:t>
      </w:r>
      <w:r>
        <w:t>县内，用地范围内不涉及基本农田，不涉及基本农田保护区、生态林与退耕还林地，不属于生态敏感区、自然历史遗产、自然保护区、风景名胜区和水源保护区等生态敏感区。</w:t>
      </w:r>
    </w:p>
    <w:p>
      <w:pPr>
        <w:ind w:firstLine="482"/>
        <w:rPr>
          <w:b/>
        </w:rPr>
      </w:pPr>
      <w:r>
        <w:rPr>
          <w:rFonts w:hint="eastAsia" w:ascii="宋体" w:hAnsi="宋体" w:cs="宋体"/>
          <w:b/>
        </w:rPr>
        <w:t>(2)</w:t>
      </w:r>
      <w:r>
        <w:rPr>
          <w:b/>
        </w:rPr>
        <w:t>环境影响评价的工作过程</w:t>
      </w:r>
    </w:p>
    <w:p>
      <w:pPr>
        <w:ind w:firstLine="480"/>
        <w:rPr>
          <w:bCs/>
          <w:szCs w:val="24"/>
        </w:rPr>
      </w:pPr>
      <w:r>
        <w:rPr>
          <w:bCs/>
          <w:szCs w:val="24"/>
        </w:rPr>
        <w:t>根据《建设项目环境影响评价分类管理名录》</w:t>
      </w:r>
      <w:r>
        <w:t xml:space="preserve"> (</w:t>
      </w:r>
      <w:r>
        <w:rPr>
          <w:rFonts w:hint="eastAsia"/>
          <w:bCs/>
        </w:rPr>
        <w:t>2021年</w:t>
      </w:r>
      <w:r>
        <w:rPr>
          <w:rFonts w:hint="eastAsia"/>
        </w:rPr>
        <w:t>版</w:t>
      </w:r>
      <w:r>
        <w:t>)</w:t>
      </w:r>
      <w:r>
        <w:rPr>
          <w:bCs/>
          <w:szCs w:val="24"/>
        </w:rPr>
        <w:t>要求，本项目应该编制建设项目环境影响报告书，其环境影响评价工作大体分为三个阶段，</w:t>
      </w:r>
      <w:r>
        <w:rPr>
          <w:rFonts w:hint="eastAsia"/>
          <w:bCs/>
          <w:szCs w:val="24"/>
        </w:rPr>
        <w:t>第一阶段为准备阶段，主要为研究有关文件和资料，进行初步的工程分析，筛选重点评价项目，确定各单项环境影响评价的工作等级；第二阶段为现场调查阶段，主要工作为进一步做工程分析和环境现状调査，并进行环境影响分析和评价；第三阶段为报告书编制阶段。</w:t>
      </w:r>
      <w:r>
        <w:rPr>
          <w:bCs/>
          <w:szCs w:val="24"/>
        </w:rPr>
        <w:t>具体环境影响评价的工作程序图见图1。</w:t>
      </w:r>
    </w:p>
    <w:p>
      <w:pPr>
        <w:ind w:firstLine="0" w:firstLineChars="0"/>
        <w:jc w:val="center"/>
      </w:pPr>
      <w:r>
        <w:drawing>
          <wp:inline distT="0" distB="0" distL="114300" distR="114300">
            <wp:extent cx="5752465" cy="5522595"/>
            <wp:effectExtent l="0" t="0" r="0" b="0"/>
            <wp:docPr id="6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41"/>
                    <pic:cNvPicPr>
                      <a:picLocks noChangeAspect="1"/>
                    </pic:cNvPicPr>
                  </pic:nvPicPr>
                  <pic:blipFill>
                    <a:blip r:embed="rId24"/>
                    <a:stretch>
                      <a:fillRect/>
                    </a:stretch>
                  </pic:blipFill>
                  <pic:spPr>
                    <a:xfrm>
                      <a:off x="0" y="0"/>
                      <a:ext cx="5752465" cy="5522595"/>
                    </a:xfrm>
                    <a:prstGeom prst="rect">
                      <a:avLst/>
                    </a:prstGeom>
                    <a:noFill/>
                    <a:ln>
                      <a:noFill/>
                    </a:ln>
                  </pic:spPr>
                </pic:pic>
              </a:graphicData>
            </a:graphic>
          </wp:inline>
        </w:drawing>
      </w:r>
    </w:p>
    <w:p>
      <w:pPr>
        <w:spacing w:before="120" w:beforeLines="50" w:line="240" w:lineRule="auto"/>
        <w:ind w:firstLine="0" w:firstLineChars="0"/>
        <w:jc w:val="center"/>
        <w:rPr>
          <w:snapToGrid w:val="0"/>
        </w:rPr>
      </w:pPr>
      <w:r>
        <w:rPr>
          <w:rFonts w:eastAsia="黑体"/>
          <w:szCs w:val="24"/>
          <w:lang w:val="en-GB"/>
        </w:rPr>
        <w:t>图1  环评工作程序框图</w:t>
      </w:r>
    </w:p>
    <w:p>
      <w:pPr>
        <w:ind w:firstLine="480"/>
      </w:pPr>
      <w:bookmarkStart w:id="37" w:name="_Toc13364"/>
      <w:r>
        <w:rPr>
          <w:rFonts w:hAnsi="宋体"/>
        </w:rPr>
        <w:t>⑶</w:t>
      </w:r>
      <w:r>
        <w:t>分析判定相关情况</w:t>
      </w:r>
      <w:r>
        <w:fldChar w:fldCharType="begin"/>
      </w:r>
      <w:r>
        <w:instrText xml:space="preserve">HYPERLINK \l "_Toc477762504"</w:instrText>
      </w:r>
      <w:r>
        <w:fldChar w:fldCharType="separate"/>
      </w:r>
      <w:r>
        <w:fldChar w:fldCharType="end"/>
      </w:r>
      <w:bookmarkEnd w:id="37"/>
    </w:p>
    <w:p>
      <w:pPr>
        <w:ind w:firstLine="480"/>
        <w:rPr>
          <w:rFonts w:hAnsi="宋体"/>
        </w:rPr>
      </w:pPr>
      <w:bookmarkStart w:id="38" w:name="_Toc2080"/>
      <w:bookmarkStart w:id="39" w:name="_Toc15443"/>
      <w:r>
        <w:rPr>
          <w:rFonts w:hAnsi="宋体"/>
        </w:rPr>
        <w:fldChar w:fldCharType="begin"/>
      </w:r>
      <w:r>
        <w:rPr>
          <w:rFonts w:hAnsi="宋体"/>
        </w:rPr>
        <w:instrText xml:space="preserve"> HYPERLINK \l "_Toc477762505" </w:instrText>
      </w:r>
      <w:r>
        <w:rPr>
          <w:rFonts w:hAnsi="宋体"/>
        </w:rPr>
        <w:fldChar w:fldCharType="separate"/>
      </w:r>
      <w:r>
        <w:rPr>
          <w:rFonts w:hAnsi="宋体"/>
        </w:rPr>
        <w:t>①产业政策符合性分析</w:t>
      </w:r>
      <w:r>
        <w:rPr>
          <w:rFonts w:hAnsi="宋体"/>
        </w:rPr>
        <w:fldChar w:fldCharType="end"/>
      </w:r>
      <w:bookmarkEnd w:id="38"/>
    </w:p>
    <w:p>
      <w:pPr>
        <w:ind w:firstLine="480"/>
      </w:pPr>
      <w:r>
        <w:rPr>
          <w:rFonts w:hint="eastAsia"/>
        </w:rPr>
        <w:t>本项目为</w:t>
      </w:r>
      <w:r>
        <w:t>抬水工程</w:t>
      </w:r>
      <w:r>
        <w:rPr>
          <w:rFonts w:hint="eastAsia"/>
        </w:rPr>
        <w:t>项目</w:t>
      </w:r>
      <w:r>
        <w:t>，</w:t>
      </w:r>
      <w:r>
        <w:rPr>
          <w:rFonts w:hint="eastAsia"/>
        </w:rPr>
        <w:t>根据</w:t>
      </w:r>
      <w:r>
        <w:t>《产业结构调整指导目录（2019年本）》</w:t>
      </w:r>
      <w:r>
        <w:rPr>
          <w:rFonts w:hint="eastAsia"/>
        </w:rPr>
        <w:t>，</w:t>
      </w:r>
      <w:r>
        <w:t>属于鼓励类“二、水利—综合利用水利枢纽工程”</w:t>
      </w:r>
      <w:r>
        <w:rPr>
          <w:rFonts w:hint="eastAsia"/>
        </w:rPr>
        <w:t>，</w:t>
      </w:r>
      <w:r>
        <w:t>项目</w:t>
      </w:r>
      <w:r>
        <w:rPr>
          <w:rFonts w:hint="eastAsia"/>
        </w:rPr>
        <w:t>建设</w:t>
      </w:r>
      <w:r>
        <w:t>符合国家产业政策</w:t>
      </w:r>
      <w:r>
        <w:rPr>
          <w:rFonts w:hint="eastAsia"/>
        </w:rPr>
        <w:t>要求</w:t>
      </w:r>
      <w:r>
        <w:t>。</w:t>
      </w:r>
    </w:p>
    <w:p>
      <w:pPr>
        <w:ind w:firstLine="460"/>
        <w:rPr>
          <w:color w:val="0000FF"/>
        </w:rPr>
      </w:pPr>
      <w:r>
        <w:rPr>
          <w:rFonts w:ascii="宋体" w:hAnsi="Calibri" w:cs="宋体"/>
          <w:color w:val="0000FF"/>
          <w:kern w:val="0"/>
          <w:sz w:val="23"/>
          <w:szCs w:val="23"/>
        </w:rPr>
        <w:fldChar w:fldCharType="begin"/>
      </w:r>
      <w:r>
        <w:rPr>
          <w:rFonts w:ascii="宋体" w:hAnsi="Calibri" w:cs="宋体"/>
          <w:color w:val="0000FF"/>
          <w:kern w:val="0"/>
          <w:sz w:val="23"/>
          <w:szCs w:val="23"/>
        </w:rPr>
        <w:instrText xml:space="preserve"> </w:instrText>
      </w:r>
      <w:r>
        <w:rPr>
          <w:rFonts w:hint="eastAsia" w:ascii="宋体" w:hAnsi="Calibri" w:cs="宋体"/>
          <w:color w:val="0000FF"/>
          <w:kern w:val="0"/>
          <w:sz w:val="23"/>
          <w:szCs w:val="23"/>
        </w:rPr>
        <w:instrText xml:space="preserve">= 2 \* GB3</w:instrText>
      </w:r>
      <w:r>
        <w:rPr>
          <w:rFonts w:ascii="宋体" w:hAnsi="Calibri" w:cs="宋体"/>
          <w:color w:val="0000FF"/>
          <w:kern w:val="0"/>
          <w:sz w:val="23"/>
          <w:szCs w:val="23"/>
        </w:rPr>
        <w:instrText xml:space="preserve"> </w:instrText>
      </w:r>
      <w:r>
        <w:rPr>
          <w:rFonts w:ascii="宋体" w:hAnsi="Calibri" w:cs="宋体"/>
          <w:color w:val="0000FF"/>
          <w:kern w:val="0"/>
          <w:sz w:val="23"/>
          <w:szCs w:val="23"/>
        </w:rPr>
        <w:fldChar w:fldCharType="separate"/>
      </w:r>
      <w:r>
        <w:rPr>
          <w:rFonts w:hint="eastAsia" w:ascii="宋体" w:hAnsi="Calibri" w:cs="宋体"/>
          <w:color w:val="0000FF"/>
          <w:kern w:val="0"/>
          <w:sz w:val="23"/>
          <w:szCs w:val="23"/>
        </w:rPr>
        <w:t>②</w:t>
      </w:r>
      <w:r>
        <w:rPr>
          <w:rFonts w:ascii="宋体" w:hAnsi="Calibri" w:cs="宋体"/>
          <w:color w:val="0000FF"/>
          <w:kern w:val="0"/>
          <w:sz w:val="23"/>
          <w:szCs w:val="23"/>
        </w:rPr>
        <w:fldChar w:fldCharType="end"/>
      </w:r>
      <w:r>
        <w:rPr>
          <w:rFonts w:hint="eastAsia"/>
          <w:color w:val="0000FF"/>
        </w:rPr>
        <w:t>与上高县锦河省级湿地公园规划符合性分析</w:t>
      </w:r>
    </w:p>
    <w:p>
      <w:pPr>
        <w:ind w:firstLine="480"/>
        <w:rPr>
          <w:rFonts w:hint="eastAsia" w:eastAsia="宋体"/>
          <w:color w:val="0000FF"/>
          <w:lang w:eastAsia="zh-CN"/>
        </w:rPr>
      </w:pPr>
      <w:r>
        <w:rPr>
          <w:rFonts w:hint="eastAsia"/>
          <w:color w:val="0000FF"/>
        </w:rPr>
        <w:t>根据《江西上高锦河省级湿地公园总体规划》，上高县毛家渡抬水工程位于上高锦河省级湿地公园范围之外（详见附图十一），但是抬水工程建成后，会抬高坝址上游河道内水位，根据本工程的可行性研究报告，本工程会抬高湿地公园的宣教展示区和合理利用区河道内水位，水域面积会增加，同时通过开展护岸工程，河岸林植被恢复，能进一步提高锦河的生态效益、社会效益、经济效益，实现锦河“河水清、两岸绿、城乡美”的愿景，提升上高县城区的品位，因此，抬水工程的实施，对提升江西上高锦河省级湿地公园的资源和价值有一定作用。上高县毛家渡抬水工程主要任务为景观抬水，兼顾防洪和航运功能，为《中华人民共和国湿地保护法》第十九条中国家严格控制占用湿地行为；不属于《中华人民共和国湿地保护法》、《江西湿地公园管理办法》等法律法规中明令禁止的活动。建设单位在施工过程中要严格限定施工范围，禁止在湿地公园范围内倾倒有毒有害物质、废弃物、垃圾及其他破坏湿地及其生态功能的活动，并采取必要措施减轻项目建设过程中对湿地生态功能的不利影响。</w:t>
      </w:r>
    </w:p>
    <w:p>
      <w:pPr>
        <w:ind w:firstLine="480"/>
        <w:rPr>
          <w:color w:val="0000FF"/>
          <w:szCs w:val="24"/>
        </w:rPr>
      </w:pPr>
      <w:r>
        <w:rPr>
          <w:rFonts w:hint="eastAsia"/>
          <w:color w:val="0000FF"/>
        </w:rPr>
        <w:t xml:space="preserve">    </w:t>
      </w:r>
      <w:r>
        <w:rPr>
          <w:rFonts w:hint="eastAsia" w:ascii="宋体" w:hAnsi="宋体"/>
          <w:color w:val="0000FF"/>
          <w:szCs w:val="24"/>
        </w:rPr>
        <w:t>因此，</w:t>
      </w:r>
      <w:r>
        <w:rPr>
          <w:rFonts w:hint="eastAsia"/>
          <w:color w:val="0000FF"/>
        </w:rPr>
        <w:t>上高</w:t>
      </w:r>
      <w:r>
        <w:rPr>
          <w:color w:val="0000FF"/>
        </w:rPr>
        <w:t>县</w:t>
      </w:r>
      <w:r>
        <w:rPr>
          <w:rFonts w:hint="eastAsia"/>
          <w:color w:val="0000FF"/>
        </w:rPr>
        <w:t>毛家渡</w:t>
      </w:r>
      <w:r>
        <w:rPr>
          <w:color w:val="0000FF"/>
        </w:rPr>
        <w:t>抬水工程</w:t>
      </w:r>
      <w:r>
        <w:rPr>
          <w:rFonts w:hint="eastAsia" w:ascii="宋体" w:hAnsi="宋体"/>
          <w:color w:val="0000FF"/>
          <w:szCs w:val="24"/>
        </w:rPr>
        <w:t>经采取有</w:t>
      </w:r>
      <w:r>
        <w:rPr>
          <w:rFonts w:hint="eastAsia"/>
          <w:color w:val="0000FF"/>
        </w:rPr>
        <w:t>效减缓措施及落实湿地“占补平衡”要求后，符合</w:t>
      </w:r>
      <w:r>
        <w:rPr>
          <w:rFonts w:hint="eastAsia" w:ascii="宋体" w:hAnsi="宋体"/>
          <w:color w:val="0000FF"/>
          <w:szCs w:val="24"/>
        </w:rPr>
        <w:t>国家</w:t>
      </w:r>
      <w:r>
        <w:rPr>
          <w:rFonts w:hint="eastAsia"/>
          <w:color w:val="0000FF"/>
        </w:rPr>
        <w:t>《</w:t>
      </w:r>
      <w:r>
        <w:rPr>
          <w:color w:val="0000FF"/>
        </w:rPr>
        <w:t>江西</w:t>
      </w:r>
      <w:r>
        <w:rPr>
          <w:rFonts w:hint="eastAsia"/>
          <w:color w:val="0000FF"/>
        </w:rPr>
        <w:t>上高锦</w:t>
      </w:r>
      <w:r>
        <w:rPr>
          <w:color w:val="0000FF"/>
        </w:rPr>
        <w:t>河省级湿地公园</w:t>
      </w:r>
      <w:r>
        <w:rPr>
          <w:rFonts w:hint="eastAsia"/>
          <w:color w:val="0000FF"/>
        </w:rPr>
        <w:t>总体规划》</w:t>
      </w:r>
      <w:r>
        <w:rPr>
          <w:rFonts w:hint="eastAsia"/>
          <w:color w:val="0000FF"/>
          <w:szCs w:val="24"/>
        </w:rPr>
        <w:t>的相关要求。</w:t>
      </w:r>
    </w:p>
    <w:p>
      <w:pPr>
        <w:ind w:firstLine="480"/>
        <w:rPr>
          <w:kern w:val="0"/>
          <w:szCs w:val="24"/>
        </w:rPr>
      </w:pPr>
      <w:r>
        <w:rPr>
          <w:kern w:val="0"/>
          <w:szCs w:val="24"/>
        </w:rPr>
        <w:fldChar w:fldCharType="begin"/>
      </w:r>
      <w:r>
        <w:rPr>
          <w:kern w:val="0"/>
          <w:szCs w:val="24"/>
        </w:rPr>
        <w:instrText xml:space="preserve"> = 3 \* GB3 </w:instrText>
      </w:r>
      <w:r>
        <w:rPr>
          <w:kern w:val="0"/>
          <w:szCs w:val="24"/>
        </w:rPr>
        <w:fldChar w:fldCharType="separate"/>
      </w:r>
      <w:r>
        <w:rPr>
          <w:kern w:val="0"/>
          <w:szCs w:val="24"/>
        </w:rPr>
        <w:t>③</w:t>
      </w:r>
      <w:r>
        <w:rPr>
          <w:kern w:val="0"/>
          <w:szCs w:val="24"/>
        </w:rPr>
        <w:fldChar w:fldCharType="end"/>
      </w:r>
      <w:r>
        <w:rPr>
          <w:kern w:val="0"/>
          <w:szCs w:val="24"/>
        </w:rPr>
        <w:t>与江西镜山森林公园规划符合性分析</w:t>
      </w:r>
    </w:p>
    <w:p>
      <w:pPr>
        <w:ind w:firstLine="480"/>
        <w:rPr>
          <w:kern w:val="0"/>
          <w:szCs w:val="24"/>
        </w:rPr>
      </w:pPr>
      <w:r>
        <w:rPr>
          <w:kern w:val="0"/>
          <w:szCs w:val="24"/>
        </w:rPr>
        <w:t>根据《江西镜山森林公园》可行性研究，镜山公园地处上高城区，320国道旁。向外，东距南昌112公里，西离宜春96公里，南邻新余64公里；向内，南靠镜山休闲广场，东依科技工业园，东邻上高会战阵亡烈士纪念馆。其规划面积为128亩，目前已建设90亩，是镶嵌于城镇中的一颗绿色珍珠。可开发的景点有：镜山湖、龙泉寺、别墅群、动物园、嘹望台等。与本项目相隔320国道，根据《上高毛家渡抬水坝工程初步设计报告》“库区沿岸大部分不会产生浸没问题，若地面高程小于48.6 m（本报告高程均为黄海高程）情况下将产生局部浸没问题”320国道地面高程为59m，不会产生淹没，因此，本工程对森林公园影响较小。</w:t>
      </w:r>
    </w:p>
    <w:p>
      <w:pPr>
        <w:ind w:firstLine="460"/>
      </w:pPr>
      <w:r>
        <w:rPr>
          <w:rFonts w:hint="eastAsia" w:ascii="宋体" w:hAnsi="宋体" w:cs="宋体"/>
          <w:kern w:val="0"/>
          <w:sz w:val="23"/>
          <w:szCs w:val="23"/>
        </w:rPr>
        <w:t>④</w:t>
      </w:r>
      <w:r>
        <w:t>“三线一单”控制要求符合性分析</w:t>
      </w:r>
      <w:bookmarkEnd w:id="39"/>
    </w:p>
    <w:p>
      <w:pPr>
        <w:ind w:firstLine="480"/>
      </w:pPr>
      <w:r>
        <w:rPr>
          <w:rFonts w:hint="eastAsia" w:ascii="宋体" w:hAnsi="宋体" w:cs="宋体"/>
        </w:rPr>
        <w:t>A.</w:t>
      </w:r>
      <w:r>
        <w:t>生态保护红线</w:t>
      </w:r>
    </w:p>
    <w:p>
      <w:pPr>
        <w:pStyle w:val="74"/>
        <w:adjustRightInd w:val="0"/>
        <w:snapToGrid w:val="0"/>
        <w:spacing w:before="0" w:beforeAutospacing="0" w:after="0" w:afterAutospacing="0" w:line="360" w:lineRule="auto"/>
        <w:ind w:firstLine="480" w:firstLineChars="200"/>
        <w:jc w:val="both"/>
        <w:rPr>
          <w:rFonts w:cs="宋体"/>
          <w:color w:val="0000FF"/>
          <w:shd w:val="clear" w:color="auto" w:fill="FFFFFF"/>
        </w:rPr>
      </w:pPr>
      <w:r>
        <w:rPr>
          <w:rFonts w:hint="eastAsia"/>
          <w:color w:val="0000FF"/>
        </w:rPr>
        <w:t>上高县毛家渡</w:t>
      </w:r>
      <w:r>
        <w:rPr>
          <w:color w:val="0000FF"/>
        </w:rPr>
        <w:t>抬水工程位于</w:t>
      </w:r>
      <w:r>
        <w:rPr>
          <w:rFonts w:hint="eastAsia"/>
          <w:color w:val="0000FF"/>
        </w:rPr>
        <w:t>上高</w:t>
      </w:r>
      <w:r>
        <w:rPr>
          <w:color w:val="0000FF"/>
        </w:rPr>
        <w:t>县城</w:t>
      </w:r>
      <w:r>
        <w:rPr>
          <w:rFonts w:hint="eastAsia"/>
          <w:color w:val="0000FF"/>
        </w:rPr>
        <w:t>城东</w:t>
      </w:r>
      <w:r>
        <w:rPr>
          <w:color w:val="0000FF"/>
        </w:rPr>
        <w:t>，</w:t>
      </w:r>
      <w:r>
        <w:rPr>
          <w:rFonts w:hint="eastAsia"/>
          <w:color w:val="0000FF"/>
        </w:rPr>
        <w:t>锦河大桥</w:t>
      </w:r>
      <w:r>
        <w:rPr>
          <w:color w:val="0000FF"/>
        </w:rPr>
        <w:t>下游约</w:t>
      </w:r>
      <w:r>
        <w:rPr>
          <w:rFonts w:hint="eastAsia"/>
          <w:color w:val="0000FF"/>
        </w:rPr>
        <w:t>1.8k</w:t>
      </w:r>
      <w:r>
        <w:rPr>
          <w:color w:val="0000FF"/>
        </w:rPr>
        <w:t>m处，根据《</w:t>
      </w:r>
      <w:r>
        <w:rPr>
          <w:rFonts w:hint="eastAsia"/>
          <w:color w:val="0000FF"/>
        </w:rPr>
        <w:t>上高</w:t>
      </w:r>
      <w:r>
        <w:rPr>
          <w:color w:val="0000FF"/>
        </w:rPr>
        <w:t>县生态保护红线划定范围图》</w:t>
      </w:r>
      <w:r>
        <w:rPr>
          <w:rFonts w:hint="eastAsia"/>
          <w:color w:val="0000FF"/>
        </w:rPr>
        <w:t>(详见附图十八)</w:t>
      </w:r>
      <w:r>
        <w:rPr>
          <w:color w:val="0000FF"/>
        </w:rPr>
        <w:t>，项目不在生态空间保护红线区划范围内，</w:t>
      </w:r>
      <w:r>
        <w:rPr>
          <w:rFonts w:ascii="Times New Roman" w:hAnsi="Times New Roman"/>
          <w:color w:val="0000FF"/>
          <w:shd w:val="clear" w:color="auto" w:fill="FFFFFF"/>
        </w:rPr>
        <w:t>本</w:t>
      </w:r>
      <w:r>
        <w:rPr>
          <w:rFonts w:hint="eastAsia" w:ascii="Times New Roman" w:hAnsi="Times New Roman"/>
          <w:color w:val="0000FF"/>
          <w:shd w:val="clear" w:color="auto" w:fill="FFFFFF"/>
        </w:rPr>
        <w:t>工程不</w:t>
      </w:r>
      <w:r>
        <w:rPr>
          <w:rFonts w:ascii="Times New Roman" w:hAnsi="Times New Roman"/>
          <w:color w:val="0000FF"/>
          <w:shd w:val="clear" w:color="auto" w:fill="FFFFFF"/>
        </w:rPr>
        <w:t>占用生态红线</w:t>
      </w:r>
      <w:r>
        <w:rPr>
          <w:rFonts w:hint="eastAsia" w:ascii="Times New Roman" w:hAnsi="Times New Roman"/>
          <w:color w:val="0000FF"/>
          <w:shd w:val="clear" w:color="auto" w:fill="FFFFFF"/>
        </w:rPr>
        <w:t>，</w:t>
      </w:r>
      <w:r>
        <w:rPr>
          <w:rFonts w:hint="eastAsia" w:cs="宋体"/>
          <w:color w:val="0000FF"/>
          <w:shd w:val="clear" w:color="auto" w:fill="FFFFFF"/>
        </w:rPr>
        <w:t>主要抬高城区枯水期河道水位并兼顾防洪，项目实施有利于</w:t>
      </w:r>
      <w:r>
        <w:rPr>
          <w:rFonts w:hint="eastAsia"/>
          <w:color w:val="0000FF"/>
        </w:rPr>
        <w:t>改善城市生态环境，营造城区河道水体景观，美化城市环境，提升城市形象和品位</w:t>
      </w:r>
      <w:r>
        <w:rPr>
          <w:rFonts w:hint="eastAsia" w:cs="宋体"/>
          <w:color w:val="0000FF"/>
          <w:shd w:val="clear" w:color="auto" w:fill="FFFFFF"/>
        </w:rPr>
        <w:t>。本项目与上高县生态空间管控要求相符。</w:t>
      </w:r>
    </w:p>
    <w:p>
      <w:pPr>
        <w:ind w:firstLine="480"/>
      </w:pPr>
      <w:r>
        <w:rPr>
          <w:rFonts w:hint="eastAsia" w:ascii="宋体" w:hAnsi="宋体" w:cs="宋体"/>
        </w:rPr>
        <w:t>B.</w:t>
      </w:r>
      <w:r>
        <w:t>环境质量底线</w:t>
      </w:r>
    </w:p>
    <w:p>
      <w:pPr>
        <w:ind w:firstLine="480"/>
      </w:pPr>
      <w:r>
        <w:t>项目所在区域环境空气属于《环境空气质量标准》（GB3095-2012）中二类功能区，地表水受纳水体属于《地表水环境质量标准》（GB3838-2002）中Ⅲ类功能区，区域声环境属于《声环境质量标准》（GB3096-2008）中2类功能区，土壤满足《土壤环境质量 农用地土壤污染风险管控标准》(GB15618-2018)中筛选值标准；区域环境质量现状较好，具有相应的环境容量。</w:t>
      </w:r>
    </w:p>
    <w:p>
      <w:pPr>
        <w:autoSpaceDE w:val="0"/>
        <w:autoSpaceDN w:val="0"/>
        <w:adjustRightInd w:val="0"/>
        <w:ind w:firstLine="480"/>
      </w:pPr>
      <w:r>
        <w:t>项目属于水利项目，施工期产生的废污水经治理措施处理后回用或达标排放；施工期产生的粉尘采取洒水等抑尘措施，噪声采取源头降噪、隔声措施等，对环境的影响较小；施工期对区域的生态环境将产生一定的负面影响，在采取保护、恢复措施后生态影响在可接受范围。本工程为水利抬水工程，进入运行期将体现环境正效益，因此本工程的建设不会触及环境质量底线。</w:t>
      </w:r>
    </w:p>
    <w:p>
      <w:pPr>
        <w:ind w:firstLine="480"/>
      </w:pPr>
      <w:r>
        <w:rPr>
          <w:rFonts w:hint="eastAsia" w:ascii="宋体" w:hAnsi="宋体" w:cs="宋体"/>
        </w:rPr>
        <w:t>C.</w:t>
      </w:r>
      <w:r>
        <w:t>资源利用上线</w:t>
      </w:r>
    </w:p>
    <w:p>
      <w:pPr>
        <w:autoSpaceDE w:val="0"/>
        <w:autoSpaceDN w:val="0"/>
        <w:adjustRightInd w:val="0"/>
        <w:ind w:firstLine="480"/>
      </w:pPr>
      <w:r>
        <w:rPr>
          <w:rFonts w:hint="eastAsia"/>
        </w:rPr>
        <w:t>项目为水利民生工程，工程建成后</w:t>
      </w:r>
      <w:r>
        <w:t>抬高上游城区水位，</w:t>
      </w:r>
      <w:r>
        <w:rPr>
          <w:rFonts w:hint="eastAsia"/>
        </w:rPr>
        <w:t>提高区域水资源利用率，水资源得到充分利用，符合资源利用上线。</w:t>
      </w:r>
    </w:p>
    <w:p>
      <w:pPr>
        <w:ind w:firstLine="480"/>
      </w:pPr>
      <w:r>
        <w:rPr>
          <w:rFonts w:hint="eastAsia" w:ascii="宋体" w:hAnsi="宋体" w:cs="宋体"/>
        </w:rPr>
        <w:t>D.</w:t>
      </w:r>
      <w:r>
        <w:t>环境准入负面清单</w:t>
      </w:r>
    </w:p>
    <w:p>
      <w:pPr>
        <w:autoSpaceDE w:val="0"/>
        <w:autoSpaceDN w:val="0"/>
        <w:adjustRightInd w:val="0"/>
        <w:ind w:firstLine="480"/>
      </w:pPr>
      <w:r>
        <w:t>本工程为水利工程，根据《产业结构调整指导目录（2019年本）》，本项目属于“鼓励类”项目，不属于淘汰类、限制类，项目建设符合国家产业政策，项目坝址不涉及生态保护红线，符合《江西省生态保护红线管理办法（试行）》，项目施工期采取完善的污染防治和生态保护措施，可有效减少污染物排放量，减轻对生态的不利影响，对区域环境影响在可接受水平，项目运行后抬高上游城区水位，改善</w:t>
      </w:r>
      <w:r>
        <w:rPr>
          <w:rFonts w:hint="eastAsia"/>
        </w:rPr>
        <w:t>锦河</w:t>
      </w:r>
      <w:r>
        <w:t>水体景观，进入运行期将体现环境正效益。因此，本工程施工建设及运行期不在“空间布局约束、污染物排放管控、环境风险防控、资源利用效率要求”中，不属于环境准入负面清单内容。</w:t>
      </w:r>
    </w:p>
    <w:p>
      <w:pPr>
        <w:autoSpaceDE w:val="0"/>
        <w:autoSpaceDN w:val="0"/>
        <w:adjustRightInd w:val="0"/>
        <w:ind w:firstLine="480"/>
      </w:pPr>
      <w:r>
        <w:rPr>
          <w:rFonts w:hint="eastAsia"/>
        </w:rPr>
        <w:t>综上，项目与</w:t>
      </w:r>
      <w:r>
        <w:t>“三线一单”控制要求</w:t>
      </w:r>
      <w:r>
        <w:rPr>
          <w:rFonts w:hint="eastAsia"/>
        </w:rPr>
        <w:t>相</w:t>
      </w:r>
      <w:r>
        <w:t>符合性</w:t>
      </w:r>
      <w:r>
        <w:rPr>
          <w:rFonts w:hint="eastAsia"/>
        </w:rPr>
        <w:t>。</w:t>
      </w:r>
    </w:p>
    <w:p>
      <w:pPr>
        <w:autoSpaceDE w:val="0"/>
        <w:autoSpaceDN w:val="0"/>
        <w:adjustRightInd w:val="0"/>
        <w:ind w:firstLine="480"/>
      </w:pPr>
      <w:r>
        <w:rPr>
          <w:rFonts w:hint="eastAsia"/>
        </w:rPr>
        <w:t>⑤与《宜春市 “ 三线一单 ” 生态环境分区管控方案》相符性分析</w:t>
      </w:r>
    </w:p>
    <w:p>
      <w:pPr>
        <w:autoSpaceDE w:val="0"/>
        <w:autoSpaceDN w:val="0"/>
        <w:adjustRightInd w:val="0"/>
        <w:ind w:firstLine="480"/>
      </w:pPr>
      <w:r>
        <w:rPr>
          <w:rFonts w:hint="eastAsia"/>
        </w:rPr>
        <w:t>A</w:t>
      </w:r>
      <w:r>
        <w:t>宜春市环境管控单元划分总体情况</w:t>
      </w:r>
    </w:p>
    <w:p>
      <w:pPr>
        <w:autoSpaceDE w:val="0"/>
        <w:autoSpaceDN w:val="0"/>
        <w:adjustRightInd w:val="0"/>
        <w:ind w:firstLine="480"/>
      </w:pPr>
      <w:r>
        <w:t>全市共划定环境管控单元94个，分为优先保护单元、重点管控单元、一般管控单元三类。优先保护单元，指以生态环境保护为主的区域。划分优先保护单元18个，占全市国土面积的27.5%，主要分布在</w:t>
      </w:r>
      <w:r>
        <w:rPr>
          <w:rFonts w:hint="eastAsia"/>
        </w:rPr>
        <w:t>宜春市</w:t>
      </w:r>
      <w:r>
        <w:t>锦</w:t>
      </w:r>
      <w:r>
        <w:rPr>
          <w:rFonts w:hint="eastAsia"/>
        </w:rPr>
        <w:t>河</w:t>
      </w:r>
      <w:r>
        <w:t>、耶溪町、修水、潦河、北潦河，赣西-赣西北森林生态屏障区，涉及生态保护红线、自然保护区、饮用水水源保护区、环境空气一类功能区等生态环境敏感区面积占比较高的区域。重点管控单元，指对水、大气、土壤、自然资源等资源环境要素需进行重点管控的区域。划分重点管控单元51个，占全市国土面积的30.3%，主要分布在宜万经济走廊、赣江干流沿岸，320国道及昌铜高速经济带，袁河、锦江中下游腹地的城镇化和工业化区域，涉及各类开发区、城镇规划区以及环境质量改善压力较大的区域。一般管控单元，指除优先保护单元和重点管控单元之外的其他区域，划分一般管控单元25个，占全市国土面积的42.2%。</w:t>
      </w:r>
    </w:p>
    <w:p>
      <w:pPr>
        <w:ind w:firstLine="480"/>
      </w:pPr>
      <w:r>
        <w:rPr>
          <w:rFonts w:hint="eastAsia"/>
        </w:rPr>
        <w:t>B</w:t>
      </w:r>
      <w:r>
        <w:t>宜春市生态环境管控总体准入要求</w:t>
      </w:r>
    </w:p>
    <w:p>
      <w:pPr>
        <w:ind w:firstLine="480"/>
      </w:pPr>
      <w:r>
        <w:t>宜春市生态环境总体管控清单从空间约束、污染物排放管理、环境风险防控、环境风险防控和资源利用效率等4个维度提出准入要求，适用全市范围。项目与</w:t>
      </w:r>
      <w:r>
        <w:rPr>
          <w:rFonts w:hint="eastAsia"/>
        </w:rPr>
        <w:t>宜</w:t>
      </w:r>
      <w:r>
        <w:t>春市生态环境管控总体准入要求的符合性分析详见下表。</w:t>
      </w:r>
    </w:p>
    <w:p>
      <w:pPr>
        <w:spacing w:before="120" w:beforeLines="50" w:line="240" w:lineRule="auto"/>
        <w:ind w:firstLine="480"/>
        <w:jc w:val="center"/>
        <w:rPr>
          <w:rFonts w:ascii="黑体" w:hAnsi="黑体" w:eastAsia="黑体"/>
          <w:szCs w:val="24"/>
        </w:rPr>
      </w:pPr>
      <w:r>
        <w:rPr>
          <w:rFonts w:hint="eastAsia" w:ascii="黑体" w:hAnsi="黑体" w:eastAsia="黑体"/>
          <w:szCs w:val="24"/>
        </w:rPr>
        <w:t>表1-1  与宜春市生态环境管控总体准入要求的符合性分析</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4190"/>
        <w:gridCol w:w="3830"/>
        <w:gridCol w:w="1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tcBorders>
              <w:tl2br w:val="nil"/>
              <w:tr2bl w:val="nil"/>
            </w:tcBorders>
            <w:vAlign w:val="center"/>
          </w:tcPr>
          <w:p>
            <w:pPr>
              <w:spacing w:line="340" w:lineRule="exact"/>
              <w:ind w:firstLine="0" w:firstLineChars="0"/>
              <w:jc w:val="center"/>
              <w:rPr>
                <w:sz w:val="21"/>
                <w:szCs w:val="21"/>
              </w:rPr>
            </w:pPr>
            <w:r>
              <w:rPr>
                <w:rFonts w:hint="eastAsia"/>
                <w:sz w:val="21"/>
                <w:szCs w:val="21"/>
              </w:rPr>
              <w:t>维度</w:t>
            </w:r>
          </w:p>
        </w:tc>
        <w:tc>
          <w:tcPr>
            <w:tcW w:w="2014" w:type="pct"/>
            <w:tcBorders>
              <w:tl2br w:val="nil"/>
              <w:tr2bl w:val="nil"/>
            </w:tcBorders>
            <w:vAlign w:val="center"/>
          </w:tcPr>
          <w:p>
            <w:pPr>
              <w:spacing w:line="340" w:lineRule="exact"/>
              <w:ind w:firstLine="0" w:firstLineChars="0"/>
              <w:jc w:val="center"/>
              <w:rPr>
                <w:sz w:val="21"/>
                <w:szCs w:val="21"/>
              </w:rPr>
            </w:pPr>
            <w:r>
              <w:rPr>
                <w:rFonts w:hint="eastAsia"/>
                <w:sz w:val="21"/>
                <w:szCs w:val="21"/>
              </w:rPr>
              <w:t>准入要求</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项目情况</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tcBorders>
              <w:tl2br w:val="nil"/>
              <w:tr2bl w:val="nil"/>
            </w:tcBorders>
            <w:vAlign w:val="center"/>
          </w:tcPr>
          <w:p>
            <w:pPr>
              <w:spacing w:line="340" w:lineRule="exact"/>
              <w:ind w:firstLine="0" w:firstLineChars="0"/>
              <w:jc w:val="center"/>
              <w:rPr>
                <w:sz w:val="21"/>
                <w:szCs w:val="21"/>
              </w:rPr>
            </w:pPr>
            <w:r>
              <w:rPr>
                <w:rFonts w:hint="eastAsia"/>
                <w:sz w:val="21"/>
                <w:szCs w:val="21"/>
              </w:rPr>
              <w:t>空间布局约束</w:t>
            </w: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禁止新建《产业结构调整指导目录》限制类和淘汰类项目，现有产业改、扩建不得使用《产业结构调整指导目录》规定的掏汰类规模和生产工艺。</w:t>
            </w:r>
          </w:p>
        </w:tc>
        <w:tc>
          <w:tcPr>
            <w:tcW w:w="1841" w:type="pct"/>
            <w:tcBorders>
              <w:tl2br w:val="nil"/>
              <w:tr2bl w:val="nil"/>
            </w:tcBorders>
            <w:vAlign w:val="center"/>
          </w:tcPr>
          <w:p>
            <w:pPr>
              <w:spacing w:line="340" w:lineRule="exact"/>
              <w:ind w:firstLine="0" w:firstLineChars="0"/>
              <w:jc w:val="center"/>
              <w:rPr>
                <w:sz w:val="21"/>
                <w:szCs w:val="21"/>
              </w:rPr>
            </w:pPr>
            <w:r>
              <w:rPr>
                <w:sz w:val="21"/>
                <w:szCs w:val="21"/>
              </w:rPr>
              <w:t>经查，</w:t>
            </w:r>
            <w:r>
              <w:rPr>
                <w:rFonts w:hint="eastAsia"/>
                <w:sz w:val="21"/>
                <w:szCs w:val="21"/>
              </w:rPr>
              <w:t>本项目为生态影响型，</w:t>
            </w:r>
            <w:r>
              <w:rPr>
                <w:sz w:val="21"/>
                <w:szCs w:val="21"/>
              </w:rPr>
              <w:t>项目</w:t>
            </w:r>
            <w:r>
              <w:rPr>
                <w:rFonts w:hint="eastAsia"/>
                <w:sz w:val="21"/>
                <w:szCs w:val="21"/>
              </w:rPr>
              <w:t>施工</w:t>
            </w:r>
            <w:r>
              <w:rPr>
                <w:sz w:val="21"/>
                <w:szCs w:val="21"/>
              </w:rPr>
              <w:t>工艺</w:t>
            </w:r>
            <w:r>
              <w:rPr>
                <w:rFonts w:hint="eastAsia"/>
                <w:sz w:val="21"/>
                <w:szCs w:val="21"/>
              </w:rPr>
              <w:t>、</w:t>
            </w:r>
            <w:r>
              <w:rPr>
                <w:sz w:val="21"/>
                <w:szCs w:val="21"/>
              </w:rPr>
              <w:t>设备均不属于《产业结构调整指导目录（2019年本</w:t>
            </w:r>
            <w:r>
              <w:rPr>
                <w:rFonts w:hint="eastAsia"/>
                <w:sz w:val="21"/>
                <w:szCs w:val="21"/>
              </w:rPr>
              <w:t>）</w:t>
            </w:r>
            <w:r>
              <w:rPr>
                <w:sz w:val="21"/>
                <w:szCs w:val="21"/>
              </w:rPr>
              <w:t>》中规定的限制或淘汰类项目。</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禁止赣江干流岸线5公里范围内新布局重化工园区，赣江干流岸线1公里范围内不得新上化工、造纸、制革、冶炼等重污染项目。</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不得在城镇居民聚集区域、规划区，主导风上风向，以城镇中心为界线，向外延伸5公里，新建化工（单纯混合、互配除外</w:t>
            </w:r>
            <w:r>
              <w:rPr>
                <w:rFonts w:hint="eastAsia"/>
                <w:sz w:val="21"/>
                <w:szCs w:val="21"/>
              </w:rPr>
              <w:t>）</w:t>
            </w:r>
            <w:r>
              <w:rPr>
                <w:sz w:val="21"/>
                <w:szCs w:val="21"/>
              </w:rPr>
              <w:t>、农药（原药生产</w:t>
            </w:r>
            <w:r>
              <w:rPr>
                <w:rFonts w:hint="eastAsia"/>
                <w:sz w:val="21"/>
                <w:szCs w:val="21"/>
              </w:rPr>
              <w:t>）</w:t>
            </w:r>
            <w:r>
              <w:rPr>
                <w:sz w:val="21"/>
                <w:szCs w:val="21"/>
              </w:rPr>
              <w:t>、钢铁、焦化、水泥（熟料）、有色金属冶炼等大气污染型项目。</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各类保护地、生态红线法律法规中规定的 禁止类、限制类建设活动。</w:t>
            </w:r>
          </w:p>
        </w:tc>
        <w:tc>
          <w:tcPr>
            <w:tcW w:w="1841" w:type="pct"/>
            <w:tcBorders>
              <w:tl2br w:val="nil"/>
              <w:tr2bl w:val="nil"/>
            </w:tcBorders>
            <w:vAlign w:val="center"/>
          </w:tcPr>
          <w:p>
            <w:pPr>
              <w:spacing w:line="340" w:lineRule="exact"/>
              <w:ind w:firstLine="0" w:firstLineChars="0"/>
              <w:jc w:val="center"/>
              <w:rPr>
                <w:sz w:val="21"/>
                <w:szCs w:val="21"/>
              </w:rPr>
            </w:pPr>
            <w:r>
              <w:rPr>
                <w:sz w:val="21"/>
                <w:szCs w:val="21"/>
              </w:rPr>
              <w:t>根据《产业结构调整指导目录（2019年本）》，本项目属于鼓励类“二、水利—综合利用水利枢纽工程”。</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城市建成区现有重</w:t>
            </w:r>
            <w:r>
              <w:rPr>
                <w:rFonts w:hint="eastAsia"/>
                <w:sz w:val="21"/>
                <w:szCs w:val="21"/>
              </w:rPr>
              <w:t>污染</w:t>
            </w:r>
            <w:r>
              <w:rPr>
                <w:sz w:val="21"/>
                <w:szCs w:val="21"/>
              </w:rPr>
              <w:t>企业（钢铁、水泥、浮化玻璃等</w:t>
            </w:r>
            <w:r>
              <w:rPr>
                <w:rFonts w:hint="eastAsia"/>
                <w:sz w:val="21"/>
                <w:szCs w:val="21"/>
              </w:rPr>
              <w:t>）</w:t>
            </w:r>
            <w:r>
              <w:rPr>
                <w:sz w:val="21"/>
                <w:szCs w:val="21"/>
              </w:rPr>
              <w:t>限期退出或改造；依法依规项目为化工建设项目，建设清除距离赣江岸线 l 公里范围内未入园的 于工业园区化工企业，依法关阳”小化工” 企业，全面加强化工企业环境监管。</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restart"/>
            <w:tcBorders>
              <w:tl2br w:val="nil"/>
              <w:tr2bl w:val="nil"/>
            </w:tcBorders>
            <w:vAlign w:val="center"/>
          </w:tcPr>
          <w:p>
            <w:pPr>
              <w:spacing w:line="340" w:lineRule="exact"/>
              <w:ind w:firstLine="0" w:firstLineChars="0"/>
              <w:jc w:val="center"/>
              <w:rPr>
                <w:sz w:val="21"/>
                <w:szCs w:val="21"/>
              </w:rPr>
            </w:pPr>
            <w:r>
              <w:rPr>
                <w:rFonts w:hint="eastAsia"/>
                <w:sz w:val="21"/>
                <w:szCs w:val="21"/>
              </w:rPr>
              <w:t>污染物排放管控</w:t>
            </w: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到2020</w:t>
            </w:r>
            <w:r>
              <w:rPr>
                <w:rFonts w:hint="eastAsia"/>
                <w:sz w:val="21"/>
                <w:szCs w:val="21"/>
              </w:rPr>
              <w:t>年</w:t>
            </w:r>
            <w:r>
              <w:rPr>
                <w:sz w:val="21"/>
                <w:szCs w:val="21"/>
              </w:rPr>
              <w:t>，全市化学需氧量、氨氮、二氧化硫、氮氧化物排放总量分别控制在9</w:t>
            </w:r>
            <w:r>
              <w:rPr>
                <w:rFonts w:hint="eastAsia"/>
                <w:sz w:val="21"/>
                <w:szCs w:val="21"/>
              </w:rPr>
              <w:t>.</w:t>
            </w:r>
            <w:r>
              <w:rPr>
                <w:sz w:val="21"/>
                <w:szCs w:val="21"/>
              </w:rPr>
              <w:t>86万吨</w:t>
            </w:r>
            <w:r>
              <w:rPr>
                <w:rFonts w:hint="eastAsia"/>
                <w:sz w:val="21"/>
                <w:szCs w:val="21"/>
              </w:rPr>
              <w:t>、</w:t>
            </w:r>
            <w:r>
              <w:rPr>
                <w:sz w:val="21"/>
                <w:szCs w:val="21"/>
              </w:rPr>
              <w:t>1.16万吨、6</w:t>
            </w:r>
            <w:r>
              <w:rPr>
                <w:rFonts w:hint="eastAsia"/>
                <w:sz w:val="21"/>
                <w:szCs w:val="21"/>
              </w:rPr>
              <w:t>.</w:t>
            </w:r>
            <w:r>
              <w:rPr>
                <w:sz w:val="21"/>
                <w:szCs w:val="21"/>
              </w:rPr>
              <w:t>02万吨、7.97万吨以</w:t>
            </w:r>
            <w:r>
              <w:rPr>
                <w:rFonts w:hint="eastAsia"/>
                <w:sz w:val="21"/>
                <w:szCs w:val="21"/>
              </w:rPr>
              <w:t>内</w:t>
            </w:r>
            <w:r>
              <w:rPr>
                <w:sz w:val="21"/>
                <w:szCs w:val="21"/>
              </w:rPr>
              <w:t>，比2015生在分别下降4.3%、3.8%、14.58%项目所需主要污染物总量控污染物和24.75%；到2020年，单位地区生产总满足生态环境部门的要求排放管值二氧化碳排放比2015年下降19.5%，“十四五”及以后执行省级下达的管控指标要求。</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本项目为生态影响型项目，非污染类，满足生态环境部门的要求。</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至2020年现有集中城镇污水处理厂排放标准自一级B提标至一级A，国家级开发区内应淘汰煤气发生炉等高污染设备。</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本项目为生态影响型项目，非污染类，施工期生产废水经处理回用；施工期生活废水依托周边居民</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tcBorders>
              <w:tl2br w:val="nil"/>
              <w:tr2bl w:val="nil"/>
            </w:tcBorders>
            <w:vAlign w:val="center"/>
          </w:tcPr>
          <w:p>
            <w:pPr>
              <w:spacing w:line="340" w:lineRule="exact"/>
              <w:ind w:firstLine="0" w:firstLineChars="0"/>
              <w:jc w:val="center"/>
              <w:rPr>
                <w:sz w:val="21"/>
                <w:szCs w:val="21"/>
              </w:rPr>
            </w:pPr>
            <w:r>
              <w:rPr>
                <w:rFonts w:hint="eastAsia"/>
                <w:sz w:val="21"/>
                <w:szCs w:val="21"/>
              </w:rPr>
              <w:t>环境风险防控</w:t>
            </w: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建立企业、园区、地方政府之间环境风险联防联控体系和联合应急体系；增强与萍乡、新余等地的联系，完善流域合作，推动建立跨区域的袁河流域水污染防抬联动协作机制。</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559" w:type="pct"/>
            <w:vMerge w:val="restart"/>
            <w:tcBorders>
              <w:tl2br w:val="nil"/>
              <w:tr2bl w:val="nil"/>
            </w:tcBorders>
            <w:vAlign w:val="center"/>
          </w:tcPr>
          <w:p>
            <w:pPr>
              <w:spacing w:line="340" w:lineRule="exact"/>
              <w:ind w:firstLine="0" w:firstLineChars="0"/>
              <w:jc w:val="center"/>
              <w:rPr>
                <w:sz w:val="21"/>
                <w:szCs w:val="21"/>
              </w:rPr>
            </w:pPr>
            <w:r>
              <w:rPr>
                <w:rFonts w:hint="eastAsia"/>
                <w:sz w:val="21"/>
                <w:szCs w:val="21"/>
              </w:rPr>
              <w:t>资源利用效率要求</w:t>
            </w: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禁止在塌陷区、地质灾害危晦区域开采地下水。</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本项目为生态影响型项目，不涉及地下水开采</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到2020</w:t>
            </w:r>
            <w:r>
              <w:rPr>
                <w:rFonts w:hint="eastAsia"/>
                <w:sz w:val="21"/>
                <w:szCs w:val="21"/>
              </w:rPr>
              <w:t>年</w:t>
            </w:r>
            <w:r>
              <w:rPr>
                <w:sz w:val="21"/>
                <w:szCs w:val="21"/>
              </w:rPr>
              <w:t>，全市万元地区生产总值能耗比2015年下降 17%，能源消费总量增量控制在 163万吨标准煤以内，十四五” 及以后执行省级下达的管控指标要求。</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9" w:type="pct"/>
            <w:vMerge w:val="continue"/>
            <w:tcBorders>
              <w:tl2br w:val="nil"/>
              <w:tr2bl w:val="nil"/>
            </w:tcBorders>
            <w:vAlign w:val="center"/>
          </w:tcPr>
          <w:p>
            <w:pPr>
              <w:spacing w:line="340" w:lineRule="exact"/>
              <w:ind w:firstLine="0" w:firstLineChars="0"/>
              <w:jc w:val="center"/>
              <w:rPr>
                <w:sz w:val="21"/>
                <w:szCs w:val="21"/>
              </w:rPr>
            </w:pPr>
          </w:p>
        </w:tc>
        <w:tc>
          <w:tcPr>
            <w:tcW w:w="2014" w:type="pct"/>
            <w:tcBorders>
              <w:tl2br w:val="nil"/>
              <w:tr2bl w:val="nil"/>
            </w:tcBorders>
            <w:vAlign w:val="center"/>
          </w:tcPr>
          <w:p>
            <w:pPr>
              <w:spacing w:line="340" w:lineRule="exact"/>
              <w:ind w:firstLine="0" w:firstLineChars="0"/>
              <w:jc w:val="center"/>
              <w:rPr>
                <w:sz w:val="21"/>
                <w:szCs w:val="21"/>
              </w:rPr>
            </w:pPr>
            <w:r>
              <w:rPr>
                <w:sz w:val="21"/>
                <w:szCs w:val="21"/>
              </w:rPr>
              <w:t>禁止新建、扩建燃用高陌染燃料的项目和设施，己建成的应逐步或依法限期改用天然气、电或者其他清洁能源。</w:t>
            </w:r>
          </w:p>
        </w:tc>
        <w:tc>
          <w:tcPr>
            <w:tcW w:w="1841" w:type="pct"/>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本项目为生态影响型项目，非污染类</w:t>
            </w:r>
          </w:p>
        </w:tc>
        <w:tc>
          <w:tcPr>
            <w:tcW w:w="584" w:type="pct"/>
            <w:tcBorders>
              <w:tl2br w:val="nil"/>
              <w:tr2bl w:val="nil"/>
            </w:tcBorders>
            <w:vAlign w:val="center"/>
          </w:tcPr>
          <w:p>
            <w:pPr>
              <w:spacing w:line="340" w:lineRule="exact"/>
              <w:ind w:firstLine="0" w:firstLineChars="0"/>
              <w:jc w:val="center"/>
              <w:rPr>
                <w:sz w:val="21"/>
                <w:szCs w:val="21"/>
              </w:rPr>
            </w:pPr>
            <w:r>
              <w:rPr>
                <w:rFonts w:hint="eastAsia"/>
                <w:sz w:val="21"/>
                <w:szCs w:val="21"/>
              </w:rPr>
              <w:t>符合</w:t>
            </w:r>
          </w:p>
        </w:tc>
      </w:tr>
    </w:tbl>
    <w:p>
      <w:pPr>
        <w:ind w:firstLine="480"/>
      </w:pPr>
      <w:r>
        <w:t>项目位于江西省</w:t>
      </w:r>
      <w:r>
        <w:rPr>
          <w:rFonts w:hint="eastAsia"/>
        </w:rPr>
        <w:t>宜春</w:t>
      </w:r>
      <w:r>
        <w:t>市上高县</w:t>
      </w:r>
      <w:r>
        <w:rPr>
          <w:rFonts w:hint="eastAsia"/>
        </w:rPr>
        <w:t>县城东面敖山镇和新界埠镇交界处，抬水坝左岸是敖山镇，右岸是新界埠镇。敖山镇属于重点管控单元，环境管控单元ZH36092320003；新界埠镇</w:t>
      </w:r>
      <w:r>
        <w:t>，属</w:t>
      </w:r>
      <w:r>
        <w:rPr>
          <w:rFonts w:hint="eastAsia"/>
        </w:rPr>
        <w:t>于一般管控单元，环境管控单元编码为ZH36092330002，具体准入要求见表1-2、1-3。</w:t>
      </w:r>
    </w:p>
    <w:p>
      <w:pPr>
        <w:spacing w:before="120" w:beforeLines="50" w:line="240" w:lineRule="auto"/>
        <w:ind w:firstLine="480"/>
        <w:jc w:val="center"/>
        <w:rPr>
          <w:rFonts w:ascii="黑体" w:hAnsi="黑体" w:eastAsia="黑体"/>
          <w:szCs w:val="24"/>
        </w:rPr>
      </w:pPr>
      <w:r>
        <w:rPr>
          <w:rFonts w:ascii="黑体" w:hAnsi="黑体" w:eastAsia="黑体"/>
          <w:szCs w:val="24"/>
        </w:rPr>
        <w:t>表1-</w:t>
      </w:r>
      <w:r>
        <w:rPr>
          <w:rFonts w:hint="eastAsia" w:ascii="黑体" w:hAnsi="黑体" w:eastAsia="黑体"/>
          <w:szCs w:val="24"/>
        </w:rPr>
        <w:t>2</w:t>
      </w:r>
      <w:r>
        <w:rPr>
          <w:rFonts w:ascii="黑体" w:hAnsi="黑体" w:eastAsia="黑体"/>
          <w:szCs w:val="24"/>
        </w:rPr>
        <w:t xml:space="preserve">  管控单元具体准入要求单</w:t>
      </w:r>
    </w:p>
    <w:tbl>
      <w:tblPr>
        <w:tblStyle w:val="8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437"/>
        <w:gridCol w:w="2067"/>
        <w:gridCol w:w="3400"/>
        <w:gridCol w:w="16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环境管控单元名称</w:t>
            </w:r>
          </w:p>
        </w:tc>
        <w:tc>
          <w:tcPr>
            <w:tcW w:w="994" w:type="pct"/>
            <w:vAlign w:val="center"/>
          </w:tcPr>
          <w:p>
            <w:pPr>
              <w:spacing w:line="340" w:lineRule="exact"/>
              <w:ind w:firstLine="0" w:firstLineChars="0"/>
              <w:jc w:val="center"/>
              <w:rPr>
                <w:sz w:val="21"/>
                <w:szCs w:val="21"/>
              </w:rPr>
            </w:pPr>
            <w:r>
              <w:rPr>
                <w:rFonts w:hint="eastAsia"/>
                <w:sz w:val="21"/>
                <w:szCs w:val="21"/>
              </w:rPr>
              <w:t>江西省宜春市上高县一般管控单元2</w:t>
            </w:r>
          </w:p>
        </w:tc>
        <w:tc>
          <w:tcPr>
            <w:tcW w:w="1635" w:type="pct"/>
            <w:vAlign w:val="center"/>
          </w:tcPr>
          <w:p>
            <w:pPr>
              <w:spacing w:line="340" w:lineRule="exact"/>
              <w:ind w:firstLine="0" w:firstLineChars="0"/>
              <w:jc w:val="center"/>
              <w:rPr>
                <w:sz w:val="21"/>
                <w:szCs w:val="21"/>
              </w:rPr>
            </w:pPr>
            <w:r>
              <w:rPr>
                <w:rFonts w:hint="eastAsia"/>
                <w:sz w:val="21"/>
                <w:szCs w:val="21"/>
              </w:rPr>
              <w:t>环境管控单元编码</w:t>
            </w:r>
          </w:p>
        </w:tc>
        <w:tc>
          <w:tcPr>
            <w:tcW w:w="800" w:type="pct"/>
            <w:vAlign w:val="center"/>
          </w:tcPr>
          <w:p>
            <w:pPr>
              <w:spacing w:line="340" w:lineRule="exact"/>
              <w:ind w:firstLine="0" w:firstLineChars="0"/>
              <w:jc w:val="center"/>
              <w:rPr>
                <w:sz w:val="21"/>
                <w:szCs w:val="21"/>
              </w:rPr>
            </w:pPr>
            <w:r>
              <w:rPr>
                <w:rFonts w:hint="eastAsia"/>
                <w:sz w:val="21"/>
                <w:szCs w:val="21"/>
              </w:rPr>
              <w:t>ZH36092330002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范围（乡、镇名称）</w:t>
            </w:r>
          </w:p>
        </w:tc>
        <w:tc>
          <w:tcPr>
            <w:tcW w:w="994" w:type="pct"/>
            <w:vAlign w:val="center"/>
          </w:tcPr>
          <w:p>
            <w:pPr>
              <w:spacing w:line="340" w:lineRule="exact"/>
              <w:ind w:firstLine="0" w:firstLineChars="0"/>
              <w:jc w:val="center"/>
              <w:rPr>
                <w:sz w:val="21"/>
                <w:szCs w:val="21"/>
              </w:rPr>
            </w:pPr>
            <w:r>
              <w:rPr>
                <w:rFonts w:hint="eastAsia"/>
                <w:sz w:val="21"/>
                <w:szCs w:val="21"/>
              </w:rPr>
              <w:t>新界埠镇</w:t>
            </w:r>
          </w:p>
        </w:tc>
        <w:tc>
          <w:tcPr>
            <w:tcW w:w="1635" w:type="pct"/>
            <w:vAlign w:val="center"/>
          </w:tcPr>
          <w:p>
            <w:pPr>
              <w:spacing w:line="340" w:lineRule="exact"/>
              <w:ind w:firstLine="0" w:firstLineChars="0"/>
              <w:jc w:val="center"/>
              <w:rPr>
                <w:sz w:val="21"/>
                <w:szCs w:val="21"/>
              </w:rPr>
            </w:pPr>
            <w:r>
              <w:rPr>
                <w:rFonts w:hint="eastAsia"/>
                <w:sz w:val="21"/>
                <w:szCs w:val="21"/>
              </w:rPr>
              <w:t>管控单元分类</w:t>
            </w:r>
          </w:p>
        </w:tc>
        <w:tc>
          <w:tcPr>
            <w:tcW w:w="800" w:type="pct"/>
            <w:vAlign w:val="center"/>
          </w:tcPr>
          <w:p>
            <w:pPr>
              <w:spacing w:line="340" w:lineRule="exact"/>
              <w:ind w:firstLine="0" w:firstLineChars="0"/>
              <w:jc w:val="center"/>
              <w:rPr>
                <w:sz w:val="21"/>
                <w:szCs w:val="21"/>
              </w:rPr>
            </w:pPr>
            <w:r>
              <w:rPr>
                <w:rFonts w:hint="eastAsia"/>
                <w:sz w:val="21"/>
                <w:szCs w:val="21"/>
              </w:rPr>
              <w:t>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类别</w:t>
            </w:r>
          </w:p>
        </w:tc>
        <w:tc>
          <w:tcPr>
            <w:tcW w:w="994" w:type="pct"/>
            <w:vAlign w:val="center"/>
          </w:tcPr>
          <w:p>
            <w:pPr>
              <w:spacing w:line="340" w:lineRule="exact"/>
              <w:ind w:firstLine="0" w:firstLineChars="0"/>
              <w:jc w:val="center"/>
              <w:rPr>
                <w:sz w:val="21"/>
                <w:szCs w:val="21"/>
              </w:rPr>
            </w:pPr>
            <w:r>
              <w:rPr>
                <w:rFonts w:hint="eastAsia"/>
                <w:sz w:val="21"/>
                <w:szCs w:val="21"/>
              </w:rPr>
              <w:t>准入要求</w:t>
            </w:r>
          </w:p>
        </w:tc>
        <w:tc>
          <w:tcPr>
            <w:tcW w:w="1635" w:type="pct"/>
            <w:vAlign w:val="center"/>
          </w:tcPr>
          <w:p>
            <w:pPr>
              <w:spacing w:line="340" w:lineRule="exact"/>
              <w:ind w:firstLine="0" w:firstLineChars="0"/>
              <w:jc w:val="center"/>
              <w:rPr>
                <w:sz w:val="21"/>
                <w:szCs w:val="21"/>
              </w:rPr>
            </w:pPr>
            <w:r>
              <w:rPr>
                <w:rFonts w:hint="eastAsia"/>
                <w:sz w:val="21"/>
                <w:szCs w:val="21"/>
              </w:rPr>
              <w:t>本项目情况</w:t>
            </w:r>
          </w:p>
        </w:tc>
        <w:tc>
          <w:tcPr>
            <w:tcW w:w="800" w:type="pct"/>
            <w:vAlign w:val="center"/>
          </w:tcPr>
          <w:p>
            <w:pPr>
              <w:spacing w:line="340" w:lineRule="exact"/>
              <w:ind w:firstLine="0" w:firstLineChars="0"/>
              <w:jc w:val="center"/>
              <w:rPr>
                <w:sz w:val="21"/>
                <w:szCs w:val="21"/>
              </w:rPr>
            </w:pPr>
            <w:r>
              <w:rPr>
                <w:rFonts w:hint="eastAsia"/>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空间布局约束</w:t>
            </w:r>
          </w:p>
        </w:tc>
        <w:tc>
          <w:tcPr>
            <w:tcW w:w="1172" w:type="pct"/>
            <w:vAlign w:val="center"/>
          </w:tcPr>
          <w:p>
            <w:pPr>
              <w:spacing w:line="340" w:lineRule="exact"/>
              <w:ind w:firstLine="0" w:firstLineChars="0"/>
              <w:jc w:val="center"/>
              <w:rPr>
                <w:sz w:val="21"/>
                <w:szCs w:val="21"/>
              </w:rPr>
            </w:pPr>
            <w:r>
              <w:rPr>
                <w:sz w:val="21"/>
                <w:szCs w:val="21"/>
              </w:rPr>
              <w:t>允许开发建设活动的要求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禁止开发建设活动的要求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限制开发建设活动的要求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不符合空间布局要求活动的退出要求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禁养区畜禽养殖退养</w:t>
            </w:r>
          </w:p>
        </w:tc>
        <w:tc>
          <w:tcPr>
            <w:tcW w:w="1635" w:type="pct"/>
            <w:vAlign w:val="center"/>
          </w:tcPr>
          <w:p>
            <w:pPr>
              <w:spacing w:line="340" w:lineRule="exact"/>
              <w:ind w:firstLine="0" w:firstLineChars="0"/>
              <w:jc w:val="center"/>
              <w:rPr>
                <w:sz w:val="21"/>
                <w:szCs w:val="21"/>
              </w:rPr>
            </w:pPr>
            <w:r>
              <w:rPr>
                <w:rFonts w:hint="eastAsia"/>
                <w:sz w:val="21"/>
                <w:szCs w:val="21"/>
              </w:rPr>
              <w:t>本项目为生态影响型项目，不是养殖项目</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污染物排放管控</w:t>
            </w:r>
          </w:p>
        </w:tc>
        <w:tc>
          <w:tcPr>
            <w:tcW w:w="1172" w:type="pct"/>
            <w:vAlign w:val="center"/>
          </w:tcPr>
          <w:p>
            <w:pPr>
              <w:spacing w:line="340" w:lineRule="exact"/>
              <w:ind w:firstLine="0" w:firstLineChars="0"/>
              <w:jc w:val="center"/>
              <w:rPr>
                <w:sz w:val="21"/>
                <w:szCs w:val="21"/>
              </w:rPr>
            </w:pPr>
            <w:r>
              <w:rPr>
                <w:sz w:val="21"/>
                <w:szCs w:val="21"/>
              </w:rPr>
              <w:t>现有</w:t>
            </w:r>
            <w:r>
              <w:rPr>
                <w:rFonts w:hint="eastAsia"/>
                <w:sz w:val="21"/>
                <w:szCs w:val="21"/>
              </w:rPr>
              <w:t>源</w:t>
            </w:r>
            <w:r>
              <w:rPr>
                <w:sz w:val="21"/>
                <w:szCs w:val="21"/>
              </w:rPr>
              <w:t>提标升级改造</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新增源等量或</w:t>
            </w:r>
            <w:r>
              <w:rPr>
                <w:rFonts w:hint="eastAsia"/>
                <w:sz w:val="21"/>
                <w:szCs w:val="21"/>
              </w:rPr>
              <w:t>倍</w:t>
            </w:r>
            <w:r>
              <w:rPr>
                <w:sz w:val="21"/>
                <w:szCs w:val="21"/>
              </w:rPr>
              <w:t>量替代</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新增源排放标准限值</w:t>
            </w:r>
          </w:p>
        </w:tc>
        <w:tc>
          <w:tcPr>
            <w:tcW w:w="994" w:type="pct"/>
            <w:vAlign w:val="center"/>
          </w:tcPr>
          <w:p>
            <w:pPr>
              <w:spacing w:line="340" w:lineRule="exact"/>
              <w:ind w:firstLine="0" w:firstLineChars="0"/>
              <w:jc w:val="center"/>
              <w:rPr>
                <w:sz w:val="21"/>
                <w:szCs w:val="21"/>
              </w:rPr>
            </w:pPr>
            <w:r>
              <w:rPr>
                <w:sz w:val="21"/>
                <w:szCs w:val="21"/>
              </w:rPr>
              <w:t>污染物排放应达到相应排</w:t>
            </w:r>
          </w:p>
        </w:tc>
        <w:tc>
          <w:tcPr>
            <w:tcW w:w="1635" w:type="pct"/>
            <w:vAlign w:val="center"/>
          </w:tcPr>
          <w:p>
            <w:pPr>
              <w:spacing w:line="340" w:lineRule="exact"/>
              <w:ind w:firstLine="0" w:firstLineChars="0"/>
              <w:jc w:val="center"/>
              <w:rPr>
                <w:sz w:val="21"/>
                <w:szCs w:val="21"/>
              </w:rPr>
            </w:pPr>
            <w:r>
              <w:rPr>
                <w:rFonts w:hint="eastAsia"/>
                <w:sz w:val="21"/>
                <w:szCs w:val="21"/>
              </w:rPr>
              <w:t>施工废气</w:t>
            </w:r>
            <w:r>
              <w:rPr>
                <w:sz w:val="21"/>
                <w:szCs w:val="21"/>
              </w:rPr>
              <w:t>执行《大气污染物综合排放标准》（</w:t>
            </w:r>
            <w:r>
              <w:rPr>
                <w:rFonts w:eastAsia="黑体"/>
                <w:sz w:val="21"/>
                <w:szCs w:val="21"/>
              </w:rPr>
              <w:t>GB16297-1996</w:t>
            </w:r>
            <w:r>
              <w:rPr>
                <w:sz w:val="21"/>
                <w:szCs w:val="21"/>
              </w:rPr>
              <w:t>）中表2新污染源无组织排放监控浓度限值</w:t>
            </w:r>
            <w:r>
              <w:rPr>
                <w:rFonts w:hint="eastAsia"/>
                <w:sz w:val="21"/>
                <w:szCs w:val="21"/>
              </w:rPr>
              <w:t>；施工废水经处理回用，不外排</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污染物排放绩效水平准入要求</w:t>
            </w:r>
          </w:p>
        </w:tc>
        <w:tc>
          <w:tcPr>
            <w:tcW w:w="994" w:type="pct"/>
            <w:vAlign w:val="center"/>
          </w:tcPr>
          <w:p>
            <w:pPr>
              <w:spacing w:line="340" w:lineRule="exact"/>
              <w:ind w:firstLine="0" w:firstLineChars="0"/>
              <w:jc w:val="center"/>
              <w:rPr>
                <w:sz w:val="21"/>
                <w:szCs w:val="21"/>
              </w:rPr>
            </w:pPr>
            <w:r>
              <w:rPr>
                <w:sz w:val="21"/>
                <w:szCs w:val="21"/>
              </w:rPr>
              <w:t>污染物排放绩效水平应达</w:t>
            </w:r>
            <w:r>
              <w:rPr>
                <w:rFonts w:hint="eastAsia"/>
                <w:sz w:val="21"/>
                <w:szCs w:val="21"/>
              </w:rPr>
              <w:t>良好水平</w:t>
            </w:r>
          </w:p>
        </w:tc>
        <w:tc>
          <w:tcPr>
            <w:tcW w:w="1635" w:type="pct"/>
            <w:vAlign w:val="center"/>
          </w:tcPr>
          <w:p>
            <w:pPr>
              <w:spacing w:line="340" w:lineRule="exact"/>
              <w:ind w:firstLine="0" w:firstLineChars="0"/>
              <w:jc w:val="center"/>
              <w:rPr>
                <w:sz w:val="21"/>
                <w:szCs w:val="21"/>
              </w:rPr>
            </w:pPr>
            <w:r>
              <w:rPr>
                <w:sz w:val="21"/>
                <w:szCs w:val="21"/>
              </w:rPr>
              <w:t>污染物排放绩效水平应达到国内先进水</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环境风险防控</w:t>
            </w:r>
          </w:p>
        </w:tc>
        <w:tc>
          <w:tcPr>
            <w:tcW w:w="1172" w:type="pct"/>
            <w:vAlign w:val="center"/>
          </w:tcPr>
          <w:p>
            <w:pPr>
              <w:spacing w:line="340" w:lineRule="exact"/>
              <w:ind w:firstLine="0" w:firstLineChars="0"/>
              <w:jc w:val="center"/>
              <w:rPr>
                <w:sz w:val="21"/>
                <w:szCs w:val="21"/>
              </w:rPr>
            </w:pPr>
            <w:r>
              <w:rPr>
                <w:rFonts w:hint="eastAsia"/>
                <w:sz w:val="21"/>
                <w:szCs w:val="21"/>
              </w:rPr>
              <w:t>严格管控类农用地环境风险防控要求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严格管控类农用地，在土壤污染疑似地块种植食用农产品应符合管控要求</w:t>
            </w:r>
          </w:p>
        </w:tc>
        <w:tc>
          <w:tcPr>
            <w:tcW w:w="1635" w:type="pct"/>
            <w:vAlign w:val="center"/>
          </w:tcPr>
          <w:p>
            <w:pPr>
              <w:spacing w:line="340" w:lineRule="exact"/>
              <w:ind w:firstLine="0" w:firstLineChars="0"/>
              <w:jc w:val="center"/>
              <w:rPr>
                <w:sz w:val="21"/>
                <w:szCs w:val="21"/>
              </w:rPr>
            </w:pPr>
            <w:r>
              <w:rPr>
                <w:rFonts w:hint="eastAsia"/>
                <w:sz w:val="21"/>
                <w:szCs w:val="21"/>
              </w:rPr>
              <w:t>本项目占地不是严格管控类农用地</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安全利用类农用地环境风险防控要求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安全利用类农用地，应制定农用地等安全利用方案，降低农产品超标风险</w:t>
            </w:r>
          </w:p>
        </w:tc>
        <w:tc>
          <w:tcPr>
            <w:tcW w:w="1635" w:type="pct"/>
            <w:vAlign w:val="center"/>
          </w:tcPr>
          <w:p>
            <w:pPr>
              <w:spacing w:line="340" w:lineRule="exact"/>
              <w:ind w:firstLine="0" w:firstLineChars="0"/>
              <w:jc w:val="center"/>
              <w:rPr>
                <w:sz w:val="21"/>
                <w:szCs w:val="21"/>
              </w:rPr>
            </w:pPr>
            <w:r>
              <w:rPr>
                <w:rFonts w:hint="eastAsia"/>
                <w:sz w:val="21"/>
                <w:szCs w:val="21"/>
              </w:rPr>
              <w:t>本项目占地不是安全利用类农用地</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污染地块环境风险防控要求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已污染地块，应当依法开展土壤污染状况调查、治理与修复，历史遗留矿山地质环境治理恢复</w:t>
            </w:r>
          </w:p>
        </w:tc>
        <w:tc>
          <w:tcPr>
            <w:tcW w:w="1635" w:type="pct"/>
            <w:vAlign w:val="center"/>
          </w:tcPr>
          <w:p>
            <w:pPr>
              <w:spacing w:line="340" w:lineRule="exact"/>
              <w:ind w:firstLine="0" w:firstLineChars="0"/>
              <w:jc w:val="center"/>
              <w:rPr>
                <w:sz w:val="21"/>
                <w:szCs w:val="21"/>
              </w:rPr>
            </w:pPr>
            <w:r>
              <w:rPr>
                <w:rFonts w:hint="eastAsia"/>
                <w:sz w:val="21"/>
                <w:szCs w:val="21"/>
              </w:rPr>
              <w:t>本地块不是污染地块</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sz w:val="21"/>
                <w:szCs w:val="21"/>
              </w:rPr>
              <w:t>园区敏感点风险准入类防控要求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园区风险防控体系要求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企业风险防控配套措施</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企业生产过程风险防控要求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资源利用效率</w:t>
            </w:r>
          </w:p>
        </w:tc>
        <w:tc>
          <w:tcPr>
            <w:tcW w:w="1172" w:type="pct"/>
            <w:vAlign w:val="center"/>
          </w:tcPr>
          <w:p>
            <w:pPr>
              <w:spacing w:line="340" w:lineRule="exact"/>
              <w:ind w:firstLine="0" w:firstLineChars="0"/>
              <w:jc w:val="center"/>
              <w:rPr>
                <w:sz w:val="21"/>
                <w:szCs w:val="21"/>
              </w:rPr>
            </w:pPr>
            <w:r>
              <w:rPr>
                <w:rFonts w:hint="eastAsia" w:ascii="宋体" w:hAnsi="宋体"/>
                <w:sz w:val="21"/>
                <w:szCs w:val="21"/>
              </w:rPr>
              <w:t>水资源重复利用率要求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ascii="宋体" w:hAnsi="宋体"/>
                <w:sz w:val="21"/>
                <w:szCs w:val="21"/>
              </w:rPr>
              <w:t>水资源利用效率和强度要求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地下水禁采要求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地下水开采总量要求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能源利用效率要求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岸线管控要求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bl>
    <w:p>
      <w:pPr>
        <w:spacing w:before="120" w:beforeLines="50" w:line="240" w:lineRule="auto"/>
        <w:ind w:firstLine="480"/>
        <w:jc w:val="center"/>
        <w:rPr>
          <w:rFonts w:ascii="黑体" w:hAnsi="黑体" w:eastAsia="黑体"/>
          <w:szCs w:val="24"/>
        </w:rPr>
      </w:pPr>
      <w:r>
        <w:rPr>
          <w:rFonts w:ascii="黑体" w:hAnsi="黑体" w:eastAsia="黑体"/>
          <w:szCs w:val="24"/>
        </w:rPr>
        <w:t>表1-</w:t>
      </w:r>
      <w:r>
        <w:rPr>
          <w:rFonts w:hint="eastAsia" w:ascii="黑体" w:hAnsi="黑体" w:eastAsia="黑体"/>
          <w:szCs w:val="24"/>
        </w:rPr>
        <w:t>3</w:t>
      </w:r>
      <w:r>
        <w:rPr>
          <w:rFonts w:ascii="黑体" w:hAnsi="黑体" w:eastAsia="黑体"/>
          <w:szCs w:val="24"/>
        </w:rPr>
        <w:t xml:space="preserve">  管控单元具体准入要求单</w:t>
      </w:r>
    </w:p>
    <w:tbl>
      <w:tblPr>
        <w:tblStyle w:val="8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437"/>
        <w:gridCol w:w="2067"/>
        <w:gridCol w:w="3400"/>
        <w:gridCol w:w="16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环境管控单元名称</w:t>
            </w:r>
          </w:p>
        </w:tc>
        <w:tc>
          <w:tcPr>
            <w:tcW w:w="994" w:type="pct"/>
            <w:vAlign w:val="center"/>
          </w:tcPr>
          <w:p>
            <w:pPr>
              <w:spacing w:line="340" w:lineRule="exact"/>
              <w:ind w:firstLine="0" w:firstLineChars="0"/>
              <w:jc w:val="center"/>
              <w:rPr>
                <w:sz w:val="21"/>
                <w:szCs w:val="21"/>
              </w:rPr>
            </w:pPr>
            <w:r>
              <w:rPr>
                <w:rFonts w:hint="eastAsia"/>
                <w:sz w:val="21"/>
                <w:szCs w:val="21"/>
              </w:rPr>
              <w:t>江西省宜春市上高县一般管控单元3</w:t>
            </w:r>
          </w:p>
        </w:tc>
        <w:tc>
          <w:tcPr>
            <w:tcW w:w="1635" w:type="pct"/>
            <w:vAlign w:val="center"/>
          </w:tcPr>
          <w:p>
            <w:pPr>
              <w:spacing w:line="340" w:lineRule="exact"/>
              <w:ind w:firstLine="0" w:firstLineChars="0"/>
              <w:jc w:val="center"/>
              <w:rPr>
                <w:sz w:val="21"/>
                <w:szCs w:val="21"/>
              </w:rPr>
            </w:pPr>
            <w:r>
              <w:rPr>
                <w:rFonts w:hint="eastAsia"/>
                <w:sz w:val="21"/>
                <w:szCs w:val="21"/>
              </w:rPr>
              <w:t>环境管控单元编码</w:t>
            </w:r>
          </w:p>
        </w:tc>
        <w:tc>
          <w:tcPr>
            <w:tcW w:w="800" w:type="pct"/>
            <w:vAlign w:val="center"/>
          </w:tcPr>
          <w:p>
            <w:pPr>
              <w:spacing w:line="340" w:lineRule="exact"/>
              <w:ind w:firstLine="0" w:firstLineChars="0"/>
              <w:jc w:val="center"/>
              <w:rPr>
                <w:sz w:val="21"/>
                <w:szCs w:val="21"/>
              </w:rPr>
            </w:pPr>
            <w:r>
              <w:rPr>
                <w:rFonts w:hint="eastAsia"/>
                <w:sz w:val="21"/>
                <w:szCs w:val="21"/>
              </w:rPr>
              <w:t>ZH36092320003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范围（乡、镇名称）</w:t>
            </w:r>
          </w:p>
        </w:tc>
        <w:tc>
          <w:tcPr>
            <w:tcW w:w="994" w:type="pct"/>
            <w:vAlign w:val="center"/>
          </w:tcPr>
          <w:p>
            <w:pPr>
              <w:spacing w:line="340" w:lineRule="exact"/>
              <w:ind w:firstLine="0" w:firstLineChars="0"/>
              <w:jc w:val="center"/>
              <w:rPr>
                <w:sz w:val="21"/>
                <w:szCs w:val="21"/>
              </w:rPr>
            </w:pPr>
            <w:r>
              <w:rPr>
                <w:rFonts w:hint="eastAsia"/>
                <w:sz w:val="21"/>
                <w:szCs w:val="21"/>
              </w:rPr>
              <w:t>野市乡、泗溪镇、敖山镇</w:t>
            </w:r>
          </w:p>
        </w:tc>
        <w:tc>
          <w:tcPr>
            <w:tcW w:w="1635" w:type="pct"/>
            <w:vAlign w:val="center"/>
          </w:tcPr>
          <w:p>
            <w:pPr>
              <w:spacing w:line="340" w:lineRule="exact"/>
              <w:ind w:firstLine="0" w:firstLineChars="0"/>
              <w:jc w:val="center"/>
              <w:rPr>
                <w:sz w:val="21"/>
                <w:szCs w:val="21"/>
              </w:rPr>
            </w:pPr>
            <w:r>
              <w:rPr>
                <w:rFonts w:hint="eastAsia"/>
                <w:sz w:val="21"/>
                <w:szCs w:val="21"/>
              </w:rPr>
              <w:t>管控单元分类</w:t>
            </w:r>
          </w:p>
        </w:tc>
        <w:tc>
          <w:tcPr>
            <w:tcW w:w="800" w:type="pct"/>
            <w:vAlign w:val="center"/>
          </w:tcPr>
          <w:p>
            <w:pPr>
              <w:spacing w:line="340" w:lineRule="exact"/>
              <w:ind w:firstLine="0" w:firstLineChars="0"/>
              <w:jc w:val="center"/>
              <w:rPr>
                <w:sz w:val="21"/>
                <w:szCs w:val="21"/>
              </w:rPr>
            </w:pPr>
            <w:r>
              <w:rPr>
                <w:rFonts w:hint="eastAsia"/>
                <w:sz w:val="21"/>
                <w:szCs w:val="21"/>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0" w:type="pct"/>
            <w:gridSpan w:val="2"/>
            <w:vAlign w:val="center"/>
          </w:tcPr>
          <w:p>
            <w:pPr>
              <w:spacing w:line="340" w:lineRule="exact"/>
              <w:ind w:firstLine="0" w:firstLineChars="0"/>
              <w:jc w:val="center"/>
              <w:rPr>
                <w:sz w:val="21"/>
                <w:szCs w:val="21"/>
              </w:rPr>
            </w:pPr>
            <w:r>
              <w:rPr>
                <w:rFonts w:hint="eastAsia"/>
                <w:sz w:val="21"/>
                <w:szCs w:val="21"/>
              </w:rPr>
              <w:t>类别</w:t>
            </w:r>
          </w:p>
        </w:tc>
        <w:tc>
          <w:tcPr>
            <w:tcW w:w="994" w:type="pct"/>
            <w:vAlign w:val="center"/>
          </w:tcPr>
          <w:p>
            <w:pPr>
              <w:spacing w:line="340" w:lineRule="exact"/>
              <w:ind w:firstLine="0" w:firstLineChars="0"/>
              <w:jc w:val="center"/>
              <w:rPr>
                <w:sz w:val="21"/>
                <w:szCs w:val="21"/>
              </w:rPr>
            </w:pPr>
            <w:r>
              <w:rPr>
                <w:rFonts w:hint="eastAsia"/>
                <w:sz w:val="21"/>
                <w:szCs w:val="21"/>
              </w:rPr>
              <w:t>准入要求</w:t>
            </w:r>
          </w:p>
        </w:tc>
        <w:tc>
          <w:tcPr>
            <w:tcW w:w="1635" w:type="pct"/>
            <w:vAlign w:val="center"/>
          </w:tcPr>
          <w:p>
            <w:pPr>
              <w:spacing w:line="340" w:lineRule="exact"/>
              <w:ind w:firstLine="0" w:firstLineChars="0"/>
              <w:jc w:val="center"/>
              <w:rPr>
                <w:sz w:val="21"/>
                <w:szCs w:val="21"/>
              </w:rPr>
            </w:pPr>
            <w:r>
              <w:rPr>
                <w:rFonts w:hint="eastAsia"/>
                <w:sz w:val="21"/>
                <w:szCs w:val="21"/>
              </w:rPr>
              <w:t>本项目情况</w:t>
            </w:r>
          </w:p>
        </w:tc>
        <w:tc>
          <w:tcPr>
            <w:tcW w:w="800" w:type="pct"/>
            <w:vAlign w:val="center"/>
          </w:tcPr>
          <w:p>
            <w:pPr>
              <w:spacing w:line="340" w:lineRule="exact"/>
              <w:ind w:firstLine="0" w:firstLineChars="0"/>
              <w:jc w:val="center"/>
              <w:rPr>
                <w:sz w:val="21"/>
                <w:szCs w:val="21"/>
              </w:rPr>
            </w:pPr>
            <w:r>
              <w:rPr>
                <w:rFonts w:hint="eastAsia"/>
                <w:sz w:val="21"/>
                <w:szCs w:val="21"/>
              </w:rPr>
              <w:t>是否符合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空间布局约束</w:t>
            </w:r>
          </w:p>
        </w:tc>
        <w:tc>
          <w:tcPr>
            <w:tcW w:w="1172" w:type="pct"/>
            <w:vAlign w:val="center"/>
          </w:tcPr>
          <w:p>
            <w:pPr>
              <w:spacing w:line="340" w:lineRule="exact"/>
              <w:ind w:firstLine="0" w:firstLineChars="0"/>
              <w:jc w:val="center"/>
              <w:rPr>
                <w:sz w:val="21"/>
                <w:szCs w:val="21"/>
              </w:rPr>
            </w:pPr>
            <w:r>
              <w:rPr>
                <w:sz w:val="21"/>
                <w:szCs w:val="21"/>
              </w:rPr>
              <w:t>允许开发建设活动的要求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禁止开发建设活动的要求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限制开发建设活动的要求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不符合空间布局要求活动的退出要求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禁养区畜禽养殖退养</w:t>
            </w:r>
          </w:p>
        </w:tc>
        <w:tc>
          <w:tcPr>
            <w:tcW w:w="1635" w:type="pct"/>
            <w:vAlign w:val="center"/>
          </w:tcPr>
          <w:p>
            <w:pPr>
              <w:spacing w:line="340" w:lineRule="exact"/>
              <w:ind w:firstLine="0" w:firstLineChars="0"/>
              <w:jc w:val="center"/>
              <w:rPr>
                <w:sz w:val="21"/>
                <w:szCs w:val="21"/>
              </w:rPr>
            </w:pPr>
            <w:r>
              <w:rPr>
                <w:rFonts w:hint="eastAsia"/>
                <w:sz w:val="21"/>
                <w:szCs w:val="21"/>
              </w:rPr>
              <w:t>本项目为水利工程项目，不是养殖项目</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污染物排放管控</w:t>
            </w:r>
          </w:p>
        </w:tc>
        <w:tc>
          <w:tcPr>
            <w:tcW w:w="1172" w:type="pct"/>
            <w:vAlign w:val="center"/>
          </w:tcPr>
          <w:p>
            <w:pPr>
              <w:spacing w:line="340" w:lineRule="exact"/>
              <w:ind w:firstLine="0" w:firstLineChars="0"/>
              <w:jc w:val="center"/>
              <w:rPr>
                <w:sz w:val="21"/>
                <w:szCs w:val="21"/>
              </w:rPr>
            </w:pPr>
            <w:r>
              <w:rPr>
                <w:sz w:val="21"/>
                <w:szCs w:val="21"/>
              </w:rPr>
              <w:t>现有</w:t>
            </w:r>
            <w:r>
              <w:rPr>
                <w:rFonts w:hint="eastAsia"/>
                <w:sz w:val="21"/>
                <w:szCs w:val="21"/>
              </w:rPr>
              <w:t>源</w:t>
            </w:r>
            <w:r>
              <w:rPr>
                <w:sz w:val="21"/>
                <w:szCs w:val="21"/>
              </w:rPr>
              <w:t>提标升级改造</w:t>
            </w:r>
          </w:p>
        </w:tc>
        <w:tc>
          <w:tcPr>
            <w:tcW w:w="994" w:type="pct"/>
            <w:vAlign w:val="center"/>
          </w:tcPr>
          <w:p>
            <w:pPr>
              <w:spacing w:line="340" w:lineRule="exact"/>
              <w:ind w:firstLine="0" w:firstLineChars="0"/>
              <w:jc w:val="center"/>
              <w:rPr>
                <w:sz w:val="21"/>
                <w:szCs w:val="21"/>
              </w:rPr>
            </w:pPr>
            <w:r>
              <w:rPr>
                <w:rFonts w:hint="eastAsia"/>
                <w:sz w:val="21"/>
                <w:szCs w:val="21"/>
              </w:rPr>
              <w:t>强化农业面源污染防控，秸秆禁烧</w:t>
            </w:r>
          </w:p>
        </w:tc>
        <w:tc>
          <w:tcPr>
            <w:tcW w:w="1635" w:type="pct"/>
            <w:vAlign w:val="center"/>
          </w:tcPr>
          <w:p>
            <w:pPr>
              <w:spacing w:line="340" w:lineRule="exact"/>
              <w:ind w:firstLine="0" w:firstLineChars="0"/>
              <w:jc w:val="center"/>
              <w:rPr>
                <w:sz w:val="21"/>
                <w:szCs w:val="21"/>
              </w:rPr>
            </w:pPr>
            <w:r>
              <w:rPr>
                <w:rFonts w:hint="eastAsia"/>
                <w:sz w:val="21"/>
                <w:szCs w:val="21"/>
              </w:rPr>
              <w:t>本项目为水利工程项目，不涉及秸秆禁烧</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新增源等量或</w:t>
            </w:r>
            <w:r>
              <w:rPr>
                <w:rFonts w:hint="eastAsia"/>
                <w:sz w:val="21"/>
                <w:szCs w:val="21"/>
              </w:rPr>
              <w:t>倍</w:t>
            </w:r>
            <w:r>
              <w:rPr>
                <w:sz w:val="21"/>
                <w:szCs w:val="21"/>
              </w:rPr>
              <w:t>量替代</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新增源排放标准限值</w:t>
            </w:r>
          </w:p>
        </w:tc>
        <w:tc>
          <w:tcPr>
            <w:tcW w:w="994" w:type="pct"/>
            <w:vAlign w:val="center"/>
          </w:tcPr>
          <w:p>
            <w:pPr>
              <w:spacing w:line="340" w:lineRule="exact"/>
              <w:ind w:firstLine="0" w:firstLineChars="0"/>
              <w:jc w:val="center"/>
              <w:rPr>
                <w:sz w:val="21"/>
                <w:szCs w:val="21"/>
              </w:rPr>
            </w:pPr>
            <w:r>
              <w:rPr>
                <w:sz w:val="21"/>
                <w:szCs w:val="21"/>
              </w:rPr>
              <w:t>污染物排放应达到相应排</w:t>
            </w:r>
          </w:p>
        </w:tc>
        <w:tc>
          <w:tcPr>
            <w:tcW w:w="1635" w:type="pct"/>
            <w:vAlign w:val="center"/>
          </w:tcPr>
          <w:p>
            <w:pPr>
              <w:spacing w:line="340" w:lineRule="exact"/>
              <w:ind w:firstLine="0" w:firstLineChars="0"/>
              <w:jc w:val="center"/>
              <w:rPr>
                <w:sz w:val="21"/>
                <w:szCs w:val="21"/>
              </w:rPr>
            </w:pPr>
            <w:r>
              <w:rPr>
                <w:rFonts w:hint="eastAsia"/>
                <w:sz w:val="21"/>
                <w:szCs w:val="21"/>
              </w:rPr>
              <w:t>施工废气</w:t>
            </w:r>
            <w:r>
              <w:rPr>
                <w:sz w:val="21"/>
                <w:szCs w:val="21"/>
              </w:rPr>
              <w:t>执行《大气污染物综合排放标准》（</w:t>
            </w:r>
            <w:r>
              <w:rPr>
                <w:rFonts w:eastAsia="黑体"/>
                <w:sz w:val="21"/>
                <w:szCs w:val="21"/>
              </w:rPr>
              <w:t>GB16297-1996</w:t>
            </w:r>
            <w:r>
              <w:rPr>
                <w:sz w:val="21"/>
                <w:szCs w:val="21"/>
              </w:rPr>
              <w:t>）中表2新污染源无组织排放监控浓度限值</w:t>
            </w:r>
            <w:r>
              <w:rPr>
                <w:rFonts w:hint="eastAsia"/>
                <w:sz w:val="21"/>
                <w:szCs w:val="21"/>
              </w:rPr>
              <w:t>；施工废水经处理回用，不外排</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sz w:val="21"/>
                <w:szCs w:val="21"/>
              </w:rPr>
              <w:t>污染物排放绩效水平准入要求</w:t>
            </w:r>
          </w:p>
        </w:tc>
        <w:tc>
          <w:tcPr>
            <w:tcW w:w="994" w:type="pct"/>
            <w:vAlign w:val="center"/>
          </w:tcPr>
          <w:p>
            <w:pPr>
              <w:spacing w:line="340" w:lineRule="exact"/>
              <w:ind w:firstLine="0" w:firstLineChars="0"/>
              <w:jc w:val="center"/>
              <w:rPr>
                <w:sz w:val="21"/>
                <w:szCs w:val="21"/>
              </w:rPr>
            </w:pPr>
            <w:r>
              <w:rPr>
                <w:sz w:val="21"/>
                <w:szCs w:val="21"/>
              </w:rPr>
              <w:t>污染物排放绩效水平应达</w:t>
            </w:r>
            <w:r>
              <w:rPr>
                <w:rFonts w:hint="eastAsia"/>
                <w:sz w:val="21"/>
                <w:szCs w:val="21"/>
              </w:rPr>
              <w:t>良好水平</w:t>
            </w:r>
          </w:p>
        </w:tc>
        <w:tc>
          <w:tcPr>
            <w:tcW w:w="1635" w:type="pct"/>
            <w:vAlign w:val="center"/>
          </w:tcPr>
          <w:p>
            <w:pPr>
              <w:spacing w:line="340" w:lineRule="exact"/>
              <w:ind w:firstLine="0" w:firstLineChars="0"/>
              <w:jc w:val="center"/>
              <w:rPr>
                <w:sz w:val="21"/>
                <w:szCs w:val="21"/>
              </w:rPr>
            </w:pPr>
            <w:r>
              <w:rPr>
                <w:sz w:val="21"/>
                <w:szCs w:val="21"/>
              </w:rPr>
              <w:t>污染物排放绩效水平应达到国内先进水</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环境风险防控</w:t>
            </w:r>
          </w:p>
        </w:tc>
        <w:tc>
          <w:tcPr>
            <w:tcW w:w="1172" w:type="pct"/>
            <w:vAlign w:val="center"/>
          </w:tcPr>
          <w:p>
            <w:pPr>
              <w:spacing w:line="340" w:lineRule="exact"/>
              <w:ind w:firstLine="0" w:firstLineChars="0"/>
              <w:jc w:val="center"/>
              <w:rPr>
                <w:sz w:val="21"/>
                <w:szCs w:val="21"/>
              </w:rPr>
            </w:pPr>
            <w:r>
              <w:rPr>
                <w:rFonts w:hint="eastAsia"/>
                <w:sz w:val="21"/>
                <w:szCs w:val="21"/>
              </w:rPr>
              <w:t>严格管控类农用地环境风险防控要求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严格管控类农用地，在土壤污染疑似地块种植食用农产品应符合管控要求</w:t>
            </w:r>
          </w:p>
        </w:tc>
        <w:tc>
          <w:tcPr>
            <w:tcW w:w="1635" w:type="pct"/>
            <w:vAlign w:val="center"/>
          </w:tcPr>
          <w:p>
            <w:pPr>
              <w:spacing w:line="340" w:lineRule="exact"/>
              <w:ind w:firstLine="0" w:firstLineChars="0"/>
              <w:jc w:val="center"/>
              <w:rPr>
                <w:sz w:val="21"/>
                <w:szCs w:val="21"/>
              </w:rPr>
            </w:pPr>
            <w:r>
              <w:rPr>
                <w:rFonts w:hint="eastAsia"/>
                <w:sz w:val="21"/>
                <w:szCs w:val="21"/>
              </w:rPr>
              <w:t>本项目占地不是严格管控类农用地</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安全利用类农用地环境风险防控要求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安全利用类农用地，应制定农用地等安全利用方案，降低农产品超标风险</w:t>
            </w:r>
          </w:p>
        </w:tc>
        <w:tc>
          <w:tcPr>
            <w:tcW w:w="1635" w:type="pct"/>
            <w:vAlign w:val="center"/>
          </w:tcPr>
          <w:p>
            <w:pPr>
              <w:spacing w:line="340" w:lineRule="exact"/>
              <w:ind w:firstLine="0" w:firstLineChars="0"/>
              <w:jc w:val="center"/>
              <w:rPr>
                <w:sz w:val="21"/>
                <w:szCs w:val="21"/>
              </w:rPr>
            </w:pPr>
            <w:r>
              <w:rPr>
                <w:rFonts w:hint="eastAsia"/>
                <w:sz w:val="21"/>
                <w:szCs w:val="21"/>
              </w:rPr>
              <w:t>本项目占地不是安全利用类农用地</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污染地块环境风险防控要求</w:t>
            </w:r>
          </w:p>
        </w:tc>
        <w:tc>
          <w:tcPr>
            <w:tcW w:w="994" w:type="pct"/>
            <w:vAlign w:val="center"/>
          </w:tcPr>
          <w:p>
            <w:pPr>
              <w:spacing w:line="340" w:lineRule="exact"/>
              <w:ind w:firstLine="0" w:firstLineChars="0"/>
              <w:jc w:val="center"/>
              <w:rPr>
                <w:sz w:val="21"/>
                <w:szCs w:val="21"/>
              </w:rPr>
            </w:pPr>
            <w:r>
              <w:rPr>
                <w:rFonts w:hint="eastAsia" w:ascii="宋体" w:hAnsi="宋体"/>
                <w:sz w:val="21"/>
                <w:szCs w:val="21"/>
              </w:rPr>
              <w:t>已污染地块，应当依法开展土壤污染状况调查、治理与修复，历史遗留矿山地质环境治理恢复</w:t>
            </w:r>
          </w:p>
        </w:tc>
        <w:tc>
          <w:tcPr>
            <w:tcW w:w="1635" w:type="pct"/>
            <w:vAlign w:val="center"/>
          </w:tcPr>
          <w:p>
            <w:pPr>
              <w:spacing w:line="340" w:lineRule="exact"/>
              <w:ind w:firstLine="0" w:firstLineChars="0"/>
              <w:jc w:val="center"/>
              <w:rPr>
                <w:sz w:val="21"/>
                <w:szCs w:val="21"/>
              </w:rPr>
            </w:pPr>
            <w:r>
              <w:rPr>
                <w:rFonts w:hint="eastAsia"/>
                <w:sz w:val="21"/>
                <w:szCs w:val="21"/>
              </w:rPr>
              <w:t>本地块不是污染地块</w:t>
            </w:r>
          </w:p>
        </w:tc>
        <w:tc>
          <w:tcPr>
            <w:tcW w:w="800" w:type="pct"/>
            <w:vAlign w:val="center"/>
          </w:tcPr>
          <w:p>
            <w:pPr>
              <w:spacing w:line="340" w:lineRule="exact"/>
              <w:ind w:firstLine="0" w:firstLineChars="0"/>
              <w:jc w:val="center"/>
              <w:rPr>
                <w:sz w:val="21"/>
                <w:szCs w:val="21"/>
              </w:rPr>
            </w:pPr>
            <w:r>
              <w:rPr>
                <w:rFonts w:hint="eastAsia"/>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sz w:val="21"/>
                <w:szCs w:val="21"/>
              </w:rPr>
              <w:t>园区敏感点风险准入类防控要求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园区风险防控体系要求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企业风险防控配套措施</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sz w:val="21"/>
                <w:szCs w:val="21"/>
              </w:rPr>
              <w:t>企业生产过程风险防控要求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spacing w:line="340" w:lineRule="exact"/>
              <w:ind w:firstLine="0" w:firstLineChars="0"/>
              <w:jc w:val="center"/>
              <w:rPr>
                <w:sz w:val="21"/>
                <w:szCs w:val="21"/>
              </w:rPr>
            </w:pPr>
            <w:r>
              <w:rPr>
                <w:rFonts w:hint="eastAsia"/>
                <w:sz w:val="21"/>
                <w:szCs w:val="21"/>
              </w:rPr>
              <w:t>资源利用效率</w:t>
            </w:r>
          </w:p>
        </w:tc>
        <w:tc>
          <w:tcPr>
            <w:tcW w:w="1172" w:type="pct"/>
            <w:vAlign w:val="center"/>
          </w:tcPr>
          <w:p>
            <w:pPr>
              <w:spacing w:line="340" w:lineRule="exact"/>
              <w:ind w:firstLine="0" w:firstLineChars="0"/>
              <w:jc w:val="center"/>
              <w:rPr>
                <w:sz w:val="21"/>
                <w:szCs w:val="21"/>
              </w:rPr>
            </w:pPr>
            <w:r>
              <w:rPr>
                <w:rFonts w:hint="eastAsia" w:ascii="宋体" w:hAnsi="宋体"/>
                <w:sz w:val="21"/>
                <w:szCs w:val="21"/>
              </w:rPr>
              <w:t>水资源重复利用率要求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sz w:val="21"/>
                <w:szCs w:val="21"/>
              </w:rPr>
            </w:pPr>
            <w:r>
              <w:rPr>
                <w:rFonts w:hint="eastAsia" w:ascii="宋体" w:hAnsi="宋体"/>
                <w:sz w:val="21"/>
                <w:szCs w:val="21"/>
              </w:rPr>
              <w:t>水资源利用效率和强度要求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地下水禁采要求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地下水开采总量要求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能源利用效率要求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continue"/>
            <w:vAlign w:val="center"/>
          </w:tcPr>
          <w:p>
            <w:pPr>
              <w:spacing w:line="340" w:lineRule="exact"/>
              <w:ind w:firstLine="0" w:firstLineChars="0"/>
              <w:jc w:val="center"/>
              <w:rPr>
                <w:sz w:val="21"/>
                <w:szCs w:val="21"/>
              </w:rPr>
            </w:pPr>
          </w:p>
        </w:tc>
        <w:tc>
          <w:tcPr>
            <w:tcW w:w="1172" w:type="pct"/>
            <w:vAlign w:val="center"/>
          </w:tcPr>
          <w:p>
            <w:pPr>
              <w:spacing w:line="340" w:lineRule="exact"/>
              <w:ind w:firstLine="0" w:firstLineChars="0"/>
              <w:jc w:val="center"/>
              <w:rPr>
                <w:rFonts w:ascii="宋体" w:hAnsi="宋体"/>
                <w:sz w:val="21"/>
                <w:szCs w:val="21"/>
              </w:rPr>
            </w:pPr>
            <w:r>
              <w:rPr>
                <w:rFonts w:hint="eastAsia" w:ascii="宋体" w:hAnsi="宋体"/>
                <w:sz w:val="21"/>
                <w:szCs w:val="21"/>
              </w:rPr>
              <w:t>岸线管控要求</w:t>
            </w:r>
          </w:p>
        </w:tc>
        <w:tc>
          <w:tcPr>
            <w:tcW w:w="994" w:type="pct"/>
            <w:vAlign w:val="center"/>
          </w:tcPr>
          <w:p>
            <w:pPr>
              <w:spacing w:line="340" w:lineRule="exact"/>
              <w:ind w:firstLine="0" w:firstLineChars="0"/>
              <w:jc w:val="center"/>
              <w:rPr>
                <w:sz w:val="21"/>
                <w:szCs w:val="21"/>
              </w:rPr>
            </w:pPr>
            <w:r>
              <w:rPr>
                <w:rFonts w:hint="eastAsia"/>
                <w:sz w:val="21"/>
                <w:szCs w:val="21"/>
              </w:rPr>
              <w:t>/</w:t>
            </w:r>
          </w:p>
        </w:tc>
        <w:tc>
          <w:tcPr>
            <w:tcW w:w="1635" w:type="pct"/>
            <w:vAlign w:val="center"/>
          </w:tcPr>
          <w:p>
            <w:pPr>
              <w:spacing w:line="340" w:lineRule="exact"/>
              <w:ind w:firstLine="0" w:firstLineChars="0"/>
              <w:jc w:val="center"/>
              <w:rPr>
                <w:sz w:val="21"/>
                <w:szCs w:val="21"/>
              </w:rPr>
            </w:pPr>
            <w:r>
              <w:rPr>
                <w:rFonts w:hint="eastAsia"/>
                <w:sz w:val="21"/>
                <w:szCs w:val="21"/>
              </w:rPr>
              <w:t>/</w:t>
            </w:r>
          </w:p>
        </w:tc>
        <w:tc>
          <w:tcPr>
            <w:tcW w:w="800" w:type="pct"/>
            <w:vAlign w:val="center"/>
          </w:tcPr>
          <w:p>
            <w:pPr>
              <w:spacing w:line="340" w:lineRule="exact"/>
              <w:ind w:firstLine="0" w:firstLineChars="0"/>
              <w:jc w:val="center"/>
              <w:rPr>
                <w:sz w:val="21"/>
                <w:szCs w:val="21"/>
              </w:rPr>
            </w:pPr>
            <w:r>
              <w:rPr>
                <w:rFonts w:hint="eastAsia"/>
                <w:sz w:val="21"/>
                <w:szCs w:val="21"/>
              </w:rPr>
              <w:t>/</w:t>
            </w:r>
          </w:p>
        </w:tc>
      </w:tr>
    </w:tbl>
    <w:p>
      <w:pPr>
        <w:ind w:firstLine="480"/>
      </w:pPr>
      <w:r>
        <w:t>综上所述，</w:t>
      </w:r>
      <w:r>
        <w:rPr>
          <w:rFonts w:hint="eastAsia"/>
        </w:rPr>
        <w:t>本</w:t>
      </w:r>
      <w:r>
        <w:t>项目符合宜春市生态环境管控总体准入要求， 符合宜春市“三线一单”生态环境分区管控要求。</w:t>
      </w:r>
    </w:p>
    <w:p>
      <w:pPr>
        <w:ind w:firstLine="482"/>
        <w:rPr>
          <w:b/>
        </w:rPr>
      </w:pPr>
      <w:r>
        <w:rPr>
          <w:rFonts w:hint="eastAsia" w:ascii="宋体" w:hAnsi="宋体" w:cs="宋体"/>
          <w:b/>
        </w:rPr>
        <w:t>(4)</w:t>
      </w:r>
      <w:r>
        <w:rPr>
          <w:b/>
        </w:rPr>
        <w:t>项目建设主要环境问题</w:t>
      </w:r>
    </w:p>
    <w:p>
      <w:pPr>
        <w:ind w:firstLine="480"/>
        <w:jc w:val="left"/>
      </w:pPr>
      <w:r>
        <w:rPr>
          <w:rFonts w:hint="eastAsia"/>
        </w:rPr>
        <w:t>本</w:t>
      </w:r>
      <w:r>
        <w:rPr>
          <w:lang w:val="zh-CN"/>
        </w:rPr>
        <w:t>次环评</w:t>
      </w:r>
      <w:r>
        <w:rPr>
          <w:rFonts w:hint="eastAsia"/>
          <w:lang w:val="zh-CN"/>
        </w:rPr>
        <w:t>根据</w:t>
      </w:r>
      <w:r>
        <w:rPr>
          <w:lang w:val="zh-CN"/>
        </w:rPr>
        <w:t>项目的实际情况，结合现场调查，查阅相关资料对</w:t>
      </w:r>
      <w:r>
        <w:rPr>
          <w:rFonts w:hint="eastAsia"/>
        </w:rPr>
        <w:t>项目</w:t>
      </w:r>
      <w:r>
        <w:rPr>
          <w:lang w:val="zh-CN"/>
        </w:rPr>
        <w:t>进行环境影响评价，</w:t>
      </w:r>
      <w:r>
        <w:rPr>
          <w:rFonts w:hint="eastAsia"/>
        </w:rPr>
        <w:t>项目关注的主要环境问题为施工期和运营期水环境及生态环境影响。</w:t>
      </w:r>
      <w:r>
        <w:t>施工期间施工噪声、施工扬尘、施工废水排放对环境的影响，</w:t>
      </w:r>
      <w:r>
        <w:rPr>
          <w:rFonts w:hint="eastAsia"/>
        </w:rPr>
        <w:t>毛家渡</w:t>
      </w:r>
      <w:r>
        <w:t>抬水工程</w:t>
      </w:r>
      <w:r>
        <w:rPr>
          <w:rFonts w:hint="eastAsia"/>
        </w:rPr>
        <w:t>建设和运行将改变抬水工程坝区、坝址下游的水资源分配和水文情势，改变水生生物及鱼类生境，增加了水环境压力；工程淹没和枢纽施工占地涉及荒草地、水田、一般性湿地等，将产生植被破坏、水土流失等生态环境影响。</w:t>
      </w:r>
    </w:p>
    <w:p>
      <w:pPr>
        <w:ind w:firstLine="482"/>
        <w:rPr>
          <w:b/>
        </w:rPr>
      </w:pPr>
      <w:r>
        <w:rPr>
          <w:rFonts w:hint="eastAsia" w:ascii="宋体" w:hAnsi="宋体" w:cs="宋体"/>
          <w:b/>
        </w:rPr>
        <w:t>(5)</w:t>
      </w:r>
      <w:r>
        <w:rPr>
          <w:b/>
        </w:rPr>
        <w:t>环境影响报告书的主要结论</w:t>
      </w:r>
    </w:p>
    <w:p>
      <w:pPr>
        <w:adjustRightInd w:val="0"/>
        <w:snapToGrid w:val="0"/>
        <w:ind w:firstLine="480"/>
        <w:rPr>
          <w:snapToGrid w:val="0"/>
        </w:rPr>
      </w:pPr>
      <w:bookmarkStart w:id="40" w:name="_Toc346522709"/>
      <w:r>
        <w:rPr>
          <w:rFonts w:hint="eastAsia"/>
          <w:snapToGrid w:val="0"/>
        </w:rPr>
        <w:t>上高</w:t>
      </w:r>
      <w:r>
        <w:rPr>
          <w:snapToGrid w:val="0"/>
        </w:rPr>
        <w:t>县</w:t>
      </w:r>
      <w:r>
        <w:rPr>
          <w:rFonts w:hint="eastAsia"/>
          <w:snapToGrid w:val="0"/>
        </w:rPr>
        <w:t>毛家渡</w:t>
      </w:r>
      <w:r>
        <w:rPr>
          <w:snapToGrid w:val="0"/>
        </w:rPr>
        <w:t>抬水工程</w:t>
      </w:r>
      <w:r>
        <w:rPr>
          <w:rFonts w:hint="eastAsia"/>
          <w:snapToGrid w:val="0"/>
        </w:rPr>
        <w:t>为非污染生态型项目，具有显著的社会效益、经济效益和环境效益，其建设符合国家产业政策要求，虽然工程施工、运行时会对水环境、陆生动植物等产生一定的不利影响，但在采取相应的环境保护措施后，对环境的影响可得到有效减缓。项目建成后，可抬高上高县城区锦河河道枯水位</w:t>
      </w:r>
      <w:r>
        <w:rPr>
          <w:rFonts w:hint="eastAsia"/>
          <w:szCs w:val="24"/>
        </w:rPr>
        <w:t>，</w:t>
      </w:r>
      <w:r>
        <w:rPr>
          <w:szCs w:val="24"/>
        </w:rPr>
        <w:t>达到改善</w:t>
      </w:r>
      <w:r>
        <w:rPr>
          <w:rFonts w:hint="eastAsia"/>
          <w:szCs w:val="24"/>
        </w:rPr>
        <w:t>锦河</w:t>
      </w:r>
      <w:r>
        <w:rPr>
          <w:szCs w:val="24"/>
        </w:rPr>
        <w:t>水体景观</w:t>
      </w:r>
      <w:r>
        <w:rPr>
          <w:rFonts w:hint="eastAsia"/>
          <w:snapToGrid w:val="0"/>
        </w:rPr>
        <w:t>；对促进地方经济的发展，提高当地群众生活质量，实现经济的可持续发展将起着积极的作用。</w:t>
      </w:r>
    </w:p>
    <w:p>
      <w:pPr>
        <w:adjustRightInd w:val="0"/>
        <w:snapToGrid w:val="0"/>
        <w:ind w:firstLine="480"/>
      </w:pPr>
      <w:r>
        <w:rPr>
          <w:rFonts w:hint="eastAsia"/>
          <w:snapToGrid w:val="0"/>
        </w:rPr>
        <w:t>在采取本报告提出的各项环境保护措施的前提下，不利的环境影响可得到缓解，不存在重大环境制约因素，从环境保护角度分析，工程建设是可行的。</w:t>
      </w:r>
    </w:p>
    <w:p>
      <w:pPr>
        <w:ind w:firstLine="480"/>
        <w:sectPr>
          <w:headerReference r:id="rId11" w:type="default"/>
          <w:footerReference r:id="rId12" w:type="default"/>
          <w:pgSz w:w="11907" w:h="16840"/>
          <w:pgMar w:top="720" w:right="720" w:bottom="720" w:left="720" w:header="1134" w:footer="1021" w:gutter="284"/>
          <w:pgNumType w:start="1"/>
          <w:cols w:space="720" w:num="1"/>
          <w:docGrid w:linePitch="326" w:charSpace="0"/>
        </w:sectPr>
      </w:pPr>
    </w:p>
    <w:p>
      <w:pPr>
        <w:pStyle w:val="5"/>
        <w:numPr>
          <w:ilvl w:val="0"/>
          <w:numId w:val="0"/>
        </w:numPr>
        <w:rPr>
          <w:rFonts w:ascii="Times New Roman"/>
        </w:rPr>
      </w:pPr>
      <w:bookmarkStart w:id="41" w:name="_Toc3903176"/>
      <w:bookmarkStart w:id="42" w:name="_Toc534386197"/>
      <w:bookmarkStart w:id="43" w:name="_Toc536265039"/>
      <w:bookmarkStart w:id="44" w:name="_Toc529278959"/>
      <w:bookmarkStart w:id="45" w:name="_Toc2001"/>
      <w:bookmarkStart w:id="46" w:name="_Toc534895174"/>
      <w:bookmarkStart w:id="47" w:name="_Toc534806956"/>
      <w:r>
        <w:rPr>
          <w:rFonts w:ascii="Times New Roman"/>
        </w:rPr>
        <w:t>第一章  总</w:t>
      </w:r>
      <w:bookmarkEnd w:id="40"/>
      <w:r>
        <w:rPr>
          <w:rFonts w:ascii="Times New Roman"/>
        </w:rPr>
        <w:t xml:space="preserve"> 则</w:t>
      </w:r>
      <w:bookmarkEnd w:id="41"/>
      <w:bookmarkEnd w:id="42"/>
      <w:bookmarkEnd w:id="43"/>
      <w:bookmarkEnd w:id="44"/>
      <w:bookmarkEnd w:id="45"/>
      <w:bookmarkEnd w:id="46"/>
      <w:bookmarkEnd w:id="47"/>
    </w:p>
    <w:p>
      <w:pPr>
        <w:pStyle w:val="6"/>
        <w:rPr>
          <w:szCs w:val="28"/>
        </w:rPr>
      </w:pPr>
      <w:bookmarkStart w:id="48" w:name="_Toc334643146"/>
      <w:bookmarkStart w:id="49" w:name="_Toc529278960"/>
      <w:bookmarkStart w:id="50" w:name="_Toc13096"/>
      <w:bookmarkStart w:id="51" w:name="_Toc3903177"/>
      <w:bookmarkStart w:id="52" w:name="_Toc224879248"/>
      <w:bookmarkStart w:id="53" w:name="_Toc224878954"/>
      <w:bookmarkStart w:id="54" w:name="_Toc534895175"/>
      <w:bookmarkStart w:id="55" w:name="_Toc534386198"/>
      <w:bookmarkStart w:id="56" w:name="_Toc223843193"/>
      <w:bookmarkStart w:id="57" w:name="_Toc534806957"/>
      <w:bookmarkStart w:id="58" w:name="_Toc187557803"/>
      <w:bookmarkStart w:id="59" w:name="_Toc252288885"/>
      <w:bookmarkStart w:id="60" w:name="_Toc536265040"/>
      <w:r>
        <w:rPr>
          <w:szCs w:val="28"/>
        </w:rPr>
        <w:t>1.1评价目的和原则</w:t>
      </w:r>
      <w:bookmarkEnd w:id="48"/>
      <w:bookmarkEnd w:id="49"/>
      <w:bookmarkEnd w:id="50"/>
      <w:bookmarkEnd w:id="51"/>
      <w:bookmarkEnd w:id="52"/>
      <w:bookmarkEnd w:id="53"/>
      <w:bookmarkEnd w:id="54"/>
      <w:bookmarkEnd w:id="55"/>
      <w:bookmarkEnd w:id="56"/>
      <w:bookmarkEnd w:id="57"/>
      <w:bookmarkEnd w:id="58"/>
      <w:bookmarkEnd w:id="59"/>
      <w:bookmarkEnd w:id="60"/>
    </w:p>
    <w:p>
      <w:pPr>
        <w:pStyle w:val="7"/>
        <w:rPr>
          <w:szCs w:val="24"/>
        </w:rPr>
      </w:pPr>
      <w:bookmarkStart w:id="61" w:name="_Toc534806958"/>
      <w:bookmarkStart w:id="62" w:name="_Toc224879249"/>
      <w:bookmarkStart w:id="63" w:name="_Toc529278961"/>
      <w:bookmarkStart w:id="64" w:name="_Toc252288886"/>
      <w:bookmarkStart w:id="65" w:name="_Toc534386199"/>
      <w:bookmarkStart w:id="66" w:name="_Toc224878955"/>
      <w:bookmarkStart w:id="67" w:name="_Toc536265041"/>
      <w:bookmarkStart w:id="68" w:name="_Toc534895176"/>
      <w:bookmarkStart w:id="69" w:name="_Toc223843194"/>
      <w:bookmarkStart w:id="70" w:name="_Toc3903178"/>
      <w:bookmarkStart w:id="71" w:name="_Toc187557804"/>
      <w:r>
        <w:rPr>
          <w:szCs w:val="24"/>
        </w:rPr>
        <w:t>1.1.1评价目的</w:t>
      </w:r>
      <w:bookmarkEnd w:id="61"/>
      <w:bookmarkEnd w:id="62"/>
      <w:bookmarkEnd w:id="63"/>
      <w:bookmarkEnd w:id="64"/>
      <w:bookmarkEnd w:id="65"/>
      <w:bookmarkEnd w:id="66"/>
      <w:bookmarkEnd w:id="67"/>
      <w:bookmarkEnd w:id="68"/>
      <w:bookmarkEnd w:id="69"/>
      <w:bookmarkEnd w:id="70"/>
      <w:bookmarkEnd w:id="71"/>
    </w:p>
    <w:p>
      <w:pPr>
        <w:ind w:left="480" w:firstLine="0" w:firstLineChars="0"/>
      </w:pPr>
      <w:bookmarkStart w:id="72" w:name="_Toc223843195"/>
      <w:bookmarkStart w:id="73" w:name="_Toc529278962"/>
      <w:bookmarkStart w:id="74" w:name="_Toc534806959"/>
      <w:bookmarkStart w:id="75" w:name="_Toc252288887"/>
      <w:bookmarkStart w:id="76" w:name="_Toc534386200"/>
      <w:bookmarkStart w:id="77" w:name="_Toc187557805"/>
      <w:bookmarkStart w:id="78" w:name="_Toc224879250"/>
      <w:bookmarkStart w:id="79" w:name="_Toc224878956"/>
      <w:bookmarkStart w:id="80" w:name="_Toc536265042"/>
      <w:bookmarkStart w:id="81" w:name="_Toc3903179"/>
      <w:bookmarkStart w:id="82" w:name="_Toc534895177"/>
      <w:r>
        <w:rPr>
          <w:rFonts w:hint="eastAsia"/>
        </w:rPr>
        <w:t>根据</w:t>
      </w:r>
      <w:r>
        <w:rPr>
          <w:rFonts w:hint="eastAsia"/>
          <w:snapToGrid w:val="0"/>
        </w:rPr>
        <w:t>上高</w:t>
      </w:r>
      <w:r>
        <w:rPr>
          <w:snapToGrid w:val="0"/>
        </w:rPr>
        <w:t>县</w:t>
      </w:r>
      <w:r>
        <w:rPr>
          <w:rFonts w:hint="eastAsia"/>
          <w:snapToGrid w:val="0"/>
        </w:rPr>
        <w:t>毛家渡</w:t>
      </w:r>
      <w:r>
        <w:rPr>
          <w:snapToGrid w:val="0"/>
        </w:rPr>
        <w:t>抬水工程</w:t>
      </w:r>
      <w:r>
        <w:rPr>
          <w:rFonts w:hint="eastAsia"/>
        </w:rPr>
        <w:t>特性及工程所在地的环境特点确定本报告的编制目的：</w:t>
      </w:r>
    </w:p>
    <w:p>
      <w:pPr>
        <w:ind w:firstLine="480"/>
      </w:pPr>
      <w:r>
        <w:rPr>
          <w:rFonts w:hint="eastAsia"/>
        </w:rPr>
        <w:t>(1)根据工程涉及区域环境现状调查，明确工程地区环境现状及发展趋势，提出存在的主要环境问题和环境保护目标。</w:t>
      </w:r>
    </w:p>
    <w:p>
      <w:pPr>
        <w:ind w:firstLine="480"/>
      </w:pPr>
      <w:r>
        <w:rPr>
          <w:rFonts w:hint="eastAsia"/>
        </w:rPr>
        <w:t>(2)分析评判工程建设方案与水利规划及规划环评的协调性、符合性，结合环境目标及影响分析，评判开发建设方案的环境合理性，从预防保护角度提出环境优化建议及限制条件。</w:t>
      </w:r>
    </w:p>
    <w:p>
      <w:pPr>
        <w:ind w:firstLine="480"/>
      </w:pPr>
      <w:r>
        <w:rPr>
          <w:rFonts w:hint="eastAsia"/>
        </w:rPr>
        <w:t>(3)在全面掌握</w:t>
      </w:r>
      <w:r>
        <w:rPr>
          <w:snapToGrid w:val="0"/>
        </w:rPr>
        <w:t>抬水工程</w:t>
      </w:r>
      <w:r>
        <w:rPr>
          <w:rFonts w:hint="eastAsia"/>
        </w:rPr>
        <w:t>坝址下游河道环境现状和取用水状况及其发展趋势的基础上，结合工程运行特征，分析和确定生态下泄流量和下泄方式。</w:t>
      </w:r>
    </w:p>
    <w:p>
      <w:pPr>
        <w:ind w:firstLine="480"/>
      </w:pPr>
      <w:r>
        <w:rPr>
          <w:rFonts w:hint="eastAsia"/>
        </w:rPr>
        <w:t>(4)依据相关环境保护法规和技术规范的要求，结合工程施工和运行情况，全面系统的分析工程施工、工程运行对自然环境、生态环境和社会环境的有利影响和不利影响。</w:t>
      </w:r>
    </w:p>
    <w:p>
      <w:pPr>
        <w:ind w:firstLine="480"/>
      </w:pPr>
      <w:r>
        <w:rPr>
          <w:rFonts w:hint="eastAsia"/>
        </w:rPr>
        <w:t>(5) 针对工程建设施工期、运行期给评价区环境带来的不利影响，提出预防控制减轻不良环境影响的对策和措施，并进行相应的环境监测、施工期环境监理、环境管理规划，最终不降低本工程评价区的环境质量，保证工程顺利施工和正常运行，充分发挥工程的经济效益、社会效益和环境效益，促进工程区域生态环境的良性发展。</w:t>
      </w:r>
    </w:p>
    <w:p>
      <w:pPr>
        <w:ind w:firstLine="480"/>
      </w:pPr>
      <w:r>
        <w:rPr>
          <w:rFonts w:hint="eastAsia"/>
        </w:rPr>
        <w:t>(6)从环境方面论证工程建设可行性，为工程方案论证、环境管理和项目决策提供科学依据。</w:t>
      </w:r>
    </w:p>
    <w:p>
      <w:pPr>
        <w:pStyle w:val="7"/>
        <w:rPr>
          <w:szCs w:val="24"/>
        </w:rPr>
      </w:pPr>
      <w:r>
        <w:rPr>
          <w:szCs w:val="24"/>
        </w:rPr>
        <w:t>1.1.2评价原则</w:t>
      </w:r>
      <w:bookmarkEnd w:id="72"/>
      <w:bookmarkEnd w:id="73"/>
      <w:bookmarkEnd w:id="74"/>
      <w:bookmarkEnd w:id="75"/>
      <w:bookmarkEnd w:id="76"/>
      <w:bookmarkEnd w:id="77"/>
      <w:bookmarkEnd w:id="78"/>
      <w:bookmarkEnd w:id="79"/>
      <w:bookmarkEnd w:id="80"/>
      <w:bookmarkEnd w:id="81"/>
      <w:bookmarkEnd w:id="82"/>
    </w:p>
    <w:p>
      <w:pPr>
        <w:ind w:firstLine="480"/>
        <w:rPr>
          <w:szCs w:val="24"/>
        </w:rPr>
      </w:pPr>
      <w:r>
        <w:rPr>
          <w:szCs w:val="24"/>
        </w:rPr>
        <w:t>突出环境影响评价的源头预防作用，坚持保护和改善环境质量。</w:t>
      </w:r>
    </w:p>
    <w:p>
      <w:pPr>
        <w:ind w:firstLine="480"/>
        <w:rPr>
          <w:szCs w:val="24"/>
        </w:rPr>
      </w:pPr>
      <w:r>
        <w:rPr>
          <w:rFonts w:hint="eastAsia" w:ascii="宋体" w:hAnsi="宋体" w:cs="宋体"/>
          <w:szCs w:val="24"/>
        </w:rPr>
        <w:t>⑴</w:t>
      </w:r>
      <w:r>
        <w:rPr>
          <w:szCs w:val="24"/>
        </w:rPr>
        <w:t>依法评价</w:t>
      </w:r>
    </w:p>
    <w:p>
      <w:pPr>
        <w:ind w:firstLine="480"/>
      </w:pPr>
      <w:r>
        <w:t>贯彻执行我国环境保护相关法律法规、标准、政策和规划等，优化项目建设，服务环境管理。</w:t>
      </w:r>
    </w:p>
    <w:p>
      <w:pPr>
        <w:ind w:firstLine="480"/>
        <w:rPr>
          <w:szCs w:val="24"/>
        </w:rPr>
      </w:pPr>
      <w:r>
        <w:rPr>
          <w:rFonts w:hint="eastAsia" w:ascii="宋体" w:hAnsi="宋体" w:cs="宋体"/>
          <w:szCs w:val="24"/>
        </w:rPr>
        <w:t>⑵</w:t>
      </w:r>
      <w:r>
        <w:rPr>
          <w:szCs w:val="24"/>
        </w:rPr>
        <w:t>科学评价</w:t>
      </w:r>
    </w:p>
    <w:p>
      <w:pPr>
        <w:ind w:firstLine="480"/>
        <w:rPr>
          <w:snapToGrid w:val="0"/>
          <w:kern w:val="0"/>
        </w:rPr>
      </w:pPr>
      <w:r>
        <w:rPr>
          <w:snapToGrid w:val="0"/>
          <w:kern w:val="0"/>
        </w:rPr>
        <w:t>规范环境影响评价方法，科学分析项目建设对环境质量的影响。</w:t>
      </w:r>
    </w:p>
    <w:p>
      <w:pPr>
        <w:ind w:firstLine="480"/>
        <w:rPr>
          <w:szCs w:val="24"/>
        </w:rPr>
      </w:pPr>
      <w:r>
        <w:rPr>
          <w:rFonts w:hint="eastAsia" w:ascii="宋体" w:hAnsi="宋体" w:cs="宋体"/>
          <w:szCs w:val="24"/>
        </w:rPr>
        <w:t>⑶</w:t>
      </w:r>
      <w:r>
        <w:rPr>
          <w:szCs w:val="24"/>
        </w:rPr>
        <w:t>突出重点</w:t>
      </w:r>
    </w:p>
    <w:p>
      <w:pPr>
        <w:ind w:firstLine="480"/>
        <w:rPr>
          <w:lang w:val="en-GB"/>
        </w:rPr>
      </w:pPr>
      <w:r>
        <w:rPr>
          <w:snapToGrid w:val="0"/>
          <w:kern w:val="0"/>
        </w:rPr>
        <w:t>根据建设项目的工程内容及特点，明确与环境要素间的作用效应关系，根据规划环境影响评价结论和审查建议，充分利用符合时效的数据资料及成果，对建设项目主要环境影响予以重点分析和评价。</w:t>
      </w:r>
    </w:p>
    <w:p>
      <w:pPr>
        <w:pStyle w:val="6"/>
      </w:pPr>
      <w:bookmarkStart w:id="83" w:name="_Toc5961575"/>
      <w:bookmarkStart w:id="84" w:name="_Toc13486"/>
      <w:bookmarkStart w:id="85" w:name="_Toc224878959"/>
      <w:bookmarkStart w:id="86" w:name="_Toc224879253"/>
      <w:bookmarkStart w:id="87" w:name="_Toc223843198"/>
      <w:bookmarkStart w:id="88" w:name="_Toc252288890"/>
      <w:bookmarkStart w:id="89" w:name="_Toc187557808"/>
      <w:r>
        <w:t>1.</w:t>
      </w:r>
      <w:r>
        <w:rPr>
          <w:rFonts w:hint="eastAsia"/>
        </w:rPr>
        <w:t>2</w:t>
      </w:r>
      <w:r>
        <w:t>编制依据</w:t>
      </w:r>
      <w:bookmarkEnd w:id="83"/>
      <w:bookmarkEnd w:id="84"/>
    </w:p>
    <w:p>
      <w:pPr>
        <w:pStyle w:val="7"/>
      </w:pPr>
      <w:bookmarkStart w:id="90" w:name="_Toc452626868"/>
      <w:r>
        <w:t>1.</w:t>
      </w:r>
      <w:r>
        <w:rPr>
          <w:rFonts w:hint="eastAsia"/>
        </w:rPr>
        <w:t>2</w:t>
      </w:r>
      <w:r>
        <w:t>.1法律法规</w:t>
      </w:r>
      <w:bookmarkEnd w:id="90"/>
      <w:r>
        <w:t>及部门规章</w:t>
      </w:r>
    </w:p>
    <w:p>
      <w:pPr>
        <w:ind w:firstLine="480"/>
        <w:rPr>
          <w:snapToGrid w:val="0"/>
          <w:kern w:val="0"/>
          <w:szCs w:val="24"/>
        </w:rPr>
      </w:pPr>
      <w:r>
        <w:rPr>
          <w:szCs w:val="24"/>
        </w:rPr>
        <w:t>(1)</w:t>
      </w:r>
      <w:r>
        <w:rPr>
          <w:snapToGrid w:val="0"/>
          <w:kern w:val="0"/>
          <w:szCs w:val="24"/>
        </w:rPr>
        <w:t>《中华人民共和国环境保护法》，第十二届全国人民代表大会常务委员会第八次会议，自2015年1月1日起实施；</w:t>
      </w:r>
    </w:p>
    <w:p>
      <w:pPr>
        <w:ind w:firstLine="480"/>
        <w:rPr>
          <w:snapToGrid w:val="0"/>
          <w:kern w:val="0"/>
          <w:szCs w:val="24"/>
        </w:rPr>
      </w:pPr>
      <w:r>
        <w:rPr>
          <w:szCs w:val="24"/>
        </w:rPr>
        <w:t>(2)《中华人民共和国环境影响评价法》（中华人民共和国主席令第48号，2016年9月1日起施行，2018.12.29第二次修正）</w:t>
      </w:r>
      <w:r>
        <w:rPr>
          <w:snapToGrid w:val="0"/>
          <w:kern w:val="0"/>
          <w:szCs w:val="24"/>
        </w:rPr>
        <w:t>；</w:t>
      </w:r>
    </w:p>
    <w:p>
      <w:pPr>
        <w:ind w:firstLine="480"/>
        <w:rPr>
          <w:snapToGrid w:val="0"/>
          <w:kern w:val="0"/>
          <w:szCs w:val="24"/>
        </w:rPr>
      </w:pPr>
      <w:r>
        <w:rPr>
          <w:szCs w:val="24"/>
        </w:rPr>
        <w:t>(3)《中华人民共和国水污染防治法》（中华人民共和国第十二届全国人民代表大会常务委员会第二十八次会议于2017年6月27日通过，自2018年1月1日起施行）</w:t>
      </w:r>
      <w:r>
        <w:rPr>
          <w:snapToGrid w:val="0"/>
          <w:kern w:val="0"/>
          <w:szCs w:val="24"/>
        </w:rPr>
        <w:t>；</w:t>
      </w:r>
    </w:p>
    <w:p>
      <w:pPr>
        <w:ind w:firstLine="480"/>
        <w:rPr>
          <w:snapToGrid w:val="0"/>
          <w:kern w:val="0"/>
          <w:szCs w:val="24"/>
        </w:rPr>
      </w:pPr>
      <w:r>
        <w:rPr>
          <w:szCs w:val="24"/>
        </w:rPr>
        <w:t>(4)</w:t>
      </w:r>
      <w:r>
        <w:rPr>
          <w:snapToGrid w:val="0"/>
          <w:kern w:val="0"/>
          <w:szCs w:val="24"/>
        </w:rPr>
        <w:t>《中华人民共和国水法》，第十二届全国人民代表大会常务委员会第二十一次会议修订，2016年9月1日实施；</w:t>
      </w:r>
    </w:p>
    <w:p>
      <w:pPr>
        <w:ind w:firstLine="480"/>
        <w:rPr>
          <w:snapToGrid w:val="0"/>
          <w:kern w:val="0"/>
          <w:szCs w:val="24"/>
        </w:rPr>
      </w:pPr>
      <w:r>
        <w:rPr>
          <w:szCs w:val="24"/>
        </w:rPr>
        <w:t>(5)《中华人民共和国大气污染防治法》（中华人民共和国主席令31号，2015年8月29日公布，2016年1月1日起施行，2018.10.26第二次修正）</w:t>
      </w:r>
      <w:r>
        <w:rPr>
          <w:snapToGrid w:val="0"/>
          <w:kern w:val="0"/>
          <w:szCs w:val="24"/>
        </w:rPr>
        <w:t>；</w:t>
      </w:r>
    </w:p>
    <w:p>
      <w:pPr>
        <w:ind w:firstLine="480"/>
        <w:rPr>
          <w:snapToGrid w:val="0"/>
          <w:kern w:val="0"/>
          <w:szCs w:val="24"/>
        </w:rPr>
      </w:pPr>
      <w:r>
        <w:rPr>
          <w:szCs w:val="24"/>
        </w:rPr>
        <w:t>(6)《中华人民共和国噪声污染防治法》（中华人民共和国主席令第</w:t>
      </w:r>
      <w:r>
        <w:rPr>
          <w:rFonts w:hint="eastAsia"/>
          <w:szCs w:val="24"/>
        </w:rPr>
        <w:t>104</w:t>
      </w:r>
      <w:r>
        <w:rPr>
          <w:szCs w:val="24"/>
        </w:rPr>
        <w:t>号，</w:t>
      </w:r>
      <w:r>
        <w:rPr>
          <w:rFonts w:hint="eastAsia"/>
          <w:szCs w:val="24"/>
        </w:rPr>
        <w:t>2021年12</w:t>
      </w:r>
      <w:r>
        <w:rPr>
          <w:szCs w:val="24"/>
        </w:rPr>
        <w:t>月2</w:t>
      </w:r>
      <w:r>
        <w:rPr>
          <w:rFonts w:hint="eastAsia"/>
          <w:szCs w:val="24"/>
        </w:rPr>
        <w:t>4</w:t>
      </w:r>
      <w:r>
        <w:rPr>
          <w:szCs w:val="24"/>
        </w:rPr>
        <w:t>日公布，</w:t>
      </w:r>
      <w:r>
        <w:rPr>
          <w:rFonts w:hint="eastAsia"/>
          <w:szCs w:val="24"/>
        </w:rPr>
        <w:t>2022</w:t>
      </w:r>
      <w:r>
        <w:rPr>
          <w:szCs w:val="24"/>
        </w:rPr>
        <w:t>年</w:t>
      </w:r>
      <w:r>
        <w:rPr>
          <w:rFonts w:hint="eastAsia"/>
          <w:szCs w:val="24"/>
        </w:rPr>
        <w:t>6</w:t>
      </w:r>
      <w:r>
        <w:rPr>
          <w:szCs w:val="24"/>
        </w:rPr>
        <w:t>月</w:t>
      </w:r>
      <w:r>
        <w:rPr>
          <w:rFonts w:hint="eastAsia"/>
          <w:szCs w:val="24"/>
        </w:rPr>
        <w:t>5</w:t>
      </w:r>
      <w:r>
        <w:rPr>
          <w:szCs w:val="24"/>
        </w:rPr>
        <w:t>日起施行</w:t>
      </w:r>
      <w:r>
        <w:rPr>
          <w:snapToGrid w:val="0"/>
          <w:kern w:val="0"/>
          <w:szCs w:val="24"/>
        </w:rPr>
        <w:t>；</w:t>
      </w:r>
    </w:p>
    <w:p>
      <w:pPr>
        <w:ind w:firstLine="480"/>
        <w:rPr>
          <w:snapToGrid w:val="0"/>
          <w:kern w:val="0"/>
          <w:szCs w:val="24"/>
        </w:rPr>
      </w:pPr>
      <w:r>
        <w:rPr>
          <w:szCs w:val="24"/>
        </w:rPr>
        <w:t>(7)《中华人民共和国固体废物污染环境防治法》（中华人民共和国第十三届全国人民代表大会常务委员会第十七次会议修订通过， 2020年9月1日起施行）；</w:t>
      </w:r>
    </w:p>
    <w:p>
      <w:pPr>
        <w:ind w:firstLine="480"/>
        <w:rPr>
          <w:snapToGrid w:val="0"/>
          <w:kern w:val="0"/>
          <w:szCs w:val="24"/>
        </w:rPr>
      </w:pPr>
      <w:r>
        <w:rPr>
          <w:szCs w:val="24"/>
        </w:rPr>
        <w:t>(8)</w:t>
      </w:r>
      <w:r>
        <w:t>《中华人民共和国土壤污染防治法》（中华人民共和国主席令第8号，自 2019 年1月1日起施行）</w:t>
      </w:r>
    </w:p>
    <w:p>
      <w:pPr>
        <w:ind w:firstLine="480"/>
        <w:rPr>
          <w:snapToGrid w:val="0"/>
          <w:kern w:val="0"/>
          <w:szCs w:val="24"/>
        </w:rPr>
      </w:pPr>
      <w:r>
        <w:rPr>
          <w:szCs w:val="24"/>
        </w:rPr>
        <w:t>(</w:t>
      </w:r>
      <w:r>
        <w:rPr>
          <w:rFonts w:hint="eastAsia"/>
          <w:szCs w:val="24"/>
        </w:rPr>
        <w:t>9</w:t>
      </w:r>
      <w:r>
        <w:rPr>
          <w:szCs w:val="24"/>
        </w:rPr>
        <w:t>)《中华人民共和国水土保持法》（中华人民共和国主席令第39号，2010年12月25日公布，2011年3月1日起施行）</w:t>
      </w:r>
      <w:r>
        <w:rPr>
          <w:snapToGrid w:val="0"/>
          <w:kern w:val="0"/>
          <w:szCs w:val="24"/>
        </w:rPr>
        <w:t>；</w:t>
      </w:r>
    </w:p>
    <w:p>
      <w:pPr>
        <w:ind w:firstLine="480"/>
      </w:pPr>
      <w:r>
        <w:rPr>
          <w:szCs w:val="24"/>
        </w:rPr>
        <w:t>(</w:t>
      </w:r>
      <w:r>
        <w:rPr>
          <w:rFonts w:hint="eastAsia"/>
          <w:szCs w:val="24"/>
        </w:rPr>
        <w:t>10</w:t>
      </w:r>
      <w:r>
        <w:rPr>
          <w:szCs w:val="24"/>
        </w:rPr>
        <w:t>)</w:t>
      </w:r>
      <w:r>
        <w:t>《中华人民共和国文物保护法》，第十二届全国人民代表大会常务委员会第三十次会议修订，2017年11月4日</w:t>
      </w:r>
      <w:r>
        <w:rPr>
          <w:rFonts w:hint="eastAsia"/>
        </w:rPr>
        <w:t>；</w:t>
      </w:r>
    </w:p>
    <w:p>
      <w:pPr>
        <w:pStyle w:val="33"/>
        <w:kinsoku w:val="0"/>
        <w:overflowPunct w:val="0"/>
        <w:spacing w:after="0"/>
        <w:ind w:firstLine="480"/>
      </w:pPr>
      <w:r>
        <w:rPr>
          <w:szCs w:val="24"/>
        </w:rPr>
        <w:t>(</w:t>
      </w:r>
      <w:r>
        <w:rPr>
          <w:rFonts w:hint="eastAsia"/>
          <w:szCs w:val="24"/>
        </w:rPr>
        <w:t>11</w:t>
      </w:r>
      <w:r>
        <w:rPr>
          <w:szCs w:val="24"/>
        </w:rPr>
        <w:t>)</w:t>
      </w:r>
      <w:r>
        <w:rPr>
          <w:rFonts w:hint="eastAsia"/>
        </w:rPr>
        <w:t>《中华人民共和国野生动物保护法》，</w:t>
      </w:r>
      <w:r>
        <w:t>第十三届全国人民代表大会常务委员会第六次会议第二次修正，20</w:t>
      </w:r>
      <w:r>
        <w:rPr>
          <w:rFonts w:hint="eastAsia"/>
        </w:rPr>
        <w:t>18</w:t>
      </w:r>
      <w:r>
        <w:t>年</w:t>
      </w:r>
      <w:r>
        <w:rPr>
          <w:rFonts w:hint="eastAsia"/>
        </w:rPr>
        <w:t>10</w:t>
      </w:r>
      <w:r>
        <w:t>月</w:t>
      </w:r>
      <w:r>
        <w:rPr>
          <w:rFonts w:hint="eastAsia"/>
        </w:rPr>
        <w:t>26</w:t>
      </w:r>
      <w:r>
        <w:t>日；</w:t>
      </w:r>
    </w:p>
    <w:p>
      <w:pPr>
        <w:pStyle w:val="33"/>
        <w:kinsoku w:val="0"/>
        <w:overflowPunct w:val="0"/>
        <w:spacing w:after="0"/>
        <w:ind w:firstLine="480"/>
      </w:pPr>
      <w:r>
        <w:t>(</w:t>
      </w:r>
      <w:r>
        <w:rPr>
          <w:rFonts w:hint="eastAsia"/>
        </w:rPr>
        <w:t>12</w:t>
      </w:r>
      <w:r>
        <w:t>)</w:t>
      </w:r>
      <w:r>
        <w:rPr>
          <w:rFonts w:hint="eastAsia"/>
        </w:rPr>
        <w:t>《中华人民共和国陆生野生动物保护实施条例》（</w:t>
      </w:r>
      <w:r>
        <w:t>2016</w:t>
      </w:r>
      <w:r>
        <w:rPr>
          <w:rFonts w:hint="eastAsia"/>
        </w:rPr>
        <w:t>年</w:t>
      </w:r>
      <w:r>
        <w:t>2</w:t>
      </w:r>
      <w:r>
        <w:rPr>
          <w:rFonts w:hint="eastAsia"/>
        </w:rPr>
        <w:t>月</w:t>
      </w:r>
      <w:r>
        <w:t>6</w:t>
      </w:r>
      <w:r>
        <w:rPr>
          <w:rFonts w:hint="eastAsia"/>
        </w:rPr>
        <w:t>日）</w:t>
      </w:r>
      <w:r>
        <w:t>;</w:t>
      </w:r>
    </w:p>
    <w:p>
      <w:pPr>
        <w:pStyle w:val="33"/>
        <w:kinsoku w:val="0"/>
        <w:overflowPunct w:val="0"/>
        <w:spacing w:after="0"/>
        <w:ind w:firstLine="480"/>
      </w:pPr>
      <w:r>
        <w:t>(</w:t>
      </w:r>
      <w:r>
        <w:rPr>
          <w:rFonts w:hint="eastAsia"/>
        </w:rPr>
        <w:t>13</w:t>
      </w:r>
      <w:r>
        <w:t>)</w:t>
      </w:r>
      <w:r>
        <w:rPr>
          <w:rFonts w:hint="eastAsia"/>
        </w:rPr>
        <w:t>《中华人民共和国野生植物保护条例》（中华人民共和国</w:t>
      </w:r>
      <w:r>
        <w:t>国务院令第687号</w:t>
      </w:r>
      <w:r>
        <w:rPr>
          <w:rFonts w:hint="eastAsia"/>
        </w:rPr>
        <w:t>，</w:t>
      </w:r>
      <w:r>
        <w:t>2017年10月7日</w:t>
      </w:r>
      <w:r>
        <w:rPr>
          <w:rFonts w:hint="eastAsia"/>
        </w:rPr>
        <w:t>修订）；</w:t>
      </w:r>
    </w:p>
    <w:p>
      <w:pPr>
        <w:pStyle w:val="33"/>
        <w:kinsoku w:val="0"/>
        <w:overflowPunct w:val="0"/>
        <w:spacing w:after="0"/>
        <w:ind w:firstLine="480"/>
      </w:pPr>
      <w:r>
        <w:t>(1</w:t>
      </w:r>
      <w:r>
        <w:rPr>
          <w:rFonts w:hint="eastAsia"/>
        </w:rPr>
        <w:t>4</w:t>
      </w:r>
      <w:r>
        <w:t>)《中华人民共和国水生野生动物保护实施条例》（2013年12月7日修订施行）；</w:t>
      </w:r>
    </w:p>
    <w:p>
      <w:pPr>
        <w:pStyle w:val="33"/>
        <w:kinsoku w:val="0"/>
        <w:overflowPunct w:val="0"/>
        <w:spacing w:after="0"/>
        <w:ind w:firstLine="480"/>
      </w:pPr>
      <w:r>
        <w:t>(</w:t>
      </w:r>
      <w:r>
        <w:rPr>
          <w:rFonts w:hint="eastAsia"/>
        </w:rPr>
        <w:t>15</w:t>
      </w:r>
      <w:r>
        <w:t>)</w:t>
      </w:r>
      <w:r>
        <w:rPr>
          <w:rFonts w:hint="eastAsia"/>
        </w:rPr>
        <w:t>《中华人民共和国自然保护区条例》（中华人民共和国</w:t>
      </w:r>
      <w:r>
        <w:t>国务院令第687号</w:t>
      </w:r>
      <w:r>
        <w:rPr>
          <w:rFonts w:hint="eastAsia"/>
        </w:rPr>
        <w:t>，</w:t>
      </w:r>
      <w:r>
        <w:t>2017年10月7日</w:t>
      </w:r>
      <w:r>
        <w:rPr>
          <w:rFonts w:hint="eastAsia"/>
        </w:rPr>
        <w:t>修订）；</w:t>
      </w:r>
    </w:p>
    <w:p>
      <w:pPr>
        <w:pStyle w:val="33"/>
        <w:kinsoku w:val="0"/>
        <w:overflowPunct w:val="0"/>
        <w:spacing w:after="0"/>
        <w:ind w:firstLine="480"/>
      </w:pPr>
      <w:r>
        <w:t>(</w:t>
      </w:r>
      <w:r>
        <w:rPr>
          <w:rFonts w:hint="eastAsia"/>
        </w:rPr>
        <w:t>16</w:t>
      </w:r>
      <w:r>
        <w:t>)</w:t>
      </w:r>
      <w:r>
        <w:rPr>
          <w:rFonts w:hint="eastAsia"/>
        </w:rPr>
        <w:t>《中华人民共和国渔业法》（</w:t>
      </w:r>
      <w:r>
        <w:t xml:space="preserve">2013 </w:t>
      </w:r>
      <w:r>
        <w:rPr>
          <w:rFonts w:hint="eastAsia"/>
        </w:rPr>
        <w:t>年</w:t>
      </w:r>
      <w:r>
        <w:t xml:space="preserve"> 12 </w:t>
      </w:r>
      <w:r>
        <w:rPr>
          <w:rFonts w:hint="eastAsia"/>
        </w:rPr>
        <w:t>月</w:t>
      </w:r>
      <w:r>
        <w:t xml:space="preserve"> 28 </w:t>
      </w:r>
      <w:r>
        <w:rPr>
          <w:rFonts w:hint="eastAsia"/>
        </w:rPr>
        <w:t>日修订，</w:t>
      </w:r>
      <w:r>
        <w:t xml:space="preserve">2014 </w:t>
      </w:r>
      <w:r>
        <w:rPr>
          <w:rFonts w:hint="eastAsia"/>
        </w:rPr>
        <w:t>年</w:t>
      </w:r>
      <w:r>
        <w:t xml:space="preserve"> 3 </w:t>
      </w:r>
      <w:r>
        <w:rPr>
          <w:rFonts w:hint="eastAsia"/>
        </w:rPr>
        <w:t>月</w:t>
      </w:r>
      <w:r>
        <w:t xml:space="preserve"> 1 </w:t>
      </w:r>
      <w:r>
        <w:rPr>
          <w:rFonts w:hint="eastAsia"/>
        </w:rPr>
        <w:t>日起施行）；</w:t>
      </w:r>
    </w:p>
    <w:p>
      <w:pPr>
        <w:pStyle w:val="33"/>
        <w:kinsoku w:val="0"/>
        <w:overflowPunct w:val="0"/>
        <w:spacing w:after="0"/>
        <w:ind w:firstLine="480"/>
      </w:pPr>
      <w:r>
        <w:t>(</w:t>
      </w:r>
      <w:r>
        <w:rPr>
          <w:rFonts w:hint="eastAsia"/>
        </w:rPr>
        <w:t>17</w:t>
      </w:r>
      <w:r>
        <w:t>)</w:t>
      </w:r>
      <w:r>
        <w:rPr>
          <w:rFonts w:hint="eastAsia"/>
        </w:rPr>
        <w:t>《中华人民共和国渔业法实施细则》（</w:t>
      </w:r>
      <w:r>
        <w:t xml:space="preserve">1987 </w:t>
      </w:r>
      <w:r>
        <w:rPr>
          <w:rFonts w:hint="eastAsia"/>
        </w:rPr>
        <w:t>年</w:t>
      </w:r>
      <w:r>
        <w:t xml:space="preserve"> 10 </w:t>
      </w:r>
      <w:r>
        <w:rPr>
          <w:rFonts w:hint="eastAsia"/>
        </w:rPr>
        <w:t>月</w:t>
      </w:r>
      <w:r>
        <w:t xml:space="preserve"> 20 </w:t>
      </w:r>
      <w:r>
        <w:rPr>
          <w:rFonts w:hint="eastAsia"/>
        </w:rPr>
        <w:t>日起施行）；</w:t>
      </w:r>
    </w:p>
    <w:p>
      <w:pPr>
        <w:pStyle w:val="33"/>
        <w:kinsoku w:val="0"/>
        <w:overflowPunct w:val="0"/>
        <w:spacing w:after="0"/>
        <w:ind w:firstLine="480"/>
      </w:pPr>
      <w:r>
        <w:t>(</w:t>
      </w:r>
      <w:r>
        <w:rPr>
          <w:rFonts w:hint="eastAsia"/>
        </w:rPr>
        <w:t>18</w:t>
      </w:r>
      <w:r>
        <w:t>)</w:t>
      </w:r>
      <w:r>
        <w:rPr>
          <w:rFonts w:hint="eastAsia"/>
        </w:rPr>
        <w:t>《中华人民共和国河道管理条例》</w:t>
      </w:r>
      <w:r>
        <w:t>（</w:t>
      </w:r>
      <w:r>
        <w:rPr>
          <w:rFonts w:hint="eastAsia"/>
        </w:rPr>
        <w:t>2017年3月</w:t>
      </w:r>
      <w:r>
        <w:t>1</w:t>
      </w:r>
      <w:r>
        <w:rPr>
          <w:rFonts w:hint="eastAsia"/>
        </w:rPr>
        <w:t>日</w:t>
      </w:r>
      <w:r>
        <w:t>起施行）</w:t>
      </w:r>
    </w:p>
    <w:p>
      <w:pPr>
        <w:pStyle w:val="33"/>
        <w:kinsoku w:val="0"/>
        <w:overflowPunct w:val="0"/>
        <w:spacing w:after="0"/>
        <w:ind w:firstLine="480"/>
      </w:pPr>
      <w:r>
        <w:t>(</w:t>
      </w:r>
      <w:r>
        <w:rPr>
          <w:rFonts w:hint="eastAsia"/>
        </w:rPr>
        <w:t>19</w:t>
      </w:r>
      <w:r>
        <w:t>)《中华人民共和国土地管理法》（2004 年8 月28 日起施行）</w:t>
      </w:r>
    </w:p>
    <w:p>
      <w:pPr>
        <w:pStyle w:val="33"/>
        <w:kinsoku w:val="0"/>
        <w:overflowPunct w:val="0"/>
        <w:spacing w:after="0"/>
        <w:ind w:firstLine="480"/>
      </w:pPr>
      <w:r>
        <w:t>(</w:t>
      </w:r>
      <w:r>
        <w:rPr>
          <w:rFonts w:hint="eastAsia"/>
        </w:rPr>
        <w:t>20</w:t>
      </w:r>
      <w:r>
        <w:t>)</w:t>
      </w:r>
      <w:r>
        <w:rPr>
          <w:rFonts w:hint="eastAsia"/>
        </w:rPr>
        <w:t>《中华人民共和国防洪法》</w:t>
      </w:r>
      <w:r>
        <w:t>（2016</w:t>
      </w:r>
      <w:r>
        <w:rPr>
          <w:rFonts w:hint="eastAsia"/>
        </w:rPr>
        <w:t>年</w:t>
      </w:r>
      <w:r>
        <w:t>7</w:t>
      </w:r>
      <w:r>
        <w:rPr>
          <w:rFonts w:hint="eastAsia"/>
        </w:rPr>
        <w:t>月</w:t>
      </w:r>
      <w:r>
        <w:t>2</w:t>
      </w:r>
      <w:r>
        <w:rPr>
          <w:rFonts w:hint="eastAsia"/>
        </w:rPr>
        <w:t>日</w:t>
      </w:r>
      <w:r>
        <w:t>起施行）</w:t>
      </w:r>
    </w:p>
    <w:p>
      <w:pPr>
        <w:pStyle w:val="33"/>
        <w:kinsoku w:val="0"/>
        <w:overflowPunct w:val="0"/>
        <w:spacing w:after="0"/>
        <w:ind w:firstLine="420"/>
        <w:rPr>
          <w:spacing w:val="-15"/>
        </w:rPr>
      </w:pPr>
      <w:r>
        <w:rPr>
          <w:spacing w:val="-15"/>
        </w:rPr>
        <w:t>(</w:t>
      </w:r>
      <w:r>
        <w:rPr>
          <w:rFonts w:hint="eastAsia"/>
          <w:spacing w:val="-15"/>
        </w:rPr>
        <w:t>21</w:t>
      </w:r>
      <w:r>
        <w:rPr>
          <w:spacing w:val="-15"/>
        </w:rPr>
        <w:t>)</w:t>
      </w:r>
      <w:r>
        <w:rPr>
          <w:rFonts w:hint="eastAsia"/>
          <w:spacing w:val="-15"/>
        </w:rPr>
        <w:t>《建设项目环境保护管理条例》（</w:t>
      </w:r>
      <w:r>
        <w:rPr>
          <w:spacing w:val="-15"/>
        </w:rPr>
        <w:t>2017</w:t>
      </w:r>
      <w:r>
        <w:rPr>
          <w:rFonts w:hint="eastAsia"/>
          <w:spacing w:val="-15"/>
        </w:rPr>
        <w:t>年</w:t>
      </w:r>
      <w:r>
        <w:rPr>
          <w:spacing w:val="-15"/>
        </w:rPr>
        <w:t xml:space="preserve"> 7</w:t>
      </w:r>
      <w:r>
        <w:rPr>
          <w:rFonts w:hint="eastAsia"/>
          <w:spacing w:val="-15"/>
        </w:rPr>
        <w:t>月</w:t>
      </w:r>
      <w:r>
        <w:rPr>
          <w:spacing w:val="-15"/>
        </w:rPr>
        <w:t xml:space="preserve"> 26</w:t>
      </w:r>
      <w:r>
        <w:rPr>
          <w:rFonts w:hint="eastAsia"/>
          <w:spacing w:val="-15"/>
        </w:rPr>
        <w:t>日修订，</w:t>
      </w:r>
      <w:r>
        <w:rPr>
          <w:spacing w:val="-15"/>
        </w:rPr>
        <w:t>2017</w:t>
      </w:r>
      <w:r>
        <w:rPr>
          <w:rFonts w:hint="eastAsia"/>
          <w:spacing w:val="-15"/>
        </w:rPr>
        <w:t>年10月</w:t>
      </w:r>
      <w:r>
        <w:rPr>
          <w:spacing w:val="-15"/>
        </w:rPr>
        <w:t xml:space="preserve"> 1 </w:t>
      </w:r>
      <w:r>
        <w:rPr>
          <w:rFonts w:hint="eastAsia"/>
          <w:spacing w:val="-15"/>
        </w:rPr>
        <w:t>日起施行）；</w:t>
      </w:r>
    </w:p>
    <w:p>
      <w:pPr>
        <w:pStyle w:val="33"/>
        <w:kinsoku w:val="0"/>
        <w:overflowPunct w:val="0"/>
        <w:spacing w:after="0"/>
        <w:ind w:firstLine="420"/>
      </w:pPr>
      <w:r>
        <w:rPr>
          <w:spacing w:val="-15"/>
        </w:rPr>
        <w:t>(</w:t>
      </w:r>
      <w:r>
        <w:rPr>
          <w:rFonts w:hint="eastAsia"/>
          <w:spacing w:val="-15"/>
        </w:rPr>
        <w:t>22</w:t>
      </w:r>
      <w:r>
        <w:rPr>
          <w:spacing w:val="-15"/>
        </w:rPr>
        <w:t>)</w:t>
      </w:r>
      <w:r>
        <w:rPr>
          <w:rFonts w:hint="eastAsia"/>
          <w:spacing w:val="-4"/>
        </w:rPr>
        <w:t>《产业结构调整指导目录</w:t>
      </w:r>
      <w:r>
        <w:rPr>
          <w:spacing w:val="-4"/>
        </w:rPr>
        <w:t>(201</w:t>
      </w:r>
      <w:r>
        <w:rPr>
          <w:rFonts w:hint="eastAsia"/>
          <w:spacing w:val="-4"/>
        </w:rPr>
        <w:t>9</w:t>
      </w:r>
      <w:r>
        <w:rPr>
          <w:rFonts w:hint="eastAsia"/>
          <w:spacing w:val="-12"/>
        </w:rPr>
        <w:t>年本</w:t>
      </w:r>
      <w:r>
        <w:rPr>
          <w:spacing w:val="-12"/>
        </w:rPr>
        <w:t>)</w:t>
      </w:r>
      <w:r>
        <w:rPr>
          <w:rFonts w:hint="eastAsia"/>
          <w:spacing w:val="-12"/>
        </w:rPr>
        <w:t>》</w:t>
      </w:r>
      <w:r>
        <w:rPr>
          <w:rFonts w:hint="eastAsia"/>
          <w:spacing w:val="-4"/>
        </w:rPr>
        <w:t>（国家发展</w:t>
      </w:r>
      <w:r>
        <w:rPr>
          <w:rFonts w:hint="eastAsia"/>
          <w:spacing w:val="-4"/>
          <w:lang w:eastAsia="zh-CN"/>
        </w:rPr>
        <w:t>和</w:t>
      </w:r>
      <w:r>
        <w:rPr>
          <w:rFonts w:hint="eastAsia"/>
          <w:spacing w:val="-4"/>
        </w:rPr>
        <w:t>改革委员会第</w:t>
      </w:r>
      <w:r>
        <w:t>2</w:t>
      </w:r>
      <w:r>
        <w:rPr>
          <w:rFonts w:hint="eastAsia"/>
        </w:rPr>
        <w:t>9号令，</w:t>
      </w:r>
      <w:r>
        <w:t>201</w:t>
      </w:r>
      <w:r>
        <w:rPr>
          <w:rFonts w:hint="eastAsia"/>
        </w:rPr>
        <w:t>9年</w:t>
      </w:r>
      <w:r>
        <w:rPr>
          <w:spacing w:val="-60"/>
        </w:rPr>
        <w:t xml:space="preserve"> </w:t>
      </w:r>
      <w:r>
        <w:rPr>
          <w:rFonts w:hint="eastAsia"/>
        </w:rPr>
        <w:t>10</w:t>
      </w:r>
      <w:r>
        <w:rPr>
          <w:rFonts w:hint="eastAsia"/>
          <w:spacing w:val="-40"/>
        </w:rPr>
        <w:t>月）；</w:t>
      </w:r>
    </w:p>
    <w:p>
      <w:pPr>
        <w:ind w:firstLine="480"/>
        <w:rPr>
          <w:snapToGrid w:val="0"/>
          <w:kern w:val="0"/>
        </w:rPr>
      </w:pPr>
      <w:r>
        <w:rPr>
          <w:szCs w:val="24"/>
        </w:rPr>
        <w:t>(</w:t>
      </w:r>
      <w:r>
        <w:rPr>
          <w:rFonts w:hint="eastAsia"/>
          <w:szCs w:val="24"/>
        </w:rPr>
        <w:t>23</w:t>
      </w:r>
      <w:r>
        <w:rPr>
          <w:szCs w:val="24"/>
        </w:rPr>
        <w:t>)</w:t>
      </w:r>
      <w:r>
        <w:rPr>
          <w:snapToGrid w:val="0"/>
          <w:kern w:val="0"/>
        </w:rPr>
        <w:t>《建设项目环境影响评价分类管理名录》(20</w:t>
      </w:r>
      <w:r>
        <w:rPr>
          <w:rFonts w:hint="eastAsia"/>
          <w:snapToGrid w:val="0"/>
          <w:kern w:val="0"/>
        </w:rPr>
        <w:t>21</w:t>
      </w:r>
      <w:r>
        <w:rPr>
          <w:snapToGrid w:val="0"/>
          <w:kern w:val="0"/>
        </w:rPr>
        <w:t>年</w:t>
      </w:r>
      <w:r>
        <w:rPr>
          <w:rFonts w:hint="eastAsia"/>
          <w:snapToGrid w:val="0"/>
          <w:kern w:val="0"/>
        </w:rPr>
        <w:t>版</w:t>
      </w:r>
      <w:r>
        <w:rPr>
          <w:snapToGrid w:val="0"/>
          <w:kern w:val="0"/>
        </w:rPr>
        <w:t>)，20</w:t>
      </w:r>
      <w:r>
        <w:rPr>
          <w:rFonts w:hint="eastAsia"/>
          <w:snapToGrid w:val="0"/>
          <w:kern w:val="0"/>
        </w:rPr>
        <w:t>21</w:t>
      </w:r>
      <w:r>
        <w:rPr>
          <w:snapToGrid w:val="0"/>
          <w:kern w:val="0"/>
        </w:rPr>
        <w:t>年</w:t>
      </w:r>
      <w:r>
        <w:rPr>
          <w:rFonts w:hint="eastAsia"/>
          <w:snapToGrid w:val="0"/>
          <w:kern w:val="0"/>
        </w:rPr>
        <w:t>1</w:t>
      </w:r>
      <w:r>
        <w:rPr>
          <w:snapToGrid w:val="0"/>
          <w:kern w:val="0"/>
        </w:rPr>
        <w:t>月</w:t>
      </w:r>
      <w:r>
        <w:rPr>
          <w:rFonts w:hint="eastAsia"/>
          <w:snapToGrid w:val="0"/>
          <w:kern w:val="0"/>
        </w:rPr>
        <w:t>1日</w:t>
      </w:r>
      <w:r>
        <w:rPr>
          <w:snapToGrid w:val="0"/>
          <w:kern w:val="0"/>
        </w:rPr>
        <w:t>；</w:t>
      </w:r>
    </w:p>
    <w:p>
      <w:pPr>
        <w:ind w:firstLine="420"/>
        <w:rPr>
          <w:spacing w:val="-15"/>
        </w:rPr>
      </w:pPr>
      <w:r>
        <w:rPr>
          <w:spacing w:val="-15"/>
        </w:rPr>
        <w:t>(</w:t>
      </w:r>
      <w:r>
        <w:rPr>
          <w:rFonts w:hint="eastAsia"/>
          <w:spacing w:val="-15"/>
        </w:rPr>
        <w:t>24</w:t>
      </w:r>
      <w:r>
        <w:rPr>
          <w:spacing w:val="-15"/>
        </w:rPr>
        <w:t>) 《环境影响评价公众参与办法》，</w:t>
      </w:r>
      <w:r>
        <w:rPr>
          <w:rFonts w:hint="eastAsia"/>
          <w:spacing w:val="-15"/>
        </w:rPr>
        <w:t>生态环境部令第4号</w:t>
      </w:r>
      <w:r>
        <w:rPr>
          <w:spacing w:val="-15"/>
        </w:rPr>
        <w:t>，</w:t>
      </w:r>
      <w:r>
        <w:rPr>
          <w:rFonts w:hint="eastAsia"/>
          <w:spacing w:val="-15"/>
        </w:rPr>
        <w:t>2019年1月1日起实施</w:t>
      </w:r>
      <w:r>
        <w:rPr>
          <w:spacing w:val="-15"/>
        </w:rPr>
        <w:t>。</w:t>
      </w:r>
    </w:p>
    <w:p>
      <w:pPr>
        <w:pStyle w:val="1334"/>
        <w:spacing w:line="360" w:lineRule="auto"/>
        <w:ind w:firstLine="480"/>
        <w:rPr>
          <w:rFonts w:eastAsia="宋体" w:cs="Times New Roman"/>
          <w:spacing w:val="4"/>
          <w:szCs w:val="24"/>
        </w:rPr>
      </w:pPr>
      <w:r>
        <w:rPr>
          <w:szCs w:val="24"/>
        </w:rPr>
        <w:t>(</w:t>
      </w:r>
      <w:r>
        <w:rPr>
          <w:rFonts w:hint="eastAsia"/>
          <w:szCs w:val="24"/>
        </w:rPr>
        <w:t>25</w:t>
      </w:r>
      <w:r>
        <w:rPr>
          <w:szCs w:val="24"/>
        </w:rPr>
        <w:t>)</w:t>
      </w:r>
      <w:r>
        <w:rPr>
          <w:rFonts w:eastAsia="宋体" w:cs="Times New Roman"/>
          <w:spacing w:val="4"/>
          <w:szCs w:val="24"/>
        </w:rPr>
        <w:t>《基本农田保护条例》(1999.1)；</w:t>
      </w:r>
    </w:p>
    <w:p>
      <w:pPr>
        <w:pStyle w:val="1334"/>
        <w:spacing w:line="360" w:lineRule="auto"/>
        <w:ind w:firstLine="480"/>
        <w:rPr>
          <w:rFonts w:eastAsia="宋体" w:cs="Times New Roman"/>
          <w:spacing w:val="4"/>
          <w:szCs w:val="24"/>
        </w:rPr>
      </w:pPr>
      <w:r>
        <w:rPr>
          <w:szCs w:val="24"/>
        </w:rPr>
        <w:t>(</w:t>
      </w:r>
      <w:r>
        <w:rPr>
          <w:rFonts w:hint="eastAsia"/>
          <w:szCs w:val="24"/>
        </w:rPr>
        <w:t>26</w:t>
      </w:r>
      <w:r>
        <w:rPr>
          <w:szCs w:val="24"/>
        </w:rPr>
        <w:t>)</w:t>
      </w:r>
      <w:r>
        <w:rPr>
          <w:rFonts w:eastAsia="宋体" w:cs="Times New Roman"/>
          <w:spacing w:val="4"/>
          <w:szCs w:val="24"/>
        </w:rPr>
        <w:t>《</w:t>
      </w:r>
      <w:r>
        <w:rPr>
          <w:rStyle w:val="85"/>
          <w:rFonts w:eastAsia="宋体" w:cs="Times New Roman"/>
          <w:b w:val="0"/>
          <w:spacing w:val="4"/>
          <w:szCs w:val="24"/>
        </w:rPr>
        <w:t>风景名胜区条例</w:t>
      </w:r>
      <w:r>
        <w:rPr>
          <w:rFonts w:eastAsia="宋体" w:cs="Times New Roman"/>
          <w:spacing w:val="4"/>
          <w:szCs w:val="24"/>
        </w:rPr>
        <w:t>》(2006.12)；</w:t>
      </w:r>
    </w:p>
    <w:p>
      <w:pPr>
        <w:ind w:firstLine="480"/>
      </w:pPr>
      <w:r>
        <w:rPr>
          <w:szCs w:val="24"/>
        </w:rPr>
        <w:t>(</w:t>
      </w:r>
      <w:r>
        <w:rPr>
          <w:rFonts w:hint="eastAsia"/>
          <w:szCs w:val="24"/>
        </w:rPr>
        <w:t>27</w:t>
      </w:r>
      <w:r>
        <w:rPr>
          <w:szCs w:val="24"/>
        </w:rPr>
        <w:t>)</w:t>
      </w:r>
      <w:r>
        <w:rPr>
          <w:rFonts w:hint="eastAsia"/>
        </w:rPr>
        <w:t>《国务院关于落实科学发展观加强环境保护的决定》国发</w:t>
      </w:r>
      <w:r>
        <w:t>[2005]39</w:t>
      </w:r>
      <w:r>
        <w:rPr>
          <w:rFonts w:hint="eastAsia"/>
        </w:rPr>
        <w:t>号，</w:t>
      </w:r>
      <w:r>
        <w:t>2005</w:t>
      </w:r>
      <w:r>
        <w:rPr>
          <w:rFonts w:hint="eastAsia"/>
        </w:rPr>
        <w:t>年</w:t>
      </w:r>
      <w:r>
        <w:t>12</w:t>
      </w:r>
      <w:r>
        <w:rPr>
          <w:rFonts w:hint="eastAsia"/>
        </w:rPr>
        <w:t>月</w:t>
      </w:r>
      <w:r>
        <w:t>3</w:t>
      </w:r>
      <w:r>
        <w:rPr>
          <w:rFonts w:hint="eastAsia"/>
        </w:rPr>
        <w:t>日；</w:t>
      </w:r>
    </w:p>
    <w:p>
      <w:pPr>
        <w:ind w:firstLine="480"/>
        <w:rPr>
          <w:szCs w:val="24"/>
        </w:rPr>
      </w:pPr>
      <w:r>
        <w:rPr>
          <w:szCs w:val="24"/>
        </w:rPr>
        <w:t>(</w:t>
      </w:r>
      <w:r>
        <w:rPr>
          <w:rFonts w:hint="eastAsia"/>
          <w:szCs w:val="24"/>
        </w:rPr>
        <w:t>28</w:t>
      </w:r>
      <w:r>
        <w:rPr>
          <w:szCs w:val="24"/>
        </w:rPr>
        <w:t>)《关于印发&lt;水电水利建设项目河道生态用水、低温水和过鱼设施环境影响评价技术指南（试行）&gt;的函》（环评函[2006]4号）；</w:t>
      </w:r>
    </w:p>
    <w:p>
      <w:pPr>
        <w:ind w:firstLine="480"/>
        <w:rPr>
          <w:szCs w:val="24"/>
        </w:rPr>
      </w:pPr>
      <w:r>
        <w:rPr>
          <w:szCs w:val="24"/>
        </w:rPr>
        <w:t>(</w:t>
      </w:r>
      <w:r>
        <w:rPr>
          <w:rFonts w:hint="eastAsia"/>
          <w:szCs w:val="24"/>
        </w:rPr>
        <w:t>29</w:t>
      </w:r>
      <w:r>
        <w:rPr>
          <w:szCs w:val="24"/>
        </w:rPr>
        <w:t>)《关于印发&lt;水电水利建设项目水环境与生态环境保护技术政策研讨会会议纪要&gt;的函》（环办函[2006]11号）；</w:t>
      </w:r>
    </w:p>
    <w:p>
      <w:pPr>
        <w:ind w:firstLine="480"/>
        <w:rPr>
          <w:szCs w:val="24"/>
        </w:rPr>
      </w:pPr>
      <w:r>
        <w:rPr>
          <w:szCs w:val="24"/>
        </w:rPr>
        <w:t>(</w:t>
      </w:r>
      <w:r>
        <w:rPr>
          <w:rFonts w:hint="eastAsia"/>
          <w:szCs w:val="24"/>
        </w:rPr>
        <w:t>30</w:t>
      </w:r>
      <w:r>
        <w:rPr>
          <w:szCs w:val="24"/>
        </w:rPr>
        <w:t>)《水利部办公厅关于印发&lt;全国水土保持规划国家级水土流失重点预防区和重点治理区复核划分成果&gt;的通知》（办水保[2013]188号）；</w:t>
      </w:r>
    </w:p>
    <w:p>
      <w:pPr>
        <w:ind w:firstLine="480"/>
        <w:rPr>
          <w:snapToGrid w:val="0"/>
          <w:kern w:val="0"/>
        </w:rPr>
      </w:pPr>
      <w:r>
        <w:rPr>
          <w:szCs w:val="24"/>
        </w:rPr>
        <w:t>(</w:t>
      </w:r>
      <w:r>
        <w:rPr>
          <w:rFonts w:hint="eastAsia"/>
          <w:szCs w:val="24"/>
        </w:rPr>
        <w:t>31</w:t>
      </w:r>
      <w:r>
        <w:rPr>
          <w:szCs w:val="24"/>
        </w:rPr>
        <w:t>)《大中型水利水电工程建设征地补偿和移民安置条例》（2017年5月修订）</w:t>
      </w:r>
      <w:r>
        <w:rPr>
          <w:rFonts w:hint="eastAsia"/>
          <w:szCs w:val="24"/>
        </w:rPr>
        <w:t>；</w:t>
      </w:r>
    </w:p>
    <w:p>
      <w:pPr>
        <w:ind w:firstLine="480"/>
      </w:pPr>
      <w:r>
        <w:rPr>
          <w:szCs w:val="24"/>
        </w:rPr>
        <w:t>(</w:t>
      </w:r>
      <w:r>
        <w:rPr>
          <w:rFonts w:hint="eastAsia"/>
          <w:szCs w:val="24"/>
        </w:rPr>
        <w:t>32</w:t>
      </w:r>
      <w:r>
        <w:rPr>
          <w:szCs w:val="24"/>
        </w:rPr>
        <w:t>)</w:t>
      </w:r>
      <w:r>
        <w:rPr>
          <w:rFonts w:hint="eastAsia"/>
        </w:rPr>
        <w:t>《关于进一步加强水生生物资源保护 严格环境影响评价管理的通知》（原环境保护部、农业部，环发[2013]86 号）；</w:t>
      </w:r>
    </w:p>
    <w:p>
      <w:pPr>
        <w:ind w:firstLine="480"/>
      </w:pPr>
      <w:r>
        <w:rPr>
          <w:szCs w:val="24"/>
        </w:rPr>
        <w:t>(</w:t>
      </w:r>
      <w:r>
        <w:rPr>
          <w:rFonts w:hint="eastAsia"/>
          <w:szCs w:val="24"/>
        </w:rPr>
        <w:t>33</w:t>
      </w:r>
      <w:r>
        <w:rPr>
          <w:szCs w:val="24"/>
        </w:rPr>
        <w:t>)</w:t>
      </w:r>
      <w:r>
        <w:t>《水污染防治行动计划的通知》，国发〔2015〕17号，国务院印发，2015年4月2日；</w:t>
      </w:r>
    </w:p>
    <w:p>
      <w:pPr>
        <w:ind w:firstLine="480"/>
      </w:pPr>
      <w:r>
        <w:rPr>
          <w:szCs w:val="24"/>
        </w:rPr>
        <w:t>(</w:t>
      </w:r>
      <w:r>
        <w:rPr>
          <w:rFonts w:hint="eastAsia"/>
          <w:szCs w:val="24"/>
        </w:rPr>
        <w:t>34</w:t>
      </w:r>
      <w:r>
        <w:rPr>
          <w:szCs w:val="24"/>
        </w:rPr>
        <w:t>)</w:t>
      </w:r>
      <w:r>
        <w:t>《大气污染防治行动计划的通知》，国发〔2013〕37号，国务院印发，2013年9月10日；</w:t>
      </w:r>
    </w:p>
    <w:p>
      <w:pPr>
        <w:ind w:firstLine="480"/>
      </w:pPr>
      <w:r>
        <w:rPr>
          <w:szCs w:val="24"/>
        </w:rPr>
        <w:t>(</w:t>
      </w:r>
      <w:r>
        <w:rPr>
          <w:rFonts w:hint="eastAsia"/>
          <w:szCs w:val="24"/>
        </w:rPr>
        <w:t>35</w:t>
      </w:r>
      <w:r>
        <w:rPr>
          <w:szCs w:val="24"/>
        </w:rPr>
        <w:t>)</w:t>
      </w:r>
      <w:r>
        <w:rPr>
          <w:rFonts w:hint="eastAsia" w:ascii="宋体" w:cs="宋体"/>
          <w:kern w:val="0"/>
          <w:sz w:val="23"/>
          <w:szCs w:val="23"/>
        </w:rPr>
        <w:t>《国务院关于印发土壤污染防治行动计划的通知》（国发〔</w:t>
      </w:r>
      <w:r>
        <w:rPr>
          <w:kern w:val="0"/>
          <w:sz w:val="23"/>
          <w:szCs w:val="23"/>
        </w:rPr>
        <w:t>2016</w:t>
      </w:r>
      <w:r>
        <w:rPr>
          <w:rFonts w:hint="eastAsia" w:ascii="宋体" w:cs="宋体"/>
          <w:kern w:val="0"/>
          <w:sz w:val="23"/>
          <w:szCs w:val="23"/>
        </w:rPr>
        <w:t>〕</w:t>
      </w:r>
      <w:r>
        <w:rPr>
          <w:kern w:val="0"/>
          <w:sz w:val="23"/>
          <w:szCs w:val="23"/>
        </w:rPr>
        <w:t>31</w:t>
      </w:r>
      <w:r>
        <w:rPr>
          <w:rFonts w:hint="eastAsia" w:ascii="宋体" w:cs="宋体"/>
          <w:kern w:val="0"/>
          <w:sz w:val="23"/>
          <w:szCs w:val="23"/>
        </w:rPr>
        <w:t>号）；</w:t>
      </w:r>
    </w:p>
    <w:p>
      <w:pPr>
        <w:ind w:firstLine="480"/>
      </w:pPr>
      <w:r>
        <w:rPr>
          <w:szCs w:val="24"/>
        </w:rPr>
        <w:t>(</w:t>
      </w:r>
      <w:r>
        <w:rPr>
          <w:rFonts w:hint="eastAsia"/>
          <w:szCs w:val="24"/>
        </w:rPr>
        <w:t>36</w:t>
      </w:r>
      <w:r>
        <w:rPr>
          <w:szCs w:val="24"/>
        </w:rPr>
        <w:t>)</w:t>
      </w:r>
      <w:r>
        <w:t>《关于落实大气污染防治行动计划严格环境影响评价准入的通知》，环办〔2014〕30号；</w:t>
      </w:r>
    </w:p>
    <w:p>
      <w:pPr>
        <w:ind w:firstLine="480"/>
        <w:rPr>
          <w:szCs w:val="24"/>
        </w:rPr>
      </w:pPr>
      <w:r>
        <w:rPr>
          <w:szCs w:val="24"/>
        </w:rPr>
        <w:t>(</w:t>
      </w:r>
      <w:r>
        <w:rPr>
          <w:rFonts w:hint="eastAsia"/>
          <w:szCs w:val="24"/>
        </w:rPr>
        <w:t>37</w:t>
      </w:r>
      <w:r>
        <w:rPr>
          <w:szCs w:val="24"/>
        </w:rPr>
        <w:t>)《国务院办公厅关于印发控制污染物排放许可制实施方案的通知》，国办发〔2016〕81号；</w:t>
      </w:r>
    </w:p>
    <w:p>
      <w:pPr>
        <w:ind w:firstLine="480"/>
        <w:rPr>
          <w:szCs w:val="24"/>
        </w:rPr>
      </w:pPr>
      <w:r>
        <w:rPr>
          <w:szCs w:val="24"/>
        </w:rPr>
        <w:t>(</w:t>
      </w:r>
      <w:r>
        <w:rPr>
          <w:rFonts w:hint="eastAsia"/>
          <w:szCs w:val="24"/>
        </w:rPr>
        <w:t>38</w:t>
      </w:r>
      <w:r>
        <w:rPr>
          <w:szCs w:val="24"/>
        </w:rPr>
        <w:t>)《关于以改善环境质量为核心加强环境影响评价管理的通知》，国发〔2015〕17号；</w:t>
      </w:r>
    </w:p>
    <w:p>
      <w:pPr>
        <w:ind w:firstLine="480"/>
      </w:pPr>
      <w:r>
        <w:rPr>
          <w:rFonts w:hint="eastAsia"/>
          <w:szCs w:val="24"/>
        </w:rPr>
        <w:t>(39)《中华人民共和国湿地保护法》（</w:t>
      </w:r>
      <w:r>
        <w:t>2021年12月24日第十三届全国人民代表大会常务委员会第三十二次会议通过</w:t>
      </w:r>
      <w:r>
        <w:rPr>
          <w:rFonts w:hint="eastAsia"/>
        </w:rPr>
        <w:t>，2022年6月1日正式实施）。</w:t>
      </w:r>
    </w:p>
    <w:p>
      <w:pPr>
        <w:pStyle w:val="7"/>
      </w:pPr>
      <w:r>
        <w:t>1.</w:t>
      </w:r>
      <w:r>
        <w:rPr>
          <w:rFonts w:hint="eastAsia"/>
        </w:rPr>
        <w:t>2</w:t>
      </w:r>
      <w:r>
        <w:t>.</w:t>
      </w:r>
      <w:r>
        <w:rPr>
          <w:rFonts w:hint="eastAsia"/>
        </w:rPr>
        <w:t>2地方法律</w:t>
      </w:r>
      <w:r>
        <w:t>法规</w:t>
      </w:r>
    </w:p>
    <w:p>
      <w:pPr>
        <w:ind w:firstLine="480"/>
      </w:pPr>
      <w:r>
        <w:t>(</w:t>
      </w:r>
      <w:r>
        <w:rPr>
          <w:rFonts w:hint="eastAsia"/>
        </w:rPr>
        <w:t>1</w:t>
      </w:r>
      <w:r>
        <w:t>)《江西省人民政府办公厅转发省环保厅省政府法制办关于加强规划环境影响评价工作意见的通知》赣府厅发[2009]98号；</w:t>
      </w:r>
    </w:p>
    <w:p>
      <w:pPr>
        <w:ind w:firstLine="480"/>
      </w:pPr>
      <w:r>
        <w:t>(</w:t>
      </w:r>
      <w:r>
        <w:rPr>
          <w:rFonts w:hint="eastAsia"/>
        </w:rPr>
        <w:t>2</w:t>
      </w:r>
      <w:r>
        <w:t>)《江西省环境污染防治条例》（2008 年 11月 28日江西省第十一届人民代表大会常务委员会第六次会议修订）；</w:t>
      </w:r>
    </w:p>
    <w:p>
      <w:pPr>
        <w:ind w:firstLine="480"/>
      </w:pPr>
      <w:r>
        <w:t>(</w:t>
      </w:r>
      <w:r>
        <w:rPr>
          <w:rFonts w:hint="eastAsia"/>
        </w:rPr>
        <w:t>3</w:t>
      </w:r>
      <w:r>
        <w:t>)《江西省大气污染防治条例》（2016年12月1日省第十二届人大常委会第二十九次会议第三次全体会议表决通过，2017年3月1日起正式施行</w:t>
      </w:r>
      <w:r>
        <w:rPr>
          <w:rFonts w:hint="eastAsia"/>
        </w:rPr>
        <w:t>；</w:t>
      </w:r>
    </w:p>
    <w:p>
      <w:pPr>
        <w:pStyle w:val="33"/>
        <w:kinsoku w:val="0"/>
        <w:overflowPunct w:val="0"/>
        <w:spacing w:after="0"/>
        <w:ind w:firstLine="480"/>
      </w:pPr>
      <w:r>
        <w:t xml:space="preserve"> (</w:t>
      </w:r>
      <w:r>
        <w:rPr>
          <w:rFonts w:hint="eastAsia"/>
        </w:rPr>
        <w:t>4</w:t>
      </w:r>
      <w:r>
        <w:t>)《江西省湿地保护条例》（2012 年 3月29 日江西省第十一届人民代表大会常务委员会第三十次会议通过）；</w:t>
      </w:r>
    </w:p>
    <w:p>
      <w:pPr>
        <w:pStyle w:val="33"/>
        <w:kinsoku w:val="0"/>
        <w:overflowPunct w:val="0"/>
        <w:spacing w:after="0"/>
        <w:ind w:firstLine="480"/>
      </w:pPr>
      <w:r>
        <w:t>(</w:t>
      </w:r>
      <w:r>
        <w:rPr>
          <w:rFonts w:hint="eastAsia"/>
        </w:rPr>
        <w:t>5</w:t>
      </w:r>
      <w:r>
        <w:t>) 江西省实施《中华人民共和国野生动物保护法》办法（2012年 11月 30日江西省十一届人大常委会第 34次会议修订）；</w:t>
      </w:r>
    </w:p>
    <w:p>
      <w:pPr>
        <w:pStyle w:val="33"/>
        <w:kinsoku w:val="0"/>
        <w:overflowPunct w:val="0"/>
        <w:spacing w:after="0"/>
        <w:ind w:firstLine="480"/>
      </w:pPr>
      <w:r>
        <w:t>(</w:t>
      </w:r>
      <w:r>
        <w:rPr>
          <w:rFonts w:hint="eastAsia"/>
        </w:rPr>
        <w:t>6</w:t>
      </w:r>
      <w:r>
        <w:t>)《江西省渔业条例》（2013 年11 月修订）；</w:t>
      </w:r>
    </w:p>
    <w:p>
      <w:pPr>
        <w:pStyle w:val="33"/>
        <w:kinsoku w:val="0"/>
        <w:overflowPunct w:val="0"/>
        <w:spacing w:after="0"/>
        <w:ind w:firstLine="480"/>
      </w:pPr>
      <w:r>
        <w:t>(</w:t>
      </w:r>
      <w:r>
        <w:rPr>
          <w:rFonts w:hint="eastAsia"/>
        </w:rPr>
        <w:t>7</w:t>
      </w:r>
      <w:r>
        <w:t>)《江西省水资源条例》（2006 年 3月 30日江西省第十届人民代表大会常务委员会第二十次会议通过）；</w:t>
      </w:r>
    </w:p>
    <w:p>
      <w:pPr>
        <w:pStyle w:val="33"/>
        <w:kinsoku w:val="0"/>
        <w:overflowPunct w:val="0"/>
        <w:spacing w:after="0"/>
        <w:ind w:firstLine="480"/>
      </w:pPr>
      <w:r>
        <w:t>(</w:t>
      </w:r>
      <w:r>
        <w:rPr>
          <w:rFonts w:hint="eastAsia"/>
        </w:rPr>
        <w:t>8</w:t>
      </w:r>
      <w:r>
        <w:t>)江西省实施《中华人民共和国渔业法》的办法（1997年 8月 15日江西省第八届人民代表大会常务委员会第二十九次会议修正）；</w:t>
      </w:r>
    </w:p>
    <w:p>
      <w:pPr>
        <w:pStyle w:val="33"/>
        <w:kinsoku w:val="0"/>
        <w:overflowPunct w:val="0"/>
        <w:spacing w:after="0"/>
        <w:ind w:firstLine="480"/>
      </w:pPr>
      <w:r>
        <w:t>(</w:t>
      </w:r>
      <w:r>
        <w:rPr>
          <w:rFonts w:hint="eastAsia"/>
        </w:rPr>
        <w:t>9</w:t>
      </w:r>
      <w:r>
        <w:t>)《江西省地表水（环境）功能区划》（江西省水利厅、江西省环保厅，2006年7月）；</w:t>
      </w:r>
    </w:p>
    <w:p>
      <w:pPr>
        <w:pStyle w:val="33"/>
        <w:kinsoku w:val="0"/>
        <w:overflowPunct w:val="0"/>
        <w:spacing w:after="0"/>
        <w:ind w:firstLine="480"/>
      </w:pPr>
      <w:r>
        <w:t>(</w:t>
      </w:r>
      <w:r>
        <w:rPr>
          <w:rFonts w:hint="eastAsia"/>
        </w:rPr>
        <w:t>10</w:t>
      </w:r>
      <w:r>
        <w:t>)《江西省野生动植物保护及自然保护区建设工程总体规划（2001-2050）》（江西省林业厅，2001 年 10月）；</w:t>
      </w:r>
    </w:p>
    <w:p>
      <w:pPr>
        <w:pStyle w:val="33"/>
        <w:kinsoku w:val="0"/>
        <w:overflowPunct w:val="0"/>
        <w:spacing w:after="0"/>
        <w:ind w:firstLine="480"/>
      </w:pPr>
      <w:r>
        <w:t>(</w:t>
      </w:r>
      <w:r>
        <w:rPr>
          <w:rFonts w:hint="eastAsia"/>
        </w:rPr>
        <w:t>11</w:t>
      </w:r>
      <w:r>
        <w:t>)《江西省重点保护野生植物名录（第一批）》（江西省林业厅，1994年10月）；</w:t>
      </w:r>
    </w:p>
    <w:p>
      <w:pPr>
        <w:pStyle w:val="33"/>
        <w:kinsoku w:val="0"/>
        <w:overflowPunct w:val="0"/>
        <w:spacing w:after="0"/>
        <w:ind w:firstLine="480"/>
      </w:pPr>
      <w:r>
        <w:t>(</w:t>
      </w:r>
      <w:r>
        <w:rPr>
          <w:rFonts w:hint="eastAsia"/>
        </w:rPr>
        <w:t>12</w:t>
      </w:r>
      <w:r>
        <w:t>)《江西省生态功能区划》（江西省环境保护局，2005年）；</w:t>
      </w:r>
    </w:p>
    <w:p>
      <w:pPr>
        <w:pStyle w:val="33"/>
        <w:kinsoku w:val="0"/>
        <w:overflowPunct w:val="0"/>
        <w:spacing w:after="0"/>
        <w:ind w:firstLine="432"/>
        <w:rPr>
          <w:spacing w:val="-12"/>
        </w:rPr>
      </w:pPr>
      <w:r>
        <w:rPr>
          <w:spacing w:val="-12"/>
        </w:rPr>
        <w:t>(</w:t>
      </w:r>
      <w:r>
        <w:rPr>
          <w:rFonts w:hint="eastAsia"/>
          <w:spacing w:val="-12"/>
        </w:rPr>
        <w:t>13</w:t>
      </w:r>
      <w:r>
        <w:rPr>
          <w:spacing w:val="-12"/>
        </w:rPr>
        <w:t>)《江西省野生植物资源保护管理暂行办法》</w:t>
      </w:r>
      <w:r>
        <w:rPr>
          <w:rFonts w:hint="eastAsia"/>
          <w:spacing w:val="-12"/>
        </w:rPr>
        <w:t>(</w:t>
      </w:r>
      <w:r>
        <w:rPr>
          <w:spacing w:val="-12"/>
        </w:rPr>
        <w:t>江西省人民政府，2004年6月修正</w:t>
      </w:r>
      <w:r>
        <w:rPr>
          <w:rFonts w:hint="eastAsia"/>
          <w:spacing w:val="-12"/>
        </w:rPr>
        <w:t>)</w:t>
      </w:r>
      <w:r>
        <w:rPr>
          <w:spacing w:val="-12"/>
        </w:rPr>
        <w:t>；</w:t>
      </w:r>
    </w:p>
    <w:p>
      <w:pPr>
        <w:pStyle w:val="33"/>
        <w:kinsoku w:val="0"/>
        <w:overflowPunct w:val="0"/>
        <w:spacing w:after="0"/>
        <w:ind w:firstLine="480"/>
      </w:pPr>
      <w:r>
        <w:t>(</w:t>
      </w:r>
      <w:r>
        <w:rPr>
          <w:rFonts w:hint="eastAsia"/>
        </w:rPr>
        <w:t>14</w:t>
      </w:r>
      <w:r>
        <w:t>)</w:t>
      </w:r>
      <w:r>
        <w:rPr>
          <w:rFonts w:hint="eastAsia"/>
        </w:rPr>
        <w:t>《江西省河道管理条例》（</w:t>
      </w:r>
      <w:r>
        <w:t>江西省第</w:t>
      </w:r>
      <w:r>
        <w:rPr>
          <w:rFonts w:hint="eastAsia"/>
        </w:rPr>
        <w:t>十三</w:t>
      </w:r>
      <w:r>
        <w:t>届人民代表大会常务委员会第</w:t>
      </w:r>
      <w:r>
        <w:rPr>
          <w:rFonts w:hint="eastAsia"/>
        </w:rPr>
        <w:t>三十一</w:t>
      </w:r>
      <w:r>
        <w:t>次会议第</w:t>
      </w:r>
      <w:r>
        <w:rPr>
          <w:rFonts w:hint="eastAsia"/>
        </w:rPr>
        <w:t>五</w:t>
      </w:r>
      <w:r>
        <w:t>次修正</w:t>
      </w:r>
      <w:r>
        <w:rPr>
          <w:rFonts w:hint="eastAsia"/>
        </w:rPr>
        <w:t>，</w:t>
      </w:r>
      <w:r>
        <w:t>20</w:t>
      </w:r>
      <w:r>
        <w:rPr>
          <w:rFonts w:hint="eastAsia"/>
        </w:rPr>
        <w:t>21</w:t>
      </w:r>
      <w:r>
        <w:t>年</w:t>
      </w:r>
      <w:r>
        <w:rPr>
          <w:rFonts w:hint="eastAsia"/>
        </w:rPr>
        <w:t>7</w:t>
      </w:r>
      <w:r>
        <w:t>月2</w:t>
      </w:r>
      <w:r>
        <w:rPr>
          <w:rFonts w:hint="eastAsia"/>
        </w:rPr>
        <w:t>8</w:t>
      </w:r>
      <w:r>
        <w:t>日</w:t>
      </w:r>
      <w:r>
        <w:rPr>
          <w:rFonts w:hint="eastAsia"/>
        </w:rPr>
        <w:t>）；</w:t>
      </w:r>
    </w:p>
    <w:p>
      <w:pPr>
        <w:pStyle w:val="33"/>
        <w:kinsoku w:val="0"/>
        <w:overflowPunct w:val="0"/>
        <w:spacing w:after="0"/>
        <w:ind w:firstLine="480"/>
      </w:pPr>
      <w:r>
        <w:t>(</w:t>
      </w:r>
      <w:r>
        <w:rPr>
          <w:rFonts w:hint="eastAsia"/>
        </w:rPr>
        <w:t>15</w:t>
      </w:r>
      <w:r>
        <w:t>)</w:t>
      </w:r>
      <w:r>
        <w:rPr>
          <w:szCs w:val="24"/>
        </w:rPr>
        <w:t>《江西省森林公园条例》（2018年5月修正）</w:t>
      </w:r>
      <w:r>
        <w:rPr>
          <w:rFonts w:hint="eastAsia"/>
        </w:rPr>
        <w:t>；</w:t>
      </w:r>
    </w:p>
    <w:p>
      <w:pPr>
        <w:pStyle w:val="33"/>
        <w:kinsoku w:val="0"/>
        <w:overflowPunct w:val="0"/>
        <w:spacing w:after="0"/>
        <w:ind w:firstLine="480"/>
      </w:pPr>
      <w:r>
        <w:t>(</w:t>
      </w:r>
      <w:r>
        <w:rPr>
          <w:rFonts w:hint="eastAsia"/>
        </w:rPr>
        <w:t>16</w:t>
      </w:r>
      <w:r>
        <w:t>)《江西省人民政府关于印发江西省生态空间保护红线区通知》；</w:t>
      </w:r>
    </w:p>
    <w:p>
      <w:pPr>
        <w:pStyle w:val="33"/>
        <w:kinsoku w:val="0"/>
        <w:overflowPunct w:val="0"/>
        <w:spacing w:after="0"/>
        <w:ind w:firstLine="480"/>
      </w:pPr>
      <w:r>
        <w:t>(</w:t>
      </w:r>
      <w:r>
        <w:rPr>
          <w:rFonts w:hint="eastAsia"/>
        </w:rPr>
        <w:t>17</w:t>
      </w:r>
      <w:r>
        <w:t>)《</w:t>
      </w:r>
      <w:r>
        <w:rPr>
          <w:rFonts w:hint="eastAsia"/>
        </w:rPr>
        <w:t>锦河</w:t>
      </w:r>
      <w:r>
        <w:t>流域</w:t>
      </w:r>
      <w:r>
        <w:rPr>
          <w:rFonts w:hint="eastAsia"/>
        </w:rPr>
        <w:t>综合</w:t>
      </w:r>
      <w:r>
        <w:t>规划修编报告》</w:t>
      </w:r>
      <w:r>
        <w:rPr>
          <w:szCs w:val="24"/>
        </w:rPr>
        <w:t>（</w:t>
      </w:r>
      <w:r>
        <w:t>20</w:t>
      </w:r>
      <w:r>
        <w:rPr>
          <w:rFonts w:hint="eastAsia"/>
        </w:rPr>
        <w:t>2</w:t>
      </w:r>
      <w:r>
        <w:t>2年编制</w:t>
      </w:r>
      <w:r>
        <w:rPr>
          <w:szCs w:val="24"/>
        </w:rPr>
        <w:t>）</w:t>
      </w:r>
      <w:r>
        <w:rPr>
          <w:rFonts w:hint="eastAsia"/>
        </w:rPr>
        <w:t>；</w:t>
      </w:r>
    </w:p>
    <w:p>
      <w:pPr>
        <w:pStyle w:val="7"/>
        <w:rPr>
          <w:szCs w:val="24"/>
        </w:rPr>
      </w:pPr>
      <w:bookmarkStart w:id="91" w:name="_Toc536265046"/>
      <w:bookmarkStart w:id="92" w:name="_Toc3903183"/>
      <w:bookmarkStart w:id="93" w:name="_Toc534386204"/>
      <w:bookmarkStart w:id="94" w:name="_Toc534895181"/>
      <w:bookmarkStart w:id="95" w:name="_Toc529278966"/>
      <w:bookmarkStart w:id="96" w:name="_Toc534806963"/>
      <w:r>
        <w:rPr>
          <w:szCs w:val="24"/>
        </w:rPr>
        <w:t>1.2.3评价技术导则与规范</w:t>
      </w:r>
      <w:bookmarkEnd w:id="85"/>
      <w:bookmarkEnd w:id="86"/>
      <w:bookmarkEnd w:id="87"/>
      <w:bookmarkEnd w:id="88"/>
      <w:bookmarkEnd w:id="89"/>
      <w:bookmarkEnd w:id="91"/>
      <w:bookmarkEnd w:id="92"/>
      <w:bookmarkEnd w:id="93"/>
      <w:bookmarkEnd w:id="94"/>
      <w:bookmarkEnd w:id="95"/>
      <w:bookmarkEnd w:id="96"/>
    </w:p>
    <w:p>
      <w:pPr>
        <w:ind w:firstLine="480"/>
        <w:rPr>
          <w:szCs w:val="24"/>
        </w:rPr>
      </w:pPr>
      <w:r>
        <w:rPr>
          <w:rFonts w:hint="eastAsia" w:ascii="宋体" w:hAnsi="宋体" w:cs="宋体"/>
          <w:szCs w:val="24"/>
        </w:rPr>
        <w:t>⑴</w:t>
      </w:r>
      <w:r>
        <w:rPr>
          <w:szCs w:val="24"/>
        </w:rPr>
        <w:t>《建设项目环境影响评价技术导则—总纲》(HJ2.1-2016)</w:t>
      </w:r>
      <w:r>
        <w:rPr>
          <w:spacing w:val="-4"/>
          <w:szCs w:val="24"/>
        </w:rPr>
        <w:t>；</w:t>
      </w:r>
    </w:p>
    <w:p>
      <w:pPr>
        <w:ind w:firstLine="480"/>
        <w:rPr>
          <w:szCs w:val="24"/>
        </w:rPr>
      </w:pPr>
      <w:r>
        <w:rPr>
          <w:rFonts w:hint="eastAsia" w:ascii="宋体" w:hAnsi="宋体" w:cs="宋体"/>
          <w:szCs w:val="24"/>
        </w:rPr>
        <w:t>⑵</w:t>
      </w:r>
      <w:r>
        <w:rPr>
          <w:szCs w:val="24"/>
        </w:rPr>
        <w:t>《环境影响评价技术导则—大气环境》（HJ2.2-2018）</w:t>
      </w:r>
      <w:r>
        <w:rPr>
          <w:spacing w:val="-4"/>
          <w:szCs w:val="24"/>
        </w:rPr>
        <w:t>；</w:t>
      </w:r>
    </w:p>
    <w:p>
      <w:pPr>
        <w:ind w:firstLine="480"/>
        <w:rPr>
          <w:spacing w:val="-4"/>
          <w:szCs w:val="24"/>
        </w:rPr>
      </w:pPr>
      <w:r>
        <w:rPr>
          <w:rFonts w:hint="eastAsia" w:ascii="宋体" w:hAnsi="宋体" w:cs="宋体"/>
          <w:szCs w:val="24"/>
        </w:rPr>
        <w:t>⑶</w:t>
      </w:r>
      <w:r>
        <w:rPr>
          <w:szCs w:val="24"/>
        </w:rPr>
        <w:t>《环境影响评价技术导则—地表水环境》（HJ2.3-2018）</w:t>
      </w:r>
      <w:r>
        <w:rPr>
          <w:spacing w:val="-4"/>
          <w:szCs w:val="24"/>
        </w:rPr>
        <w:t>；</w:t>
      </w:r>
    </w:p>
    <w:p>
      <w:pPr>
        <w:ind w:firstLine="480"/>
        <w:rPr>
          <w:spacing w:val="-4"/>
          <w:szCs w:val="24"/>
        </w:rPr>
      </w:pPr>
      <w:r>
        <w:rPr>
          <w:rFonts w:hint="eastAsia" w:ascii="宋体" w:hAnsi="宋体" w:cs="宋体"/>
          <w:szCs w:val="24"/>
        </w:rPr>
        <w:t>⑷</w:t>
      </w:r>
      <w:r>
        <w:rPr>
          <w:szCs w:val="24"/>
        </w:rPr>
        <w:t>《环境影响评价技术导则—地下水环境》（HJ610-2016）</w:t>
      </w:r>
      <w:r>
        <w:rPr>
          <w:spacing w:val="-4"/>
          <w:szCs w:val="24"/>
        </w:rPr>
        <w:t>；</w:t>
      </w:r>
    </w:p>
    <w:p>
      <w:pPr>
        <w:ind w:firstLine="480"/>
        <w:rPr>
          <w:spacing w:val="-4"/>
          <w:szCs w:val="24"/>
        </w:rPr>
      </w:pPr>
      <w:r>
        <w:rPr>
          <w:rFonts w:hint="eastAsia" w:ascii="宋体" w:hAnsi="宋体" w:cs="宋体"/>
          <w:szCs w:val="24"/>
        </w:rPr>
        <w:t>⑸</w:t>
      </w:r>
      <w:r>
        <w:rPr>
          <w:szCs w:val="24"/>
        </w:rPr>
        <w:t>《环境影响评价技术导则—声环境》（HJ2.4-20</w:t>
      </w:r>
      <w:r>
        <w:rPr>
          <w:rFonts w:hint="eastAsia"/>
          <w:szCs w:val="24"/>
        </w:rPr>
        <w:t>21</w:t>
      </w:r>
      <w:r>
        <w:rPr>
          <w:szCs w:val="24"/>
        </w:rPr>
        <w:t>）</w:t>
      </w:r>
      <w:r>
        <w:rPr>
          <w:spacing w:val="-4"/>
          <w:szCs w:val="24"/>
        </w:rPr>
        <w:t>；</w:t>
      </w:r>
    </w:p>
    <w:p>
      <w:pPr>
        <w:ind w:firstLine="480"/>
        <w:rPr>
          <w:szCs w:val="24"/>
        </w:rPr>
      </w:pPr>
      <w:r>
        <w:rPr>
          <w:rFonts w:hint="eastAsia" w:ascii="宋体" w:hAnsi="宋体" w:cs="宋体"/>
          <w:szCs w:val="24"/>
        </w:rPr>
        <w:t>⑹</w:t>
      </w:r>
      <w:r>
        <w:rPr>
          <w:szCs w:val="24"/>
        </w:rPr>
        <w:t>《环境影响评价技术导则—生态影响》（HJ19-20</w:t>
      </w:r>
      <w:r>
        <w:rPr>
          <w:rFonts w:hint="eastAsia"/>
          <w:szCs w:val="24"/>
        </w:rPr>
        <w:t>22</w:t>
      </w:r>
      <w:r>
        <w:rPr>
          <w:szCs w:val="24"/>
        </w:rPr>
        <w:t>）</w:t>
      </w:r>
      <w:r>
        <w:rPr>
          <w:spacing w:val="-4"/>
          <w:szCs w:val="24"/>
        </w:rPr>
        <w:t>；</w:t>
      </w:r>
    </w:p>
    <w:p>
      <w:pPr>
        <w:ind w:firstLine="480"/>
        <w:rPr>
          <w:szCs w:val="24"/>
        </w:rPr>
      </w:pPr>
      <w:r>
        <w:rPr>
          <w:rFonts w:hint="eastAsia" w:ascii="宋体" w:hAnsi="宋体" w:cs="宋体"/>
          <w:szCs w:val="24"/>
        </w:rPr>
        <w:t>⑺</w:t>
      </w:r>
      <w:r>
        <w:rPr>
          <w:szCs w:val="24"/>
        </w:rPr>
        <w:t>《建设项目环境风险评价技术导则》（HJ169-2018）；</w:t>
      </w:r>
    </w:p>
    <w:p>
      <w:pPr>
        <w:ind w:firstLine="480"/>
        <w:rPr>
          <w:szCs w:val="24"/>
        </w:rPr>
      </w:pPr>
      <w:r>
        <w:rPr>
          <w:rFonts w:hint="eastAsia" w:ascii="宋体" w:hAnsi="宋体" w:cs="宋体"/>
          <w:szCs w:val="24"/>
        </w:rPr>
        <w:t>⑻</w:t>
      </w:r>
      <w:r>
        <w:rPr>
          <w:rFonts w:hint="eastAsia"/>
          <w:szCs w:val="24"/>
        </w:rPr>
        <w:t>《环境影响评价技术导则 土壤环境（试行）》（HJ964-2018）</w:t>
      </w:r>
    </w:p>
    <w:p>
      <w:pPr>
        <w:ind w:firstLine="480"/>
        <w:rPr>
          <w:kern w:val="0"/>
          <w:szCs w:val="24"/>
        </w:rPr>
      </w:pPr>
      <w:r>
        <w:rPr>
          <w:rFonts w:hint="eastAsia" w:ascii="宋体" w:hAnsi="宋体" w:cs="宋体"/>
          <w:szCs w:val="24"/>
        </w:rPr>
        <w:t>⑼</w:t>
      </w:r>
      <w:r>
        <w:rPr>
          <w:kern w:val="0"/>
          <w:szCs w:val="24"/>
        </w:rPr>
        <w:t>《地表水环境质量评价办法（试行）》（环办[2011]22号）；</w:t>
      </w:r>
    </w:p>
    <w:p>
      <w:pPr>
        <w:ind w:firstLine="480"/>
        <w:rPr>
          <w:szCs w:val="24"/>
        </w:rPr>
      </w:pPr>
      <w:r>
        <w:rPr>
          <w:rFonts w:hint="eastAsia" w:ascii="宋体" w:hAnsi="宋体" w:cs="宋体"/>
          <w:szCs w:val="24"/>
        </w:rPr>
        <w:t>⑽</w:t>
      </w:r>
      <w:r>
        <w:rPr>
          <w:szCs w:val="24"/>
        </w:rPr>
        <w:t>《环境影响评价技术导则水利水电工程》（HJ</w:t>
      </w:r>
      <w:r>
        <w:rPr>
          <w:rFonts w:hint="eastAsia"/>
          <w:szCs w:val="24"/>
        </w:rPr>
        <w:t>/</w:t>
      </w:r>
      <w:r>
        <w:rPr>
          <w:szCs w:val="24"/>
        </w:rPr>
        <w:t>T88-2003）；</w:t>
      </w:r>
    </w:p>
    <w:p>
      <w:pPr>
        <w:ind w:firstLine="480"/>
        <w:rPr>
          <w:szCs w:val="24"/>
        </w:rPr>
      </w:pPr>
      <w:r>
        <w:rPr>
          <w:rFonts w:hint="eastAsia" w:ascii="宋体" w:hAnsi="宋体" w:cs="宋体"/>
          <w:szCs w:val="24"/>
        </w:rPr>
        <w:t>⑾</w:t>
      </w:r>
      <w:r>
        <w:rPr>
          <w:szCs w:val="24"/>
        </w:rPr>
        <w:t>《水利水电工程水库库底清理设计规范》（SL644-2014）；</w:t>
      </w:r>
    </w:p>
    <w:p>
      <w:pPr>
        <w:ind w:firstLine="480"/>
        <w:rPr>
          <w:szCs w:val="24"/>
        </w:rPr>
      </w:pPr>
      <w:r>
        <w:rPr>
          <w:rFonts w:hint="eastAsia" w:ascii="宋体" w:hAnsi="宋体" w:cs="宋体"/>
          <w:szCs w:val="24"/>
        </w:rPr>
        <w:t>⑿</w:t>
      </w:r>
      <w:r>
        <w:rPr>
          <w:szCs w:val="24"/>
        </w:rPr>
        <w:t>《水利水电工程建设征地移民安置设计规范》（SL290-2009）；</w:t>
      </w:r>
    </w:p>
    <w:p>
      <w:pPr>
        <w:ind w:firstLine="480"/>
        <w:rPr>
          <w:szCs w:val="24"/>
        </w:rPr>
      </w:pPr>
      <w:r>
        <w:rPr>
          <w:rFonts w:hint="eastAsia"/>
        </w:rPr>
        <w:t>⒀</w:t>
      </w:r>
      <w:r>
        <w:rPr>
          <w:szCs w:val="24"/>
        </w:rPr>
        <w:t>《水利水电工程水文计算规范》（SL278-2002）</w:t>
      </w:r>
      <w:r>
        <w:rPr>
          <w:rFonts w:hint="eastAsia"/>
          <w:szCs w:val="24"/>
        </w:rPr>
        <w:t>；</w:t>
      </w:r>
    </w:p>
    <w:p>
      <w:pPr>
        <w:ind w:firstLine="480"/>
        <w:rPr>
          <w:szCs w:val="24"/>
        </w:rPr>
      </w:pPr>
      <w:r>
        <w:fldChar w:fldCharType="begin"/>
      </w:r>
      <w:r>
        <w:instrText xml:space="preserve"> </w:instrText>
      </w:r>
      <w:r>
        <w:rPr>
          <w:rFonts w:hint="eastAsia"/>
        </w:rPr>
        <w:instrText xml:space="preserve">= 14 \* GB2</w:instrText>
      </w:r>
      <w:r>
        <w:instrText xml:space="preserve"> </w:instrText>
      </w:r>
      <w:r>
        <w:fldChar w:fldCharType="separate"/>
      </w:r>
      <w:r>
        <w:rPr>
          <w:rFonts w:hint="eastAsia"/>
        </w:rPr>
        <w:t>⒁</w:t>
      </w:r>
      <w:r>
        <w:fldChar w:fldCharType="end"/>
      </w:r>
      <w:r>
        <w:t>《水利水电工程环境影响评价规范（试行）》（SDJ302-88）</w:t>
      </w:r>
    </w:p>
    <w:p>
      <w:pPr>
        <w:ind w:firstLine="480"/>
        <w:rPr>
          <w:szCs w:val="24"/>
        </w:rPr>
      </w:pPr>
      <w:r>
        <w:rPr>
          <w:rFonts w:hint="eastAsia"/>
          <w:szCs w:val="24"/>
        </w:rPr>
        <w:t>⒂</w:t>
      </w:r>
      <w:r>
        <w:rPr>
          <w:rFonts w:hint="eastAsia"/>
        </w:rPr>
        <w:t>《内陆水域渔业资源调查手册》。</w:t>
      </w:r>
    </w:p>
    <w:p>
      <w:pPr>
        <w:pStyle w:val="7"/>
        <w:rPr>
          <w:szCs w:val="24"/>
        </w:rPr>
      </w:pPr>
      <w:bookmarkStart w:id="97" w:name="_Toc187557809"/>
      <w:bookmarkStart w:id="98" w:name="_Toc224878960"/>
      <w:bookmarkStart w:id="99" w:name="_Toc223843199"/>
      <w:bookmarkStart w:id="100" w:name="_Toc224879254"/>
      <w:bookmarkStart w:id="101" w:name="_Toc252288891"/>
      <w:bookmarkStart w:id="102" w:name="_Toc529278967"/>
      <w:bookmarkStart w:id="103" w:name="_Toc534895182"/>
      <w:bookmarkStart w:id="104" w:name="_Toc534806964"/>
      <w:bookmarkStart w:id="105" w:name="_Toc534386205"/>
      <w:bookmarkStart w:id="106" w:name="_Toc3903184"/>
      <w:bookmarkStart w:id="107" w:name="_Toc536265047"/>
      <w:r>
        <w:rPr>
          <w:szCs w:val="24"/>
        </w:rPr>
        <w:t>1.2.</w:t>
      </w:r>
      <w:bookmarkEnd w:id="97"/>
      <w:bookmarkEnd w:id="98"/>
      <w:bookmarkEnd w:id="99"/>
      <w:bookmarkEnd w:id="100"/>
      <w:bookmarkEnd w:id="101"/>
      <w:r>
        <w:rPr>
          <w:szCs w:val="24"/>
        </w:rPr>
        <w:t>4项目相关文件</w:t>
      </w:r>
      <w:bookmarkEnd w:id="102"/>
      <w:bookmarkEnd w:id="103"/>
      <w:bookmarkEnd w:id="104"/>
      <w:bookmarkEnd w:id="105"/>
      <w:bookmarkEnd w:id="106"/>
      <w:bookmarkEnd w:id="107"/>
    </w:p>
    <w:p>
      <w:pPr>
        <w:ind w:firstLine="480"/>
      </w:pPr>
      <w:r>
        <w:rPr>
          <w:rFonts w:hint="eastAsia" w:ascii="宋体" w:hAnsi="宋体" w:cs="宋体"/>
          <w:szCs w:val="24"/>
        </w:rPr>
        <w:t>⑴</w:t>
      </w:r>
      <w:r>
        <w:t>《</w:t>
      </w:r>
      <w:r>
        <w:rPr>
          <w:rFonts w:hint="eastAsia"/>
        </w:rPr>
        <w:t>上高</w:t>
      </w:r>
      <w:r>
        <w:t>县</w:t>
      </w:r>
      <w:r>
        <w:rPr>
          <w:rFonts w:hint="eastAsia"/>
        </w:rPr>
        <w:t>毛家渡</w:t>
      </w:r>
      <w:r>
        <w:t>抬水工程</w:t>
      </w:r>
      <w:r>
        <w:rPr>
          <w:rFonts w:hint="eastAsia"/>
        </w:rPr>
        <w:t>项目</w:t>
      </w:r>
      <w:r>
        <w:t>环境影响评价委托书》，</w:t>
      </w:r>
      <w:r>
        <w:rPr>
          <w:rFonts w:hint="eastAsia"/>
        </w:rPr>
        <w:t>上高</w:t>
      </w:r>
      <w:r>
        <w:t>县水利局，202</w:t>
      </w:r>
      <w:r>
        <w:rPr>
          <w:rFonts w:hint="eastAsia"/>
        </w:rPr>
        <w:t>2</w:t>
      </w:r>
      <w:r>
        <w:t>年</w:t>
      </w:r>
      <w:r>
        <w:rPr>
          <w:rFonts w:hint="eastAsia"/>
        </w:rPr>
        <w:t>6</w:t>
      </w:r>
      <w:r>
        <w:t>月；</w:t>
      </w:r>
    </w:p>
    <w:p>
      <w:pPr>
        <w:ind w:firstLine="480"/>
        <w:rPr>
          <w:szCs w:val="24"/>
        </w:rPr>
      </w:pPr>
      <w:r>
        <w:rPr>
          <w:rFonts w:hint="eastAsia" w:ascii="宋体" w:hAnsi="宋体" w:cs="宋体"/>
          <w:szCs w:val="24"/>
        </w:rPr>
        <w:t>⑵</w:t>
      </w:r>
      <w:r>
        <w:rPr>
          <w:szCs w:val="24"/>
        </w:rPr>
        <w:t>《</w:t>
      </w:r>
      <w:r>
        <w:rPr>
          <w:rFonts w:hint="eastAsia"/>
        </w:rPr>
        <w:t>上高</w:t>
      </w:r>
      <w:r>
        <w:t>县</w:t>
      </w:r>
      <w:r>
        <w:rPr>
          <w:rFonts w:hint="eastAsia"/>
        </w:rPr>
        <w:t>毛家渡</w:t>
      </w:r>
      <w:r>
        <w:t>抬水工程</w:t>
      </w:r>
      <w:r>
        <w:rPr>
          <w:szCs w:val="24"/>
        </w:rPr>
        <w:t>可行性研究报告》，江西省赣西土木工程勘测设计院，202</w:t>
      </w:r>
      <w:r>
        <w:rPr>
          <w:rFonts w:hint="eastAsia"/>
          <w:szCs w:val="24"/>
        </w:rPr>
        <w:t>2</w:t>
      </w:r>
      <w:r>
        <w:rPr>
          <w:szCs w:val="24"/>
        </w:rPr>
        <w:t>年3月；</w:t>
      </w:r>
    </w:p>
    <w:p>
      <w:pPr>
        <w:pStyle w:val="729"/>
        <w:spacing w:before="0" w:line="360" w:lineRule="auto"/>
        <w:ind w:firstLine="480"/>
      </w:pPr>
      <w:r>
        <w:rPr>
          <w:rFonts w:hint="eastAsia" w:ascii="宋体" w:hAnsi="宋体" w:cs="宋体"/>
        </w:rPr>
        <w:t>⑶</w:t>
      </w:r>
      <w:r>
        <w:t>《关于确认</w:t>
      </w:r>
      <w:r>
        <w:rPr>
          <w:rFonts w:hint="eastAsia"/>
        </w:rPr>
        <w:t>上高</w:t>
      </w:r>
      <w:r>
        <w:t>县</w:t>
      </w:r>
      <w:r>
        <w:rPr>
          <w:rFonts w:hint="eastAsia"/>
        </w:rPr>
        <w:t>毛家渡</w:t>
      </w:r>
      <w:r>
        <w:t>抬水工程项目环境影响评价执行标准的函》，宜春市</w:t>
      </w:r>
      <w:r>
        <w:rPr>
          <w:rFonts w:hint="eastAsia"/>
        </w:rPr>
        <w:t>上高</w:t>
      </w:r>
      <w:r>
        <w:t>生态环境局，202</w:t>
      </w:r>
      <w:r>
        <w:rPr>
          <w:rFonts w:hint="eastAsia"/>
        </w:rPr>
        <w:t>2</w:t>
      </w:r>
      <w:r>
        <w:t>年</w:t>
      </w:r>
      <w:r>
        <w:rPr>
          <w:rFonts w:hint="eastAsia"/>
        </w:rPr>
        <w:t>9</w:t>
      </w:r>
      <w:r>
        <w:t>月；</w:t>
      </w:r>
    </w:p>
    <w:p>
      <w:pPr>
        <w:ind w:firstLine="480"/>
      </w:pPr>
      <w:r>
        <w:rPr>
          <w:rFonts w:hint="eastAsia" w:ascii="宋体" w:hAnsi="宋体" w:cs="宋体"/>
        </w:rPr>
        <w:t>(4)</w:t>
      </w:r>
      <w:r>
        <w:t>业主提供的其他资料。</w:t>
      </w:r>
    </w:p>
    <w:p>
      <w:pPr>
        <w:pStyle w:val="6"/>
        <w:spacing w:beforeLines="50" w:afterLines="50"/>
        <w:rPr>
          <w:szCs w:val="28"/>
        </w:rPr>
      </w:pPr>
      <w:bookmarkStart w:id="108" w:name="_Toc529278968"/>
      <w:bookmarkStart w:id="109" w:name="_Toc201932526"/>
      <w:bookmarkStart w:id="110" w:name="_Toc5104"/>
      <w:bookmarkStart w:id="111" w:name="_Toc223843201"/>
      <w:bookmarkStart w:id="112" w:name="_Toc534386206"/>
      <w:bookmarkStart w:id="113" w:name="_Toc334643148"/>
      <w:bookmarkStart w:id="114" w:name="_Toc534806965"/>
      <w:bookmarkStart w:id="115" w:name="_Toc224878962"/>
      <w:bookmarkStart w:id="116" w:name="_Toc170981413"/>
      <w:bookmarkStart w:id="117" w:name="_Toc534895183"/>
      <w:bookmarkStart w:id="118" w:name="_Toc224879256"/>
      <w:bookmarkStart w:id="119" w:name="_Toc3903185"/>
      <w:bookmarkStart w:id="120" w:name="_Toc252288892"/>
      <w:bookmarkStart w:id="121" w:name="_Toc157479011"/>
      <w:bookmarkStart w:id="122" w:name="_Toc209351694"/>
      <w:bookmarkStart w:id="123" w:name="_Toc536265048"/>
      <w:r>
        <w:rPr>
          <w:szCs w:val="28"/>
        </w:rPr>
        <w:t>1.3环境影响要素与评价因子识别</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pPr>
        <w:pStyle w:val="7"/>
        <w:spacing w:before="240" w:beforeLines="100"/>
        <w:rPr>
          <w:szCs w:val="24"/>
        </w:rPr>
      </w:pPr>
      <w:bookmarkStart w:id="124" w:name="_Toc223843203"/>
      <w:bookmarkStart w:id="125" w:name="_Toc534386207"/>
      <w:bookmarkStart w:id="126" w:name="_Toc536265049"/>
      <w:bookmarkStart w:id="127" w:name="_Toc529278970"/>
      <w:bookmarkStart w:id="128" w:name="_Toc170981415"/>
      <w:bookmarkStart w:id="129" w:name="_Toc534895184"/>
      <w:bookmarkStart w:id="130" w:name="_Toc252288894"/>
      <w:bookmarkStart w:id="131" w:name="_Toc183011697"/>
      <w:bookmarkStart w:id="132" w:name="_Toc209351696"/>
      <w:bookmarkStart w:id="133" w:name="_Toc224879258"/>
      <w:bookmarkStart w:id="134" w:name="_Toc3903186"/>
      <w:bookmarkStart w:id="135" w:name="_Toc224878964"/>
      <w:bookmarkStart w:id="136" w:name="_Toc534806966"/>
      <w:bookmarkStart w:id="137" w:name="_Toc201932528"/>
      <w:bookmarkStart w:id="138" w:name="_Toc157479013"/>
      <w:r>
        <w:rPr>
          <w:szCs w:val="24"/>
        </w:rPr>
        <w:t>1.3.1环境影响要素识别与筛选</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pPr>
        <w:ind w:firstLine="480"/>
        <w:rPr>
          <w:snapToGrid w:val="0"/>
          <w:kern w:val="0"/>
        </w:rPr>
      </w:pPr>
      <w:r>
        <w:rPr>
          <w:snapToGrid w:val="0"/>
          <w:kern w:val="0"/>
        </w:rPr>
        <w:t>项目施工期和运行期对当地的自然环境会产生一定的影响，只是在不同的时段，其影响的程度和性质不同。</w:t>
      </w:r>
      <w:r>
        <w:rPr>
          <w:rFonts w:hint="eastAsia"/>
          <w:snapToGrid w:val="0"/>
          <w:kern w:val="0"/>
        </w:rPr>
        <w:t>根据工程建设内容、施工工艺、排放污染物的种类、数量并结合评价区的环境特征，按施工期、运行期2个时段对本项目主要环境影响因素、影响类型和影响程度进行识别，</w:t>
      </w:r>
      <w:r>
        <w:rPr>
          <w:snapToGrid w:val="0"/>
          <w:kern w:val="0"/>
        </w:rPr>
        <w:t>得出本建设项目对环境资源的环境影响识别矩阵，结果见表1.3-1。</w:t>
      </w:r>
    </w:p>
    <w:p>
      <w:pPr>
        <w:spacing w:before="120" w:beforeLines="50" w:line="240" w:lineRule="auto"/>
        <w:ind w:firstLine="480"/>
        <w:jc w:val="center"/>
        <w:rPr>
          <w:rFonts w:ascii="黑体" w:hAnsi="黑体" w:eastAsia="黑体"/>
          <w:snapToGrid w:val="0"/>
          <w:kern w:val="0"/>
        </w:rPr>
      </w:pPr>
      <w:r>
        <w:rPr>
          <w:rFonts w:hint="eastAsia" w:ascii="黑体" w:hAnsi="黑体" w:eastAsia="黑体"/>
          <w:snapToGrid w:val="0"/>
          <w:kern w:val="0"/>
        </w:rPr>
        <w:t>表1.3-1 环境影响因素识别矩阵</w:t>
      </w:r>
    </w:p>
    <w:tbl>
      <w:tblPr>
        <w:tblStyle w:val="8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518"/>
        <w:gridCol w:w="658"/>
        <w:gridCol w:w="829"/>
        <w:gridCol w:w="829"/>
        <w:gridCol w:w="835"/>
        <w:gridCol w:w="847"/>
        <w:gridCol w:w="1077"/>
        <w:gridCol w:w="851"/>
        <w:gridCol w:w="847"/>
        <w:gridCol w:w="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0" w:type="pct"/>
            <w:gridSpan w:val="2"/>
            <w:vMerge w:val="restart"/>
            <w:tcBorders>
              <w:top w:val="single" w:color="auto" w:sz="12" w:space="0"/>
              <w:left w:val="nil"/>
              <w:tl2br w:val="single" w:color="auto" w:sz="4" w:space="0"/>
            </w:tcBorders>
            <w:vAlign w:val="center"/>
          </w:tcPr>
          <w:p>
            <w:pPr>
              <w:adjustRightInd w:val="0"/>
              <w:snapToGrid w:val="0"/>
              <w:spacing w:line="340" w:lineRule="exact"/>
              <w:ind w:firstLine="0" w:firstLineChars="0"/>
              <w:jc w:val="right"/>
              <w:rPr>
                <w:snapToGrid w:val="0"/>
                <w:kern w:val="0"/>
                <w:sz w:val="21"/>
                <w:szCs w:val="21"/>
              </w:rPr>
            </w:pPr>
            <w:r>
              <w:rPr>
                <w:rFonts w:hint="eastAsia"/>
                <w:snapToGrid w:val="0"/>
                <w:kern w:val="0"/>
                <w:sz w:val="21"/>
                <w:szCs w:val="21"/>
              </w:rPr>
              <w:t>环境</w:t>
            </w:r>
            <w:r>
              <w:rPr>
                <w:snapToGrid w:val="0"/>
                <w:kern w:val="0"/>
                <w:sz w:val="21"/>
                <w:szCs w:val="21"/>
              </w:rPr>
              <w:t>因素</w:t>
            </w:r>
          </w:p>
          <w:p>
            <w:pPr>
              <w:adjustRightInd w:val="0"/>
              <w:snapToGrid w:val="0"/>
              <w:spacing w:line="340" w:lineRule="exact"/>
              <w:ind w:firstLine="0" w:firstLineChars="0"/>
              <w:jc w:val="center"/>
              <w:rPr>
                <w:snapToGrid w:val="0"/>
                <w:kern w:val="0"/>
                <w:sz w:val="21"/>
                <w:szCs w:val="21"/>
              </w:rPr>
            </w:pPr>
          </w:p>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影响因素</w:t>
            </w:r>
          </w:p>
        </w:tc>
        <w:tc>
          <w:tcPr>
            <w:tcW w:w="1650" w:type="pct"/>
            <w:gridSpan w:val="4"/>
            <w:tcBorders>
              <w:top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自然</w:t>
            </w:r>
            <w:r>
              <w:rPr>
                <w:snapToGrid w:val="0"/>
                <w:kern w:val="0"/>
                <w:sz w:val="21"/>
                <w:szCs w:val="21"/>
              </w:rPr>
              <w:t>环境</w:t>
            </w:r>
          </w:p>
        </w:tc>
        <w:tc>
          <w:tcPr>
            <w:tcW w:w="1451" w:type="pct"/>
            <w:gridSpan w:val="3"/>
            <w:tcBorders>
              <w:top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生态</w:t>
            </w:r>
            <w:r>
              <w:rPr>
                <w:snapToGrid w:val="0"/>
                <w:kern w:val="0"/>
                <w:sz w:val="21"/>
                <w:szCs w:val="21"/>
              </w:rPr>
              <w:t>环境</w:t>
            </w:r>
          </w:p>
        </w:tc>
        <w:tc>
          <w:tcPr>
            <w:tcW w:w="887" w:type="pct"/>
            <w:gridSpan w:val="2"/>
            <w:tcBorders>
              <w:top w:val="single" w:color="auto" w:sz="12" w:space="0"/>
              <w:righ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社会</w:t>
            </w:r>
            <w:r>
              <w:rPr>
                <w:snapToGrid w:val="0"/>
                <w:kern w:val="0"/>
                <w:sz w:val="21"/>
                <w:szCs w:val="21"/>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0" w:type="pct"/>
            <w:gridSpan w:val="2"/>
            <w:vMerge w:val="continue"/>
            <w:tcBorders>
              <w:left w:val="nil"/>
              <w:tl2br w:val="single" w:color="auto" w:sz="4" w:space="0"/>
            </w:tcBorders>
            <w:vAlign w:val="center"/>
          </w:tcPr>
          <w:p>
            <w:pPr>
              <w:adjustRightInd w:val="0"/>
              <w:snapToGrid w:val="0"/>
              <w:spacing w:line="340" w:lineRule="exact"/>
              <w:ind w:firstLine="0" w:firstLineChars="0"/>
              <w:jc w:val="center"/>
              <w:rPr>
                <w:snapToGrid w:val="0"/>
                <w:kern w:val="0"/>
                <w:sz w:val="21"/>
                <w:szCs w:val="21"/>
              </w:rPr>
            </w:pP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环境</w:t>
            </w:r>
            <w:r>
              <w:rPr>
                <w:snapToGrid w:val="0"/>
                <w:kern w:val="0"/>
                <w:sz w:val="21"/>
                <w:szCs w:val="21"/>
              </w:rPr>
              <w:t>空气</w:t>
            </w: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水环境</w:t>
            </w: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声环境</w:t>
            </w:r>
          </w:p>
        </w:tc>
        <w:tc>
          <w:tcPr>
            <w:tcW w:w="43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固体</w:t>
            </w:r>
            <w:r>
              <w:rPr>
                <w:snapToGrid w:val="0"/>
                <w:kern w:val="0"/>
                <w:sz w:val="21"/>
                <w:szCs w:val="21"/>
              </w:rPr>
              <w:t>废物</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陆域动植物</w:t>
            </w:r>
          </w:p>
        </w:tc>
        <w:tc>
          <w:tcPr>
            <w:tcW w:w="56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水生</w:t>
            </w:r>
            <w:r>
              <w:rPr>
                <w:snapToGrid w:val="0"/>
                <w:kern w:val="0"/>
                <w:sz w:val="21"/>
                <w:szCs w:val="21"/>
              </w:rPr>
              <w:t>、鱼类资源</w:t>
            </w:r>
          </w:p>
        </w:tc>
        <w:tc>
          <w:tcPr>
            <w:tcW w:w="44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水土</w:t>
            </w:r>
            <w:r>
              <w:rPr>
                <w:snapToGrid w:val="0"/>
                <w:kern w:val="0"/>
                <w:sz w:val="21"/>
                <w:szCs w:val="21"/>
              </w:rPr>
              <w:t>流失</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劳动</w:t>
            </w:r>
            <w:r>
              <w:rPr>
                <w:snapToGrid w:val="0"/>
                <w:kern w:val="0"/>
                <w:sz w:val="21"/>
                <w:szCs w:val="21"/>
              </w:rPr>
              <w:t>就业</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交通运输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restart"/>
            <w:tcBorders>
              <w:lef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施工期</w:t>
            </w: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进场防汛公路</w:t>
            </w: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-2S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w:t>
            </w:r>
            <w:r>
              <w:rPr>
                <w:snapToGrid w:val="0"/>
                <w:kern w:val="0"/>
                <w:sz w:val="21"/>
                <w:szCs w:val="21"/>
              </w:rPr>
              <w:t>1</w:t>
            </w:r>
            <w:r>
              <w:rPr>
                <w:rFonts w:hint="eastAsia"/>
                <w:snapToGrid w:val="0"/>
                <w:kern w:val="0"/>
                <w:sz w:val="21"/>
                <w:szCs w:val="21"/>
              </w:rPr>
              <w:t>S</w:t>
            </w:r>
          </w:p>
        </w:tc>
        <w:tc>
          <w:tcPr>
            <w:tcW w:w="563" w:type="pct"/>
            <w:vAlign w:val="center"/>
          </w:tcPr>
          <w:p>
            <w:pPr>
              <w:adjustRightInd w:val="0"/>
              <w:snapToGrid w:val="0"/>
              <w:spacing w:line="340" w:lineRule="exact"/>
              <w:ind w:firstLine="0" w:firstLineChars="0"/>
              <w:jc w:val="center"/>
              <w:rPr>
                <w:snapToGrid w:val="0"/>
                <w:kern w:val="0"/>
                <w:sz w:val="21"/>
                <w:szCs w:val="21"/>
              </w:rPr>
            </w:pPr>
          </w:p>
        </w:tc>
        <w:tc>
          <w:tcPr>
            <w:tcW w:w="44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continue"/>
            <w:tcBorders>
              <w:left w:val="nil"/>
            </w:tcBorders>
            <w:vAlign w:val="center"/>
          </w:tcPr>
          <w:p>
            <w:pPr>
              <w:adjustRightInd w:val="0"/>
              <w:snapToGrid w:val="0"/>
              <w:spacing w:line="340" w:lineRule="exact"/>
              <w:ind w:firstLine="0" w:firstLineChars="0"/>
              <w:jc w:val="center"/>
              <w:rPr>
                <w:snapToGrid w:val="0"/>
                <w:kern w:val="0"/>
                <w:sz w:val="21"/>
                <w:szCs w:val="21"/>
              </w:rPr>
            </w:pP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坝基开挖</w:t>
            </w: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-2S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563" w:type="pct"/>
            <w:vAlign w:val="center"/>
          </w:tcPr>
          <w:p>
            <w:pPr>
              <w:adjustRightInd w:val="0"/>
              <w:snapToGrid w:val="0"/>
              <w:spacing w:line="340" w:lineRule="exact"/>
              <w:ind w:firstLine="0" w:firstLineChars="0"/>
              <w:jc w:val="center"/>
              <w:rPr>
                <w:snapToGrid w:val="0"/>
                <w:kern w:val="0"/>
                <w:sz w:val="21"/>
                <w:szCs w:val="21"/>
              </w:rPr>
            </w:pPr>
          </w:p>
        </w:tc>
        <w:tc>
          <w:tcPr>
            <w:tcW w:w="44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continue"/>
            <w:tcBorders>
              <w:left w:val="nil"/>
            </w:tcBorders>
            <w:vAlign w:val="center"/>
          </w:tcPr>
          <w:p>
            <w:pPr>
              <w:adjustRightInd w:val="0"/>
              <w:snapToGrid w:val="0"/>
              <w:spacing w:line="340" w:lineRule="exact"/>
              <w:ind w:firstLine="0" w:firstLineChars="0"/>
              <w:jc w:val="center"/>
              <w:rPr>
                <w:snapToGrid w:val="0"/>
                <w:kern w:val="0"/>
                <w:sz w:val="21"/>
                <w:szCs w:val="21"/>
              </w:rPr>
            </w:pP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大坝</w:t>
            </w:r>
            <w:r>
              <w:rPr>
                <w:snapToGrid w:val="0"/>
                <w:kern w:val="0"/>
                <w:sz w:val="21"/>
                <w:szCs w:val="21"/>
              </w:rPr>
              <w:t>建设</w:t>
            </w: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5"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w:t>
            </w:r>
            <w:r>
              <w:rPr>
                <w:snapToGrid w:val="0"/>
                <w:kern w:val="0"/>
                <w:sz w:val="21"/>
                <w:szCs w:val="21"/>
              </w:rPr>
              <w:t>1S</w:t>
            </w:r>
          </w:p>
        </w:tc>
        <w:tc>
          <w:tcPr>
            <w:tcW w:w="56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continue"/>
            <w:tcBorders>
              <w:left w:val="nil"/>
            </w:tcBorders>
            <w:vAlign w:val="center"/>
          </w:tcPr>
          <w:p>
            <w:pPr>
              <w:adjustRightInd w:val="0"/>
              <w:snapToGrid w:val="0"/>
              <w:spacing w:line="340" w:lineRule="exact"/>
              <w:ind w:firstLine="0" w:firstLineChars="0"/>
              <w:jc w:val="center"/>
              <w:rPr>
                <w:snapToGrid w:val="0"/>
                <w:kern w:val="0"/>
                <w:sz w:val="21"/>
                <w:szCs w:val="21"/>
              </w:rPr>
            </w:pP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材料</w:t>
            </w:r>
            <w:r>
              <w:rPr>
                <w:snapToGrid w:val="0"/>
                <w:kern w:val="0"/>
                <w:sz w:val="21"/>
                <w:szCs w:val="21"/>
              </w:rPr>
              <w:t>运输</w:t>
            </w: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5"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r>
              <w:rPr>
                <w:snapToGrid w:val="0"/>
                <w:kern w:val="0"/>
                <w:sz w:val="21"/>
                <w:szCs w:val="21"/>
              </w:rPr>
              <w:t>-1</w:t>
            </w:r>
            <w:r>
              <w:rPr>
                <w:rFonts w:hint="eastAsia"/>
                <w:snapToGrid w:val="0"/>
                <w:kern w:val="0"/>
                <w:sz w:val="21"/>
                <w:szCs w:val="21"/>
              </w:rPr>
              <w:t>S</w:t>
            </w:r>
          </w:p>
        </w:tc>
        <w:tc>
          <w:tcPr>
            <w:tcW w:w="563" w:type="pct"/>
            <w:vAlign w:val="center"/>
          </w:tcPr>
          <w:p>
            <w:pPr>
              <w:adjustRightInd w:val="0"/>
              <w:snapToGrid w:val="0"/>
              <w:spacing w:line="340" w:lineRule="exact"/>
              <w:ind w:firstLine="0" w:firstLineChars="0"/>
              <w:jc w:val="center"/>
              <w:rPr>
                <w:snapToGrid w:val="0"/>
                <w:kern w:val="0"/>
                <w:sz w:val="21"/>
                <w:szCs w:val="21"/>
              </w:rPr>
            </w:pPr>
          </w:p>
        </w:tc>
        <w:tc>
          <w:tcPr>
            <w:tcW w:w="444"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continue"/>
            <w:tcBorders>
              <w:left w:val="nil"/>
            </w:tcBorders>
            <w:vAlign w:val="center"/>
          </w:tcPr>
          <w:p>
            <w:pPr>
              <w:adjustRightInd w:val="0"/>
              <w:snapToGrid w:val="0"/>
              <w:spacing w:line="340" w:lineRule="exact"/>
              <w:ind w:firstLine="0" w:firstLineChars="0"/>
              <w:jc w:val="center"/>
              <w:rPr>
                <w:snapToGrid w:val="0"/>
                <w:kern w:val="0"/>
                <w:sz w:val="21"/>
                <w:szCs w:val="21"/>
              </w:rPr>
            </w:pP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建筑</w:t>
            </w:r>
            <w:r>
              <w:rPr>
                <w:snapToGrid w:val="0"/>
                <w:kern w:val="0"/>
                <w:sz w:val="21"/>
                <w:szCs w:val="21"/>
              </w:rPr>
              <w:t>材料堆存</w:t>
            </w:r>
          </w:p>
        </w:tc>
        <w:tc>
          <w:tcPr>
            <w:tcW w:w="345"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35"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563" w:type="pct"/>
            <w:vAlign w:val="center"/>
          </w:tcPr>
          <w:p>
            <w:pPr>
              <w:adjustRightInd w:val="0"/>
              <w:snapToGrid w:val="0"/>
              <w:spacing w:line="340" w:lineRule="exact"/>
              <w:ind w:firstLine="0" w:firstLineChars="0"/>
              <w:jc w:val="center"/>
              <w:rPr>
                <w:snapToGrid w:val="0"/>
                <w:kern w:val="0"/>
                <w:sz w:val="21"/>
                <w:szCs w:val="21"/>
              </w:rPr>
            </w:pPr>
          </w:p>
        </w:tc>
        <w:tc>
          <w:tcPr>
            <w:tcW w:w="44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+1S</w:t>
            </w: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restart"/>
            <w:tcBorders>
              <w:left w:val="nil"/>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运营期</w:t>
            </w:r>
          </w:p>
        </w:tc>
        <w:tc>
          <w:tcPr>
            <w:tcW w:w="793"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工程</w:t>
            </w:r>
            <w:r>
              <w:rPr>
                <w:snapToGrid w:val="0"/>
                <w:kern w:val="0"/>
                <w:sz w:val="21"/>
                <w:szCs w:val="21"/>
              </w:rPr>
              <w:t>运行</w:t>
            </w:r>
          </w:p>
        </w:tc>
        <w:tc>
          <w:tcPr>
            <w:tcW w:w="345" w:type="pct"/>
            <w:vAlign w:val="center"/>
          </w:tcPr>
          <w:p>
            <w:pPr>
              <w:adjustRightInd w:val="0"/>
              <w:snapToGrid w:val="0"/>
              <w:spacing w:line="340" w:lineRule="exact"/>
              <w:ind w:firstLine="0" w:firstLineChars="0"/>
              <w:jc w:val="center"/>
              <w:rPr>
                <w:snapToGrid w:val="0"/>
                <w:kern w:val="0"/>
                <w:sz w:val="21"/>
                <w:szCs w:val="21"/>
              </w:rPr>
            </w:pPr>
          </w:p>
        </w:tc>
        <w:tc>
          <w:tcPr>
            <w:tcW w:w="434" w:type="pct"/>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-2L</w:t>
            </w:r>
          </w:p>
        </w:tc>
        <w:tc>
          <w:tcPr>
            <w:tcW w:w="434" w:type="pct"/>
            <w:vAlign w:val="center"/>
          </w:tcPr>
          <w:p>
            <w:pPr>
              <w:adjustRightInd w:val="0"/>
              <w:snapToGrid w:val="0"/>
              <w:spacing w:line="340" w:lineRule="exact"/>
              <w:ind w:firstLine="0" w:firstLineChars="0"/>
              <w:jc w:val="center"/>
              <w:rPr>
                <w:snapToGrid w:val="0"/>
                <w:kern w:val="0"/>
                <w:sz w:val="21"/>
                <w:szCs w:val="21"/>
              </w:rPr>
            </w:pPr>
          </w:p>
        </w:tc>
        <w:tc>
          <w:tcPr>
            <w:tcW w:w="435"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p>
        </w:tc>
        <w:tc>
          <w:tcPr>
            <w:tcW w:w="563" w:type="pct"/>
            <w:vAlign w:val="center"/>
          </w:tcPr>
          <w:p>
            <w:pPr>
              <w:adjustRightInd w:val="0"/>
              <w:snapToGrid w:val="0"/>
              <w:spacing w:line="340" w:lineRule="exact"/>
              <w:ind w:firstLine="0" w:firstLineChars="0"/>
              <w:jc w:val="center"/>
              <w:rPr>
                <w:snapToGrid w:val="0"/>
                <w:kern w:val="0"/>
                <w:sz w:val="21"/>
                <w:szCs w:val="21"/>
              </w:rPr>
            </w:pPr>
          </w:p>
        </w:tc>
        <w:tc>
          <w:tcPr>
            <w:tcW w:w="444" w:type="pct"/>
            <w:vAlign w:val="center"/>
          </w:tcPr>
          <w:p>
            <w:pPr>
              <w:adjustRightInd w:val="0"/>
              <w:snapToGrid w:val="0"/>
              <w:spacing w:line="340" w:lineRule="exact"/>
              <w:ind w:firstLine="0" w:firstLineChars="0"/>
              <w:jc w:val="center"/>
              <w:rPr>
                <w:snapToGrid w:val="0"/>
                <w:kern w:val="0"/>
                <w:sz w:val="21"/>
                <w:szCs w:val="21"/>
              </w:rPr>
            </w:pPr>
          </w:p>
        </w:tc>
        <w:tc>
          <w:tcPr>
            <w:tcW w:w="443" w:type="pct"/>
            <w:vAlign w:val="center"/>
          </w:tcPr>
          <w:p>
            <w:pPr>
              <w:adjustRightInd w:val="0"/>
              <w:snapToGrid w:val="0"/>
              <w:spacing w:line="340" w:lineRule="exact"/>
              <w:ind w:firstLine="0" w:firstLineChars="0"/>
              <w:jc w:val="center"/>
              <w:rPr>
                <w:snapToGrid w:val="0"/>
                <w:kern w:val="0"/>
                <w:sz w:val="21"/>
                <w:szCs w:val="21"/>
              </w:rPr>
            </w:pPr>
          </w:p>
        </w:tc>
        <w:tc>
          <w:tcPr>
            <w:tcW w:w="443" w:type="pct"/>
            <w:tcBorders>
              <w:right w:val="nil"/>
            </w:tcBorders>
            <w:vAlign w:val="center"/>
          </w:tcPr>
          <w:p>
            <w:pPr>
              <w:adjustRightInd w:val="0"/>
              <w:snapToGrid w:val="0"/>
              <w:spacing w:line="340" w:lineRule="exact"/>
              <w:ind w:firstLine="0" w:firstLineChars="0"/>
              <w:jc w:val="center"/>
              <w:rPr>
                <w:snapToGrid w:val="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 w:type="pct"/>
            <w:vMerge w:val="continue"/>
            <w:tcBorders>
              <w:left w:val="nil"/>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p>
        </w:tc>
        <w:tc>
          <w:tcPr>
            <w:tcW w:w="793"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工程</w:t>
            </w:r>
            <w:r>
              <w:rPr>
                <w:snapToGrid w:val="0"/>
                <w:kern w:val="0"/>
                <w:sz w:val="21"/>
                <w:szCs w:val="21"/>
              </w:rPr>
              <w:t>管理站</w:t>
            </w:r>
          </w:p>
        </w:tc>
        <w:tc>
          <w:tcPr>
            <w:tcW w:w="345"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p>
        </w:tc>
        <w:tc>
          <w:tcPr>
            <w:tcW w:w="434"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p>
        </w:tc>
        <w:tc>
          <w:tcPr>
            <w:tcW w:w="434"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-1L</w:t>
            </w:r>
          </w:p>
        </w:tc>
        <w:tc>
          <w:tcPr>
            <w:tcW w:w="435"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-1L</w:t>
            </w:r>
          </w:p>
        </w:tc>
        <w:tc>
          <w:tcPr>
            <w:tcW w:w="443"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-1L</w:t>
            </w:r>
          </w:p>
        </w:tc>
        <w:tc>
          <w:tcPr>
            <w:tcW w:w="563"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p>
        </w:tc>
        <w:tc>
          <w:tcPr>
            <w:tcW w:w="444"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p>
        </w:tc>
        <w:tc>
          <w:tcPr>
            <w:tcW w:w="443" w:type="pct"/>
            <w:tcBorders>
              <w:bottom w:val="single" w:color="auto" w:sz="12" w:space="0"/>
            </w:tcBorders>
            <w:vAlign w:val="center"/>
          </w:tcPr>
          <w:p>
            <w:pPr>
              <w:adjustRightInd w:val="0"/>
              <w:snapToGrid w:val="0"/>
              <w:spacing w:line="340" w:lineRule="exact"/>
              <w:ind w:firstLine="0" w:firstLineChars="0"/>
              <w:jc w:val="center"/>
              <w:rPr>
                <w:snapToGrid w:val="0"/>
                <w:kern w:val="0"/>
                <w:sz w:val="21"/>
                <w:szCs w:val="21"/>
              </w:rPr>
            </w:pPr>
            <w:r>
              <w:rPr>
                <w:rFonts w:hint="eastAsia"/>
                <w:snapToGrid w:val="0"/>
                <w:kern w:val="0"/>
                <w:sz w:val="21"/>
                <w:szCs w:val="21"/>
              </w:rPr>
              <w:t>+1L</w:t>
            </w:r>
          </w:p>
        </w:tc>
        <w:tc>
          <w:tcPr>
            <w:tcW w:w="443" w:type="pct"/>
            <w:tcBorders>
              <w:bottom w:val="single" w:color="auto" w:sz="12" w:space="0"/>
              <w:right w:val="nil"/>
            </w:tcBorders>
            <w:vAlign w:val="center"/>
          </w:tcPr>
          <w:p>
            <w:pPr>
              <w:adjustRightInd w:val="0"/>
              <w:snapToGrid w:val="0"/>
              <w:spacing w:line="340" w:lineRule="exact"/>
              <w:ind w:firstLine="0" w:firstLineChars="0"/>
              <w:jc w:val="center"/>
              <w:rPr>
                <w:snapToGrid w:val="0"/>
                <w:kern w:val="0"/>
                <w:sz w:val="21"/>
                <w:szCs w:val="21"/>
              </w:rPr>
            </w:pPr>
          </w:p>
        </w:tc>
      </w:tr>
    </w:tbl>
    <w:p>
      <w:pPr>
        <w:spacing w:line="240" w:lineRule="atLeast"/>
        <w:ind w:firstLine="0" w:firstLineChars="0"/>
        <w:rPr>
          <w:sz w:val="21"/>
          <w:szCs w:val="21"/>
        </w:rPr>
      </w:pPr>
      <w:r>
        <w:rPr>
          <w:sz w:val="21"/>
          <w:szCs w:val="21"/>
        </w:rPr>
        <w:t>注：“＋”表示正影响，“－”表示负影响；“S”表示短期影响，“L”表示长期影响。</w:t>
      </w:r>
    </w:p>
    <w:p>
      <w:pPr>
        <w:spacing w:line="240" w:lineRule="atLeast"/>
        <w:ind w:firstLine="420"/>
        <w:rPr>
          <w:sz w:val="21"/>
          <w:szCs w:val="21"/>
        </w:rPr>
      </w:pPr>
      <w:r>
        <w:rPr>
          <w:sz w:val="21"/>
          <w:szCs w:val="21"/>
        </w:rPr>
        <w:t>“1”表示影响较小，“2”表示影响中等，“3”表示影响较大；</w:t>
      </w:r>
    </w:p>
    <w:p>
      <w:pPr>
        <w:ind w:firstLine="480"/>
        <w:rPr>
          <w:snapToGrid w:val="0"/>
          <w:kern w:val="0"/>
        </w:rPr>
      </w:pPr>
      <w:r>
        <w:rPr>
          <w:snapToGrid w:val="0"/>
          <w:kern w:val="0"/>
        </w:rPr>
        <w:t>由表可以看出，本项目对环境的影响以施工期为主，</w:t>
      </w:r>
      <w:r>
        <w:rPr>
          <w:rFonts w:hint="eastAsia"/>
          <w:snapToGrid w:val="0"/>
          <w:kern w:val="0"/>
        </w:rPr>
        <w:t>进场防汛公路建设</w:t>
      </w:r>
      <w:r>
        <w:rPr>
          <w:snapToGrid w:val="0"/>
          <w:kern w:val="0"/>
        </w:rPr>
        <w:t>、坝基开挖、大坝建设、材料运输等环节对环境各要素产生不利影响，施工期结束后，影响随之结束。</w:t>
      </w:r>
      <w:r>
        <w:rPr>
          <w:rFonts w:hint="eastAsia"/>
          <w:snapToGrid w:val="0"/>
          <w:kern w:val="0"/>
        </w:rPr>
        <w:t>工程</w:t>
      </w:r>
      <w:r>
        <w:rPr>
          <w:snapToGrid w:val="0"/>
          <w:kern w:val="0"/>
        </w:rPr>
        <w:t>运行期对下游</w:t>
      </w:r>
      <w:r>
        <w:rPr>
          <w:rFonts w:hint="eastAsia"/>
          <w:snapToGrid w:val="0"/>
          <w:kern w:val="0"/>
        </w:rPr>
        <w:t>锦河</w:t>
      </w:r>
      <w:r>
        <w:rPr>
          <w:snapToGrid w:val="0"/>
          <w:kern w:val="0"/>
        </w:rPr>
        <w:t>水文情势产生永久性的影响。</w:t>
      </w:r>
    </w:p>
    <w:p>
      <w:pPr>
        <w:pStyle w:val="7"/>
        <w:spacing w:before="120" w:beforeLines="50"/>
        <w:rPr>
          <w:szCs w:val="24"/>
        </w:rPr>
      </w:pPr>
      <w:bookmarkStart w:id="139" w:name="_Toc3903187"/>
      <w:bookmarkStart w:id="140" w:name="_Toc534895185"/>
      <w:bookmarkStart w:id="141" w:name="_Toc534806967"/>
      <w:bookmarkStart w:id="142" w:name="_Toc529278971"/>
      <w:bookmarkStart w:id="143" w:name="_Toc534386208"/>
      <w:bookmarkStart w:id="144" w:name="_Toc536265050"/>
      <w:bookmarkStart w:id="145" w:name="_Ref381951577"/>
      <w:bookmarkStart w:id="146" w:name="_Toc170981416"/>
      <w:bookmarkStart w:id="147" w:name="_Toc224879259"/>
      <w:bookmarkStart w:id="148" w:name="_Toc183011698"/>
      <w:bookmarkStart w:id="149" w:name="_Toc223843204"/>
      <w:bookmarkStart w:id="150" w:name="_Toc157479014"/>
      <w:bookmarkStart w:id="151" w:name="_Toc201932529"/>
      <w:bookmarkStart w:id="152" w:name="_Toc224878965"/>
      <w:bookmarkStart w:id="153" w:name="_Toc209351697"/>
      <w:r>
        <w:rPr>
          <w:szCs w:val="24"/>
        </w:rPr>
        <w:t>1.3.2评价因子</w:t>
      </w:r>
      <w:bookmarkEnd w:id="139"/>
      <w:bookmarkEnd w:id="140"/>
      <w:bookmarkEnd w:id="141"/>
      <w:bookmarkEnd w:id="142"/>
      <w:bookmarkEnd w:id="143"/>
      <w:bookmarkEnd w:id="144"/>
    </w:p>
    <w:p>
      <w:pPr>
        <w:ind w:firstLine="480"/>
        <w:rPr>
          <w:snapToGrid w:val="0"/>
          <w:kern w:val="0"/>
        </w:rPr>
      </w:pPr>
      <w:r>
        <w:rPr>
          <w:rFonts w:hint="eastAsia"/>
          <w:snapToGrid w:val="0"/>
          <w:kern w:val="0"/>
        </w:rPr>
        <w:t>根据上述环境影响因素识别结果及工程特点，筛选后确定本工程环境影响评价因子见</w:t>
      </w:r>
      <w:r>
        <w:rPr>
          <w:snapToGrid w:val="0"/>
          <w:kern w:val="0"/>
        </w:rPr>
        <w:t>表1.3-2。</w:t>
      </w:r>
    </w:p>
    <w:p>
      <w:pPr>
        <w:spacing w:before="120" w:beforeLines="50" w:line="240" w:lineRule="auto"/>
        <w:ind w:firstLine="480"/>
        <w:jc w:val="center"/>
        <w:rPr>
          <w:rFonts w:eastAsia="黑体"/>
        </w:rPr>
      </w:pPr>
      <w:r>
        <w:rPr>
          <w:rFonts w:eastAsia="黑体"/>
        </w:rPr>
        <w:t>表</w:t>
      </w:r>
      <w:r>
        <w:rPr>
          <w:snapToGrid w:val="0"/>
          <w:kern w:val="0"/>
        </w:rPr>
        <w:t>1.3</w:t>
      </w:r>
      <w:r>
        <w:rPr>
          <w:snapToGrid w:val="0"/>
          <w:kern w:val="0"/>
        </w:rPr>
        <w:noBreakHyphen/>
      </w:r>
      <w:bookmarkEnd w:id="145"/>
      <w:r>
        <w:rPr>
          <w:snapToGrid w:val="0"/>
          <w:kern w:val="0"/>
        </w:rPr>
        <w:t xml:space="preserve">2  </w:t>
      </w:r>
      <w:r>
        <w:rPr>
          <w:rFonts w:eastAsia="黑体"/>
        </w:rPr>
        <w:t>评价因子</w:t>
      </w:r>
      <w:r>
        <w:rPr>
          <w:rFonts w:hint="eastAsia" w:eastAsia="黑体"/>
        </w:rPr>
        <w:t>筛选结果</w:t>
      </w:r>
      <w:r>
        <w:rPr>
          <w:rFonts w:eastAsia="黑体"/>
        </w:rPr>
        <w:t>一览表</w:t>
      </w:r>
    </w:p>
    <w:tbl>
      <w:tblPr>
        <w:tblStyle w:val="82"/>
        <w:tblW w:w="4997"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59"/>
        <w:gridCol w:w="1322"/>
        <w:gridCol w:w="4287"/>
        <w:gridCol w:w="299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92" w:type="pct"/>
            <w:gridSpan w:val="2"/>
            <w:vAlign w:val="center"/>
          </w:tcPr>
          <w:p>
            <w:pPr>
              <w:pStyle w:val="446"/>
              <w:spacing w:line="340" w:lineRule="exact"/>
              <w:rPr>
                <w:rFonts w:hAnsi="Times New Roman"/>
                <w:b w:val="0"/>
                <w:bCs/>
                <w:sz w:val="21"/>
                <w:szCs w:val="21"/>
              </w:rPr>
            </w:pPr>
            <w:r>
              <w:rPr>
                <w:rFonts w:hAnsi="Times New Roman"/>
                <w:b w:val="0"/>
                <w:bCs/>
                <w:sz w:val="21"/>
                <w:szCs w:val="21"/>
              </w:rPr>
              <w:t>分类</w:t>
            </w:r>
          </w:p>
        </w:tc>
        <w:tc>
          <w:tcPr>
            <w:tcW w:w="3807" w:type="pct"/>
            <w:gridSpan w:val="2"/>
            <w:vAlign w:val="center"/>
          </w:tcPr>
          <w:p>
            <w:pPr>
              <w:pStyle w:val="446"/>
              <w:spacing w:line="340" w:lineRule="exact"/>
              <w:rPr>
                <w:rFonts w:hAnsi="Times New Roman"/>
                <w:b w:val="0"/>
                <w:bCs/>
                <w:sz w:val="21"/>
                <w:szCs w:val="21"/>
              </w:rPr>
            </w:pPr>
            <w:r>
              <w:rPr>
                <w:rFonts w:hAnsi="Times New Roman"/>
                <w:b w:val="0"/>
                <w:bCs/>
                <w:sz w:val="21"/>
                <w:szCs w:val="21"/>
              </w:rPr>
              <w:t>评价因子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restart"/>
            <w:tcBorders>
              <w:righ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工程</w:t>
            </w:r>
          </w:p>
          <w:p>
            <w:pPr>
              <w:pStyle w:val="446"/>
              <w:spacing w:line="340" w:lineRule="exact"/>
              <w:rPr>
                <w:rFonts w:hAnsi="Times New Roman"/>
                <w:b w:val="0"/>
                <w:sz w:val="21"/>
                <w:szCs w:val="21"/>
              </w:rPr>
            </w:pPr>
            <w:r>
              <w:rPr>
                <w:rFonts w:hint="eastAsia" w:hAnsi="Times New Roman"/>
                <w:b w:val="0"/>
                <w:sz w:val="21"/>
                <w:szCs w:val="21"/>
              </w:rPr>
              <w:t>污染源</w:t>
            </w:r>
          </w:p>
        </w:tc>
        <w:tc>
          <w:tcPr>
            <w:tcW w:w="690"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阶段</w:t>
            </w:r>
          </w:p>
        </w:tc>
        <w:tc>
          <w:tcPr>
            <w:tcW w:w="2241" w:type="pct"/>
            <w:tcBorders>
              <w:righ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施工期</w:t>
            </w:r>
          </w:p>
        </w:tc>
        <w:tc>
          <w:tcPr>
            <w:tcW w:w="1565" w:type="pct"/>
            <w:tcBorders>
              <w:lef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运营期</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cBorders>
              <w:right w:val="single" w:color="auto" w:sz="4" w:space="0"/>
            </w:tcBorders>
            <w:vAlign w:val="center"/>
          </w:tcPr>
          <w:p>
            <w:pPr>
              <w:pStyle w:val="446"/>
              <w:spacing w:line="340" w:lineRule="exact"/>
              <w:rPr>
                <w:rFonts w:hAnsi="Times New Roman"/>
                <w:b w:val="0"/>
                <w:sz w:val="21"/>
                <w:szCs w:val="21"/>
              </w:rPr>
            </w:pPr>
          </w:p>
        </w:tc>
        <w:tc>
          <w:tcPr>
            <w:tcW w:w="690"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水污染源</w:t>
            </w:r>
          </w:p>
        </w:tc>
        <w:tc>
          <w:tcPr>
            <w:tcW w:w="2241" w:type="pct"/>
            <w:tcBorders>
              <w:righ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COD</w:t>
            </w:r>
            <w:r>
              <w:rPr>
                <w:rFonts w:hint="eastAsia" w:hAnsi="Times New Roman"/>
                <w:b w:val="0"/>
                <w:sz w:val="21"/>
                <w:szCs w:val="21"/>
              </w:rPr>
              <w:t>、</w:t>
            </w:r>
            <w:r>
              <w:rPr>
                <w:rFonts w:hAnsi="Times New Roman"/>
                <w:b w:val="0"/>
                <w:sz w:val="21"/>
                <w:szCs w:val="21"/>
              </w:rPr>
              <w:t>BOD</w:t>
            </w:r>
            <w:r>
              <w:rPr>
                <w:rFonts w:hAnsi="Times New Roman"/>
                <w:b w:val="0"/>
                <w:sz w:val="21"/>
                <w:szCs w:val="21"/>
                <w:vertAlign w:val="subscript"/>
              </w:rPr>
              <w:t>5</w:t>
            </w:r>
            <w:r>
              <w:rPr>
                <w:rFonts w:hint="eastAsia" w:hAnsi="Times New Roman"/>
                <w:b w:val="0"/>
                <w:sz w:val="21"/>
                <w:szCs w:val="21"/>
              </w:rPr>
              <w:t>、氨氮、</w:t>
            </w:r>
            <w:r>
              <w:rPr>
                <w:rFonts w:hAnsi="Times New Roman"/>
                <w:b w:val="0"/>
                <w:sz w:val="21"/>
                <w:szCs w:val="21"/>
              </w:rPr>
              <w:t>SS</w:t>
            </w:r>
            <w:r>
              <w:rPr>
                <w:rFonts w:hint="eastAsia" w:hAnsi="Times New Roman"/>
                <w:b w:val="0"/>
                <w:sz w:val="21"/>
                <w:szCs w:val="21"/>
              </w:rPr>
              <w:t>、石油类</w:t>
            </w:r>
          </w:p>
        </w:tc>
        <w:tc>
          <w:tcPr>
            <w:tcW w:w="1565" w:type="pct"/>
            <w:tcBorders>
              <w:lef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COD</w:t>
            </w:r>
            <w:r>
              <w:rPr>
                <w:rFonts w:hint="eastAsia" w:hAnsi="Times New Roman"/>
                <w:b w:val="0"/>
                <w:sz w:val="21"/>
                <w:szCs w:val="21"/>
              </w:rPr>
              <w:t>、</w:t>
            </w:r>
            <w:r>
              <w:rPr>
                <w:rFonts w:hAnsi="Times New Roman"/>
                <w:b w:val="0"/>
                <w:sz w:val="21"/>
                <w:szCs w:val="21"/>
              </w:rPr>
              <w:t>BOD</w:t>
            </w:r>
            <w:r>
              <w:rPr>
                <w:rFonts w:hAnsi="Times New Roman"/>
                <w:b w:val="0"/>
                <w:sz w:val="21"/>
                <w:szCs w:val="21"/>
                <w:vertAlign w:val="subscript"/>
              </w:rPr>
              <w:t>5</w:t>
            </w:r>
            <w:r>
              <w:rPr>
                <w:rFonts w:hint="eastAsia" w:hAnsi="Times New Roman"/>
                <w:b w:val="0"/>
                <w:sz w:val="21"/>
                <w:szCs w:val="21"/>
              </w:rPr>
              <w:t>、氨氮、</w:t>
            </w:r>
            <w:r>
              <w:rPr>
                <w:rFonts w:hAnsi="Times New Roman"/>
                <w:b w:val="0"/>
                <w:sz w:val="21"/>
                <w:szCs w:val="21"/>
              </w:rPr>
              <w:t>SS</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cBorders>
              <w:right w:val="single" w:color="auto" w:sz="4" w:space="0"/>
            </w:tcBorders>
            <w:vAlign w:val="center"/>
          </w:tcPr>
          <w:p>
            <w:pPr>
              <w:pStyle w:val="446"/>
              <w:spacing w:line="340" w:lineRule="exact"/>
              <w:rPr>
                <w:rFonts w:hAnsi="Times New Roman"/>
                <w:b w:val="0"/>
                <w:sz w:val="21"/>
                <w:szCs w:val="21"/>
              </w:rPr>
            </w:pPr>
          </w:p>
        </w:tc>
        <w:tc>
          <w:tcPr>
            <w:tcW w:w="690"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大气污染源</w:t>
            </w:r>
          </w:p>
        </w:tc>
        <w:tc>
          <w:tcPr>
            <w:tcW w:w="2241" w:type="pct"/>
            <w:tcBorders>
              <w:righ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颗粒物、汽车尾气</w:t>
            </w:r>
          </w:p>
        </w:tc>
        <w:tc>
          <w:tcPr>
            <w:tcW w:w="1565"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cBorders>
              <w:right w:val="single" w:color="auto" w:sz="4" w:space="0"/>
            </w:tcBorders>
            <w:vAlign w:val="center"/>
          </w:tcPr>
          <w:p>
            <w:pPr>
              <w:pStyle w:val="446"/>
              <w:spacing w:line="340" w:lineRule="exact"/>
              <w:rPr>
                <w:rFonts w:hAnsi="Times New Roman"/>
                <w:b w:val="0"/>
                <w:sz w:val="21"/>
                <w:szCs w:val="21"/>
              </w:rPr>
            </w:pPr>
          </w:p>
        </w:tc>
        <w:tc>
          <w:tcPr>
            <w:tcW w:w="690"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噪声污染源</w:t>
            </w:r>
          </w:p>
        </w:tc>
        <w:tc>
          <w:tcPr>
            <w:tcW w:w="2241" w:type="pct"/>
            <w:tcBorders>
              <w:righ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等效连续A声级</w:t>
            </w:r>
          </w:p>
        </w:tc>
        <w:tc>
          <w:tcPr>
            <w:tcW w:w="1565" w:type="pct"/>
            <w:tcBorders>
              <w:left w:val="single" w:color="auto" w:sz="4" w:space="0"/>
            </w:tcBorders>
            <w:vAlign w:val="center"/>
          </w:tcPr>
          <w:p>
            <w:pPr>
              <w:pStyle w:val="446"/>
              <w:spacing w:line="340" w:lineRule="exact"/>
              <w:rPr>
                <w:rFonts w:hAnsi="Times New Roman"/>
                <w:b w:val="0"/>
                <w:sz w:val="21"/>
                <w:szCs w:val="21"/>
              </w:rPr>
            </w:pPr>
            <w:r>
              <w:rPr>
                <w:rFonts w:hAnsi="Times New Roman"/>
                <w:b w:val="0"/>
                <w:sz w:val="21"/>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cBorders>
              <w:right w:val="single" w:color="auto" w:sz="4" w:space="0"/>
            </w:tcBorders>
            <w:vAlign w:val="center"/>
          </w:tcPr>
          <w:p>
            <w:pPr>
              <w:pStyle w:val="446"/>
              <w:spacing w:line="340" w:lineRule="exact"/>
              <w:rPr>
                <w:rFonts w:hAnsi="Times New Roman"/>
                <w:b w:val="0"/>
                <w:sz w:val="21"/>
                <w:szCs w:val="21"/>
              </w:rPr>
            </w:pPr>
          </w:p>
        </w:tc>
        <w:tc>
          <w:tcPr>
            <w:tcW w:w="690"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固体废物</w:t>
            </w:r>
          </w:p>
        </w:tc>
        <w:tc>
          <w:tcPr>
            <w:tcW w:w="2241" w:type="pct"/>
            <w:tcBorders>
              <w:right w:val="single" w:color="auto" w:sz="4" w:space="0"/>
            </w:tcBorders>
            <w:vAlign w:val="center"/>
          </w:tcPr>
          <w:p>
            <w:pPr>
              <w:autoSpaceDE w:val="0"/>
              <w:autoSpaceDN w:val="0"/>
              <w:adjustRightInd w:val="0"/>
              <w:spacing w:line="340" w:lineRule="exact"/>
              <w:ind w:firstLine="0" w:firstLineChars="0"/>
              <w:jc w:val="center"/>
              <w:rPr>
                <w:b/>
                <w:sz w:val="21"/>
                <w:szCs w:val="21"/>
              </w:rPr>
            </w:pPr>
            <w:r>
              <w:rPr>
                <w:rFonts w:hint="eastAsia"/>
                <w:sz w:val="21"/>
                <w:szCs w:val="21"/>
              </w:rPr>
              <w:t>一般固废：弃渣、建筑垃圾、生活垃圾；危废：废油抹布、废油桶、废空压机油、含油污泥（机械冲洗废水隔油沉淀池污泥）</w:t>
            </w:r>
          </w:p>
        </w:tc>
        <w:tc>
          <w:tcPr>
            <w:tcW w:w="1565" w:type="pct"/>
            <w:tcBorders>
              <w:left w:val="single" w:color="auto" w:sz="4" w:space="0"/>
            </w:tcBorders>
            <w:vAlign w:val="center"/>
          </w:tcPr>
          <w:p>
            <w:pPr>
              <w:pStyle w:val="446"/>
              <w:spacing w:line="340" w:lineRule="exact"/>
              <w:rPr>
                <w:rFonts w:hAnsi="Times New Roman"/>
                <w:b w:val="0"/>
                <w:sz w:val="21"/>
                <w:szCs w:val="21"/>
              </w:rPr>
            </w:pPr>
            <w:r>
              <w:rPr>
                <w:rFonts w:hint="eastAsia" w:hAnsi="Times New Roman"/>
                <w:b w:val="0"/>
                <w:sz w:val="21"/>
                <w:szCs w:val="21"/>
              </w:rPr>
              <w:t>生活垃圾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restart"/>
            <w:vAlign w:val="center"/>
          </w:tcPr>
          <w:p>
            <w:pPr>
              <w:pStyle w:val="446"/>
              <w:spacing w:line="340" w:lineRule="exact"/>
              <w:rPr>
                <w:rFonts w:hAnsi="Times New Roman"/>
                <w:b w:val="0"/>
                <w:sz w:val="21"/>
                <w:szCs w:val="21"/>
              </w:rPr>
            </w:pPr>
            <w:r>
              <w:rPr>
                <w:rFonts w:hAnsi="Times New Roman"/>
                <w:b w:val="0"/>
                <w:sz w:val="21"/>
                <w:szCs w:val="21"/>
              </w:rPr>
              <w:t>环境质量现状调查</w:t>
            </w:r>
          </w:p>
        </w:tc>
        <w:tc>
          <w:tcPr>
            <w:tcW w:w="690" w:type="pct"/>
            <w:vAlign w:val="center"/>
          </w:tcPr>
          <w:p>
            <w:pPr>
              <w:pStyle w:val="446"/>
              <w:spacing w:line="340" w:lineRule="exact"/>
              <w:rPr>
                <w:rFonts w:hAnsi="Times New Roman"/>
                <w:b w:val="0"/>
                <w:sz w:val="21"/>
                <w:szCs w:val="21"/>
              </w:rPr>
            </w:pPr>
            <w:r>
              <w:rPr>
                <w:rFonts w:hAnsi="Times New Roman"/>
                <w:b w:val="0"/>
                <w:sz w:val="21"/>
                <w:szCs w:val="21"/>
              </w:rPr>
              <w:t>大气环境</w:t>
            </w:r>
          </w:p>
        </w:tc>
        <w:tc>
          <w:tcPr>
            <w:tcW w:w="3807" w:type="pct"/>
            <w:gridSpan w:val="2"/>
            <w:vAlign w:val="center"/>
          </w:tcPr>
          <w:p>
            <w:pPr>
              <w:pStyle w:val="446"/>
              <w:spacing w:line="340" w:lineRule="exact"/>
              <w:rPr>
                <w:rFonts w:hAnsi="Times New Roman"/>
                <w:b w:val="0"/>
                <w:sz w:val="21"/>
                <w:szCs w:val="21"/>
              </w:rPr>
            </w:pPr>
            <w:r>
              <w:rPr>
                <w:rFonts w:hAnsi="Times New Roman"/>
                <w:b w:val="0"/>
                <w:sz w:val="21"/>
                <w:szCs w:val="21"/>
              </w:rPr>
              <w:t>SO</w:t>
            </w:r>
            <w:r>
              <w:rPr>
                <w:rFonts w:hAnsi="Times New Roman"/>
                <w:b w:val="0"/>
                <w:sz w:val="21"/>
                <w:szCs w:val="21"/>
                <w:vertAlign w:val="subscript"/>
              </w:rPr>
              <w:t>2</w:t>
            </w:r>
            <w:r>
              <w:rPr>
                <w:rFonts w:hAnsi="Times New Roman"/>
                <w:b w:val="0"/>
                <w:sz w:val="21"/>
                <w:szCs w:val="21"/>
              </w:rPr>
              <w:t>、NO</w:t>
            </w:r>
            <w:r>
              <w:rPr>
                <w:rFonts w:hAnsi="Times New Roman"/>
                <w:b w:val="0"/>
                <w:sz w:val="21"/>
                <w:szCs w:val="21"/>
                <w:vertAlign w:val="subscript"/>
              </w:rPr>
              <w:t>2</w:t>
            </w:r>
            <w:r>
              <w:rPr>
                <w:rFonts w:hAnsi="Times New Roman"/>
                <w:b w:val="0"/>
                <w:sz w:val="21"/>
                <w:szCs w:val="21"/>
              </w:rPr>
              <w:t>、PM</w:t>
            </w:r>
            <w:r>
              <w:rPr>
                <w:rFonts w:hAnsi="Times New Roman"/>
                <w:b w:val="0"/>
                <w:sz w:val="21"/>
                <w:szCs w:val="21"/>
                <w:vertAlign w:val="subscript"/>
              </w:rPr>
              <w:t>10</w:t>
            </w:r>
            <w:r>
              <w:rPr>
                <w:rFonts w:hAnsi="Times New Roman"/>
                <w:b w:val="0"/>
                <w:sz w:val="21"/>
                <w:szCs w:val="21"/>
              </w:rPr>
              <w:t>、PM</w:t>
            </w:r>
            <w:r>
              <w:rPr>
                <w:rFonts w:hAnsi="Times New Roman"/>
                <w:b w:val="0"/>
                <w:sz w:val="21"/>
                <w:szCs w:val="21"/>
                <w:vertAlign w:val="subscript"/>
              </w:rPr>
              <w:t>2.5</w:t>
            </w:r>
            <w:r>
              <w:rPr>
                <w:rFonts w:hAnsi="Times New Roman"/>
                <w:b w:val="0"/>
                <w:sz w:val="21"/>
                <w:szCs w:val="21"/>
              </w:rPr>
              <w:t>、CO、O</w:t>
            </w:r>
            <w:r>
              <w:rPr>
                <w:rFonts w:hAnsi="Times New Roman"/>
                <w:b w:val="0"/>
                <w:sz w:val="21"/>
                <w:szCs w:val="21"/>
                <w:vertAlign w:val="subscript"/>
              </w:rPr>
              <w:t>3</w:t>
            </w:r>
            <w:r>
              <w:rPr>
                <w:rFonts w:hAnsi="Times New Roman"/>
                <w:b w:val="0"/>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地表水环境</w:t>
            </w:r>
          </w:p>
        </w:tc>
        <w:tc>
          <w:tcPr>
            <w:tcW w:w="3807" w:type="pct"/>
            <w:gridSpan w:val="2"/>
            <w:vAlign w:val="center"/>
          </w:tcPr>
          <w:p>
            <w:pPr>
              <w:pStyle w:val="446"/>
              <w:spacing w:line="340" w:lineRule="exact"/>
              <w:rPr>
                <w:rFonts w:hAnsi="Times New Roman"/>
                <w:b w:val="0"/>
                <w:sz w:val="21"/>
                <w:szCs w:val="21"/>
              </w:rPr>
            </w:pPr>
            <w:r>
              <w:rPr>
                <w:rFonts w:hAnsi="Times New Roman"/>
                <w:b w:val="0"/>
                <w:sz w:val="21"/>
                <w:szCs w:val="21"/>
              </w:rPr>
              <w:t>pH、COD</w:t>
            </w:r>
            <w:r>
              <w:rPr>
                <w:rFonts w:hAnsi="Times New Roman"/>
                <w:b w:val="0"/>
                <w:sz w:val="21"/>
                <w:szCs w:val="21"/>
                <w:vertAlign w:val="subscript"/>
              </w:rPr>
              <w:t>Cr</w:t>
            </w:r>
            <w:r>
              <w:rPr>
                <w:rFonts w:hAnsi="Times New Roman"/>
                <w:b w:val="0"/>
                <w:sz w:val="21"/>
                <w:szCs w:val="21"/>
              </w:rPr>
              <w:t>、BOD</w:t>
            </w:r>
            <w:r>
              <w:rPr>
                <w:rFonts w:hAnsi="Times New Roman"/>
                <w:b w:val="0"/>
                <w:sz w:val="21"/>
                <w:szCs w:val="21"/>
                <w:vertAlign w:val="subscript"/>
              </w:rPr>
              <w:t>5</w:t>
            </w:r>
            <w:r>
              <w:rPr>
                <w:rFonts w:hAnsi="Times New Roman"/>
                <w:b w:val="0"/>
                <w:sz w:val="21"/>
                <w:szCs w:val="21"/>
              </w:rPr>
              <w:t>、NH</w:t>
            </w:r>
            <w:r>
              <w:rPr>
                <w:rFonts w:hAnsi="Times New Roman"/>
                <w:b w:val="0"/>
                <w:sz w:val="21"/>
                <w:szCs w:val="21"/>
                <w:vertAlign w:val="subscript"/>
              </w:rPr>
              <w:t>3</w:t>
            </w:r>
            <w:r>
              <w:rPr>
                <w:rFonts w:hAnsi="Times New Roman"/>
                <w:b w:val="0"/>
                <w:sz w:val="21"/>
                <w:szCs w:val="21"/>
              </w:rPr>
              <w:t>-N、</w:t>
            </w:r>
            <w:r>
              <w:rPr>
                <w:rFonts w:hint="eastAsia" w:hAnsi="Times New Roman"/>
                <w:b w:val="0"/>
                <w:sz w:val="21"/>
                <w:szCs w:val="21"/>
              </w:rPr>
              <w:t>SS、</w:t>
            </w:r>
            <w:r>
              <w:rPr>
                <w:rFonts w:hAnsi="Times New Roman"/>
                <w:b w:val="0"/>
                <w:sz w:val="21"/>
                <w:szCs w:val="21"/>
              </w:rPr>
              <w:t>总磷、TN、</w:t>
            </w:r>
            <w:r>
              <w:rPr>
                <w:rFonts w:hint="eastAsia" w:hAnsi="Times New Roman"/>
                <w:b w:val="0"/>
                <w:sz w:val="21"/>
                <w:szCs w:val="21"/>
              </w:rPr>
              <w:t>高锰酸盐指数</w:t>
            </w:r>
            <w:r>
              <w:rPr>
                <w:rFonts w:hAnsi="Times New Roman"/>
                <w:b w:val="0"/>
                <w:sz w:val="21"/>
                <w:szCs w:val="21"/>
              </w:rPr>
              <w:t>、</w:t>
            </w:r>
            <w:r>
              <w:rPr>
                <w:rFonts w:hAnsi="Times New Roman"/>
                <w:b w:val="0"/>
                <w:bCs/>
                <w:sz w:val="21"/>
                <w:szCs w:val="21"/>
              </w:rPr>
              <w:t>粪大肠菌群</w:t>
            </w:r>
            <w:r>
              <w:rPr>
                <w:rFonts w:hint="eastAsia" w:hAnsi="Times New Roman"/>
                <w:b w:val="0"/>
                <w:bCs/>
                <w:sz w:val="21"/>
                <w:szCs w:val="21"/>
              </w:rPr>
              <w:t>、石油类、</w:t>
            </w:r>
            <w:r>
              <w:rPr>
                <w:rFonts w:hAnsi="Times New Roman"/>
                <w:b w:val="0"/>
                <w:bCs/>
                <w:sz w:val="21"/>
                <w:szCs w:val="21"/>
              </w:rPr>
              <w:t>铜、锰、锌</w:t>
            </w:r>
            <w:r>
              <w:rPr>
                <w:rFonts w:hint="eastAsia" w:hAnsi="Times New Roman"/>
                <w:b w:val="0"/>
                <w:sz w:val="21"/>
                <w:szCs w:val="21"/>
              </w:rPr>
              <w:t>；锦河的水面面积、水量、水温、径流过程、水位、水深、流速、水面宽</w:t>
            </w:r>
            <w:r>
              <w:rPr>
                <w:rFonts w:hAnsi="Times New Roman"/>
                <w:b w:val="0"/>
                <w:sz w:val="21"/>
                <w:szCs w:val="21"/>
              </w:rPr>
              <w:t>、冲淤变化</w:t>
            </w:r>
            <w:r>
              <w:rPr>
                <w:rFonts w:hint="eastAsia" w:hAnsi="Times New Roman"/>
                <w:b w:val="0"/>
                <w:sz w:val="21"/>
                <w:szCs w:val="21"/>
              </w:rPr>
              <w:t>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extDirection w:val="tbRlV"/>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声环境</w:t>
            </w:r>
          </w:p>
        </w:tc>
        <w:tc>
          <w:tcPr>
            <w:tcW w:w="3807" w:type="pct"/>
            <w:gridSpan w:val="2"/>
            <w:vAlign w:val="center"/>
          </w:tcPr>
          <w:p>
            <w:pPr>
              <w:pStyle w:val="446"/>
              <w:spacing w:line="340" w:lineRule="exact"/>
              <w:rPr>
                <w:rFonts w:hAnsi="Times New Roman"/>
                <w:b w:val="0"/>
                <w:sz w:val="21"/>
                <w:szCs w:val="21"/>
              </w:rPr>
            </w:pPr>
            <w:r>
              <w:rPr>
                <w:rFonts w:hAnsi="Times New Roman"/>
                <w:b w:val="0"/>
                <w:sz w:val="21"/>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extDirection w:val="tbRlV"/>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地下水环境</w:t>
            </w:r>
          </w:p>
        </w:tc>
        <w:tc>
          <w:tcPr>
            <w:tcW w:w="3807" w:type="pct"/>
            <w:gridSpan w:val="2"/>
            <w:vAlign w:val="center"/>
          </w:tcPr>
          <w:p>
            <w:pPr>
              <w:pStyle w:val="446"/>
              <w:spacing w:line="340" w:lineRule="exact"/>
              <w:rPr>
                <w:rFonts w:hAnsi="Times New Roman"/>
                <w:b w:val="0"/>
                <w:sz w:val="21"/>
                <w:szCs w:val="21"/>
              </w:rPr>
            </w:pPr>
            <w:r>
              <w:rPr>
                <w:rFonts w:hAnsi="Times New Roman"/>
                <w:b w:val="0"/>
                <w:sz w:val="21"/>
                <w:szCs w:val="21"/>
              </w:rPr>
              <w:t>pH、总硬度、溶解性总固体、硫酸盐、氯化物、铁、锰、铜、锌、铝、氨氮、硫化物、钠。</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extDirection w:val="tbRlV"/>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int="eastAsia" w:hAnsi="Times New Roman"/>
                <w:b w:val="0"/>
                <w:sz w:val="21"/>
                <w:szCs w:val="21"/>
              </w:rPr>
              <w:t>土壤环境</w:t>
            </w:r>
          </w:p>
        </w:tc>
        <w:tc>
          <w:tcPr>
            <w:tcW w:w="3807" w:type="pct"/>
            <w:gridSpan w:val="2"/>
            <w:vAlign w:val="center"/>
          </w:tcPr>
          <w:p>
            <w:pPr>
              <w:pStyle w:val="446"/>
              <w:spacing w:line="340" w:lineRule="exact"/>
              <w:rPr>
                <w:rFonts w:hAnsi="Times New Roman"/>
                <w:b w:val="0"/>
                <w:sz w:val="21"/>
                <w:szCs w:val="21"/>
              </w:rPr>
            </w:pPr>
            <w:r>
              <w:rPr>
                <w:rFonts w:hint="eastAsia" w:hAnsi="Times New Roman"/>
                <w:b w:val="0"/>
                <w:sz w:val="21"/>
                <w:szCs w:val="21"/>
              </w:rPr>
              <w:t>土壤理化特性调查包括土体构型、土壤结构、土壤质地、阳离子交换量、氧化还原电位、饱和导水率、土壤容重、孔隙度等；</w:t>
            </w:r>
          </w:p>
          <w:p>
            <w:pPr>
              <w:pStyle w:val="446"/>
              <w:spacing w:line="340" w:lineRule="exact"/>
              <w:rPr>
                <w:rFonts w:hAnsi="Times New Roman"/>
                <w:b w:val="0"/>
                <w:sz w:val="21"/>
                <w:szCs w:val="21"/>
              </w:rPr>
            </w:pPr>
            <w:r>
              <w:rPr>
                <w:rFonts w:hint="eastAsia" w:hAnsi="Times New Roman"/>
                <w:b w:val="0"/>
                <w:sz w:val="21"/>
                <w:szCs w:val="21"/>
              </w:rPr>
              <w:t>土壤含盐量、pH、砷、镉、铬、铜、铅、汞、镍、四氯化碳、氯仿、氯甲烷、1,1-二氧乙烷、1,2-二氧乙烷、1,1-二氧乙烯、顺-1,2-二氧乙烯、反-1,2-二氧乙烯、二氧甲烷、1,2-二氧丙烷、1,1,1,2-四氯乙烷、1,1,2,2-四氯乙烷、四氯乙烯、1,1,1-三氯乙烷、1,1,2-三氯乙烷、三氯乙烯、1,2,3-三氯丙烷、氯乙烯、苯、氯苯、1,2-二氯苯、1,4-二氯苯、乙苯、苯乙烯、甲苯、间二甲苯+对二甲苯、邻二甲苯、硝基苯、苯胺、2-氯酚、苯并[α]蒽、苯并[α]芘、苯并[α]荧蒽、苯并[k]荧蒽、䓛、二苯并</w:t>
            </w:r>
            <w:r>
              <w:rPr>
                <w:rFonts w:hAnsi="Times New Roman"/>
                <w:b w:val="0"/>
                <w:sz w:val="21"/>
                <w:szCs w:val="21"/>
              </w:rPr>
              <w:t>[α</w:t>
            </w:r>
            <w:r>
              <w:rPr>
                <w:rFonts w:hint="eastAsia" w:hAnsi="Times New Roman"/>
                <w:b w:val="0"/>
                <w:sz w:val="21"/>
                <w:szCs w:val="21"/>
              </w:rPr>
              <w:t>、</w:t>
            </w:r>
            <w:r>
              <w:rPr>
                <w:rFonts w:hAnsi="Times New Roman"/>
                <w:b w:val="0"/>
                <w:sz w:val="21"/>
                <w:szCs w:val="21"/>
              </w:rPr>
              <w:t>h]</w:t>
            </w:r>
            <w:r>
              <w:rPr>
                <w:rFonts w:hint="eastAsia" w:hAnsi="Times New Roman"/>
                <w:b w:val="0"/>
                <w:sz w:val="21"/>
                <w:szCs w:val="21"/>
              </w:rPr>
              <w:t>蒽、茚并</w:t>
            </w:r>
            <w:r>
              <w:rPr>
                <w:rFonts w:hAnsi="Times New Roman"/>
                <w:b w:val="0"/>
                <w:sz w:val="21"/>
                <w:szCs w:val="21"/>
              </w:rPr>
              <w:t>[1,2,3-cd]</w:t>
            </w:r>
            <w:r>
              <w:rPr>
                <w:rFonts w:hint="eastAsia" w:hAnsi="Times New Roman"/>
                <w:b w:val="0"/>
                <w:sz w:val="21"/>
                <w:szCs w:val="21"/>
              </w:rPr>
              <w:t>芘、萘、锌等。</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extDirection w:val="tbRlV"/>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生态</w:t>
            </w:r>
          </w:p>
        </w:tc>
        <w:tc>
          <w:tcPr>
            <w:tcW w:w="3807" w:type="pct"/>
            <w:gridSpan w:val="2"/>
            <w:vAlign w:val="center"/>
          </w:tcPr>
          <w:p>
            <w:pPr>
              <w:pStyle w:val="446"/>
              <w:spacing w:line="340" w:lineRule="exact"/>
              <w:rPr>
                <w:rFonts w:hAnsi="Times New Roman"/>
                <w:b w:val="0"/>
                <w:sz w:val="21"/>
                <w:szCs w:val="21"/>
              </w:rPr>
            </w:pPr>
            <w:r>
              <w:rPr>
                <w:rFonts w:hint="eastAsia" w:hAnsi="Times New Roman"/>
                <w:b w:val="0"/>
                <w:sz w:val="21"/>
                <w:szCs w:val="21"/>
              </w:rPr>
              <w:t>水生</w:t>
            </w:r>
            <w:r>
              <w:rPr>
                <w:rFonts w:hAnsi="Times New Roman"/>
                <w:b w:val="0"/>
                <w:sz w:val="21"/>
                <w:szCs w:val="21"/>
              </w:rPr>
              <w:t>生态、地表植被、水土流失、土地利用。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restart"/>
            <w:vAlign w:val="center"/>
          </w:tcPr>
          <w:p>
            <w:pPr>
              <w:pStyle w:val="446"/>
              <w:spacing w:line="340" w:lineRule="exact"/>
              <w:rPr>
                <w:rFonts w:hAnsi="Times New Roman"/>
                <w:b w:val="0"/>
                <w:sz w:val="21"/>
                <w:szCs w:val="21"/>
              </w:rPr>
            </w:pPr>
            <w:r>
              <w:rPr>
                <w:rFonts w:hAnsi="Times New Roman"/>
                <w:b w:val="0"/>
                <w:sz w:val="21"/>
                <w:szCs w:val="21"/>
              </w:rPr>
              <w:t>环境影响预测评价</w:t>
            </w:r>
          </w:p>
        </w:tc>
        <w:tc>
          <w:tcPr>
            <w:tcW w:w="690" w:type="pct"/>
            <w:vAlign w:val="center"/>
          </w:tcPr>
          <w:p>
            <w:pPr>
              <w:pStyle w:val="446"/>
              <w:spacing w:line="340" w:lineRule="exact"/>
              <w:rPr>
                <w:rFonts w:hAnsi="Times New Roman"/>
                <w:b w:val="0"/>
                <w:sz w:val="21"/>
                <w:szCs w:val="21"/>
              </w:rPr>
            </w:pPr>
            <w:r>
              <w:rPr>
                <w:rFonts w:hAnsi="Times New Roman"/>
                <w:b w:val="0"/>
                <w:sz w:val="21"/>
                <w:szCs w:val="21"/>
              </w:rPr>
              <w:t>评价阶段</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施工期</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运营期</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textDirection w:val="tbRlV"/>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大气环境</w:t>
            </w:r>
          </w:p>
        </w:tc>
        <w:tc>
          <w:tcPr>
            <w:tcW w:w="2241" w:type="pct"/>
            <w:vAlign w:val="center"/>
          </w:tcPr>
          <w:p>
            <w:pPr>
              <w:pStyle w:val="446"/>
              <w:spacing w:line="340" w:lineRule="exact"/>
              <w:rPr>
                <w:rFonts w:hAnsi="Times New Roman"/>
                <w:b w:val="0"/>
                <w:sz w:val="21"/>
                <w:szCs w:val="21"/>
              </w:rPr>
            </w:pPr>
            <w:r>
              <w:rPr>
                <w:rFonts w:hint="eastAsia" w:hAnsi="Times New Roman"/>
                <w:b w:val="0"/>
                <w:sz w:val="21"/>
                <w:szCs w:val="21"/>
              </w:rPr>
              <w:t>颗粒物、汽车尾气</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10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地表水环境</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水污染型影响分析（施工期对河流水质影响）；水文要素型影响分析（水位、流量、水文等）</w:t>
            </w:r>
          </w:p>
        </w:tc>
        <w:tc>
          <w:tcPr>
            <w:tcW w:w="1565" w:type="pct"/>
            <w:vAlign w:val="center"/>
          </w:tcPr>
          <w:p>
            <w:pPr>
              <w:autoSpaceDE w:val="0"/>
              <w:autoSpaceDN w:val="0"/>
              <w:adjustRightInd w:val="0"/>
              <w:spacing w:line="340" w:lineRule="exact"/>
              <w:ind w:firstLine="0" w:firstLineChars="0"/>
              <w:jc w:val="center"/>
              <w:rPr>
                <w:sz w:val="21"/>
                <w:szCs w:val="21"/>
              </w:rPr>
            </w:pPr>
            <w:r>
              <w:rPr>
                <w:sz w:val="21"/>
                <w:szCs w:val="21"/>
              </w:rPr>
              <w:t>水污染型影响分析（坝区水质、坝址下游水质、退水区水质）；水文要素型影响分析（水温、径流、水位）</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声环境</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等效连续A声级</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固体废物</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施工期弃渣、建筑垃圾、生活垃圾、危险废物。</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生活垃圾</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Ansi="Times New Roman"/>
                <w:b w:val="0"/>
                <w:sz w:val="21"/>
                <w:szCs w:val="21"/>
              </w:rPr>
              <w:t>生态</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土地利用、陆生动植物、水生动植物、水土流失、景观等</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陆生生态、水生生态影响分析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int="eastAsia" w:hAnsi="Times New Roman"/>
                <w:b w:val="0"/>
                <w:sz w:val="21"/>
                <w:szCs w:val="21"/>
              </w:rPr>
              <w:t>土壤</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沼泽化、盐化、碱化</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土壤沼泽化、盐渍化影响分析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01" w:type="pct"/>
            <w:vMerge w:val="continue"/>
            <w:vAlign w:val="center"/>
          </w:tcPr>
          <w:p>
            <w:pPr>
              <w:pStyle w:val="446"/>
              <w:spacing w:line="340" w:lineRule="exact"/>
              <w:rPr>
                <w:rFonts w:hAnsi="Times New Roman"/>
                <w:b w:val="0"/>
                <w:sz w:val="21"/>
                <w:szCs w:val="21"/>
              </w:rPr>
            </w:pPr>
          </w:p>
        </w:tc>
        <w:tc>
          <w:tcPr>
            <w:tcW w:w="690" w:type="pct"/>
            <w:vAlign w:val="center"/>
          </w:tcPr>
          <w:p>
            <w:pPr>
              <w:pStyle w:val="446"/>
              <w:spacing w:line="340" w:lineRule="exact"/>
              <w:rPr>
                <w:rFonts w:hAnsi="Times New Roman"/>
                <w:b w:val="0"/>
                <w:sz w:val="21"/>
                <w:szCs w:val="21"/>
              </w:rPr>
            </w:pPr>
            <w:r>
              <w:rPr>
                <w:rFonts w:hint="eastAsia" w:hAnsi="Times New Roman"/>
                <w:b w:val="0"/>
                <w:sz w:val="21"/>
                <w:szCs w:val="21"/>
              </w:rPr>
              <w:t>环境风险</w:t>
            </w:r>
          </w:p>
        </w:tc>
        <w:tc>
          <w:tcPr>
            <w:tcW w:w="2241" w:type="pct"/>
            <w:vAlign w:val="center"/>
          </w:tcPr>
          <w:p>
            <w:pPr>
              <w:pStyle w:val="446"/>
              <w:spacing w:line="340" w:lineRule="exact"/>
              <w:rPr>
                <w:rFonts w:hAnsi="Times New Roman"/>
                <w:b w:val="0"/>
                <w:sz w:val="21"/>
                <w:szCs w:val="21"/>
              </w:rPr>
            </w:pPr>
            <w:r>
              <w:rPr>
                <w:rFonts w:hAnsi="Times New Roman"/>
                <w:b w:val="0"/>
                <w:sz w:val="21"/>
                <w:szCs w:val="21"/>
              </w:rPr>
              <w:t>废污水事故排放风险；渣场失稳风险</w:t>
            </w:r>
          </w:p>
        </w:tc>
        <w:tc>
          <w:tcPr>
            <w:tcW w:w="1565" w:type="pct"/>
            <w:vAlign w:val="center"/>
          </w:tcPr>
          <w:p>
            <w:pPr>
              <w:pStyle w:val="446"/>
              <w:spacing w:line="340" w:lineRule="exact"/>
              <w:rPr>
                <w:rFonts w:hAnsi="Times New Roman"/>
                <w:b w:val="0"/>
                <w:sz w:val="21"/>
                <w:szCs w:val="21"/>
              </w:rPr>
            </w:pPr>
            <w:r>
              <w:rPr>
                <w:rFonts w:hAnsi="Times New Roman"/>
                <w:b w:val="0"/>
                <w:sz w:val="21"/>
                <w:szCs w:val="21"/>
              </w:rPr>
              <w:t>水质污染风险</w:t>
            </w:r>
          </w:p>
        </w:tc>
      </w:tr>
      <w:bookmarkEnd w:id="146"/>
      <w:bookmarkEnd w:id="147"/>
      <w:bookmarkEnd w:id="148"/>
      <w:bookmarkEnd w:id="149"/>
      <w:bookmarkEnd w:id="150"/>
      <w:bookmarkEnd w:id="151"/>
      <w:bookmarkEnd w:id="152"/>
      <w:bookmarkEnd w:id="153"/>
    </w:tbl>
    <w:p>
      <w:pPr>
        <w:pStyle w:val="6"/>
      </w:pPr>
      <w:bookmarkStart w:id="154" w:name="_Toc5961576"/>
      <w:bookmarkStart w:id="155" w:name="_Toc16216"/>
      <w:bookmarkStart w:id="156" w:name="_Toc201932535"/>
      <w:bookmarkStart w:id="157" w:name="_Toc223843210"/>
      <w:bookmarkStart w:id="158" w:name="_Toc157479020"/>
      <w:bookmarkStart w:id="159" w:name="_Toc209351703"/>
      <w:bookmarkStart w:id="160" w:name="_Toc224879265"/>
      <w:bookmarkStart w:id="161" w:name="_Toc170981422"/>
      <w:bookmarkStart w:id="162" w:name="_Toc224878971"/>
      <w:bookmarkStart w:id="163" w:name="_Toc252288901"/>
      <w:r>
        <w:t>1.</w:t>
      </w:r>
      <w:r>
        <w:rPr>
          <w:rFonts w:hint="eastAsia"/>
        </w:rPr>
        <w:t>4</w:t>
      </w:r>
      <w:bookmarkEnd w:id="154"/>
      <w:r>
        <w:rPr>
          <w:rFonts w:hint="eastAsia"/>
        </w:rPr>
        <w:t>环境功能区划</w:t>
      </w:r>
      <w:bookmarkEnd w:id="155"/>
    </w:p>
    <w:p>
      <w:pPr>
        <w:pStyle w:val="7"/>
        <w:rPr>
          <w:szCs w:val="24"/>
        </w:rPr>
      </w:pPr>
      <w:r>
        <w:rPr>
          <w:rFonts w:hint="eastAsia"/>
          <w:szCs w:val="24"/>
        </w:rPr>
        <w:t>1.4.1生态功能区划</w:t>
      </w:r>
    </w:p>
    <w:p>
      <w:pPr>
        <w:ind w:firstLine="480"/>
        <w:rPr>
          <w:szCs w:val="24"/>
        </w:rPr>
      </w:pPr>
      <w:r>
        <w:rPr>
          <w:szCs w:val="24"/>
        </w:rPr>
        <w:t>根据《江西省生态功能区划》，</w:t>
      </w:r>
      <w:r>
        <w:rPr>
          <w:rFonts w:hint="eastAsia"/>
          <w:szCs w:val="24"/>
        </w:rPr>
        <w:t>项目</w:t>
      </w:r>
      <w:r>
        <w:rPr>
          <w:szCs w:val="24"/>
        </w:rPr>
        <w:t>属于</w:t>
      </w:r>
      <w:r>
        <w:rPr>
          <w:szCs w:val="24"/>
        </w:rPr>
        <w:fldChar w:fldCharType="begin"/>
      </w:r>
      <w:r>
        <w:rPr>
          <w:szCs w:val="24"/>
        </w:rPr>
        <w:instrText xml:space="preserve"> = 4 \* ROMAN </w:instrText>
      </w:r>
      <w:r>
        <w:rPr>
          <w:szCs w:val="24"/>
        </w:rPr>
        <w:fldChar w:fldCharType="separate"/>
      </w:r>
      <w:r>
        <w:rPr>
          <w:szCs w:val="24"/>
        </w:rPr>
        <w:t>IV</w:t>
      </w:r>
      <w:r>
        <w:rPr>
          <w:szCs w:val="24"/>
        </w:rPr>
        <w:fldChar w:fldCharType="end"/>
      </w:r>
      <w:r>
        <w:rPr>
          <w:szCs w:val="24"/>
        </w:rPr>
        <w:t>-</w:t>
      </w:r>
      <w:r>
        <w:rPr>
          <w:rFonts w:hint="eastAsia"/>
          <w:szCs w:val="24"/>
        </w:rPr>
        <w:t>2</w:t>
      </w:r>
      <w:r>
        <w:rPr>
          <w:szCs w:val="24"/>
        </w:rPr>
        <w:t>-</w:t>
      </w:r>
      <w:r>
        <w:rPr>
          <w:rFonts w:hint="eastAsia"/>
          <w:szCs w:val="24"/>
        </w:rPr>
        <w:t>1锦河</w:t>
      </w:r>
      <w:r>
        <w:rPr>
          <w:szCs w:val="24"/>
        </w:rPr>
        <w:t>上游水源涵养与水质保护生态功能区（见附图十</w:t>
      </w:r>
      <w:r>
        <w:rPr>
          <w:rFonts w:hint="eastAsia"/>
          <w:szCs w:val="24"/>
        </w:rPr>
        <w:t>七</w:t>
      </w:r>
      <w:r>
        <w:rPr>
          <w:szCs w:val="24"/>
        </w:rPr>
        <w:t>）。该区生态系统主要服务功能为水源涵养和水质保护，其他功能还有农业环境保护、水土保持和生物多样性保护。</w:t>
      </w:r>
    </w:p>
    <w:p>
      <w:pPr>
        <w:pStyle w:val="7"/>
        <w:rPr>
          <w:szCs w:val="24"/>
        </w:rPr>
      </w:pPr>
      <w:r>
        <w:rPr>
          <w:rFonts w:hint="eastAsia"/>
          <w:szCs w:val="24"/>
        </w:rPr>
        <w:t>1.4.2地表水环境功能</w:t>
      </w:r>
    </w:p>
    <w:p>
      <w:pPr>
        <w:autoSpaceDE w:val="0"/>
        <w:autoSpaceDN w:val="0"/>
        <w:adjustRightInd w:val="0"/>
        <w:ind w:firstLine="480"/>
        <w:rPr>
          <w:rFonts w:ascii="宋体" w:hAnsi="宋体"/>
          <w:szCs w:val="24"/>
        </w:rPr>
      </w:pPr>
      <w:r>
        <w:rPr>
          <w:szCs w:val="24"/>
        </w:rPr>
        <w:t>根据《江西省地表水(环境)功能区划》，</w:t>
      </w:r>
      <w:r>
        <w:rPr>
          <w:rFonts w:hint="eastAsia"/>
          <w:szCs w:val="24"/>
        </w:rPr>
        <w:t>项目</w:t>
      </w:r>
      <w:r>
        <w:t>涉及</w:t>
      </w:r>
      <w:r>
        <w:rPr>
          <w:rFonts w:hint="eastAsia"/>
        </w:rPr>
        <w:t>地表</w:t>
      </w:r>
      <w:r>
        <w:t>水体为</w:t>
      </w:r>
      <w:r>
        <w:rPr>
          <w:rFonts w:hint="eastAsia"/>
        </w:rPr>
        <w:t>锦河，</w:t>
      </w:r>
      <w:r>
        <w:t>根据《江西省地表水环境功能区划》，</w:t>
      </w:r>
      <w:r>
        <w:rPr>
          <w:rFonts w:hint="eastAsia" w:hAnsi="宋体"/>
          <w:kern w:val="0"/>
          <w:szCs w:val="24"/>
        </w:rPr>
        <w:t>上高县白沙湾上高</w:t>
      </w:r>
      <w:r>
        <w:rPr>
          <w:rFonts w:hAnsi="宋体"/>
          <w:kern w:val="0"/>
          <w:szCs w:val="24"/>
        </w:rPr>
        <w:t>水厂取水口下游</w:t>
      </w:r>
      <w:r>
        <w:rPr>
          <w:kern w:val="0"/>
          <w:szCs w:val="24"/>
        </w:rPr>
        <w:t>0.2km-</w:t>
      </w:r>
      <w:r>
        <w:rPr>
          <w:rFonts w:hint="eastAsia" w:hAnsi="宋体"/>
          <w:kern w:val="0"/>
          <w:szCs w:val="24"/>
        </w:rPr>
        <w:t>上高县敖山镇</w:t>
      </w:r>
      <w:r>
        <w:rPr>
          <w:rFonts w:hint="eastAsia"/>
        </w:rPr>
        <w:t>，该段锦河</w:t>
      </w:r>
      <w:r>
        <w:t>水体</w:t>
      </w:r>
      <w:r>
        <w:rPr>
          <w:rFonts w:hint="eastAsia"/>
        </w:rPr>
        <w:t>主要</w:t>
      </w:r>
      <w:r>
        <w:t>功能为工业用水，</w:t>
      </w:r>
      <w:r>
        <w:rPr>
          <w:rFonts w:hint="eastAsia"/>
        </w:rPr>
        <w:t>执行《地表水环境质量标准》（GB3838-2002）</w:t>
      </w:r>
      <w:r>
        <w:rPr>
          <w:rFonts w:hint="eastAsia" w:ascii="宋体" w:hAnsi="宋体"/>
          <w:kern w:val="0"/>
          <w:szCs w:val="24"/>
        </w:rPr>
        <w:t>Ⅵ</w:t>
      </w:r>
      <w:r>
        <w:rPr>
          <w:rFonts w:hint="eastAsia"/>
        </w:rPr>
        <w:t>类水环境功能区；上高县敖山镇</w:t>
      </w:r>
      <w:r>
        <w:t>至</w:t>
      </w:r>
      <w:r>
        <w:rPr>
          <w:rFonts w:hint="eastAsia"/>
        </w:rPr>
        <w:t>高安市三联大桥处河段</w:t>
      </w:r>
      <w:r>
        <w:t>，该段</w:t>
      </w:r>
      <w:r>
        <w:rPr>
          <w:rFonts w:hint="eastAsia"/>
        </w:rPr>
        <w:t>锦河</w:t>
      </w:r>
      <w:r>
        <w:t>水体主要功能为</w:t>
      </w:r>
      <w:r>
        <w:rPr>
          <w:rFonts w:hint="eastAsia"/>
        </w:rPr>
        <w:t>景观娱乐用水</w:t>
      </w:r>
      <w:r>
        <w:t>区，为《地表水环境质量标准》（GB3838-2002）</w:t>
      </w:r>
      <w:r>
        <w:rPr>
          <w:rFonts w:hint="eastAsia" w:ascii="宋体" w:hAnsi="宋体" w:cs="宋体"/>
          <w:kern w:val="0"/>
          <w:szCs w:val="24"/>
        </w:rPr>
        <w:t>Ⅲ</w:t>
      </w:r>
      <w:r>
        <w:rPr>
          <w:kern w:val="0"/>
          <w:szCs w:val="24"/>
        </w:rPr>
        <w:t>类水环境功能区</w:t>
      </w:r>
      <w:r>
        <w:rPr>
          <w:rFonts w:hint="eastAsia"/>
          <w:kern w:val="0"/>
          <w:szCs w:val="24"/>
        </w:rPr>
        <w:t>，</w:t>
      </w:r>
      <w:r>
        <w:rPr>
          <w:rFonts w:ascii="宋体" w:hAnsi="宋体"/>
          <w:szCs w:val="24"/>
        </w:rPr>
        <w:t>详见表</w:t>
      </w:r>
      <w:r>
        <w:rPr>
          <w:rFonts w:hint="eastAsia" w:ascii="宋体" w:hAnsi="宋体"/>
          <w:szCs w:val="24"/>
        </w:rPr>
        <w:t>1.4-1及附图九。</w:t>
      </w:r>
    </w:p>
    <w:p>
      <w:pPr>
        <w:spacing w:before="120" w:beforeLines="50" w:line="240" w:lineRule="auto"/>
        <w:ind w:firstLine="480"/>
        <w:jc w:val="center"/>
        <w:rPr>
          <w:rFonts w:ascii="黑体" w:hAnsi="黑体" w:eastAsia="黑体"/>
          <w:szCs w:val="24"/>
        </w:rPr>
      </w:pPr>
      <w:r>
        <w:rPr>
          <w:rFonts w:hint="eastAsia" w:ascii="黑体" w:hAnsi="黑体" w:eastAsia="黑体"/>
          <w:szCs w:val="24"/>
        </w:rPr>
        <w:t>表1.4-1  项目所在地地表水环境功能一览表</w:t>
      </w:r>
    </w:p>
    <w:tbl>
      <w:tblPr>
        <w:tblStyle w:val="82"/>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641"/>
        <w:gridCol w:w="3218"/>
        <w:gridCol w:w="1075"/>
        <w:gridCol w:w="787"/>
        <w:gridCol w:w="998"/>
        <w:gridCol w:w="1239"/>
        <w:gridCol w:w="1448"/>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tblHeader/>
          <w:jc w:val="center"/>
        </w:trPr>
        <w:tc>
          <w:tcPr>
            <w:tcW w:w="341"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河流</w:t>
            </w:r>
          </w:p>
        </w:tc>
        <w:tc>
          <w:tcPr>
            <w:tcW w:w="1709"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起始断面～终止断面</w:t>
            </w:r>
          </w:p>
        </w:tc>
        <w:tc>
          <w:tcPr>
            <w:tcW w:w="571"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长度</w:t>
            </w:r>
            <w:r>
              <w:rPr>
                <w:kern w:val="0"/>
                <w:sz w:val="21"/>
                <w:szCs w:val="21"/>
              </w:rPr>
              <w:t>km/</w:t>
            </w:r>
            <w:r>
              <w:rPr>
                <w:rFonts w:hAnsi="宋体"/>
                <w:kern w:val="0"/>
                <w:sz w:val="21"/>
                <w:szCs w:val="21"/>
              </w:rPr>
              <w:t>面积</w:t>
            </w:r>
            <w:r>
              <w:rPr>
                <w:kern w:val="0"/>
                <w:sz w:val="21"/>
                <w:szCs w:val="21"/>
              </w:rPr>
              <w:t>km²</w:t>
            </w:r>
          </w:p>
        </w:tc>
        <w:tc>
          <w:tcPr>
            <w:tcW w:w="41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控制城镇</w:t>
            </w:r>
          </w:p>
        </w:tc>
        <w:tc>
          <w:tcPr>
            <w:tcW w:w="530"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水质目标</w:t>
            </w:r>
          </w:p>
        </w:tc>
        <w:tc>
          <w:tcPr>
            <w:tcW w:w="65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水环境功能区类型</w:t>
            </w:r>
          </w:p>
        </w:tc>
        <w:tc>
          <w:tcPr>
            <w:tcW w:w="769" w:type="pct"/>
            <w:tcMar>
              <w:top w:w="0" w:type="dxa"/>
              <w:left w:w="28" w:type="dxa"/>
              <w:bottom w:w="0" w:type="dxa"/>
              <w:right w:w="28" w:type="dxa"/>
            </w:tcMar>
            <w:vAlign w:val="center"/>
          </w:tcPr>
          <w:p>
            <w:pPr>
              <w:widowControl/>
              <w:spacing w:line="340" w:lineRule="exact"/>
              <w:ind w:firstLine="0" w:firstLineChars="0"/>
              <w:jc w:val="center"/>
              <w:rPr>
                <w:rFonts w:hAnsi="宋体"/>
                <w:kern w:val="0"/>
                <w:sz w:val="21"/>
                <w:szCs w:val="21"/>
              </w:rPr>
            </w:pPr>
            <w:r>
              <w:rPr>
                <w:rFonts w:hint="eastAsia" w:hAnsi="宋体"/>
                <w:kern w:val="0"/>
                <w:sz w:val="21"/>
                <w:szCs w:val="21"/>
              </w:rPr>
              <w:t>与本工程的位置关系</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341" w:type="pct"/>
            <w:vMerge w:val="restart"/>
            <w:tcMar>
              <w:top w:w="0" w:type="dxa"/>
              <w:left w:w="28" w:type="dxa"/>
              <w:bottom w:w="0" w:type="dxa"/>
              <w:right w:w="28" w:type="dxa"/>
            </w:tcMar>
            <w:vAlign w:val="center"/>
          </w:tcPr>
          <w:p>
            <w:pPr>
              <w:spacing w:line="340" w:lineRule="exact"/>
              <w:ind w:firstLine="0" w:firstLineChars="0"/>
              <w:jc w:val="center"/>
              <w:rPr>
                <w:kern w:val="0"/>
                <w:sz w:val="21"/>
                <w:szCs w:val="21"/>
              </w:rPr>
            </w:pPr>
            <w:r>
              <w:rPr>
                <w:rFonts w:hint="eastAsia"/>
                <w:sz w:val="21"/>
                <w:szCs w:val="21"/>
              </w:rPr>
              <w:t>锦河</w:t>
            </w:r>
          </w:p>
        </w:tc>
        <w:tc>
          <w:tcPr>
            <w:tcW w:w="1709"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hAnsi="宋体"/>
                <w:kern w:val="0"/>
                <w:sz w:val="21"/>
                <w:szCs w:val="21"/>
              </w:rPr>
              <w:t>上高县白沙湾上高</w:t>
            </w:r>
            <w:r>
              <w:rPr>
                <w:rFonts w:hAnsi="宋体"/>
                <w:kern w:val="0"/>
                <w:sz w:val="21"/>
                <w:szCs w:val="21"/>
              </w:rPr>
              <w:t>水厂取水口下游</w:t>
            </w:r>
            <w:r>
              <w:rPr>
                <w:kern w:val="0"/>
                <w:sz w:val="21"/>
                <w:szCs w:val="21"/>
              </w:rPr>
              <w:t>0.2km-</w:t>
            </w:r>
            <w:r>
              <w:rPr>
                <w:rFonts w:hint="eastAsia" w:hAnsi="宋体"/>
                <w:kern w:val="0"/>
                <w:sz w:val="21"/>
                <w:szCs w:val="21"/>
              </w:rPr>
              <w:t>上高县敖山镇</w:t>
            </w:r>
          </w:p>
        </w:tc>
        <w:tc>
          <w:tcPr>
            <w:tcW w:w="571"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kern w:val="0"/>
                <w:sz w:val="21"/>
                <w:szCs w:val="21"/>
              </w:rPr>
              <w:t>9</w:t>
            </w:r>
            <w:r>
              <w:rPr>
                <w:kern w:val="0"/>
                <w:sz w:val="21"/>
                <w:szCs w:val="21"/>
              </w:rPr>
              <w:t>.8</w:t>
            </w:r>
          </w:p>
        </w:tc>
        <w:tc>
          <w:tcPr>
            <w:tcW w:w="41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hAnsi="宋体"/>
                <w:kern w:val="0"/>
                <w:sz w:val="21"/>
                <w:szCs w:val="21"/>
              </w:rPr>
              <w:t>上高</w:t>
            </w:r>
            <w:r>
              <w:rPr>
                <w:rFonts w:hAnsi="宋体"/>
                <w:kern w:val="0"/>
                <w:sz w:val="21"/>
                <w:szCs w:val="21"/>
              </w:rPr>
              <w:t>县</w:t>
            </w:r>
          </w:p>
        </w:tc>
        <w:tc>
          <w:tcPr>
            <w:tcW w:w="530"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ascii="宋体" w:hAnsi="宋体"/>
                <w:kern w:val="0"/>
                <w:sz w:val="21"/>
                <w:szCs w:val="21"/>
              </w:rPr>
              <w:t>Ⅵ</w:t>
            </w:r>
          </w:p>
        </w:tc>
        <w:tc>
          <w:tcPr>
            <w:tcW w:w="65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工业用水区</w:t>
            </w:r>
          </w:p>
        </w:tc>
        <w:tc>
          <w:tcPr>
            <w:tcW w:w="769" w:type="pct"/>
            <w:tcMar>
              <w:top w:w="0" w:type="dxa"/>
              <w:left w:w="28" w:type="dxa"/>
              <w:bottom w:w="0" w:type="dxa"/>
              <w:right w:w="28" w:type="dxa"/>
            </w:tcMar>
            <w:vAlign w:val="center"/>
          </w:tcPr>
          <w:p>
            <w:pPr>
              <w:widowControl/>
              <w:spacing w:line="340" w:lineRule="exact"/>
              <w:ind w:firstLine="0" w:firstLineChars="0"/>
              <w:jc w:val="center"/>
              <w:rPr>
                <w:rFonts w:hAnsi="宋体"/>
                <w:kern w:val="0"/>
                <w:sz w:val="21"/>
                <w:szCs w:val="21"/>
              </w:rPr>
            </w:pPr>
            <w:r>
              <w:rPr>
                <w:rFonts w:hint="eastAsia" w:hAnsi="宋体"/>
                <w:kern w:val="0"/>
                <w:sz w:val="21"/>
                <w:szCs w:val="21"/>
              </w:rPr>
              <w:t>本项目位于该河段</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341" w:type="pct"/>
            <w:vMerge w:val="continue"/>
            <w:tcMar>
              <w:top w:w="0" w:type="dxa"/>
              <w:left w:w="28" w:type="dxa"/>
              <w:bottom w:w="0" w:type="dxa"/>
              <w:right w:w="28" w:type="dxa"/>
            </w:tcMar>
            <w:vAlign w:val="center"/>
          </w:tcPr>
          <w:p>
            <w:pPr>
              <w:spacing w:line="340" w:lineRule="exact"/>
              <w:ind w:firstLine="0" w:firstLineChars="0"/>
              <w:jc w:val="center"/>
              <w:rPr>
                <w:sz w:val="21"/>
                <w:szCs w:val="21"/>
              </w:rPr>
            </w:pPr>
          </w:p>
        </w:tc>
        <w:tc>
          <w:tcPr>
            <w:tcW w:w="1709"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hAnsi="宋体"/>
                <w:kern w:val="0"/>
                <w:sz w:val="21"/>
                <w:szCs w:val="21"/>
              </w:rPr>
              <w:t>上高县敖山镇</w:t>
            </w:r>
            <w:r>
              <w:rPr>
                <w:kern w:val="0"/>
                <w:sz w:val="21"/>
                <w:szCs w:val="21"/>
              </w:rPr>
              <w:t>-</w:t>
            </w:r>
            <w:r>
              <w:rPr>
                <w:rFonts w:hint="eastAsia" w:hAnsi="宋体"/>
                <w:kern w:val="0"/>
                <w:sz w:val="21"/>
                <w:szCs w:val="21"/>
              </w:rPr>
              <w:t>高安市三联大桥</w:t>
            </w:r>
            <w:r>
              <w:rPr>
                <w:rFonts w:hAnsi="宋体"/>
                <w:kern w:val="0"/>
                <w:sz w:val="21"/>
                <w:szCs w:val="21"/>
              </w:rPr>
              <w:t>处</w:t>
            </w:r>
          </w:p>
        </w:tc>
        <w:tc>
          <w:tcPr>
            <w:tcW w:w="571"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kern w:val="0"/>
                <w:sz w:val="21"/>
                <w:szCs w:val="21"/>
              </w:rPr>
              <w:t>68.5</w:t>
            </w:r>
          </w:p>
        </w:tc>
        <w:tc>
          <w:tcPr>
            <w:tcW w:w="41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int="eastAsia" w:hAnsi="宋体"/>
                <w:kern w:val="0"/>
                <w:sz w:val="21"/>
                <w:szCs w:val="21"/>
              </w:rPr>
              <w:t>上高</w:t>
            </w:r>
            <w:r>
              <w:rPr>
                <w:rFonts w:hAnsi="宋体"/>
                <w:kern w:val="0"/>
                <w:sz w:val="21"/>
                <w:szCs w:val="21"/>
              </w:rPr>
              <w:t>县</w:t>
            </w:r>
          </w:p>
        </w:tc>
        <w:tc>
          <w:tcPr>
            <w:tcW w:w="530"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ascii="宋体" w:hAnsi="宋体"/>
                <w:kern w:val="0"/>
                <w:sz w:val="21"/>
                <w:szCs w:val="21"/>
              </w:rPr>
              <w:t>Ⅲ</w:t>
            </w:r>
          </w:p>
        </w:tc>
        <w:tc>
          <w:tcPr>
            <w:tcW w:w="658" w:type="pct"/>
            <w:tcMar>
              <w:top w:w="0" w:type="dxa"/>
              <w:left w:w="28" w:type="dxa"/>
              <w:bottom w:w="0" w:type="dxa"/>
              <w:right w:w="28" w:type="dxa"/>
            </w:tcMar>
            <w:vAlign w:val="center"/>
          </w:tcPr>
          <w:p>
            <w:pPr>
              <w:widowControl/>
              <w:spacing w:line="340" w:lineRule="exact"/>
              <w:ind w:firstLine="0" w:firstLineChars="0"/>
              <w:jc w:val="center"/>
              <w:rPr>
                <w:kern w:val="0"/>
                <w:sz w:val="21"/>
                <w:szCs w:val="21"/>
              </w:rPr>
            </w:pPr>
            <w:r>
              <w:rPr>
                <w:rFonts w:hAnsi="宋体"/>
                <w:kern w:val="0"/>
                <w:sz w:val="21"/>
                <w:szCs w:val="21"/>
              </w:rPr>
              <w:t>景观娱乐用水区</w:t>
            </w:r>
          </w:p>
        </w:tc>
        <w:tc>
          <w:tcPr>
            <w:tcW w:w="769" w:type="pct"/>
            <w:tcMar>
              <w:top w:w="0" w:type="dxa"/>
              <w:left w:w="28" w:type="dxa"/>
              <w:bottom w:w="0" w:type="dxa"/>
              <w:right w:w="28" w:type="dxa"/>
            </w:tcMar>
            <w:vAlign w:val="center"/>
          </w:tcPr>
          <w:p>
            <w:pPr>
              <w:widowControl/>
              <w:spacing w:line="340" w:lineRule="exact"/>
              <w:ind w:firstLine="0" w:firstLineChars="0"/>
              <w:jc w:val="center"/>
              <w:rPr>
                <w:rFonts w:hAnsi="宋体"/>
                <w:kern w:val="0"/>
                <w:sz w:val="21"/>
                <w:szCs w:val="21"/>
              </w:rPr>
            </w:pPr>
            <w:r>
              <w:rPr>
                <w:rFonts w:hint="eastAsia" w:hAnsi="宋体"/>
                <w:kern w:val="0"/>
                <w:sz w:val="21"/>
                <w:szCs w:val="21"/>
              </w:rPr>
              <w:t>距离本工程380m</w:t>
            </w:r>
          </w:p>
        </w:tc>
      </w:tr>
    </w:tbl>
    <w:p>
      <w:pPr>
        <w:pStyle w:val="7"/>
        <w:rPr>
          <w:szCs w:val="24"/>
        </w:rPr>
      </w:pPr>
      <w:r>
        <w:rPr>
          <w:rFonts w:hint="eastAsia"/>
          <w:szCs w:val="24"/>
        </w:rPr>
        <w:t>1.4.3环境空气功能区划</w:t>
      </w:r>
    </w:p>
    <w:p>
      <w:pPr>
        <w:ind w:firstLine="480"/>
      </w:pPr>
      <w:r>
        <w:t>项目所在地为</w:t>
      </w:r>
      <w:r>
        <w:rPr>
          <w:rFonts w:hint="eastAsia"/>
        </w:rPr>
        <w:t>上高县城</w:t>
      </w:r>
      <w:r>
        <w:t>，根据《环境空气质量标准》（GB3095-2012）中环境功能区分类要求，项目所在地属于环境空气质量二类功能区。</w:t>
      </w:r>
    </w:p>
    <w:p>
      <w:pPr>
        <w:pStyle w:val="7"/>
        <w:rPr>
          <w:szCs w:val="24"/>
        </w:rPr>
      </w:pPr>
      <w:r>
        <w:rPr>
          <w:rFonts w:hint="eastAsia"/>
          <w:szCs w:val="24"/>
        </w:rPr>
        <w:t>1.4.4声环境功能区</w:t>
      </w:r>
    </w:p>
    <w:p>
      <w:pPr>
        <w:ind w:firstLine="480"/>
        <w:rPr>
          <w:rFonts w:hAnsi="宋体"/>
          <w:kern w:val="0"/>
          <w:szCs w:val="24"/>
        </w:rPr>
      </w:pPr>
      <w:r>
        <w:rPr>
          <w:rFonts w:ascii="宋体" w:hAnsi="宋体" w:cs="宋体"/>
          <w:kern w:val="0"/>
          <w:szCs w:val="24"/>
        </w:rPr>
        <w:t>根据《</w:t>
      </w:r>
      <w:r>
        <w:rPr>
          <w:rFonts w:hint="eastAsia" w:ascii="宋体" w:hAnsi="宋体" w:cs="宋体"/>
          <w:kern w:val="0"/>
          <w:szCs w:val="24"/>
        </w:rPr>
        <w:t>声</w:t>
      </w:r>
      <w:r>
        <w:rPr>
          <w:rFonts w:ascii="宋体" w:hAnsi="宋体" w:cs="宋体"/>
          <w:kern w:val="0"/>
          <w:szCs w:val="24"/>
        </w:rPr>
        <w:t>环境功能区划分</w:t>
      </w:r>
      <w:r>
        <w:rPr>
          <w:rFonts w:hint="eastAsia" w:ascii="宋体" w:hAnsi="宋体" w:cs="宋体"/>
          <w:kern w:val="0"/>
          <w:szCs w:val="24"/>
        </w:rPr>
        <w:t>技术</w:t>
      </w:r>
      <w:r>
        <w:rPr>
          <w:rFonts w:hAnsi="宋体"/>
          <w:kern w:val="0"/>
          <w:szCs w:val="24"/>
        </w:rPr>
        <w:t>规范》</w:t>
      </w:r>
      <w:r>
        <w:rPr>
          <w:kern w:val="0"/>
          <w:szCs w:val="24"/>
        </w:rPr>
        <w:t>(</w:t>
      </w:r>
      <w:r>
        <w:rPr>
          <w:rFonts w:hint="eastAsia"/>
          <w:kern w:val="0"/>
          <w:szCs w:val="24"/>
        </w:rPr>
        <w:t>G</w:t>
      </w:r>
      <w:r>
        <w:rPr>
          <w:kern w:val="0"/>
          <w:szCs w:val="24"/>
        </w:rPr>
        <w:t>B/T15190-2014)</w:t>
      </w:r>
      <w:r>
        <w:rPr>
          <w:rFonts w:hAnsi="宋体"/>
          <w:kern w:val="0"/>
          <w:szCs w:val="24"/>
        </w:rPr>
        <w:t>和《声环境质量标准》</w:t>
      </w:r>
      <w:r>
        <w:rPr>
          <w:kern w:val="0"/>
          <w:szCs w:val="24"/>
        </w:rPr>
        <w:t>(GB3096-2008)</w:t>
      </w:r>
      <w:r>
        <w:rPr>
          <w:rFonts w:hAnsi="宋体"/>
          <w:kern w:val="0"/>
          <w:szCs w:val="24"/>
        </w:rPr>
        <w:t>中声环境功能划分方法，</w:t>
      </w:r>
      <w:r>
        <w:rPr>
          <w:rFonts w:hint="eastAsia" w:hAnsi="宋体"/>
          <w:kern w:val="0"/>
          <w:szCs w:val="24"/>
        </w:rPr>
        <w:t>本工程所在地</w:t>
      </w:r>
      <w:r>
        <w:rPr>
          <w:rFonts w:hAnsi="宋体"/>
          <w:kern w:val="0"/>
          <w:szCs w:val="24"/>
        </w:rPr>
        <w:t>为声环境功能</w:t>
      </w:r>
      <w:r>
        <w:rPr>
          <w:rFonts w:hint="eastAsia"/>
          <w:kern w:val="0"/>
          <w:szCs w:val="24"/>
        </w:rPr>
        <w:t>2</w:t>
      </w:r>
      <w:r>
        <w:rPr>
          <w:rFonts w:hAnsi="宋体"/>
          <w:kern w:val="0"/>
          <w:szCs w:val="24"/>
        </w:rPr>
        <w:t>类区。</w:t>
      </w:r>
    </w:p>
    <w:p>
      <w:pPr>
        <w:pStyle w:val="7"/>
        <w:rPr>
          <w:szCs w:val="24"/>
        </w:rPr>
      </w:pPr>
      <w:r>
        <w:rPr>
          <w:rFonts w:hint="eastAsia"/>
          <w:szCs w:val="24"/>
        </w:rPr>
        <w:t>1.4.5土壤环境功能区划</w:t>
      </w:r>
    </w:p>
    <w:p>
      <w:pPr>
        <w:ind w:firstLine="480"/>
        <w:rPr>
          <w:kern w:val="0"/>
          <w:szCs w:val="24"/>
        </w:rPr>
      </w:pPr>
      <w:r>
        <w:rPr>
          <w:szCs w:val="24"/>
        </w:rPr>
        <w:t>工程占地范围内属于《建设用地土壤污染风险管控标准（试行）》</w:t>
      </w:r>
      <w:r>
        <w:rPr>
          <w:rFonts w:hint="eastAsia"/>
          <w:szCs w:val="24"/>
        </w:rPr>
        <w:t>（GB36/1282-2020）</w:t>
      </w:r>
      <w:r>
        <w:rPr>
          <w:szCs w:val="24"/>
        </w:rPr>
        <w:t>二类用地，占地范围外属于《土壤环境质量 农用地土壤污染风险管控标准（试行）》（GB 15618-2018）农用地。</w:t>
      </w:r>
    </w:p>
    <w:p>
      <w:pPr>
        <w:pStyle w:val="7"/>
        <w:rPr>
          <w:szCs w:val="24"/>
        </w:rPr>
      </w:pPr>
      <w:r>
        <w:rPr>
          <w:rFonts w:hint="eastAsia"/>
          <w:szCs w:val="24"/>
        </w:rPr>
        <w:t>1.4.6江西省主体功能区划</w:t>
      </w:r>
    </w:p>
    <w:p>
      <w:pPr>
        <w:ind w:firstLine="480"/>
        <w:rPr>
          <w:rFonts w:ascii="宋体" w:hAnsi="宋体" w:cs="宋体"/>
          <w:kern w:val="0"/>
          <w:szCs w:val="24"/>
        </w:rPr>
      </w:pPr>
      <w:r>
        <w:rPr>
          <w:rFonts w:hint="eastAsia" w:ascii="宋体" w:hAnsi="宋体" w:cs="宋体"/>
          <w:kern w:val="0"/>
          <w:szCs w:val="24"/>
        </w:rPr>
        <w:t>工程</w:t>
      </w:r>
      <w:r>
        <w:rPr>
          <w:rFonts w:ascii="宋体" w:hAnsi="宋体" w:cs="宋体"/>
          <w:kern w:val="0"/>
          <w:szCs w:val="24"/>
        </w:rPr>
        <w:t>位于江西省</w:t>
      </w:r>
      <w:r>
        <w:rPr>
          <w:rFonts w:hint="eastAsia" w:ascii="宋体" w:hAnsi="宋体" w:cs="宋体"/>
          <w:kern w:val="0"/>
          <w:szCs w:val="24"/>
        </w:rPr>
        <w:t>上高县</w:t>
      </w:r>
      <w:r>
        <w:rPr>
          <w:rFonts w:ascii="宋体" w:hAnsi="宋体" w:cs="宋体"/>
          <w:kern w:val="0"/>
          <w:szCs w:val="24"/>
        </w:rPr>
        <w:t>，根据《江西省主体功能区规划》，规划区属于限制开发区域(</w:t>
      </w:r>
      <w:r>
        <w:rPr>
          <w:rFonts w:hint="eastAsia" w:ascii="宋体" w:hAnsi="宋体" w:cs="宋体"/>
          <w:kern w:val="0"/>
          <w:szCs w:val="24"/>
        </w:rPr>
        <w:t>国家</w:t>
      </w:r>
      <w:r>
        <w:rPr>
          <w:rFonts w:ascii="宋体" w:hAnsi="宋体" w:cs="宋体"/>
          <w:kern w:val="0"/>
          <w:szCs w:val="24"/>
        </w:rPr>
        <w:t>级农产品主产区)</w:t>
      </w:r>
      <w:r>
        <w:rPr>
          <w:rFonts w:hint="eastAsia" w:ascii="宋体" w:hAnsi="宋体" w:cs="宋体"/>
          <w:kern w:val="0"/>
          <w:szCs w:val="24"/>
        </w:rPr>
        <w:t>，</w:t>
      </w:r>
      <w:r>
        <w:rPr>
          <w:rFonts w:ascii="宋体" w:hAnsi="宋体" w:cs="宋体"/>
          <w:kern w:val="0"/>
          <w:szCs w:val="24"/>
        </w:rPr>
        <w:t>功能定位</w:t>
      </w:r>
      <w:r>
        <w:rPr>
          <w:rFonts w:hint="eastAsia" w:ascii="宋体" w:hAnsi="宋体" w:cs="宋体"/>
          <w:kern w:val="0"/>
          <w:szCs w:val="24"/>
        </w:rPr>
        <w:t>；</w:t>
      </w:r>
      <w:r>
        <w:rPr>
          <w:rFonts w:ascii="宋体" w:hAnsi="宋体" w:cs="宋体"/>
          <w:kern w:val="0"/>
          <w:szCs w:val="24"/>
        </w:rPr>
        <w:t>保障农产品供给安全的重要区域，农民安居乐业的美好家园，社会主义新农村建设的示范区，着力保护耕地，稳定粮食生产，增强农业综合生产能力，发展现代农业，增加农民收入，加快建设社会主义新农村，保障农产品供给，确保国家粮食安全和食物安全。</w:t>
      </w:r>
    </w:p>
    <w:p>
      <w:pPr>
        <w:pStyle w:val="6"/>
        <w:spacing w:beforeLines="50" w:afterLines="50"/>
        <w:rPr>
          <w:bCs/>
          <w:szCs w:val="28"/>
        </w:rPr>
      </w:pPr>
      <w:bookmarkStart w:id="164" w:name="_Toc19083240"/>
      <w:bookmarkStart w:id="165" w:name="_Toc17282"/>
      <w:r>
        <w:rPr>
          <w:szCs w:val="28"/>
        </w:rPr>
        <w:t>1.</w:t>
      </w:r>
      <w:r>
        <w:rPr>
          <w:rFonts w:hint="eastAsia"/>
          <w:szCs w:val="28"/>
        </w:rPr>
        <w:t>5</w:t>
      </w:r>
      <w:r>
        <w:rPr>
          <w:szCs w:val="28"/>
        </w:rPr>
        <w:t>评价标准</w:t>
      </w:r>
      <w:bookmarkEnd w:id="164"/>
      <w:bookmarkEnd w:id="165"/>
    </w:p>
    <w:p>
      <w:pPr>
        <w:ind w:firstLine="0" w:firstLineChars="0"/>
        <w:outlineLvl w:val="2"/>
        <w:rPr>
          <w:b/>
          <w:kern w:val="24"/>
          <w:szCs w:val="24"/>
        </w:rPr>
      </w:pPr>
      <w:r>
        <w:rPr>
          <w:b/>
          <w:kern w:val="24"/>
          <w:szCs w:val="24"/>
        </w:rPr>
        <w:t>1.</w:t>
      </w:r>
      <w:r>
        <w:rPr>
          <w:rFonts w:hint="eastAsia"/>
          <w:b/>
          <w:kern w:val="24"/>
          <w:szCs w:val="24"/>
        </w:rPr>
        <w:t>5</w:t>
      </w:r>
      <w:r>
        <w:rPr>
          <w:b/>
          <w:kern w:val="24"/>
          <w:szCs w:val="24"/>
        </w:rPr>
        <w:t>.1环境质量标准</w:t>
      </w:r>
    </w:p>
    <w:p>
      <w:pPr>
        <w:ind w:firstLine="480"/>
        <w:rPr>
          <w:szCs w:val="24"/>
        </w:rPr>
      </w:pPr>
      <w:r>
        <w:rPr>
          <w:szCs w:val="24"/>
        </w:rPr>
        <w:t>结合</w:t>
      </w:r>
      <w:r>
        <w:t>项目所在地环境功能区划，根据宜春市</w:t>
      </w:r>
      <w:r>
        <w:rPr>
          <w:rFonts w:hint="eastAsia"/>
        </w:rPr>
        <w:t>上高</w:t>
      </w:r>
      <w:r>
        <w:t>生态环境局出具的</w:t>
      </w:r>
      <w:r>
        <w:rPr>
          <w:szCs w:val="24"/>
        </w:rPr>
        <w:t>关于本项目执行标准的复函，本项目环境影响评价执行标准如下：</w:t>
      </w:r>
    </w:p>
    <w:p>
      <w:pPr>
        <w:ind w:firstLine="480"/>
        <w:rPr>
          <w:kern w:val="0"/>
          <w:szCs w:val="24"/>
        </w:rPr>
      </w:pPr>
      <w:r>
        <w:rPr>
          <w:rFonts w:hint="eastAsia"/>
          <w:kern w:val="0"/>
          <w:szCs w:val="24"/>
        </w:rPr>
        <w:t>(1)环境空气</w:t>
      </w:r>
    </w:p>
    <w:p>
      <w:pPr>
        <w:ind w:firstLine="480"/>
        <w:rPr>
          <w:spacing w:val="4"/>
          <w:szCs w:val="24"/>
        </w:rPr>
      </w:pPr>
      <w:r>
        <w:rPr>
          <w:kern w:val="0"/>
          <w:szCs w:val="24"/>
        </w:rPr>
        <w:t>项目区域环境空气</w:t>
      </w:r>
      <w:r>
        <w:rPr>
          <w:spacing w:val="4"/>
          <w:szCs w:val="24"/>
        </w:rPr>
        <w:t>执行《环境空气质量标准》（GB3095-2012）中二级标准</w:t>
      </w:r>
      <w:r>
        <w:rPr>
          <w:szCs w:val="24"/>
        </w:rPr>
        <w:t>，</w:t>
      </w:r>
      <w:r>
        <w:rPr>
          <w:spacing w:val="4"/>
          <w:szCs w:val="24"/>
        </w:rPr>
        <w:t>标准值详见表1.</w:t>
      </w:r>
      <w:r>
        <w:rPr>
          <w:rFonts w:hint="eastAsia"/>
          <w:spacing w:val="4"/>
          <w:szCs w:val="24"/>
        </w:rPr>
        <w:t>5</w:t>
      </w:r>
      <w:r>
        <w:rPr>
          <w:spacing w:val="4"/>
          <w:szCs w:val="24"/>
        </w:rPr>
        <w:t>-</w:t>
      </w:r>
      <w:r>
        <w:rPr>
          <w:rFonts w:hint="eastAsia"/>
          <w:spacing w:val="4"/>
          <w:szCs w:val="24"/>
        </w:rPr>
        <w:t>1</w:t>
      </w:r>
      <w:r>
        <w:rPr>
          <w:spacing w:val="4"/>
          <w:szCs w:val="24"/>
        </w:rPr>
        <w:t>。</w:t>
      </w:r>
    </w:p>
    <w:p>
      <w:pPr>
        <w:pStyle w:val="585"/>
        <w:spacing w:before="120" w:beforeLines="50" w:line="240" w:lineRule="auto"/>
        <w:ind w:firstLine="496"/>
        <w:jc w:val="center"/>
        <w:rPr>
          <w:rFonts w:ascii="黑体" w:hAnsi="黑体" w:eastAsia="黑体" w:cs="黑体"/>
          <w:color w:val="auto"/>
        </w:rPr>
      </w:pPr>
      <w:r>
        <w:rPr>
          <w:rFonts w:hint="eastAsia" w:ascii="黑体" w:hAnsi="黑体" w:eastAsia="黑体" w:cs="黑体"/>
          <w:color w:val="auto"/>
        </w:rPr>
        <w:t>表1.5-1  环境空气质量标准值   单位：ug/m</w:t>
      </w:r>
      <w:r>
        <w:rPr>
          <w:rFonts w:hint="eastAsia" w:ascii="黑体" w:hAnsi="黑体" w:eastAsia="黑体" w:cs="黑体"/>
          <w:color w:val="auto"/>
          <w:vertAlign w:val="superscript"/>
        </w:rPr>
        <w:t>3</w:t>
      </w:r>
    </w:p>
    <w:tbl>
      <w:tblPr>
        <w:tblStyle w:val="8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2065"/>
        <w:gridCol w:w="1894"/>
        <w:gridCol w:w="2698"/>
        <w:gridCol w:w="16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54" w:type="pct"/>
            <w:vMerge w:val="restart"/>
            <w:vAlign w:val="center"/>
          </w:tcPr>
          <w:p>
            <w:pPr>
              <w:pStyle w:val="401"/>
              <w:spacing w:line="340" w:lineRule="exact"/>
              <w:rPr>
                <w:rFonts w:ascii="Times New Roman" w:hAnsi="Times New Roman"/>
              </w:rPr>
            </w:pPr>
            <w:r>
              <w:rPr>
                <w:rFonts w:ascii="Times New Roman" w:hAnsi="Times New Roman"/>
              </w:rPr>
              <w:t>序号</w:t>
            </w:r>
          </w:p>
        </w:tc>
        <w:tc>
          <w:tcPr>
            <w:tcW w:w="1079" w:type="pct"/>
            <w:vMerge w:val="restart"/>
            <w:vAlign w:val="center"/>
          </w:tcPr>
          <w:p>
            <w:pPr>
              <w:pStyle w:val="401"/>
              <w:spacing w:line="340" w:lineRule="exact"/>
              <w:rPr>
                <w:rFonts w:ascii="Times New Roman" w:hAnsi="Times New Roman"/>
              </w:rPr>
            </w:pPr>
            <w:r>
              <w:rPr>
                <w:rFonts w:ascii="Times New Roman" w:hAnsi="Times New Roman"/>
              </w:rPr>
              <w:t>污染物</w:t>
            </w:r>
          </w:p>
        </w:tc>
        <w:tc>
          <w:tcPr>
            <w:tcW w:w="3266" w:type="pct"/>
            <w:gridSpan w:val="3"/>
            <w:vAlign w:val="center"/>
          </w:tcPr>
          <w:p>
            <w:pPr>
              <w:pStyle w:val="401"/>
              <w:spacing w:line="340" w:lineRule="exact"/>
              <w:rPr>
                <w:rFonts w:ascii="Times New Roman" w:hAnsi="Times New Roman"/>
              </w:rPr>
            </w:pPr>
            <w:r>
              <w:rPr>
                <w:rFonts w:ascii="Times New Roman" w:hAnsi="Times New Roman"/>
              </w:rPr>
              <w:t>浓度限值（GB3095-2012）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tblHeader/>
          <w:jc w:val="center"/>
        </w:trPr>
        <w:tc>
          <w:tcPr>
            <w:tcW w:w="654" w:type="pct"/>
            <w:vMerge w:val="continue"/>
            <w:vAlign w:val="center"/>
          </w:tcPr>
          <w:p>
            <w:pPr>
              <w:pStyle w:val="401"/>
              <w:spacing w:line="340" w:lineRule="exact"/>
              <w:rPr>
                <w:rFonts w:ascii="Times New Roman" w:hAnsi="Times New Roman"/>
              </w:rPr>
            </w:pPr>
          </w:p>
        </w:tc>
        <w:tc>
          <w:tcPr>
            <w:tcW w:w="1079" w:type="pct"/>
            <w:vMerge w:val="continue"/>
            <w:vAlign w:val="center"/>
          </w:tcPr>
          <w:p>
            <w:pPr>
              <w:pStyle w:val="401"/>
              <w:spacing w:line="340" w:lineRule="exact"/>
              <w:rPr>
                <w:rFonts w:ascii="Times New Roman" w:hAnsi="Times New Roman"/>
              </w:rPr>
            </w:pPr>
          </w:p>
        </w:tc>
        <w:tc>
          <w:tcPr>
            <w:tcW w:w="990" w:type="pct"/>
            <w:vAlign w:val="center"/>
          </w:tcPr>
          <w:p>
            <w:pPr>
              <w:pStyle w:val="401"/>
              <w:spacing w:line="340" w:lineRule="exact"/>
              <w:rPr>
                <w:rFonts w:ascii="Times New Roman" w:hAnsi="Times New Roman"/>
              </w:rPr>
            </w:pPr>
            <w:r>
              <w:rPr>
                <w:rFonts w:ascii="Times New Roman" w:hAnsi="Times New Roman"/>
              </w:rPr>
              <w:t>小时平均</w:t>
            </w:r>
          </w:p>
        </w:tc>
        <w:tc>
          <w:tcPr>
            <w:tcW w:w="1410" w:type="pct"/>
            <w:vAlign w:val="center"/>
          </w:tcPr>
          <w:p>
            <w:pPr>
              <w:pStyle w:val="401"/>
              <w:spacing w:line="340" w:lineRule="exact"/>
              <w:rPr>
                <w:rFonts w:ascii="Times New Roman" w:hAnsi="Times New Roman"/>
              </w:rPr>
            </w:pPr>
            <w:r>
              <w:rPr>
                <w:rFonts w:ascii="Times New Roman" w:hAnsi="Times New Roman"/>
              </w:rPr>
              <w:t>日平均</w:t>
            </w:r>
          </w:p>
        </w:tc>
        <w:tc>
          <w:tcPr>
            <w:tcW w:w="864" w:type="pct"/>
            <w:vAlign w:val="center"/>
          </w:tcPr>
          <w:p>
            <w:pPr>
              <w:pStyle w:val="401"/>
              <w:spacing w:line="340" w:lineRule="exact"/>
              <w:rPr>
                <w:rFonts w:ascii="Times New Roman" w:hAnsi="Times New Roman"/>
              </w:rPr>
            </w:pPr>
            <w:r>
              <w:rPr>
                <w:rFonts w:ascii="Times New Roman" w:hAnsi="Times New Roman"/>
              </w:rPr>
              <w:t>年平均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rPr>
            </w:pPr>
            <w:r>
              <w:rPr>
                <w:rFonts w:ascii="Times New Roman" w:hAnsi="Times New Roman"/>
              </w:rPr>
              <w:t>1</w:t>
            </w:r>
          </w:p>
        </w:tc>
        <w:tc>
          <w:tcPr>
            <w:tcW w:w="1079" w:type="pct"/>
            <w:vAlign w:val="center"/>
          </w:tcPr>
          <w:p>
            <w:pPr>
              <w:pStyle w:val="401"/>
              <w:spacing w:line="340" w:lineRule="exact"/>
              <w:rPr>
                <w:rFonts w:ascii="Times New Roman" w:hAnsi="Times New Roman"/>
              </w:rPr>
            </w:pPr>
            <w:r>
              <w:rPr>
                <w:rFonts w:ascii="Times New Roman" w:hAnsi="Times New Roman"/>
              </w:rPr>
              <w:t>SO</w:t>
            </w:r>
            <w:r>
              <w:rPr>
                <w:rFonts w:ascii="Times New Roman" w:hAnsi="Times New Roman"/>
                <w:vertAlign w:val="subscript"/>
              </w:rPr>
              <w:t>2</w:t>
            </w:r>
          </w:p>
        </w:tc>
        <w:tc>
          <w:tcPr>
            <w:tcW w:w="990" w:type="pct"/>
            <w:vAlign w:val="center"/>
          </w:tcPr>
          <w:p>
            <w:pPr>
              <w:pStyle w:val="620"/>
              <w:spacing w:before="0" w:after="0" w:line="340" w:lineRule="exact"/>
              <w:rPr>
                <w:szCs w:val="21"/>
              </w:rPr>
            </w:pPr>
            <w:r>
              <w:rPr>
                <w:rFonts w:hint="eastAsia"/>
                <w:szCs w:val="21"/>
              </w:rPr>
              <w:t>500</w:t>
            </w:r>
          </w:p>
        </w:tc>
        <w:tc>
          <w:tcPr>
            <w:tcW w:w="1410" w:type="pct"/>
            <w:vAlign w:val="center"/>
          </w:tcPr>
          <w:p>
            <w:pPr>
              <w:pStyle w:val="620"/>
              <w:spacing w:before="0" w:after="0" w:line="340" w:lineRule="exact"/>
              <w:rPr>
                <w:szCs w:val="21"/>
              </w:rPr>
            </w:pPr>
            <w:r>
              <w:rPr>
                <w:rFonts w:hint="eastAsia"/>
                <w:szCs w:val="21"/>
              </w:rPr>
              <w:t>150</w:t>
            </w:r>
          </w:p>
        </w:tc>
        <w:tc>
          <w:tcPr>
            <w:tcW w:w="864" w:type="pct"/>
            <w:vAlign w:val="center"/>
          </w:tcPr>
          <w:p>
            <w:pPr>
              <w:pStyle w:val="620"/>
              <w:spacing w:before="0" w:after="0" w:line="340" w:lineRule="exact"/>
              <w:rPr>
                <w:szCs w:val="21"/>
              </w:rPr>
            </w:pPr>
            <w:r>
              <w:rPr>
                <w:rFonts w:hint="eastAsia"/>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rPr>
            </w:pPr>
            <w:r>
              <w:rPr>
                <w:rFonts w:ascii="Times New Roman" w:hAnsi="Times New Roman"/>
              </w:rPr>
              <w:t>2</w:t>
            </w:r>
          </w:p>
        </w:tc>
        <w:tc>
          <w:tcPr>
            <w:tcW w:w="1079" w:type="pct"/>
            <w:vAlign w:val="center"/>
          </w:tcPr>
          <w:p>
            <w:pPr>
              <w:pStyle w:val="401"/>
              <w:spacing w:line="340" w:lineRule="exact"/>
              <w:rPr>
                <w:rFonts w:ascii="Times New Roman" w:hAnsi="Times New Roman"/>
              </w:rPr>
            </w:pPr>
            <w:r>
              <w:rPr>
                <w:rFonts w:ascii="Times New Roman" w:hAnsi="Times New Roman"/>
              </w:rPr>
              <w:t>NO</w:t>
            </w:r>
            <w:r>
              <w:rPr>
                <w:rFonts w:ascii="Times New Roman" w:hAnsi="Times New Roman"/>
                <w:vertAlign w:val="subscript"/>
              </w:rPr>
              <w:t>2</w:t>
            </w:r>
          </w:p>
        </w:tc>
        <w:tc>
          <w:tcPr>
            <w:tcW w:w="990" w:type="pct"/>
            <w:vAlign w:val="center"/>
          </w:tcPr>
          <w:p>
            <w:pPr>
              <w:pStyle w:val="620"/>
              <w:spacing w:before="0" w:after="0" w:line="340" w:lineRule="exact"/>
              <w:rPr>
                <w:szCs w:val="21"/>
              </w:rPr>
            </w:pPr>
            <w:r>
              <w:rPr>
                <w:rFonts w:hint="eastAsia"/>
                <w:szCs w:val="21"/>
              </w:rPr>
              <w:t>200</w:t>
            </w:r>
          </w:p>
        </w:tc>
        <w:tc>
          <w:tcPr>
            <w:tcW w:w="1410" w:type="pct"/>
            <w:vAlign w:val="center"/>
          </w:tcPr>
          <w:p>
            <w:pPr>
              <w:pStyle w:val="620"/>
              <w:spacing w:before="0" w:after="0" w:line="340" w:lineRule="exact"/>
              <w:rPr>
                <w:szCs w:val="21"/>
              </w:rPr>
            </w:pPr>
            <w:r>
              <w:rPr>
                <w:rFonts w:hint="eastAsia"/>
                <w:szCs w:val="21"/>
              </w:rPr>
              <w:t>80</w:t>
            </w:r>
          </w:p>
        </w:tc>
        <w:tc>
          <w:tcPr>
            <w:tcW w:w="864" w:type="pct"/>
            <w:vAlign w:val="center"/>
          </w:tcPr>
          <w:p>
            <w:pPr>
              <w:pStyle w:val="620"/>
              <w:spacing w:before="0" w:after="0" w:line="340" w:lineRule="exact"/>
              <w:rPr>
                <w:szCs w:val="21"/>
              </w:rPr>
            </w:pPr>
            <w:r>
              <w:rPr>
                <w:rFonts w:hint="eastAsia"/>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rPr>
            </w:pPr>
            <w:r>
              <w:rPr>
                <w:rFonts w:ascii="Times New Roman" w:hAnsi="Times New Roman"/>
              </w:rPr>
              <w:t>3</w:t>
            </w:r>
          </w:p>
        </w:tc>
        <w:tc>
          <w:tcPr>
            <w:tcW w:w="1079" w:type="pct"/>
            <w:vAlign w:val="center"/>
          </w:tcPr>
          <w:p>
            <w:pPr>
              <w:pStyle w:val="401"/>
              <w:spacing w:line="340" w:lineRule="exact"/>
              <w:rPr>
                <w:rFonts w:ascii="Times New Roman" w:hAnsi="Times New Roman"/>
              </w:rPr>
            </w:pPr>
            <w:r>
              <w:rPr>
                <w:rFonts w:ascii="Times New Roman" w:hAnsi="Times New Roman"/>
              </w:rPr>
              <w:t>PM</w:t>
            </w:r>
            <w:r>
              <w:rPr>
                <w:rFonts w:ascii="Times New Roman" w:hAnsi="Times New Roman"/>
                <w:vertAlign w:val="subscript"/>
              </w:rPr>
              <w:t>10</w:t>
            </w:r>
          </w:p>
        </w:tc>
        <w:tc>
          <w:tcPr>
            <w:tcW w:w="990" w:type="pct"/>
            <w:vAlign w:val="center"/>
          </w:tcPr>
          <w:p>
            <w:pPr>
              <w:pStyle w:val="620"/>
              <w:spacing w:before="0" w:after="0" w:line="340" w:lineRule="exact"/>
              <w:rPr>
                <w:szCs w:val="21"/>
              </w:rPr>
            </w:pPr>
            <w:r>
              <w:rPr>
                <w:szCs w:val="21"/>
              </w:rPr>
              <w:t>-</w:t>
            </w:r>
          </w:p>
        </w:tc>
        <w:tc>
          <w:tcPr>
            <w:tcW w:w="1410" w:type="pct"/>
            <w:vAlign w:val="center"/>
          </w:tcPr>
          <w:p>
            <w:pPr>
              <w:pStyle w:val="620"/>
              <w:spacing w:before="0" w:after="0" w:line="340" w:lineRule="exact"/>
              <w:rPr>
                <w:szCs w:val="21"/>
              </w:rPr>
            </w:pPr>
            <w:r>
              <w:rPr>
                <w:rFonts w:hint="eastAsia"/>
                <w:szCs w:val="21"/>
              </w:rPr>
              <w:t>150</w:t>
            </w:r>
          </w:p>
        </w:tc>
        <w:tc>
          <w:tcPr>
            <w:tcW w:w="864" w:type="pct"/>
            <w:vAlign w:val="center"/>
          </w:tcPr>
          <w:p>
            <w:pPr>
              <w:pStyle w:val="620"/>
              <w:spacing w:before="0" w:after="0" w:line="340" w:lineRule="exact"/>
              <w:rPr>
                <w:szCs w:val="21"/>
              </w:rPr>
            </w:pPr>
            <w:r>
              <w:rPr>
                <w:rFonts w:hint="eastAsia"/>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rPr>
            </w:pPr>
            <w:r>
              <w:rPr>
                <w:rFonts w:ascii="Times New Roman" w:hAnsi="Times New Roman"/>
              </w:rPr>
              <w:t>4</w:t>
            </w:r>
          </w:p>
        </w:tc>
        <w:tc>
          <w:tcPr>
            <w:tcW w:w="1079" w:type="pct"/>
            <w:vAlign w:val="center"/>
          </w:tcPr>
          <w:p>
            <w:pPr>
              <w:pStyle w:val="401"/>
              <w:spacing w:line="340" w:lineRule="exact"/>
              <w:rPr>
                <w:rFonts w:ascii="Times New Roman" w:hAnsi="Times New Roman"/>
                <w:spacing w:val="0"/>
              </w:rPr>
            </w:pPr>
            <w:r>
              <w:rPr>
                <w:rFonts w:ascii="Times New Roman" w:hAnsi="Times New Roman"/>
              </w:rPr>
              <w:t>PM</w:t>
            </w:r>
            <w:r>
              <w:rPr>
                <w:rFonts w:ascii="Times New Roman" w:hAnsi="Times New Roman"/>
                <w:vertAlign w:val="subscript"/>
              </w:rPr>
              <w:t>2.5</w:t>
            </w:r>
          </w:p>
        </w:tc>
        <w:tc>
          <w:tcPr>
            <w:tcW w:w="990" w:type="pct"/>
            <w:vAlign w:val="center"/>
          </w:tcPr>
          <w:p>
            <w:pPr>
              <w:pStyle w:val="52"/>
              <w:spacing w:after="0" w:afterLines="0" w:line="340" w:lineRule="exact"/>
              <w:jc w:val="center"/>
              <w:rPr>
                <w:rFonts w:eastAsia="宋体"/>
                <w:sz w:val="21"/>
                <w:szCs w:val="21"/>
              </w:rPr>
            </w:pPr>
            <w:r>
              <w:rPr>
                <w:szCs w:val="21"/>
              </w:rPr>
              <w:t>-</w:t>
            </w:r>
          </w:p>
        </w:tc>
        <w:tc>
          <w:tcPr>
            <w:tcW w:w="1410" w:type="pct"/>
            <w:vAlign w:val="center"/>
          </w:tcPr>
          <w:p>
            <w:pPr>
              <w:pStyle w:val="52"/>
              <w:spacing w:after="0" w:afterLines="0" w:line="340" w:lineRule="exact"/>
              <w:jc w:val="center"/>
              <w:rPr>
                <w:rFonts w:eastAsia="宋体"/>
                <w:sz w:val="21"/>
                <w:szCs w:val="21"/>
              </w:rPr>
            </w:pPr>
            <w:r>
              <w:rPr>
                <w:rFonts w:hint="eastAsia" w:eastAsia="宋体"/>
                <w:sz w:val="21"/>
                <w:szCs w:val="21"/>
              </w:rPr>
              <w:t>75</w:t>
            </w:r>
          </w:p>
        </w:tc>
        <w:tc>
          <w:tcPr>
            <w:tcW w:w="864" w:type="pct"/>
            <w:vAlign w:val="center"/>
          </w:tcPr>
          <w:p>
            <w:pPr>
              <w:pStyle w:val="52"/>
              <w:spacing w:after="0" w:afterLines="0" w:line="340" w:lineRule="exact"/>
              <w:jc w:val="center"/>
              <w:rPr>
                <w:rFonts w:eastAsia="宋体"/>
                <w:sz w:val="21"/>
                <w:szCs w:val="21"/>
              </w:rPr>
            </w:pPr>
            <w:r>
              <w:rPr>
                <w:rFonts w:hint="eastAsia" w:eastAsia="宋体"/>
                <w:sz w:val="21"/>
                <w:szCs w:val="21"/>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spacing w:val="0"/>
              </w:rPr>
            </w:pPr>
            <w:r>
              <w:rPr>
                <w:rFonts w:ascii="Times New Roman" w:hAnsi="Times New Roman"/>
                <w:spacing w:val="0"/>
              </w:rPr>
              <w:t>5</w:t>
            </w:r>
          </w:p>
        </w:tc>
        <w:tc>
          <w:tcPr>
            <w:tcW w:w="1079" w:type="pct"/>
            <w:vAlign w:val="center"/>
          </w:tcPr>
          <w:p>
            <w:pPr>
              <w:pStyle w:val="401"/>
              <w:spacing w:line="340" w:lineRule="exact"/>
              <w:rPr>
                <w:rFonts w:ascii="Times New Roman" w:hAnsi="Times New Roman"/>
                <w:spacing w:val="0"/>
              </w:rPr>
            </w:pPr>
            <w:r>
              <w:rPr>
                <w:rFonts w:ascii="Times New Roman" w:hAnsi="Times New Roman"/>
                <w:spacing w:val="0"/>
              </w:rPr>
              <w:t>CO</w:t>
            </w:r>
          </w:p>
        </w:tc>
        <w:tc>
          <w:tcPr>
            <w:tcW w:w="990" w:type="pct"/>
            <w:vAlign w:val="center"/>
          </w:tcPr>
          <w:p>
            <w:pPr>
              <w:pStyle w:val="52"/>
              <w:spacing w:after="0" w:afterLines="0" w:line="340" w:lineRule="exact"/>
              <w:jc w:val="center"/>
              <w:rPr>
                <w:rFonts w:eastAsia="宋体"/>
                <w:sz w:val="21"/>
                <w:szCs w:val="21"/>
              </w:rPr>
            </w:pPr>
            <w:r>
              <w:rPr>
                <w:rFonts w:eastAsia="宋体"/>
                <w:sz w:val="21"/>
                <w:szCs w:val="21"/>
              </w:rPr>
              <w:t>10</w:t>
            </w:r>
            <w:r>
              <w:rPr>
                <w:rFonts w:hint="eastAsia" w:eastAsia="宋体"/>
                <w:sz w:val="21"/>
                <w:szCs w:val="21"/>
              </w:rPr>
              <w:t>mg/m</w:t>
            </w:r>
            <w:r>
              <w:rPr>
                <w:rFonts w:hint="eastAsia" w:eastAsia="宋体"/>
                <w:sz w:val="21"/>
                <w:szCs w:val="21"/>
                <w:vertAlign w:val="superscript"/>
              </w:rPr>
              <w:t>3</w:t>
            </w:r>
          </w:p>
        </w:tc>
        <w:tc>
          <w:tcPr>
            <w:tcW w:w="1410" w:type="pct"/>
            <w:vAlign w:val="center"/>
          </w:tcPr>
          <w:p>
            <w:pPr>
              <w:pStyle w:val="52"/>
              <w:spacing w:after="0" w:afterLines="0" w:line="340" w:lineRule="exact"/>
              <w:jc w:val="center"/>
              <w:rPr>
                <w:rFonts w:eastAsia="宋体"/>
                <w:sz w:val="21"/>
                <w:szCs w:val="21"/>
              </w:rPr>
            </w:pPr>
            <w:r>
              <w:rPr>
                <w:rFonts w:eastAsia="宋体"/>
                <w:sz w:val="21"/>
                <w:szCs w:val="21"/>
              </w:rPr>
              <w:t>4</w:t>
            </w:r>
            <w:r>
              <w:rPr>
                <w:rFonts w:hint="eastAsia" w:eastAsia="宋体"/>
                <w:sz w:val="21"/>
                <w:szCs w:val="21"/>
              </w:rPr>
              <w:t>mg/m</w:t>
            </w:r>
            <w:r>
              <w:rPr>
                <w:rFonts w:hint="eastAsia" w:eastAsia="宋体"/>
                <w:sz w:val="21"/>
                <w:szCs w:val="21"/>
                <w:vertAlign w:val="superscript"/>
              </w:rPr>
              <w:t>3</w:t>
            </w:r>
          </w:p>
        </w:tc>
        <w:tc>
          <w:tcPr>
            <w:tcW w:w="864" w:type="pct"/>
            <w:vAlign w:val="center"/>
          </w:tcPr>
          <w:p>
            <w:pPr>
              <w:pStyle w:val="52"/>
              <w:spacing w:after="0" w:afterLines="0" w:line="340" w:lineRule="exact"/>
              <w:jc w:val="center"/>
              <w:rPr>
                <w:rFonts w:eastAsia="宋体"/>
                <w:sz w:val="21"/>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spacing w:val="0"/>
              </w:rPr>
            </w:pPr>
            <w:r>
              <w:rPr>
                <w:rFonts w:ascii="Times New Roman" w:hAnsi="Times New Roman"/>
                <w:spacing w:val="0"/>
              </w:rPr>
              <w:t>6</w:t>
            </w:r>
          </w:p>
        </w:tc>
        <w:tc>
          <w:tcPr>
            <w:tcW w:w="1079" w:type="pct"/>
            <w:vAlign w:val="center"/>
          </w:tcPr>
          <w:p>
            <w:pPr>
              <w:pStyle w:val="401"/>
              <w:spacing w:line="340" w:lineRule="exact"/>
              <w:rPr>
                <w:rFonts w:ascii="Times New Roman" w:hAnsi="Times New Roman"/>
              </w:rPr>
            </w:pPr>
            <w:r>
              <w:rPr>
                <w:rFonts w:ascii="Times New Roman" w:hAnsi="Times New Roman"/>
              </w:rPr>
              <w:t>O</w:t>
            </w:r>
            <w:r>
              <w:rPr>
                <w:rFonts w:ascii="Times New Roman" w:hAnsi="Times New Roman"/>
                <w:vertAlign w:val="subscript"/>
              </w:rPr>
              <w:t>3</w:t>
            </w:r>
          </w:p>
        </w:tc>
        <w:tc>
          <w:tcPr>
            <w:tcW w:w="990" w:type="pct"/>
            <w:vAlign w:val="center"/>
          </w:tcPr>
          <w:p>
            <w:pPr>
              <w:pStyle w:val="52"/>
              <w:spacing w:after="0" w:afterLines="0" w:line="340" w:lineRule="exact"/>
              <w:jc w:val="center"/>
              <w:rPr>
                <w:szCs w:val="21"/>
              </w:rPr>
            </w:pPr>
            <w:r>
              <w:rPr>
                <w:rFonts w:hint="eastAsia"/>
                <w:szCs w:val="21"/>
              </w:rPr>
              <w:t>200</w:t>
            </w:r>
          </w:p>
        </w:tc>
        <w:tc>
          <w:tcPr>
            <w:tcW w:w="1410" w:type="pct"/>
            <w:vAlign w:val="center"/>
          </w:tcPr>
          <w:p>
            <w:pPr>
              <w:pStyle w:val="52"/>
              <w:spacing w:after="0" w:afterLines="0" w:line="340" w:lineRule="exact"/>
              <w:jc w:val="center"/>
              <w:rPr>
                <w:rFonts w:eastAsia="宋体"/>
                <w:sz w:val="21"/>
                <w:szCs w:val="21"/>
              </w:rPr>
            </w:pPr>
            <w:r>
              <w:rPr>
                <w:rFonts w:hint="eastAsia" w:eastAsia="宋体"/>
                <w:sz w:val="21"/>
                <w:szCs w:val="21"/>
              </w:rPr>
              <w:t>160</w:t>
            </w:r>
            <w:r>
              <w:rPr>
                <w:rFonts w:eastAsia="宋体"/>
                <w:sz w:val="21"/>
                <w:szCs w:val="21"/>
              </w:rPr>
              <w:t>（日最大8小时均值）</w:t>
            </w:r>
          </w:p>
        </w:tc>
        <w:tc>
          <w:tcPr>
            <w:tcW w:w="864" w:type="pct"/>
            <w:vAlign w:val="center"/>
          </w:tcPr>
          <w:p>
            <w:pPr>
              <w:pStyle w:val="52"/>
              <w:spacing w:after="0" w:afterLines="0" w:line="340" w:lineRule="exact"/>
              <w:jc w:val="center"/>
              <w:rPr>
                <w:rFonts w:eastAsia="宋体"/>
                <w:sz w:val="21"/>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54" w:type="pct"/>
            <w:vAlign w:val="center"/>
          </w:tcPr>
          <w:p>
            <w:pPr>
              <w:pStyle w:val="401"/>
              <w:spacing w:line="340" w:lineRule="exact"/>
              <w:rPr>
                <w:rFonts w:ascii="Times New Roman" w:hAnsi="Times New Roman"/>
                <w:spacing w:val="0"/>
              </w:rPr>
            </w:pPr>
            <w:r>
              <w:rPr>
                <w:rFonts w:ascii="Times New Roman" w:hAnsi="Times New Roman"/>
                <w:spacing w:val="0"/>
              </w:rPr>
              <w:t>7</w:t>
            </w:r>
          </w:p>
        </w:tc>
        <w:tc>
          <w:tcPr>
            <w:tcW w:w="1079" w:type="pct"/>
            <w:vAlign w:val="center"/>
          </w:tcPr>
          <w:p>
            <w:pPr>
              <w:pStyle w:val="401"/>
              <w:spacing w:line="340" w:lineRule="exact"/>
              <w:rPr>
                <w:rFonts w:ascii="Times New Roman" w:hAnsi="Times New Roman"/>
              </w:rPr>
            </w:pPr>
            <w:r>
              <w:rPr>
                <w:rFonts w:ascii="Times New Roman" w:hAnsi="Times New Roman"/>
              </w:rPr>
              <w:t>TSP</w:t>
            </w:r>
          </w:p>
        </w:tc>
        <w:tc>
          <w:tcPr>
            <w:tcW w:w="990" w:type="pct"/>
            <w:vAlign w:val="center"/>
          </w:tcPr>
          <w:p>
            <w:pPr>
              <w:pStyle w:val="620"/>
              <w:spacing w:before="0" w:after="0" w:line="340" w:lineRule="exact"/>
              <w:rPr>
                <w:szCs w:val="21"/>
              </w:rPr>
            </w:pPr>
            <w:r>
              <w:rPr>
                <w:szCs w:val="21"/>
              </w:rPr>
              <w:t>-</w:t>
            </w:r>
          </w:p>
        </w:tc>
        <w:tc>
          <w:tcPr>
            <w:tcW w:w="1410" w:type="pct"/>
            <w:vAlign w:val="center"/>
          </w:tcPr>
          <w:p>
            <w:pPr>
              <w:pStyle w:val="620"/>
              <w:spacing w:before="0" w:after="0" w:line="340" w:lineRule="exact"/>
              <w:rPr>
                <w:szCs w:val="21"/>
              </w:rPr>
            </w:pPr>
            <w:r>
              <w:rPr>
                <w:rFonts w:hint="eastAsia"/>
                <w:szCs w:val="21"/>
              </w:rPr>
              <w:t>300</w:t>
            </w:r>
          </w:p>
        </w:tc>
        <w:tc>
          <w:tcPr>
            <w:tcW w:w="864" w:type="pct"/>
            <w:vAlign w:val="center"/>
          </w:tcPr>
          <w:p>
            <w:pPr>
              <w:pStyle w:val="620"/>
              <w:spacing w:before="0" w:after="0" w:line="340" w:lineRule="exact"/>
              <w:rPr>
                <w:szCs w:val="21"/>
              </w:rPr>
            </w:pPr>
            <w:r>
              <w:rPr>
                <w:rFonts w:hint="eastAsia"/>
                <w:szCs w:val="21"/>
              </w:rPr>
              <w:t>200</w:t>
            </w:r>
          </w:p>
        </w:tc>
      </w:tr>
    </w:tbl>
    <w:p>
      <w:pPr>
        <w:ind w:firstLine="480"/>
      </w:pPr>
      <w:r>
        <w:rPr>
          <w:rFonts w:hint="eastAsia" w:ascii="宋体" w:hAnsi="宋体" w:cs="宋体"/>
          <w:szCs w:val="24"/>
        </w:rPr>
        <w:t>⑵</w:t>
      </w:r>
      <w:r>
        <w:t>地表水环境</w:t>
      </w:r>
    </w:p>
    <w:p>
      <w:pPr>
        <w:ind w:firstLine="480"/>
      </w:pPr>
      <w:r>
        <w:t>项目涉及的</w:t>
      </w:r>
      <w:r>
        <w:rPr>
          <w:rFonts w:hint="eastAsia"/>
        </w:rPr>
        <w:t>锦河水</w:t>
      </w:r>
      <w:r>
        <w:rPr>
          <w:szCs w:val="24"/>
        </w:rPr>
        <w:t>环境</w:t>
      </w:r>
      <w:r>
        <w:t>水质执行《地表水环境质量标准》（GB3838-2002）中</w:t>
      </w:r>
      <w:r>
        <w:rPr>
          <w:rFonts w:hint="eastAsia" w:ascii="宋体" w:hAnsi="宋体" w:cs="宋体"/>
          <w:kern w:val="0"/>
          <w:szCs w:val="24"/>
        </w:rPr>
        <w:t>Ⅳ</w:t>
      </w:r>
      <w:r>
        <w:rPr>
          <w:kern w:val="0"/>
          <w:szCs w:val="24"/>
        </w:rPr>
        <w:t>类标准</w:t>
      </w:r>
      <w:r>
        <w:t>，详见表1.</w:t>
      </w:r>
      <w:r>
        <w:rPr>
          <w:rFonts w:hint="eastAsia"/>
        </w:rPr>
        <w:t>5</w:t>
      </w:r>
      <w:r>
        <w:t>-</w:t>
      </w:r>
      <w:r>
        <w:rPr>
          <w:rFonts w:hint="eastAsia"/>
        </w:rPr>
        <w:t>2</w:t>
      </w:r>
      <w:r>
        <w:t>。</w:t>
      </w:r>
    </w:p>
    <w:p>
      <w:pPr>
        <w:pStyle w:val="1078"/>
        <w:spacing w:before="120" w:beforeLines="50" w:line="240" w:lineRule="auto"/>
        <w:rPr>
          <w:rFonts w:ascii="Times New Roman" w:hAnsi="Times New Roman"/>
          <w:kern w:val="0"/>
        </w:rPr>
      </w:pPr>
      <w:r>
        <w:rPr>
          <w:rFonts w:hint="eastAsia" w:hAnsi="黑体" w:cs="黑体"/>
        </w:rPr>
        <w:t>表1.5-2 《地表水环境质量标准》(GB3838-2002)（摘录）</w:t>
      </w:r>
      <w:r>
        <w:rPr>
          <w:rFonts w:hint="eastAsia" w:hAnsi="黑体" w:cs="黑体"/>
          <w:kern w:val="0"/>
        </w:rPr>
        <w:t>（单位：mg/L，pH除外）</w:t>
      </w:r>
    </w:p>
    <w:tbl>
      <w:tblPr>
        <w:tblStyle w:val="8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634"/>
        <w:gridCol w:w="781"/>
        <w:gridCol w:w="867"/>
        <w:gridCol w:w="643"/>
        <w:gridCol w:w="961"/>
        <w:gridCol w:w="703"/>
        <w:gridCol w:w="703"/>
        <w:gridCol w:w="1003"/>
        <w:gridCol w:w="1003"/>
        <w:gridCol w:w="1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8" w:type="pct"/>
            <w:vAlign w:val="center"/>
          </w:tcPr>
          <w:p>
            <w:pPr>
              <w:snapToGrid w:val="0"/>
              <w:spacing w:line="340" w:lineRule="exact"/>
              <w:ind w:firstLine="0" w:firstLineChars="0"/>
              <w:contextualSpacing/>
              <w:jc w:val="center"/>
              <w:rPr>
                <w:sz w:val="21"/>
                <w:szCs w:val="21"/>
              </w:rPr>
            </w:pPr>
            <w:r>
              <w:rPr>
                <w:sz w:val="21"/>
                <w:szCs w:val="21"/>
              </w:rPr>
              <w:t>项目</w:t>
            </w:r>
          </w:p>
        </w:tc>
        <w:tc>
          <w:tcPr>
            <w:tcW w:w="331" w:type="pct"/>
            <w:vAlign w:val="center"/>
          </w:tcPr>
          <w:p>
            <w:pPr>
              <w:snapToGrid w:val="0"/>
              <w:spacing w:line="340" w:lineRule="exact"/>
              <w:ind w:firstLine="0" w:firstLineChars="0"/>
              <w:contextualSpacing/>
              <w:jc w:val="center"/>
              <w:rPr>
                <w:sz w:val="21"/>
                <w:szCs w:val="21"/>
              </w:rPr>
            </w:pPr>
            <w:r>
              <w:rPr>
                <w:sz w:val="21"/>
                <w:szCs w:val="21"/>
              </w:rPr>
              <w:t>pH</w:t>
            </w:r>
          </w:p>
        </w:tc>
        <w:tc>
          <w:tcPr>
            <w:tcW w:w="408" w:type="pct"/>
            <w:vAlign w:val="center"/>
          </w:tcPr>
          <w:p>
            <w:pPr>
              <w:snapToGrid w:val="0"/>
              <w:spacing w:line="340" w:lineRule="exact"/>
              <w:ind w:firstLine="0" w:firstLineChars="0"/>
              <w:contextualSpacing/>
              <w:jc w:val="center"/>
              <w:rPr>
                <w:sz w:val="21"/>
                <w:szCs w:val="21"/>
              </w:rPr>
            </w:pPr>
            <w:r>
              <w:rPr>
                <w:sz w:val="21"/>
                <w:szCs w:val="21"/>
              </w:rPr>
              <w:t>COD</w:t>
            </w:r>
          </w:p>
        </w:tc>
        <w:tc>
          <w:tcPr>
            <w:tcW w:w="453" w:type="pct"/>
            <w:vAlign w:val="center"/>
          </w:tcPr>
          <w:p>
            <w:pPr>
              <w:snapToGrid w:val="0"/>
              <w:spacing w:line="340" w:lineRule="exact"/>
              <w:ind w:firstLine="0" w:firstLineChars="0"/>
              <w:contextualSpacing/>
              <w:jc w:val="center"/>
              <w:rPr>
                <w:sz w:val="21"/>
                <w:szCs w:val="21"/>
              </w:rPr>
            </w:pPr>
            <w:r>
              <w:rPr>
                <w:sz w:val="21"/>
                <w:szCs w:val="21"/>
              </w:rPr>
              <w:t>BOD</w:t>
            </w:r>
            <w:r>
              <w:rPr>
                <w:sz w:val="21"/>
                <w:szCs w:val="21"/>
                <w:vertAlign w:val="subscript"/>
              </w:rPr>
              <w:t>5</w:t>
            </w:r>
          </w:p>
        </w:tc>
        <w:tc>
          <w:tcPr>
            <w:tcW w:w="336" w:type="pct"/>
            <w:vAlign w:val="center"/>
          </w:tcPr>
          <w:p>
            <w:pPr>
              <w:snapToGrid w:val="0"/>
              <w:spacing w:line="340" w:lineRule="exact"/>
              <w:ind w:firstLine="0" w:firstLineChars="0"/>
              <w:contextualSpacing/>
              <w:jc w:val="center"/>
              <w:rPr>
                <w:sz w:val="21"/>
                <w:szCs w:val="21"/>
              </w:rPr>
            </w:pPr>
            <w:r>
              <w:rPr>
                <w:sz w:val="21"/>
                <w:szCs w:val="21"/>
              </w:rPr>
              <w:t>SS</w:t>
            </w:r>
          </w:p>
        </w:tc>
        <w:tc>
          <w:tcPr>
            <w:tcW w:w="502" w:type="pct"/>
            <w:vAlign w:val="center"/>
          </w:tcPr>
          <w:p>
            <w:pPr>
              <w:snapToGrid w:val="0"/>
              <w:spacing w:line="340" w:lineRule="exact"/>
              <w:ind w:firstLine="0" w:firstLineChars="0"/>
              <w:contextualSpacing/>
              <w:jc w:val="center"/>
              <w:rPr>
                <w:sz w:val="21"/>
                <w:szCs w:val="21"/>
              </w:rPr>
            </w:pPr>
            <w:r>
              <w:rPr>
                <w:sz w:val="21"/>
                <w:szCs w:val="21"/>
              </w:rPr>
              <w:t>NH</w:t>
            </w:r>
            <w:r>
              <w:rPr>
                <w:sz w:val="21"/>
                <w:szCs w:val="21"/>
                <w:vertAlign w:val="subscript"/>
              </w:rPr>
              <w:t>3</w:t>
            </w:r>
            <w:r>
              <w:rPr>
                <w:sz w:val="21"/>
                <w:szCs w:val="21"/>
              </w:rPr>
              <w:t>-N</w:t>
            </w:r>
          </w:p>
        </w:tc>
        <w:tc>
          <w:tcPr>
            <w:tcW w:w="367" w:type="pct"/>
            <w:vAlign w:val="center"/>
          </w:tcPr>
          <w:p>
            <w:pPr>
              <w:snapToGrid w:val="0"/>
              <w:spacing w:line="340" w:lineRule="exact"/>
              <w:ind w:firstLine="0" w:firstLineChars="0"/>
              <w:contextualSpacing/>
              <w:jc w:val="center"/>
              <w:rPr>
                <w:sz w:val="21"/>
                <w:szCs w:val="21"/>
              </w:rPr>
            </w:pPr>
            <w:r>
              <w:rPr>
                <w:sz w:val="21"/>
                <w:szCs w:val="21"/>
              </w:rPr>
              <w:t>TP</w:t>
            </w:r>
          </w:p>
        </w:tc>
        <w:tc>
          <w:tcPr>
            <w:tcW w:w="367" w:type="pct"/>
            <w:vAlign w:val="center"/>
          </w:tcPr>
          <w:p>
            <w:pPr>
              <w:snapToGrid w:val="0"/>
              <w:spacing w:line="340" w:lineRule="exact"/>
              <w:ind w:firstLine="0" w:firstLineChars="0"/>
              <w:contextualSpacing/>
              <w:jc w:val="center"/>
              <w:rPr>
                <w:sz w:val="21"/>
                <w:szCs w:val="21"/>
              </w:rPr>
            </w:pPr>
            <w:r>
              <w:rPr>
                <w:sz w:val="21"/>
                <w:szCs w:val="21"/>
              </w:rPr>
              <w:t>TN</w:t>
            </w:r>
          </w:p>
        </w:tc>
        <w:tc>
          <w:tcPr>
            <w:tcW w:w="524" w:type="pct"/>
            <w:vAlign w:val="center"/>
          </w:tcPr>
          <w:p>
            <w:pPr>
              <w:snapToGrid w:val="0"/>
              <w:spacing w:line="340" w:lineRule="exact"/>
              <w:ind w:firstLine="0" w:firstLineChars="0"/>
              <w:contextualSpacing/>
              <w:jc w:val="center"/>
              <w:rPr>
                <w:sz w:val="21"/>
                <w:szCs w:val="21"/>
              </w:rPr>
            </w:pPr>
            <w:r>
              <w:rPr>
                <w:sz w:val="21"/>
                <w:szCs w:val="21"/>
              </w:rPr>
              <w:t>石油类</w:t>
            </w:r>
          </w:p>
        </w:tc>
        <w:tc>
          <w:tcPr>
            <w:tcW w:w="524" w:type="pct"/>
            <w:vAlign w:val="center"/>
          </w:tcPr>
          <w:p>
            <w:pPr>
              <w:snapToGrid w:val="0"/>
              <w:spacing w:line="340" w:lineRule="exact"/>
              <w:ind w:firstLine="0" w:firstLineChars="0"/>
              <w:contextualSpacing/>
              <w:jc w:val="center"/>
              <w:rPr>
                <w:sz w:val="21"/>
                <w:szCs w:val="21"/>
              </w:rPr>
            </w:pPr>
            <w:r>
              <w:rPr>
                <w:rFonts w:hint="eastAsia"/>
                <w:sz w:val="21"/>
                <w:szCs w:val="21"/>
              </w:rPr>
              <w:t>高锰酸盐指数</w:t>
            </w:r>
          </w:p>
        </w:tc>
        <w:tc>
          <w:tcPr>
            <w:tcW w:w="525" w:type="pct"/>
            <w:vAlign w:val="center"/>
          </w:tcPr>
          <w:p>
            <w:pPr>
              <w:snapToGrid w:val="0"/>
              <w:spacing w:line="340" w:lineRule="exact"/>
              <w:ind w:firstLine="0" w:firstLineChars="0"/>
              <w:contextualSpacing/>
              <w:jc w:val="center"/>
              <w:rPr>
                <w:sz w:val="21"/>
                <w:szCs w:val="21"/>
              </w:rPr>
            </w:pPr>
            <w:r>
              <w:rPr>
                <w:rFonts w:hint="eastAsia"/>
                <w:sz w:val="21"/>
                <w:szCs w:val="21"/>
              </w:rPr>
              <w:t>粪大肠菌群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8" w:type="pct"/>
            <w:vAlign w:val="center"/>
          </w:tcPr>
          <w:p>
            <w:pPr>
              <w:snapToGrid w:val="0"/>
              <w:spacing w:line="340" w:lineRule="exact"/>
              <w:ind w:firstLine="0" w:firstLineChars="0"/>
              <w:contextualSpacing/>
              <w:jc w:val="center"/>
              <w:rPr>
                <w:sz w:val="21"/>
                <w:szCs w:val="21"/>
              </w:rPr>
            </w:pPr>
            <w:r>
              <w:rPr>
                <w:rFonts w:hint="eastAsia" w:ascii="宋体" w:hAnsi="宋体" w:cs="宋体"/>
                <w:sz w:val="21"/>
                <w:szCs w:val="21"/>
              </w:rPr>
              <w:t>Ⅲ</w:t>
            </w:r>
            <w:r>
              <w:rPr>
                <w:sz w:val="21"/>
                <w:szCs w:val="21"/>
              </w:rPr>
              <w:t>类标准</w:t>
            </w:r>
          </w:p>
        </w:tc>
        <w:tc>
          <w:tcPr>
            <w:tcW w:w="331" w:type="pct"/>
            <w:vAlign w:val="center"/>
          </w:tcPr>
          <w:p>
            <w:pPr>
              <w:snapToGrid w:val="0"/>
              <w:spacing w:line="340" w:lineRule="exact"/>
              <w:ind w:firstLine="0" w:firstLineChars="0"/>
              <w:contextualSpacing/>
              <w:jc w:val="center"/>
              <w:rPr>
                <w:sz w:val="21"/>
                <w:szCs w:val="21"/>
              </w:rPr>
            </w:pPr>
            <w:r>
              <w:rPr>
                <w:sz w:val="21"/>
                <w:szCs w:val="21"/>
              </w:rPr>
              <w:t>6~9</w:t>
            </w:r>
          </w:p>
        </w:tc>
        <w:tc>
          <w:tcPr>
            <w:tcW w:w="408" w:type="pct"/>
            <w:vAlign w:val="center"/>
          </w:tcPr>
          <w:p>
            <w:pPr>
              <w:snapToGrid w:val="0"/>
              <w:spacing w:line="340" w:lineRule="exact"/>
              <w:ind w:firstLine="0" w:firstLineChars="0"/>
              <w:contextualSpacing/>
              <w:jc w:val="center"/>
              <w:rPr>
                <w:sz w:val="21"/>
                <w:szCs w:val="21"/>
              </w:rPr>
            </w:pPr>
            <w:r>
              <w:rPr>
                <w:sz w:val="21"/>
                <w:szCs w:val="21"/>
              </w:rPr>
              <w:t>≤</w:t>
            </w:r>
            <w:r>
              <w:rPr>
                <w:rFonts w:hint="eastAsia"/>
                <w:sz w:val="21"/>
                <w:szCs w:val="21"/>
              </w:rPr>
              <w:t>3</w:t>
            </w:r>
            <w:r>
              <w:rPr>
                <w:sz w:val="21"/>
                <w:szCs w:val="21"/>
              </w:rPr>
              <w:t>0</w:t>
            </w:r>
          </w:p>
        </w:tc>
        <w:tc>
          <w:tcPr>
            <w:tcW w:w="453" w:type="pct"/>
            <w:vAlign w:val="center"/>
          </w:tcPr>
          <w:p>
            <w:pPr>
              <w:snapToGrid w:val="0"/>
              <w:spacing w:line="340" w:lineRule="exact"/>
              <w:ind w:firstLine="0" w:firstLineChars="0"/>
              <w:contextualSpacing/>
              <w:jc w:val="center"/>
              <w:rPr>
                <w:sz w:val="21"/>
                <w:szCs w:val="21"/>
              </w:rPr>
            </w:pPr>
            <w:r>
              <w:rPr>
                <w:sz w:val="21"/>
                <w:szCs w:val="21"/>
              </w:rPr>
              <w:t>≤</w:t>
            </w:r>
            <w:r>
              <w:rPr>
                <w:rFonts w:hint="eastAsia"/>
                <w:sz w:val="21"/>
                <w:szCs w:val="21"/>
              </w:rPr>
              <w:t>6</w:t>
            </w:r>
          </w:p>
        </w:tc>
        <w:tc>
          <w:tcPr>
            <w:tcW w:w="336" w:type="pct"/>
            <w:vAlign w:val="center"/>
          </w:tcPr>
          <w:p>
            <w:pPr>
              <w:snapToGrid w:val="0"/>
              <w:spacing w:line="340" w:lineRule="exact"/>
              <w:ind w:firstLine="0" w:firstLineChars="0"/>
              <w:contextualSpacing/>
              <w:jc w:val="center"/>
              <w:rPr>
                <w:sz w:val="21"/>
                <w:szCs w:val="21"/>
              </w:rPr>
            </w:pPr>
            <w:r>
              <w:rPr>
                <w:sz w:val="21"/>
                <w:szCs w:val="21"/>
              </w:rPr>
              <w:t>≤</w:t>
            </w:r>
            <w:r>
              <w:rPr>
                <w:rFonts w:hint="eastAsia"/>
                <w:sz w:val="21"/>
                <w:szCs w:val="21"/>
              </w:rPr>
              <w:t>8</w:t>
            </w:r>
            <w:r>
              <w:rPr>
                <w:sz w:val="21"/>
                <w:szCs w:val="21"/>
              </w:rPr>
              <w:t>0</w:t>
            </w:r>
          </w:p>
        </w:tc>
        <w:tc>
          <w:tcPr>
            <w:tcW w:w="502" w:type="pct"/>
            <w:vAlign w:val="center"/>
          </w:tcPr>
          <w:p>
            <w:pPr>
              <w:snapToGrid w:val="0"/>
              <w:spacing w:line="340" w:lineRule="exact"/>
              <w:ind w:firstLine="0" w:firstLineChars="0"/>
              <w:contextualSpacing/>
              <w:jc w:val="center"/>
              <w:rPr>
                <w:sz w:val="21"/>
                <w:szCs w:val="21"/>
              </w:rPr>
            </w:pPr>
            <w:r>
              <w:rPr>
                <w:sz w:val="21"/>
                <w:szCs w:val="21"/>
              </w:rPr>
              <w:t>≤1.</w:t>
            </w:r>
            <w:r>
              <w:rPr>
                <w:rFonts w:hint="eastAsia"/>
                <w:sz w:val="21"/>
                <w:szCs w:val="21"/>
              </w:rPr>
              <w:t>5</w:t>
            </w:r>
          </w:p>
        </w:tc>
        <w:tc>
          <w:tcPr>
            <w:tcW w:w="367"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3</w:t>
            </w:r>
          </w:p>
        </w:tc>
        <w:tc>
          <w:tcPr>
            <w:tcW w:w="367" w:type="pct"/>
            <w:vAlign w:val="center"/>
          </w:tcPr>
          <w:p>
            <w:pPr>
              <w:snapToGrid w:val="0"/>
              <w:spacing w:line="340" w:lineRule="exact"/>
              <w:ind w:firstLine="0" w:firstLineChars="0"/>
              <w:contextualSpacing/>
              <w:jc w:val="center"/>
              <w:rPr>
                <w:sz w:val="21"/>
                <w:szCs w:val="21"/>
              </w:rPr>
            </w:pPr>
            <w:r>
              <w:rPr>
                <w:sz w:val="21"/>
                <w:szCs w:val="21"/>
              </w:rPr>
              <w:t>≤1.</w:t>
            </w:r>
            <w:r>
              <w:rPr>
                <w:rFonts w:hint="eastAsia"/>
                <w:sz w:val="21"/>
                <w:szCs w:val="21"/>
              </w:rPr>
              <w:t>5</w:t>
            </w:r>
          </w:p>
        </w:tc>
        <w:tc>
          <w:tcPr>
            <w:tcW w:w="524" w:type="pct"/>
            <w:vAlign w:val="center"/>
          </w:tcPr>
          <w:p>
            <w:pPr>
              <w:snapToGrid w:val="0"/>
              <w:spacing w:line="340" w:lineRule="exact"/>
              <w:ind w:firstLine="0" w:firstLineChars="0"/>
              <w:contextualSpacing/>
              <w:jc w:val="center"/>
              <w:rPr>
                <w:sz w:val="21"/>
                <w:szCs w:val="21"/>
              </w:rPr>
            </w:pPr>
            <w:r>
              <w:rPr>
                <w:sz w:val="21"/>
                <w:szCs w:val="21"/>
              </w:rPr>
              <w:t>≤0.5</w:t>
            </w:r>
          </w:p>
        </w:tc>
        <w:tc>
          <w:tcPr>
            <w:tcW w:w="524" w:type="pct"/>
            <w:vAlign w:val="center"/>
          </w:tcPr>
          <w:p>
            <w:pPr>
              <w:snapToGrid w:val="0"/>
              <w:spacing w:line="340" w:lineRule="exact"/>
              <w:ind w:firstLine="0" w:firstLineChars="0"/>
              <w:contextualSpacing/>
              <w:jc w:val="center"/>
              <w:rPr>
                <w:sz w:val="21"/>
                <w:szCs w:val="21"/>
              </w:rPr>
            </w:pPr>
            <w:r>
              <w:rPr>
                <w:sz w:val="21"/>
                <w:szCs w:val="21"/>
              </w:rPr>
              <w:t>≤</w:t>
            </w:r>
            <w:r>
              <w:rPr>
                <w:rFonts w:hint="eastAsia"/>
                <w:sz w:val="21"/>
                <w:szCs w:val="21"/>
              </w:rPr>
              <w:t>10</w:t>
            </w:r>
          </w:p>
        </w:tc>
        <w:tc>
          <w:tcPr>
            <w:tcW w:w="525" w:type="pct"/>
            <w:vAlign w:val="center"/>
          </w:tcPr>
          <w:p>
            <w:pPr>
              <w:snapToGrid w:val="0"/>
              <w:spacing w:line="340" w:lineRule="exact"/>
              <w:ind w:firstLine="0" w:firstLineChars="0"/>
              <w:contextualSpacing/>
              <w:jc w:val="center"/>
              <w:rPr>
                <w:sz w:val="21"/>
                <w:szCs w:val="21"/>
              </w:rPr>
            </w:pPr>
            <w:r>
              <w:rPr>
                <w:rFonts w:hint="eastAsia"/>
                <w:sz w:val="21"/>
                <w:szCs w:val="21"/>
              </w:rPr>
              <w:t>20000</w:t>
            </w:r>
          </w:p>
          <w:p>
            <w:pPr>
              <w:snapToGrid w:val="0"/>
              <w:spacing w:line="340" w:lineRule="exact"/>
              <w:ind w:firstLine="0" w:firstLineChars="0"/>
              <w:contextualSpacing/>
              <w:jc w:val="center"/>
              <w:rPr>
                <w:sz w:val="21"/>
                <w:szCs w:val="21"/>
              </w:rPr>
            </w:pPr>
            <w:r>
              <w:rPr>
                <w:rFonts w:hint="eastAsia"/>
                <w:sz w:val="21"/>
                <w:szCs w:val="21"/>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8" w:type="pct"/>
            <w:vAlign w:val="center"/>
          </w:tcPr>
          <w:p>
            <w:pPr>
              <w:snapToGrid w:val="0"/>
              <w:spacing w:line="340" w:lineRule="exact"/>
              <w:ind w:firstLine="0" w:firstLineChars="0"/>
              <w:contextualSpacing/>
              <w:jc w:val="center"/>
              <w:rPr>
                <w:rFonts w:ascii="宋体" w:hAnsi="宋体" w:cs="宋体"/>
                <w:sz w:val="21"/>
                <w:szCs w:val="21"/>
              </w:rPr>
            </w:pPr>
            <w:r>
              <w:rPr>
                <w:rFonts w:hint="eastAsia" w:ascii="宋体" w:hAnsi="宋体" w:cs="宋体"/>
                <w:sz w:val="21"/>
                <w:szCs w:val="21"/>
              </w:rPr>
              <w:t>项目</w:t>
            </w:r>
          </w:p>
        </w:tc>
        <w:tc>
          <w:tcPr>
            <w:tcW w:w="331" w:type="pct"/>
            <w:vAlign w:val="center"/>
          </w:tcPr>
          <w:p>
            <w:pPr>
              <w:snapToGrid w:val="0"/>
              <w:spacing w:line="340" w:lineRule="exact"/>
              <w:ind w:firstLine="0" w:firstLineChars="0"/>
              <w:contextualSpacing/>
              <w:jc w:val="center"/>
              <w:rPr>
                <w:sz w:val="21"/>
                <w:szCs w:val="21"/>
              </w:rPr>
            </w:pPr>
            <w:r>
              <w:rPr>
                <w:rFonts w:hint="eastAsia"/>
                <w:sz w:val="21"/>
                <w:szCs w:val="21"/>
              </w:rPr>
              <w:t>铜</w:t>
            </w:r>
          </w:p>
        </w:tc>
        <w:tc>
          <w:tcPr>
            <w:tcW w:w="408" w:type="pct"/>
            <w:vAlign w:val="center"/>
          </w:tcPr>
          <w:p>
            <w:pPr>
              <w:snapToGrid w:val="0"/>
              <w:spacing w:line="340" w:lineRule="exact"/>
              <w:ind w:firstLine="0" w:firstLineChars="0"/>
              <w:contextualSpacing/>
              <w:jc w:val="center"/>
              <w:rPr>
                <w:sz w:val="21"/>
                <w:szCs w:val="21"/>
              </w:rPr>
            </w:pPr>
            <w:r>
              <w:rPr>
                <w:rFonts w:hint="eastAsia"/>
                <w:sz w:val="21"/>
                <w:szCs w:val="21"/>
              </w:rPr>
              <w:t>锰</w:t>
            </w:r>
          </w:p>
        </w:tc>
        <w:tc>
          <w:tcPr>
            <w:tcW w:w="453" w:type="pct"/>
            <w:vAlign w:val="center"/>
          </w:tcPr>
          <w:p>
            <w:pPr>
              <w:snapToGrid w:val="0"/>
              <w:spacing w:line="340" w:lineRule="exact"/>
              <w:ind w:firstLine="0" w:firstLineChars="0"/>
              <w:contextualSpacing/>
              <w:jc w:val="center"/>
              <w:rPr>
                <w:sz w:val="21"/>
                <w:szCs w:val="21"/>
              </w:rPr>
            </w:pPr>
            <w:r>
              <w:rPr>
                <w:rFonts w:hint="eastAsia"/>
                <w:sz w:val="21"/>
                <w:szCs w:val="21"/>
              </w:rPr>
              <w:t>锌</w:t>
            </w:r>
          </w:p>
        </w:tc>
        <w:tc>
          <w:tcPr>
            <w:tcW w:w="336" w:type="pct"/>
            <w:vAlign w:val="center"/>
          </w:tcPr>
          <w:p>
            <w:pPr>
              <w:snapToGrid w:val="0"/>
              <w:spacing w:line="340" w:lineRule="exact"/>
              <w:ind w:firstLine="0" w:firstLineChars="0"/>
              <w:contextualSpacing/>
              <w:jc w:val="center"/>
              <w:rPr>
                <w:sz w:val="21"/>
                <w:szCs w:val="21"/>
              </w:rPr>
            </w:pPr>
          </w:p>
        </w:tc>
        <w:tc>
          <w:tcPr>
            <w:tcW w:w="502" w:type="pct"/>
            <w:vAlign w:val="center"/>
          </w:tcPr>
          <w:p>
            <w:pPr>
              <w:snapToGrid w:val="0"/>
              <w:spacing w:line="340" w:lineRule="exact"/>
              <w:ind w:firstLine="0" w:firstLineChars="0"/>
              <w:contextualSpacing/>
              <w:jc w:val="center"/>
              <w:rPr>
                <w:sz w:val="21"/>
                <w:szCs w:val="21"/>
              </w:rPr>
            </w:pPr>
          </w:p>
        </w:tc>
        <w:tc>
          <w:tcPr>
            <w:tcW w:w="367" w:type="pct"/>
            <w:vAlign w:val="center"/>
          </w:tcPr>
          <w:p>
            <w:pPr>
              <w:snapToGrid w:val="0"/>
              <w:spacing w:line="340" w:lineRule="exact"/>
              <w:ind w:firstLine="0" w:firstLineChars="0"/>
              <w:contextualSpacing/>
              <w:jc w:val="center"/>
              <w:rPr>
                <w:sz w:val="21"/>
                <w:szCs w:val="21"/>
              </w:rPr>
            </w:pPr>
          </w:p>
        </w:tc>
        <w:tc>
          <w:tcPr>
            <w:tcW w:w="367" w:type="pct"/>
            <w:vAlign w:val="center"/>
          </w:tcPr>
          <w:p>
            <w:pPr>
              <w:snapToGrid w:val="0"/>
              <w:spacing w:line="340" w:lineRule="exact"/>
              <w:ind w:firstLine="0" w:firstLineChars="0"/>
              <w:contextualSpacing/>
              <w:jc w:val="center"/>
              <w:rPr>
                <w:sz w:val="21"/>
                <w:szCs w:val="21"/>
              </w:rPr>
            </w:pPr>
          </w:p>
        </w:tc>
        <w:tc>
          <w:tcPr>
            <w:tcW w:w="524" w:type="pct"/>
            <w:vAlign w:val="center"/>
          </w:tcPr>
          <w:p>
            <w:pPr>
              <w:snapToGrid w:val="0"/>
              <w:spacing w:line="340" w:lineRule="exact"/>
              <w:ind w:firstLine="0" w:firstLineChars="0"/>
              <w:contextualSpacing/>
              <w:jc w:val="center"/>
              <w:rPr>
                <w:sz w:val="21"/>
                <w:szCs w:val="21"/>
              </w:rPr>
            </w:pPr>
          </w:p>
        </w:tc>
        <w:tc>
          <w:tcPr>
            <w:tcW w:w="524" w:type="pct"/>
            <w:vAlign w:val="center"/>
          </w:tcPr>
          <w:p>
            <w:pPr>
              <w:snapToGrid w:val="0"/>
              <w:spacing w:line="340" w:lineRule="exact"/>
              <w:ind w:firstLine="0" w:firstLineChars="0"/>
              <w:contextualSpacing/>
              <w:jc w:val="center"/>
              <w:rPr>
                <w:sz w:val="21"/>
                <w:szCs w:val="21"/>
              </w:rPr>
            </w:pPr>
          </w:p>
        </w:tc>
        <w:tc>
          <w:tcPr>
            <w:tcW w:w="525" w:type="pct"/>
            <w:vAlign w:val="center"/>
          </w:tcPr>
          <w:p>
            <w:pPr>
              <w:snapToGrid w:val="0"/>
              <w:spacing w:line="340" w:lineRule="exact"/>
              <w:ind w:firstLine="0" w:firstLineChars="0"/>
              <w:contextualSpacing/>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8" w:type="pct"/>
            <w:vAlign w:val="center"/>
          </w:tcPr>
          <w:p>
            <w:pPr>
              <w:snapToGrid w:val="0"/>
              <w:spacing w:line="340" w:lineRule="exact"/>
              <w:ind w:firstLine="0" w:firstLineChars="0"/>
              <w:contextualSpacing/>
              <w:jc w:val="center"/>
              <w:rPr>
                <w:rFonts w:ascii="宋体" w:hAnsi="宋体" w:cs="宋体"/>
                <w:sz w:val="21"/>
                <w:szCs w:val="21"/>
              </w:rPr>
            </w:pPr>
            <w:r>
              <w:rPr>
                <w:rFonts w:hint="eastAsia" w:ascii="宋体" w:hAnsi="宋体" w:cs="宋体"/>
                <w:sz w:val="21"/>
                <w:szCs w:val="21"/>
              </w:rPr>
              <w:t>Ⅲ</w:t>
            </w:r>
            <w:r>
              <w:rPr>
                <w:sz w:val="21"/>
                <w:szCs w:val="21"/>
              </w:rPr>
              <w:t>类标准</w:t>
            </w:r>
          </w:p>
        </w:tc>
        <w:tc>
          <w:tcPr>
            <w:tcW w:w="331" w:type="pct"/>
            <w:vAlign w:val="center"/>
          </w:tcPr>
          <w:p>
            <w:pPr>
              <w:snapToGrid w:val="0"/>
              <w:spacing w:line="340" w:lineRule="exact"/>
              <w:ind w:firstLine="0" w:firstLineChars="0"/>
              <w:contextualSpacing/>
              <w:jc w:val="center"/>
              <w:rPr>
                <w:sz w:val="21"/>
                <w:szCs w:val="21"/>
              </w:rPr>
            </w:pPr>
            <w:r>
              <w:rPr>
                <w:sz w:val="21"/>
                <w:szCs w:val="21"/>
              </w:rPr>
              <w:t>≤1.0</w:t>
            </w:r>
          </w:p>
        </w:tc>
        <w:tc>
          <w:tcPr>
            <w:tcW w:w="408"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1</w:t>
            </w:r>
          </w:p>
        </w:tc>
        <w:tc>
          <w:tcPr>
            <w:tcW w:w="453" w:type="pct"/>
            <w:vAlign w:val="center"/>
          </w:tcPr>
          <w:p>
            <w:pPr>
              <w:snapToGrid w:val="0"/>
              <w:spacing w:line="340" w:lineRule="exact"/>
              <w:ind w:firstLine="0" w:firstLineChars="0"/>
              <w:contextualSpacing/>
              <w:jc w:val="center"/>
              <w:rPr>
                <w:sz w:val="21"/>
                <w:szCs w:val="21"/>
              </w:rPr>
            </w:pPr>
            <w:r>
              <w:rPr>
                <w:sz w:val="21"/>
                <w:szCs w:val="21"/>
              </w:rPr>
              <w:t>≤1.0</w:t>
            </w:r>
          </w:p>
        </w:tc>
        <w:tc>
          <w:tcPr>
            <w:tcW w:w="336" w:type="pct"/>
            <w:vAlign w:val="center"/>
          </w:tcPr>
          <w:p>
            <w:pPr>
              <w:snapToGrid w:val="0"/>
              <w:spacing w:line="340" w:lineRule="exact"/>
              <w:ind w:firstLine="0" w:firstLineChars="0"/>
              <w:contextualSpacing/>
              <w:jc w:val="center"/>
              <w:rPr>
                <w:sz w:val="21"/>
                <w:szCs w:val="21"/>
              </w:rPr>
            </w:pPr>
          </w:p>
        </w:tc>
        <w:tc>
          <w:tcPr>
            <w:tcW w:w="502" w:type="pct"/>
            <w:vAlign w:val="center"/>
          </w:tcPr>
          <w:p>
            <w:pPr>
              <w:snapToGrid w:val="0"/>
              <w:spacing w:line="340" w:lineRule="exact"/>
              <w:ind w:firstLine="0" w:firstLineChars="0"/>
              <w:contextualSpacing/>
              <w:jc w:val="center"/>
              <w:rPr>
                <w:sz w:val="21"/>
                <w:szCs w:val="21"/>
              </w:rPr>
            </w:pPr>
          </w:p>
        </w:tc>
        <w:tc>
          <w:tcPr>
            <w:tcW w:w="367" w:type="pct"/>
            <w:vAlign w:val="center"/>
          </w:tcPr>
          <w:p>
            <w:pPr>
              <w:snapToGrid w:val="0"/>
              <w:spacing w:line="340" w:lineRule="exact"/>
              <w:ind w:firstLine="0" w:firstLineChars="0"/>
              <w:contextualSpacing/>
              <w:jc w:val="center"/>
              <w:rPr>
                <w:sz w:val="21"/>
                <w:szCs w:val="21"/>
              </w:rPr>
            </w:pPr>
          </w:p>
        </w:tc>
        <w:tc>
          <w:tcPr>
            <w:tcW w:w="367" w:type="pct"/>
            <w:vAlign w:val="center"/>
          </w:tcPr>
          <w:p>
            <w:pPr>
              <w:snapToGrid w:val="0"/>
              <w:spacing w:line="340" w:lineRule="exact"/>
              <w:ind w:firstLine="0" w:firstLineChars="0"/>
              <w:contextualSpacing/>
              <w:jc w:val="center"/>
              <w:rPr>
                <w:sz w:val="21"/>
                <w:szCs w:val="21"/>
              </w:rPr>
            </w:pPr>
          </w:p>
        </w:tc>
        <w:tc>
          <w:tcPr>
            <w:tcW w:w="524" w:type="pct"/>
            <w:vAlign w:val="center"/>
          </w:tcPr>
          <w:p>
            <w:pPr>
              <w:snapToGrid w:val="0"/>
              <w:spacing w:line="340" w:lineRule="exact"/>
              <w:ind w:firstLine="0" w:firstLineChars="0"/>
              <w:contextualSpacing/>
              <w:jc w:val="center"/>
              <w:rPr>
                <w:sz w:val="21"/>
                <w:szCs w:val="21"/>
              </w:rPr>
            </w:pPr>
          </w:p>
        </w:tc>
        <w:tc>
          <w:tcPr>
            <w:tcW w:w="524" w:type="pct"/>
            <w:vAlign w:val="center"/>
          </w:tcPr>
          <w:p>
            <w:pPr>
              <w:snapToGrid w:val="0"/>
              <w:spacing w:line="340" w:lineRule="exact"/>
              <w:ind w:firstLine="0" w:firstLineChars="0"/>
              <w:contextualSpacing/>
              <w:jc w:val="center"/>
              <w:rPr>
                <w:sz w:val="21"/>
                <w:szCs w:val="21"/>
              </w:rPr>
            </w:pPr>
          </w:p>
        </w:tc>
        <w:tc>
          <w:tcPr>
            <w:tcW w:w="525" w:type="pct"/>
            <w:vAlign w:val="center"/>
          </w:tcPr>
          <w:p>
            <w:pPr>
              <w:snapToGrid w:val="0"/>
              <w:spacing w:line="340" w:lineRule="exact"/>
              <w:ind w:firstLine="0" w:firstLineChars="0"/>
              <w:contextualSpacing/>
              <w:jc w:val="center"/>
              <w:rPr>
                <w:sz w:val="21"/>
                <w:szCs w:val="21"/>
              </w:rPr>
            </w:pPr>
          </w:p>
        </w:tc>
      </w:tr>
    </w:tbl>
    <w:p>
      <w:pPr>
        <w:ind w:firstLine="420"/>
        <w:rPr>
          <w:sz w:val="21"/>
          <w:szCs w:val="21"/>
        </w:rPr>
      </w:pPr>
      <w:r>
        <w:rPr>
          <w:sz w:val="21"/>
          <w:szCs w:val="21"/>
        </w:rPr>
        <w:t>注：SS参照《</w:t>
      </w:r>
      <w:r>
        <w:rPr>
          <w:rFonts w:hint="eastAsia"/>
          <w:sz w:val="21"/>
          <w:szCs w:val="21"/>
        </w:rPr>
        <w:t>农田灌溉水质标准</w:t>
      </w:r>
      <w:r>
        <w:rPr>
          <w:sz w:val="21"/>
          <w:szCs w:val="21"/>
        </w:rPr>
        <w:t>》（</w:t>
      </w:r>
      <w:r>
        <w:rPr>
          <w:rFonts w:hint="eastAsia"/>
          <w:sz w:val="21"/>
          <w:szCs w:val="21"/>
        </w:rPr>
        <w:t>GB5084</w:t>
      </w:r>
      <w:r>
        <w:rPr>
          <w:sz w:val="21"/>
          <w:szCs w:val="21"/>
        </w:rPr>
        <w:t>36-</w:t>
      </w:r>
      <w:r>
        <w:rPr>
          <w:rFonts w:hint="eastAsia"/>
          <w:sz w:val="21"/>
          <w:szCs w:val="21"/>
        </w:rPr>
        <w:t>2021</w:t>
      </w:r>
      <w:r>
        <w:rPr>
          <w:sz w:val="21"/>
          <w:szCs w:val="21"/>
        </w:rPr>
        <w:t>）</w:t>
      </w:r>
      <w:r>
        <w:rPr>
          <w:rFonts w:hint="eastAsia"/>
          <w:sz w:val="21"/>
          <w:szCs w:val="21"/>
        </w:rPr>
        <w:t>中水田作物</w:t>
      </w:r>
      <w:r>
        <w:rPr>
          <w:sz w:val="21"/>
          <w:szCs w:val="21"/>
        </w:rPr>
        <w:t>。</w:t>
      </w:r>
    </w:p>
    <w:p>
      <w:pPr>
        <w:ind w:firstLine="480" w:firstLineChars="0"/>
        <w:rPr>
          <w:szCs w:val="24"/>
        </w:rPr>
      </w:pPr>
      <w:r>
        <w:rPr>
          <w:rFonts w:hint="eastAsia" w:ascii="宋体" w:hAnsi="宋体" w:cs="宋体"/>
          <w:szCs w:val="24"/>
        </w:rPr>
        <w:t>⑶</w:t>
      </w:r>
      <w:r>
        <w:rPr>
          <w:szCs w:val="24"/>
        </w:rPr>
        <w:t>地下水环境</w:t>
      </w:r>
    </w:p>
    <w:p>
      <w:pPr>
        <w:ind w:firstLine="482" w:firstLineChars="0"/>
        <w:rPr>
          <w:szCs w:val="24"/>
        </w:rPr>
      </w:pPr>
      <w:r>
        <w:rPr>
          <w:szCs w:val="24"/>
        </w:rPr>
        <w:t>项目评价区域内执行《地下水质量标准》（GB14848-2017）</w:t>
      </w:r>
      <w:r>
        <w:rPr>
          <w:rFonts w:hint="eastAsia" w:ascii="宋体" w:hAnsi="宋体" w:cs="宋体"/>
          <w:szCs w:val="24"/>
        </w:rPr>
        <w:t>Ⅲ</w:t>
      </w:r>
      <w:r>
        <w:rPr>
          <w:szCs w:val="24"/>
        </w:rPr>
        <w:t>类标准，</w:t>
      </w:r>
      <w:r>
        <w:t>详见表1.</w:t>
      </w:r>
      <w:r>
        <w:rPr>
          <w:rFonts w:hint="eastAsia"/>
        </w:rPr>
        <w:t>5</w:t>
      </w:r>
      <w:r>
        <w:t>-</w:t>
      </w:r>
      <w:r>
        <w:rPr>
          <w:rFonts w:hint="eastAsia"/>
        </w:rPr>
        <w:t>3</w:t>
      </w:r>
      <w:r>
        <w:rPr>
          <w:szCs w:val="24"/>
        </w:rPr>
        <w:t>。</w:t>
      </w:r>
    </w:p>
    <w:p>
      <w:pPr>
        <w:pStyle w:val="1078"/>
        <w:spacing w:before="120" w:beforeLines="50" w:line="240" w:lineRule="auto"/>
        <w:ind w:firstLine="641"/>
        <w:rPr>
          <w:rFonts w:hAnsi="黑体" w:cs="黑体"/>
        </w:rPr>
      </w:pPr>
      <w:r>
        <w:rPr>
          <w:rFonts w:hint="eastAsia" w:hAnsi="黑体" w:cs="黑体"/>
        </w:rPr>
        <w:t>表1.5-3  地下水质量标准（单位：mg/L，pH除外）</w:t>
      </w:r>
    </w:p>
    <w:tbl>
      <w:tblPr>
        <w:tblStyle w:val="8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8"/>
        <w:gridCol w:w="1045"/>
        <w:gridCol w:w="1045"/>
        <w:gridCol w:w="1629"/>
        <w:gridCol w:w="1125"/>
        <w:gridCol w:w="1083"/>
        <w:gridCol w:w="1095"/>
        <w:gridCol w:w="8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1"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项目</w:t>
            </w:r>
          </w:p>
        </w:tc>
        <w:tc>
          <w:tcPr>
            <w:tcW w:w="546"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pH</w:t>
            </w:r>
          </w:p>
        </w:tc>
        <w:tc>
          <w:tcPr>
            <w:tcW w:w="546"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总硬度</w:t>
            </w:r>
          </w:p>
        </w:tc>
        <w:tc>
          <w:tcPr>
            <w:tcW w:w="851" w:type="pct"/>
            <w:tcBorders>
              <w:top w:val="single" w:color="auto" w:sz="12" w:space="0"/>
              <w:bottom w:val="single" w:color="auto" w:sz="4" w:space="0"/>
              <w:right w:val="single" w:color="auto" w:sz="4" w:space="0"/>
            </w:tcBorders>
            <w:vAlign w:val="center"/>
          </w:tcPr>
          <w:p>
            <w:pPr>
              <w:spacing w:line="340" w:lineRule="exact"/>
              <w:ind w:firstLine="0" w:firstLineChars="0"/>
              <w:jc w:val="center"/>
              <w:rPr>
                <w:sz w:val="21"/>
                <w:szCs w:val="21"/>
              </w:rPr>
            </w:pPr>
            <w:r>
              <w:rPr>
                <w:sz w:val="21"/>
                <w:szCs w:val="21"/>
              </w:rPr>
              <w:t>溶解性总固体</w:t>
            </w:r>
          </w:p>
        </w:tc>
        <w:tc>
          <w:tcPr>
            <w:tcW w:w="588" w:type="pct"/>
            <w:tcBorders>
              <w:top w:val="single" w:color="auto" w:sz="12" w:space="0"/>
              <w:left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硫酸盐</w:t>
            </w:r>
          </w:p>
        </w:tc>
        <w:tc>
          <w:tcPr>
            <w:tcW w:w="566"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氯化物</w:t>
            </w:r>
          </w:p>
        </w:tc>
        <w:tc>
          <w:tcPr>
            <w:tcW w:w="572"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铁</w:t>
            </w:r>
          </w:p>
        </w:tc>
        <w:tc>
          <w:tcPr>
            <w:tcW w:w="467"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1" w:type="pct"/>
            <w:vMerge w:val="restart"/>
            <w:tcBorders>
              <w:top w:val="single" w:color="auto" w:sz="4" w:space="0"/>
            </w:tcBorders>
            <w:vAlign w:val="center"/>
          </w:tcPr>
          <w:p>
            <w:pPr>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类标准值</w:t>
            </w:r>
          </w:p>
        </w:tc>
        <w:tc>
          <w:tcPr>
            <w:tcW w:w="546" w:type="pct"/>
            <w:tcBorders>
              <w:top w:val="single" w:color="auto" w:sz="4"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6.5~8.5</w:t>
            </w:r>
          </w:p>
        </w:tc>
        <w:tc>
          <w:tcPr>
            <w:tcW w:w="546"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450</w:t>
            </w:r>
          </w:p>
        </w:tc>
        <w:tc>
          <w:tcPr>
            <w:tcW w:w="851" w:type="pct"/>
            <w:tcBorders>
              <w:top w:val="single" w:color="auto" w:sz="4" w:space="0"/>
              <w:bottom w:val="single" w:color="auto" w:sz="4" w:space="0"/>
              <w:right w:val="single" w:color="auto" w:sz="4" w:space="0"/>
            </w:tcBorders>
            <w:vAlign w:val="center"/>
          </w:tcPr>
          <w:p>
            <w:pPr>
              <w:spacing w:line="340" w:lineRule="exact"/>
              <w:ind w:firstLine="0" w:firstLineChars="0"/>
              <w:jc w:val="center"/>
              <w:rPr>
                <w:sz w:val="21"/>
                <w:szCs w:val="21"/>
              </w:rPr>
            </w:pPr>
            <w:r>
              <w:rPr>
                <w:sz w:val="21"/>
                <w:szCs w:val="21"/>
              </w:rPr>
              <w:t>1000</w:t>
            </w:r>
          </w:p>
        </w:tc>
        <w:tc>
          <w:tcPr>
            <w:tcW w:w="588" w:type="pct"/>
            <w:tcBorders>
              <w:top w:val="single" w:color="auto" w:sz="4" w:space="0"/>
              <w:left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250</w:t>
            </w:r>
          </w:p>
        </w:tc>
        <w:tc>
          <w:tcPr>
            <w:tcW w:w="566"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250</w:t>
            </w:r>
          </w:p>
        </w:tc>
        <w:tc>
          <w:tcPr>
            <w:tcW w:w="572"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0.3</w:t>
            </w:r>
          </w:p>
        </w:tc>
        <w:tc>
          <w:tcPr>
            <w:tcW w:w="467"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1" w:type="pct"/>
            <w:vMerge w:val="continue"/>
            <w:vAlign w:val="center"/>
          </w:tcPr>
          <w:p>
            <w:pPr>
              <w:adjustRightInd w:val="0"/>
              <w:snapToGrid w:val="0"/>
              <w:spacing w:line="340" w:lineRule="exact"/>
              <w:ind w:firstLine="0" w:firstLineChars="0"/>
              <w:jc w:val="center"/>
              <w:rPr>
                <w:sz w:val="21"/>
                <w:szCs w:val="21"/>
              </w:rPr>
            </w:pPr>
          </w:p>
        </w:tc>
        <w:tc>
          <w:tcPr>
            <w:tcW w:w="546"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铜</w:t>
            </w:r>
          </w:p>
        </w:tc>
        <w:tc>
          <w:tcPr>
            <w:tcW w:w="546"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锌</w:t>
            </w:r>
          </w:p>
        </w:tc>
        <w:tc>
          <w:tcPr>
            <w:tcW w:w="851" w:type="pct"/>
            <w:tcBorders>
              <w:top w:val="single" w:color="auto" w:sz="4" w:space="0"/>
              <w:bottom w:val="single" w:color="auto" w:sz="4" w:space="0"/>
              <w:right w:val="single" w:color="auto" w:sz="4" w:space="0"/>
            </w:tcBorders>
            <w:vAlign w:val="center"/>
          </w:tcPr>
          <w:p>
            <w:pPr>
              <w:spacing w:line="340" w:lineRule="exact"/>
              <w:ind w:firstLine="0" w:firstLineChars="0"/>
              <w:jc w:val="center"/>
              <w:rPr>
                <w:sz w:val="21"/>
                <w:szCs w:val="21"/>
              </w:rPr>
            </w:pPr>
            <w:r>
              <w:rPr>
                <w:sz w:val="21"/>
                <w:szCs w:val="21"/>
              </w:rPr>
              <w:t>铝</w:t>
            </w:r>
          </w:p>
        </w:tc>
        <w:tc>
          <w:tcPr>
            <w:tcW w:w="588" w:type="pct"/>
            <w:tcBorders>
              <w:top w:val="single" w:color="auto" w:sz="4" w:space="0"/>
              <w:left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氨氮</w:t>
            </w:r>
          </w:p>
        </w:tc>
        <w:tc>
          <w:tcPr>
            <w:tcW w:w="566"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硫化物</w:t>
            </w:r>
          </w:p>
        </w:tc>
        <w:tc>
          <w:tcPr>
            <w:tcW w:w="572" w:type="pct"/>
            <w:tcBorders>
              <w:top w:val="single" w:color="auto" w:sz="4" w:space="0"/>
              <w:bottom w:val="single" w:color="auto" w:sz="4" w:space="0"/>
            </w:tcBorders>
            <w:vAlign w:val="center"/>
          </w:tcPr>
          <w:p>
            <w:pPr>
              <w:spacing w:line="340" w:lineRule="exact"/>
              <w:ind w:firstLine="0" w:firstLineChars="0"/>
              <w:jc w:val="center"/>
              <w:rPr>
                <w:sz w:val="21"/>
                <w:szCs w:val="21"/>
              </w:rPr>
            </w:pPr>
            <w:r>
              <w:rPr>
                <w:sz w:val="21"/>
                <w:szCs w:val="21"/>
              </w:rPr>
              <w:t>钠</w:t>
            </w:r>
          </w:p>
        </w:tc>
        <w:tc>
          <w:tcPr>
            <w:tcW w:w="467"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1" w:type="pct"/>
            <w:vMerge w:val="continue"/>
            <w:vAlign w:val="center"/>
          </w:tcPr>
          <w:p>
            <w:pPr>
              <w:adjustRightInd w:val="0"/>
              <w:snapToGrid w:val="0"/>
              <w:spacing w:line="340" w:lineRule="exact"/>
              <w:ind w:firstLine="0" w:firstLineChars="0"/>
              <w:jc w:val="center"/>
              <w:rPr>
                <w:sz w:val="21"/>
                <w:szCs w:val="21"/>
              </w:rPr>
            </w:pPr>
          </w:p>
        </w:tc>
        <w:tc>
          <w:tcPr>
            <w:tcW w:w="546" w:type="pct"/>
            <w:tcBorders>
              <w:top w:val="single" w:color="auto" w:sz="4" w:space="0"/>
            </w:tcBorders>
            <w:vAlign w:val="center"/>
          </w:tcPr>
          <w:p>
            <w:pPr>
              <w:spacing w:line="340" w:lineRule="exact"/>
              <w:ind w:firstLine="0" w:firstLineChars="0"/>
              <w:jc w:val="center"/>
              <w:rPr>
                <w:sz w:val="21"/>
                <w:szCs w:val="21"/>
              </w:rPr>
            </w:pPr>
            <w:r>
              <w:rPr>
                <w:sz w:val="21"/>
                <w:szCs w:val="21"/>
              </w:rPr>
              <w:t>1.0</w:t>
            </w:r>
          </w:p>
        </w:tc>
        <w:tc>
          <w:tcPr>
            <w:tcW w:w="546" w:type="pct"/>
            <w:tcBorders>
              <w:top w:val="single" w:color="auto" w:sz="4" w:space="0"/>
            </w:tcBorders>
            <w:vAlign w:val="center"/>
          </w:tcPr>
          <w:p>
            <w:pPr>
              <w:spacing w:line="340" w:lineRule="exact"/>
              <w:ind w:firstLine="0" w:firstLineChars="0"/>
              <w:jc w:val="center"/>
              <w:rPr>
                <w:sz w:val="21"/>
                <w:szCs w:val="21"/>
              </w:rPr>
            </w:pPr>
            <w:r>
              <w:rPr>
                <w:sz w:val="21"/>
                <w:szCs w:val="21"/>
              </w:rPr>
              <w:t>1.0</w:t>
            </w:r>
          </w:p>
        </w:tc>
        <w:tc>
          <w:tcPr>
            <w:tcW w:w="851" w:type="pct"/>
            <w:tcBorders>
              <w:top w:val="single" w:color="auto" w:sz="4" w:space="0"/>
              <w:right w:val="single" w:color="auto" w:sz="4" w:space="0"/>
            </w:tcBorders>
            <w:vAlign w:val="center"/>
          </w:tcPr>
          <w:p>
            <w:pPr>
              <w:spacing w:line="340" w:lineRule="exact"/>
              <w:ind w:firstLine="0" w:firstLineChars="0"/>
              <w:jc w:val="center"/>
              <w:rPr>
                <w:sz w:val="21"/>
                <w:szCs w:val="21"/>
              </w:rPr>
            </w:pPr>
            <w:r>
              <w:rPr>
                <w:sz w:val="21"/>
                <w:szCs w:val="21"/>
              </w:rPr>
              <w:t>0.2</w:t>
            </w:r>
          </w:p>
        </w:tc>
        <w:tc>
          <w:tcPr>
            <w:tcW w:w="588" w:type="pct"/>
            <w:tcBorders>
              <w:top w:val="single" w:color="auto" w:sz="4" w:space="0"/>
              <w:left w:val="single" w:color="auto" w:sz="4" w:space="0"/>
            </w:tcBorders>
            <w:vAlign w:val="center"/>
          </w:tcPr>
          <w:p>
            <w:pPr>
              <w:spacing w:line="340" w:lineRule="exact"/>
              <w:ind w:firstLine="0" w:firstLineChars="0"/>
              <w:jc w:val="center"/>
              <w:rPr>
                <w:sz w:val="21"/>
                <w:szCs w:val="21"/>
              </w:rPr>
            </w:pPr>
            <w:r>
              <w:rPr>
                <w:sz w:val="21"/>
                <w:szCs w:val="21"/>
              </w:rPr>
              <w:t>0.5</w:t>
            </w:r>
          </w:p>
        </w:tc>
        <w:tc>
          <w:tcPr>
            <w:tcW w:w="566" w:type="pct"/>
            <w:tcBorders>
              <w:top w:val="single" w:color="auto" w:sz="4" w:space="0"/>
            </w:tcBorders>
            <w:vAlign w:val="center"/>
          </w:tcPr>
          <w:p>
            <w:pPr>
              <w:spacing w:line="340" w:lineRule="exact"/>
              <w:ind w:firstLine="0" w:firstLineChars="0"/>
              <w:jc w:val="center"/>
              <w:rPr>
                <w:sz w:val="21"/>
                <w:szCs w:val="21"/>
              </w:rPr>
            </w:pPr>
            <w:r>
              <w:rPr>
                <w:sz w:val="21"/>
                <w:szCs w:val="21"/>
              </w:rPr>
              <w:t>0.02</w:t>
            </w:r>
          </w:p>
        </w:tc>
        <w:tc>
          <w:tcPr>
            <w:tcW w:w="572" w:type="pct"/>
            <w:tcBorders>
              <w:top w:val="single" w:color="auto" w:sz="4" w:space="0"/>
            </w:tcBorders>
            <w:vAlign w:val="center"/>
          </w:tcPr>
          <w:p>
            <w:pPr>
              <w:spacing w:line="340" w:lineRule="exact"/>
              <w:ind w:firstLine="0" w:firstLineChars="0"/>
              <w:jc w:val="center"/>
              <w:rPr>
                <w:sz w:val="21"/>
                <w:szCs w:val="21"/>
              </w:rPr>
            </w:pPr>
            <w:r>
              <w:rPr>
                <w:sz w:val="21"/>
                <w:szCs w:val="21"/>
              </w:rPr>
              <w:t>200</w:t>
            </w:r>
          </w:p>
        </w:tc>
        <w:tc>
          <w:tcPr>
            <w:tcW w:w="467"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w:t>
            </w:r>
          </w:p>
        </w:tc>
      </w:tr>
    </w:tbl>
    <w:p>
      <w:pPr>
        <w:ind w:firstLine="482" w:firstLineChars="0"/>
        <w:rPr>
          <w:szCs w:val="24"/>
        </w:rPr>
      </w:pPr>
      <w:r>
        <w:rPr>
          <w:rFonts w:hint="eastAsia" w:ascii="宋体" w:hAnsi="宋体" w:cs="宋体"/>
          <w:szCs w:val="24"/>
        </w:rPr>
        <w:t>⑷</w:t>
      </w:r>
      <w:r>
        <w:rPr>
          <w:szCs w:val="24"/>
        </w:rPr>
        <w:t>声环境</w:t>
      </w:r>
    </w:p>
    <w:p>
      <w:pPr>
        <w:ind w:firstLine="482" w:firstLineChars="0"/>
        <w:rPr>
          <w:szCs w:val="24"/>
        </w:rPr>
      </w:pPr>
      <w:r>
        <w:rPr>
          <w:szCs w:val="24"/>
        </w:rPr>
        <w:t>项目评价区域内执行《声环境质量标准》(GB3096-2008)中的2类功能区标准，</w:t>
      </w:r>
      <w:r>
        <w:t>详见表1.</w:t>
      </w:r>
      <w:r>
        <w:rPr>
          <w:rFonts w:hint="eastAsia"/>
        </w:rPr>
        <w:t>5</w:t>
      </w:r>
      <w:r>
        <w:t>-</w:t>
      </w:r>
      <w:r>
        <w:rPr>
          <w:rFonts w:hint="eastAsia"/>
        </w:rPr>
        <w:t>4</w:t>
      </w:r>
      <w:r>
        <w:rPr>
          <w:szCs w:val="24"/>
        </w:rPr>
        <w:t>。</w:t>
      </w:r>
    </w:p>
    <w:p>
      <w:pPr>
        <w:spacing w:before="120" w:beforeLines="50" w:line="240" w:lineRule="auto"/>
        <w:ind w:firstLine="0" w:firstLineChars="0"/>
        <w:jc w:val="center"/>
        <w:rPr>
          <w:rFonts w:ascii="黑体" w:hAnsi="黑体" w:eastAsia="黑体" w:cs="黑体"/>
        </w:rPr>
      </w:pPr>
      <w:r>
        <w:rPr>
          <w:rFonts w:hint="eastAsia" w:ascii="黑体" w:hAnsi="黑体" w:eastAsia="黑体" w:cs="黑体"/>
        </w:rPr>
        <w:t>表1.5-4 声环境质量标准单位： dB（A）</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95"/>
        <w:gridCol w:w="2986"/>
        <w:gridCol w:w="2935"/>
        <w:gridCol w:w="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8" w:type="pct"/>
            <w:tcBorders>
              <w:top w:val="single" w:color="auto" w:sz="12" w:space="0"/>
              <w:left w:val="nil"/>
              <w:bottom w:val="single" w:color="auto" w:sz="4" w:space="0"/>
              <w:right w:val="single" w:color="auto" w:sz="4" w:space="0"/>
            </w:tcBorders>
            <w:vAlign w:val="center"/>
          </w:tcPr>
          <w:p>
            <w:pPr>
              <w:spacing w:line="340" w:lineRule="exact"/>
              <w:ind w:firstLine="420"/>
              <w:jc w:val="center"/>
              <w:rPr>
                <w:sz w:val="21"/>
                <w:szCs w:val="21"/>
              </w:rPr>
            </w:pPr>
            <w:r>
              <w:rPr>
                <w:sz w:val="21"/>
                <w:szCs w:val="21"/>
              </w:rPr>
              <w:t>功能区类别</w:t>
            </w:r>
          </w:p>
        </w:tc>
        <w:tc>
          <w:tcPr>
            <w:tcW w:w="1560" w:type="pct"/>
            <w:tcBorders>
              <w:top w:val="single" w:color="auto" w:sz="12" w:space="0"/>
              <w:left w:val="single" w:color="auto" w:sz="4" w:space="0"/>
              <w:bottom w:val="single" w:color="auto" w:sz="4" w:space="0"/>
              <w:right w:val="single" w:color="auto" w:sz="4" w:space="0"/>
            </w:tcBorders>
            <w:vAlign w:val="center"/>
          </w:tcPr>
          <w:p>
            <w:pPr>
              <w:spacing w:line="340" w:lineRule="exact"/>
              <w:ind w:firstLine="420"/>
              <w:jc w:val="center"/>
              <w:rPr>
                <w:sz w:val="21"/>
                <w:szCs w:val="21"/>
              </w:rPr>
            </w:pPr>
            <w:r>
              <w:rPr>
                <w:sz w:val="21"/>
                <w:szCs w:val="21"/>
              </w:rPr>
              <w:t>昼间</w:t>
            </w:r>
          </w:p>
        </w:tc>
        <w:tc>
          <w:tcPr>
            <w:tcW w:w="1561" w:type="pct"/>
            <w:gridSpan w:val="2"/>
            <w:tcBorders>
              <w:top w:val="single" w:color="auto" w:sz="12" w:space="0"/>
              <w:left w:val="single" w:color="auto" w:sz="4" w:space="0"/>
              <w:bottom w:val="single" w:color="auto" w:sz="4" w:space="0"/>
              <w:right w:val="nil"/>
            </w:tcBorders>
            <w:vAlign w:val="center"/>
          </w:tcPr>
          <w:p>
            <w:pPr>
              <w:spacing w:line="340" w:lineRule="exact"/>
              <w:ind w:firstLine="420"/>
              <w:jc w:val="center"/>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7" w:type="pct"/>
          <w:trHeight w:val="397" w:hRule="atLeast"/>
          <w:jc w:val="center"/>
        </w:trPr>
        <w:tc>
          <w:tcPr>
            <w:tcW w:w="1878" w:type="pct"/>
            <w:tcBorders>
              <w:top w:val="single" w:color="auto" w:sz="4" w:space="0"/>
              <w:left w:val="nil"/>
              <w:bottom w:val="single" w:color="auto" w:sz="12" w:space="0"/>
              <w:right w:val="single" w:color="auto" w:sz="4" w:space="0"/>
            </w:tcBorders>
            <w:vAlign w:val="center"/>
          </w:tcPr>
          <w:p>
            <w:pPr>
              <w:spacing w:line="340" w:lineRule="exact"/>
              <w:ind w:firstLine="420"/>
              <w:jc w:val="center"/>
              <w:rPr>
                <w:sz w:val="21"/>
                <w:szCs w:val="21"/>
              </w:rPr>
            </w:pPr>
            <w:r>
              <w:rPr>
                <w:rFonts w:hint="eastAsia"/>
                <w:sz w:val="21"/>
                <w:szCs w:val="21"/>
              </w:rPr>
              <w:t>2</w:t>
            </w:r>
            <w:r>
              <w:rPr>
                <w:sz w:val="21"/>
                <w:szCs w:val="21"/>
              </w:rPr>
              <w:t>类</w:t>
            </w:r>
          </w:p>
        </w:tc>
        <w:tc>
          <w:tcPr>
            <w:tcW w:w="1560" w:type="pct"/>
            <w:tcBorders>
              <w:top w:val="single" w:color="auto" w:sz="4" w:space="0"/>
              <w:left w:val="single" w:color="auto" w:sz="4" w:space="0"/>
              <w:bottom w:val="single" w:color="auto" w:sz="12" w:space="0"/>
              <w:right w:val="single" w:color="auto" w:sz="4" w:space="0"/>
            </w:tcBorders>
            <w:vAlign w:val="center"/>
          </w:tcPr>
          <w:p>
            <w:pPr>
              <w:spacing w:line="340" w:lineRule="exact"/>
              <w:ind w:firstLine="420"/>
              <w:jc w:val="center"/>
              <w:rPr>
                <w:sz w:val="21"/>
                <w:szCs w:val="21"/>
              </w:rPr>
            </w:pPr>
            <w:r>
              <w:rPr>
                <w:rFonts w:hint="eastAsia"/>
                <w:sz w:val="21"/>
                <w:szCs w:val="21"/>
              </w:rPr>
              <w:t>60</w:t>
            </w:r>
          </w:p>
        </w:tc>
        <w:tc>
          <w:tcPr>
            <w:tcW w:w="1533" w:type="pct"/>
            <w:tcBorders>
              <w:top w:val="single" w:color="auto" w:sz="4" w:space="0"/>
              <w:left w:val="single" w:color="auto" w:sz="4" w:space="0"/>
              <w:bottom w:val="single" w:color="auto" w:sz="12" w:space="0"/>
              <w:right w:val="nil"/>
            </w:tcBorders>
            <w:vAlign w:val="center"/>
          </w:tcPr>
          <w:p>
            <w:pPr>
              <w:spacing w:line="340" w:lineRule="exact"/>
              <w:ind w:firstLine="420"/>
              <w:jc w:val="center"/>
              <w:rPr>
                <w:sz w:val="21"/>
                <w:szCs w:val="21"/>
              </w:rPr>
            </w:pPr>
            <w:r>
              <w:rPr>
                <w:rFonts w:hint="eastAsia"/>
                <w:sz w:val="21"/>
                <w:szCs w:val="21"/>
              </w:rPr>
              <w:t>50</w:t>
            </w:r>
          </w:p>
        </w:tc>
      </w:tr>
    </w:tbl>
    <w:p>
      <w:pPr>
        <w:spacing w:before="120" w:beforeLines="50"/>
        <w:ind w:firstLine="482" w:firstLineChars="0"/>
        <w:rPr>
          <w:szCs w:val="24"/>
        </w:rPr>
      </w:pPr>
      <w:r>
        <w:rPr>
          <w:rFonts w:hint="eastAsia" w:ascii="宋体" w:hAnsi="宋体" w:cs="宋体"/>
          <w:szCs w:val="24"/>
        </w:rPr>
        <w:t>⑸土壤</w:t>
      </w:r>
      <w:r>
        <w:rPr>
          <w:szCs w:val="24"/>
        </w:rPr>
        <w:t>环境</w:t>
      </w:r>
    </w:p>
    <w:p>
      <w:pPr>
        <w:ind w:firstLine="480"/>
        <w:rPr>
          <w:szCs w:val="24"/>
        </w:rPr>
      </w:pPr>
      <w:r>
        <w:rPr>
          <w:rFonts w:hint="eastAsia"/>
          <w:szCs w:val="24"/>
        </w:rPr>
        <w:t>工程占地范围内土壤</w:t>
      </w:r>
      <w:r>
        <w:rPr>
          <w:szCs w:val="24"/>
        </w:rPr>
        <w:t>环境</w:t>
      </w:r>
      <w:r>
        <w:rPr>
          <w:rFonts w:hint="eastAsia"/>
          <w:szCs w:val="24"/>
        </w:rPr>
        <w:t>执行《建设用地土壤污染风险管控标准（试行）》（GB36/1282-2020）表1中第二类</w:t>
      </w:r>
      <w:r>
        <w:rPr>
          <w:szCs w:val="24"/>
        </w:rPr>
        <w:t>用地</w:t>
      </w:r>
      <w:r>
        <w:rPr>
          <w:rFonts w:hint="eastAsia"/>
          <w:szCs w:val="24"/>
        </w:rPr>
        <w:t>风险筛选值，</w:t>
      </w:r>
      <w:r>
        <w:rPr>
          <w:szCs w:val="24"/>
        </w:rPr>
        <w:t>详见表</w:t>
      </w:r>
      <w:r>
        <w:rPr>
          <w:rFonts w:hint="eastAsia"/>
          <w:szCs w:val="24"/>
        </w:rPr>
        <w:t>1.5-5；占地范围外《土壤环境质量-农用地土壤污染风险管控标准（试行） (GB15618-2018) 》表1风险筛选值，</w:t>
      </w:r>
      <w:r>
        <w:rPr>
          <w:szCs w:val="24"/>
        </w:rPr>
        <w:t>详见表</w:t>
      </w:r>
      <w:r>
        <w:rPr>
          <w:rFonts w:hint="eastAsia"/>
          <w:szCs w:val="24"/>
        </w:rPr>
        <w:t>1.5-6。</w:t>
      </w:r>
    </w:p>
    <w:p>
      <w:pPr>
        <w:pStyle w:val="1078"/>
        <w:spacing w:before="120" w:beforeLines="50" w:line="240" w:lineRule="auto"/>
        <w:ind w:firstLine="641"/>
        <w:rPr>
          <w:rFonts w:hAnsi="黑体" w:cs="黑体"/>
        </w:rPr>
      </w:pPr>
      <w:r>
        <w:rPr>
          <w:rFonts w:hint="eastAsia" w:hAnsi="黑体" w:cs="黑体"/>
        </w:rPr>
        <w:t xml:space="preserve">表1.5-5  土壤环境质量现状监测统计表  </w:t>
      </w:r>
      <w:r>
        <w:rPr>
          <w:rFonts w:hint="eastAsia" w:hAnsi="黑体" w:cs="黑体"/>
          <w:bCs/>
          <w:szCs w:val="24"/>
        </w:rPr>
        <w:t>单位：mg/kg</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66"/>
        <w:gridCol w:w="859"/>
        <w:gridCol w:w="663"/>
        <w:gridCol w:w="1217"/>
        <w:gridCol w:w="929"/>
        <w:gridCol w:w="1133"/>
        <w:gridCol w:w="787"/>
        <w:gridCol w:w="982"/>
        <w:gridCol w:w="1234"/>
        <w:gridCol w:w="8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污染物</w:t>
            </w:r>
          </w:p>
        </w:tc>
        <w:tc>
          <w:tcPr>
            <w:tcW w:w="453" w:type="pct"/>
            <w:vAlign w:val="center"/>
          </w:tcPr>
          <w:p>
            <w:pPr>
              <w:pStyle w:val="694"/>
              <w:kinsoku w:val="0"/>
              <w:overflowPunct w:val="0"/>
              <w:spacing w:line="340" w:lineRule="exact"/>
              <w:jc w:val="center"/>
              <w:rPr>
                <w:bCs/>
                <w:w w:val="99"/>
                <w:szCs w:val="21"/>
              </w:rPr>
            </w:pPr>
            <w:r>
              <w:rPr>
                <w:rFonts w:hAnsi="宋体"/>
                <w:bCs/>
                <w:w w:val="99"/>
                <w:szCs w:val="21"/>
              </w:rPr>
              <w:t>砷</w:t>
            </w:r>
          </w:p>
        </w:tc>
        <w:tc>
          <w:tcPr>
            <w:tcW w:w="350" w:type="pct"/>
            <w:vAlign w:val="center"/>
          </w:tcPr>
          <w:p>
            <w:pPr>
              <w:pStyle w:val="694"/>
              <w:kinsoku w:val="0"/>
              <w:overflowPunct w:val="0"/>
              <w:spacing w:line="340" w:lineRule="exact"/>
              <w:jc w:val="center"/>
              <w:rPr>
                <w:bCs/>
                <w:w w:val="99"/>
                <w:szCs w:val="21"/>
              </w:rPr>
            </w:pPr>
            <w:r>
              <w:rPr>
                <w:rFonts w:hAnsi="宋体"/>
                <w:bCs/>
                <w:w w:val="99"/>
                <w:szCs w:val="21"/>
              </w:rPr>
              <w:t>镉</w:t>
            </w:r>
          </w:p>
        </w:tc>
        <w:tc>
          <w:tcPr>
            <w:tcW w:w="642" w:type="pct"/>
            <w:vAlign w:val="center"/>
          </w:tcPr>
          <w:p>
            <w:pPr>
              <w:pStyle w:val="694"/>
              <w:kinsoku w:val="0"/>
              <w:overflowPunct w:val="0"/>
              <w:spacing w:line="340" w:lineRule="exact"/>
              <w:jc w:val="center"/>
              <w:rPr>
                <w:bCs/>
                <w:w w:val="99"/>
                <w:szCs w:val="21"/>
              </w:rPr>
            </w:pPr>
            <w:r>
              <w:rPr>
                <w:rFonts w:hAnsi="宋体"/>
                <w:bCs/>
                <w:w w:val="99"/>
                <w:szCs w:val="21"/>
              </w:rPr>
              <w:t>铬（六价）</w:t>
            </w:r>
          </w:p>
        </w:tc>
        <w:tc>
          <w:tcPr>
            <w:tcW w:w="490" w:type="pct"/>
            <w:vAlign w:val="center"/>
          </w:tcPr>
          <w:p>
            <w:pPr>
              <w:pStyle w:val="694"/>
              <w:kinsoku w:val="0"/>
              <w:overflowPunct w:val="0"/>
              <w:spacing w:line="340" w:lineRule="exact"/>
              <w:jc w:val="center"/>
              <w:rPr>
                <w:bCs/>
                <w:w w:val="99"/>
                <w:szCs w:val="21"/>
              </w:rPr>
            </w:pPr>
            <w:r>
              <w:rPr>
                <w:rFonts w:hAnsi="宋体"/>
                <w:bCs/>
                <w:w w:val="99"/>
                <w:szCs w:val="21"/>
              </w:rPr>
              <w:t>铜</w:t>
            </w:r>
          </w:p>
        </w:tc>
        <w:tc>
          <w:tcPr>
            <w:tcW w:w="598" w:type="pct"/>
            <w:vAlign w:val="center"/>
          </w:tcPr>
          <w:p>
            <w:pPr>
              <w:pStyle w:val="694"/>
              <w:kinsoku w:val="0"/>
              <w:overflowPunct w:val="0"/>
              <w:spacing w:line="340" w:lineRule="exact"/>
              <w:jc w:val="center"/>
              <w:rPr>
                <w:bCs/>
                <w:w w:val="99"/>
                <w:szCs w:val="21"/>
              </w:rPr>
            </w:pPr>
            <w:r>
              <w:rPr>
                <w:rFonts w:hAnsi="宋体"/>
                <w:bCs/>
                <w:w w:val="99"/>
                <w:szCs w:val="21"/>
              </w:rPr>
              <w:t>铅</w:t>
            </w:r>
          </w:p>
        </w:tc>
        <w:tc>
          <w:tcPr>
            <w:tcW w:w="415" w:type="pct"/>
            <w:vAlign w:val="center"/>
          </w:tcPr>
          <w:p>
            <w:pPr>
              <w:pStyle w:val="694"/>
              <w:kinsoku w:val="0"/>
              <w:overflowPunct w:val="0"/>
              <w:spacing w:line="340" w:lineRule="exact"/>
              <w:jc w:val="center"/>
              <w:rPr>
                <w:bCs/>
                <w:w w:val="99"/>
                <w:szCs w:val="21"/>
              </w:rPr>
            </w:pPr>
            <w:r>
              <w:rPr>
                <w:rFonts w:hAnsi="宋体"/>
                <w:bCs/>
                <w:w w:val="99"/>
                <w:szCs w:val="21"/>
              </w:rPr>
              <w:t>汞</w:t>
            </w:r>
          </w:p>
        </w:tc>
        <w:tc>
          <w:tcPr>
            <w:tcW w:w="518" w:type="pct"/>
            <w:vAlign w:val="center"/>
          </w:tcPr>
          <w:p>
            <w:pPr>
              <w:pStyle w:val="694"/>
              <w:kinsoku w:val="0"/>
              <w:overflowPunct w:val="0"/>
              <w:spacing w:line="340" w:lineRule="exact"/>
              <w:jc w:val="center"/>
              <w:rPr>
                <w:bCs/>
                <w:w w:val="99"/>
                <w:szCs w:val="21"/>
              </w:rPr>
            </w:pPr>
            <w:r>
              <w:rPr>
                <w:rFonts w:hAnsi="宋体"/>
                <w:bCs/>
                <w:w w:val="99"/>
                <w:szCs w:val="21"/>
              </w:rPr>
              <w:t>镍</w:t>
            </w:r>
          </w:p>
        </w:tc>
        <w:tc>
          <w:tcPr>
            <w:tcW w:w="651" w:type="pct"/>
            <w:vAlign w:val="center"/>
          </w:tcPr>
          <w:p>
            <w:pPr>
              <w:pStyle w:val="694"/>
              <w:kinsoku w:val="0"/>
              <w:overflowPunct w:val="0"/>
              <w:spacing w:line="340" w:lineRule="exact"/>
              <w:jc w:val="center"/>
              <w:rPr>
                <w:bCs/>
                <w:w w:val="99"/>
                <w:szCs w:val="21"/>
              </w:rPr>
            </w:pPr>
            <w:r>
              <w:rPr>
                <w:rFonts w:hAnsi="宋体"/>
                <w:bCs/>
                <w:w w:val="99"/>
                <w:szCs w:val="21"/>
              </w:rPr>
              <w:t>氯甲烷</w:t>
            </w:r>
          </w:p>
        </w:tc>
        <w:tc>
          <w:tcPr>
            <w:tcW w:w="474" w:type="pct"/>
            <w:vAlign w:val="center"/>
          </w:tcPr>
          <w:p>
            <w:pPr>
              <w:pStyle w:val="694"/>
              <w:kinsoku w:val="0"/>
              <w:overflowPunct w:val="0"/>
              <w:spacing w:line="340" w:lineRule="exact"/>
              <w:jc w:val="center"/>
              <w:rPr>
                <w:bCs/>
                <w:w w:val="99"/>
                <w:szCs w:val="21"/>
              </w:rPr>
            </w:pPr>
            <w:r>
              <w:rPr>
                <w:rFonts w:hAnsi="宋体"/>
                <w:bCs/>
                <w:w w:val="99"/>
                <w:szCs w:val="21"/>
              </w:rPr>
              <w:t>氯乙烯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标准值</w:t>
            </w:r>
          </w:p>
        </w:tc>
        <w:tc>
          <w:tcPr>
            <w:tcW w:w="453" w:type="pct"/>
            <w:vAlign w:val="center"/>
          </w:tcPr>
          <w:p>
            <w:pPr>
              <w:pStyle w:val="694"/>
              <w:kinsoku w:val="0"/>
              <w:overflowPunct w:val="0"/>
              <w:spacing w:line="340" w:lineRule="exact"/>
              <w:jc w:val="center"/>
              <w:rPr>
                <w:bCs/>
                <w:w w:val="99"/>
                <w:szCs w:val="21"/>
              </w:rPr>
            </w:pPr>
            <w:r>
              <w:rPr>
                <w:bCs/>
                <w:w w:val="99"/>
                <w:szCs w:val="21"/>
              </w:rPr>
              <w:t>60</w:t>
            </w:r>
          </w:p>
        </w:tc>
        <w:tc>
          <w:tcPr>
            <w:tcW w:w="350" w:type="pct"/>
            <w:vAlign w:val="center"/>
          </w:tcPr>
          <w:p>
            <w:pPr>
              <w:pStyle w:val="694"/>
              <w:kinsoku w:val="0"/>
              <w:overflowPunct w:val="0"/>
              <w:spacing w:line="340" w:lineRule="exact"/>
              <w:jc w:val="center"/>
              <w:rPr>
                <w:bCs/>
                <w:w w:val="99"/>
                <w:szCs w:val="21"/>
              </w:rPr>
            </w:pPr>
            <w:r>
              <w:rPr>
                <w:bCs/>
                <w:w w:val="99"/>
                <w:szCs w:val="21"/>
              </w:rPr>
              <w:t>65</w:t>
            </w:r>
          </w:p>
        </w:tc>
        <w:tc>
          <w:tcPr>
            <w:tcW w:w="642" w:type="pct"/>
            <w:vAlign w:val="center"/>
          </w:tcPr>
          <w:p>
            <w:pPr>
              <w:pStyle w:val="694"/>
              <w:kinsoku w:val="0"/>
              <w:overflowPunct w:val="0"/>
              <w:spacing w:line="340" w:lineRule="exact"/>
              <w:jc w:val="center"/>
              <w:rPr>
                <w:bCs/>
                <w:w w:val="99"/>
                <w:szCs w:val="21"/>
              </w:rPr>
            </w:pPr>
            <w:r>
              <w:rPr>
                <w:bCs/>
                <w:w w:val="99"/>
                <w:szCs w:val="21"/>
              </w:rPr>
              <w:t>5.7</w:t>
            </w:r>
          </w:p>
        </w:tc>
        <w:tc>
          <w:tcPr>
            <w:tcW w:w="490" w:type="pct"/>
            <w:vAlign w:val="center"/>
          </w:tcPr>
          <w:p>
            <w:pPr>
              <w:pStyle w:val="694"/>
              <w:kinsoku w:val="0"/>
              <w:overflowPunct w:val="0"/>
              <w:spacing w:line="340" w:lineRule="exact"/>
              <w:jc w:val="center"/>
              <w:rPr>
                <w:bCs/>
                <w:w w:val="99"/>
                <w:szCs w:val="21"/>
              </w:rPr>
            </w:pPr>
            <w:r>
              <w:rPr>
                <w:bCs/>
                <w:w w:val="99"/>
                <w:szCs w:val="21"/>
              </w:rPr>
              <w:t>18000</w:t>
            </w:r>
          </w:p>
        </w:tc>
        <w:tc>
          <w:tcPr>
            <w:tcW w:w="598" w:type="pct"/>
            <w:vAlign w:val="center"/>
          </w:tcPr>
          <w:p>
            <w:pPr>
              <w:pStyle w:val="694"/>
              <w:kinsoku w:val="0"/>
              <w:overflowPunct w:val="0"/>
              <w:spacing w:line="340" w:lineRule="exact"/>
              <w:jc w:val="center"/>
              <w:rPr>
                <w:bCs/>
                <w:w w:val="99"/>
                <w:szCs w:val="21"/>
              </w:rPr>
            </w:pPr>
            <w:r>
              <w:rPr>
                <w:bCs/>
                <w:w w:val="99"/>
                <w:szCs w:val="21"/>
              </w:rPr>
              <w:t>800</w:t>
            </w:r>
          </w:p>
        </w:tc>
        <w:tc>
          <w:tcPr>
            <w:tcW w:w="415" w:type="pct"/>
            <w:vAlign w:val="center"/>
          </w:tcPr>
          <w:p>
            <w:pPr>
              <w:pStyle w:val="694"/>
              <w:kinsoku w:val="0"/>
              <w:overflowPunct w:val="0"/>
              <w:spacing w:line="340" w:lineRule="exact"/>
              <w:jc w:val="center"/>
              <w:rPr>
                <w:bCs/>
                <w:w w:val="99"/>
                <w:szCs w:val="21"/>
              </w:rPr>
            </w:pPr>
            <w:r>
              <w:rPr>
                <w:bCs/>
                <w:w w:val="99"/>
                <w:szCs w:val="21"/>
              </w:rPr>
              <w:t>38</w:t>
            </w:r>
          </w:p>
        </w:tc>
        <w:tc>
          <w:tcPr>
            <w:tcW w:w="518" w:type="pct"/>
            <w:vAlign w:val="center"/>
          </w:tcPr>
          <w:p>
            <w:pPr>
              <w:pStyle w:val="694"/>
              <w:kinsoku w:val="0"/>
              <w:overflowPunct w:val="0"/>
              <w:spacing w:line="340" w:lineRule="exact"/>
              <w:jc w:val="center"/>
              <w:rPr>
                <w:bCs/>
                <w:w w:val="99"/>
                <w:szCs w:val="21"/>
              </w:rPr>
            </w:pPr>
            <w:r>
              <w:rPr>
                <w:bCs/>
                <w:w w:val="99"/>
                <w:szCs w:val="21"/>
              </w:rPr>
              <w:t>900</w:t>
            </w:r>
          </w:p>
        </w:tc>
        <w:tc>
          <w:tcPr>
            <w:tcW w:w="651" w:type="pct"/>
            <w:vAlign w:val="center"/>
          </w:tcPr>
          <w:p>
            <w:pPr>
              <w:pStyle w:val="694"/>
              <w:kinsoku w:val="0"/>
              <w:overflowPunct w:val="0"/>
              <w:spacing w:line="340" w:lineRule="exact"/>
              <w:jc w:val="center"/>
              <w:rPr>
                <w:bCs/>
                <w:w w:val="99"/>
                <w:szCs w:val="21"/>
              </w:rPr>
            </w:pPr>
            <w:r>
              <w:rPr>
                <w:bCs/>
                <w:w w:val="99"/>
                <w:szCs w:val="21"/>
              </w:rPr>
              <w:t>37</w:t>
            </w:r>
          </w:p>
        </w:tc>
        <w:tc>
          <w:tcPr>
            <w:tcW w:w="474" w:type="pct"/>
            <w:vAlign w:val="center"/>
          </w:tcPr>
          <w:p>
            <w:pPr>
              <w:pStyle w:val="694"/>
              <w:kinsoku w:val="0"/>
              <w:overflowPunct w:val="0"/>
              <w:spacing w:line="340" w:lineRule="exact"/>
              <w:jc w:val="center"/>
              <w:rPr>
                <w:bCs/>
                <w:w w:val="99"/>
                <w:szCs w:val="21"/>
              </w:rPr>
            </w:pPr>
            <w:r>
              <w:rPr>
                <w:bCs/>
                <w:w w:val="99"/>
                <w:szCs w:val="21"/>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污染物</w:t>
            </w:r>
          </w:p>
        </w:tc>
        <w:tc>
          <w:tcPr>
            <w:tcW w:w="453" w:type="pct"/>
            <w:vAlign w:val="center"/>
          </w:tcPr>
          <w:p>
            <w:pPr>
              <w:pStyle w:val="694"/>
              <w:kinsoku w:val="0"/>
              <w:overflowPunct w:val="0"/>
              <w:spacing w:line="340" w:lineRule="exact"/>
              <w:jc w:val="center"/>
              <w:rPr>
                <w:bCs/>
                <w:w w:val="99"/>
                <w:szCs w:val="21"/>
              </w:rPr>
            </w:pPr>
            <w:r>
              <w:rPr>
                <w:bCs/>
                <w:w w:val="99"/>
                <w:szCs w:val="21"/>
              </w:rPr>
              <w:t>1,1-</w:t>
            </w:r>
            <w:r>
              <w:rPr>
                <w:rFonts w:hAnsi="宋体"/>
                <w:bCs/>
                <w:w w:val="99"/>
                <w:szCs w:val="21"/>
              </w:rPr>
              <w:t>二氯乙烯</w:t>
            </w:r>
          </w:p>
        </w:tc>
        <w:tc>
          <w:tcPr>
            <w:tcW w:w="350" w:type="pct"/>
            <w:vAlign w:val="center"/>
          </w:tcPr>
          <w:p>
            <w:pPr>
              <w:pStyle w:val="694"/>
              <w:kinsoku w:val="0"/>
              <w:overflowPunct w:val="0"/>
              <w:spacing w:line="340" w:lineRule="exact"/>
              <w:jc w:val="center"/>
              <w:rPr>
                <w:bCs/>
                <w:w w:val="99"/>
                <w:szCs w:val="21"/>
              </w:rPr>
            </w:pPr>
            <w:r>
              <w:rPr>
                <w:rFonts w:hAnsi="宋体"/>
                <w:bCs/>
                <w:w w:val="99"/>
                <w:szCs w:val="21"/>
              </w:rPr>
              <w:t>二氯甲烷</w:t>
            </w:r>
          </w:p>
        </w:tc>
        <w:tc>
          <w:tcPr>
            <w:tcW w:w="642" w:type="pct"/>
            <w:vAlign w:val="center"/>
          </w:tcPr>
          <w:p>
            <w:pPr>
              <w:pStyle w:val="694"/>
              <w:kinsoku w:val="0"/>
              <w:overflowPunct w:val="0"/>
              <w:spacing w:line="340" w:lineRule="exact"/>
              <w:jc w:val="center"/>
              <w:rPr>
                <w:bCs/>
                <w:w w:val="99"/>
                <w:szCs w:val="21"/>
              </w:rPr>
            </w:pPr>
            <w:r>
              <w:rPr>
                <w:rFonts w:hAnsi="宋体"/>
                <w:bCs/>
                <w:w w:val="99"/>
                <w:szCs w:val="21"/>
              </w:rPr>
              <w:t>反式</w:t>
            </w:r>
            <w:r>
              <w:rPr>
                <w:bCs/>
                <w:w w:val="99"/>
                <w:szCs w:val="21"/>
              </w:rPr>
              <w:t>-1,2-</w:t>
            </w:r>
            <w:r>
              <w:rPr>
                <w:rFonts w:hAnsi="宋体"/>
                <w:bCs/>
                <w:w w:val="99"/>
                <w:szCs w:val="21"/>
              </w:rPr>
              <w:t>二氯乙烯</w:t>
            </w:r>
          </w:p>
        </w:tc>
        <w:tc>
          <w:tcPr>
            <w:tcW w:w="490" w:type="pct"/>
            <w:vAlign w:val="center"/>
          </w:tcPr>
          <w:p>
            <w:pPr>
              <w:pStyle w:val="694"/>
              <w:kinsoku w:val="0"/>
              <w:overflowPunct w:val="0"/>
              <w:spacing w:line="340" w:lineRule="exact"/>
              <w:jc w:val="center"/>
              <w:rPr>
                <w:bCs/>
                <w:w w:val="99"/>
                <w:szCs w:val="21"/>
              </w:rPr>
            </w:pPr>
            <w:r>
              <w:rPr>
                <w:bCs/>
                <w:w w:val="99"/>
                <w:szCs w:val="21"/>
              </w:rPr>
              <w:t>1,1-</w:t>
            </w:r>
            <w:r>
              <w:rPr>
                <w:rFonts w:hAnsi="宋体"/>
                <w:bCs/>
                <w:w w:val="99"/>
                <w:szCs w:val="21"/>
              </w:rPr>
              <w:t>二氯乙烷</w:t>
            </w:r>
          </w:p>
        </w:tc>
        <w:tc>
          <w:tcPr>
            <w:tcW w:w="598" w:type="pct"/>
            <w:vAlign w:val="center"/>
          </w:tcPr>
          <w:p>
            <w:pPr>
              <w:pStyle w:val="694"/>
              <w:kinsoku w:val="0"/>
              <w:overflowPunct w:val="0"/>
              <w:spacing w:line="340" w:lineRule="exact"/>
              <w:jc w:val="center"/>
              <w:rPr>
                <w:bCs/>
                <w:w w:val="99"/>
                <w:szCs w:val="21"/>
              </w:rPr>
            </w:pPr>
            <w:r>
              <w:rPr>
                <w:rFonts w:hAnsi="宋体"/>
                <w:bCs/>
                <w:w w:val="99"/>
                <w:szCs w:val="21"/>
              </w:rPr>
              <w:t>顺式</w:t>
            </w:r>
            <w:r>
              <w:rPr>
                <w:bCs/>
                <w:w w:val="99"/>
                <w:szCs w:val="21"/>
              </w:rPr>
              <w:t>-1,2-</w:t>
            </w:r>
            <w:r>
              <w:rPr>
                <w:rFonts w:hAnsi="宋体"/>
                <w:bCs/>
                <w:w w:val="99"/>
                <w:szCs w:val="21"/>
              </w:rPr>
              <w:t>二氯乙烯</w:t>
            </w:r>
          </w:p>
        </w:tc>
        <w:tc>
          <w:tcPr>
            <w:tcW w:w="415" w:type="pct"/>
            <w:vAlign w:val="center"/>
          </w:tcPr>
          <w:p>
            <w:pPr>
              <w:pStyle w:val="694"/>
              <w:kinsoku w:val="0"/>
              <w:overflowPunct w:val="0"/>
              <w:spacing w:line="340" w:lineRule="exact"/>
              <w:jc w:val="center"/>
              <w:rPr>
                <w:bCs/>
                <w:w w:val="99"/>
                <w:szCs w:val="21"/>
              </w:rPr>
            </w:pPr>
            <w:r>
              <w:rPr>
                <w:rFonts w:hAnsi="宋体"/>
                <w:bCs/>
                <w:w w:val="99"/>
                <w:szCs w:val="21"/>
              </w:rPr>
              <w:t>氯仿</w:t>
            </w:r>
          </w:p>
        </w:tc>
        <w:tc>
          <w:tcPr>
            <w:tcW w:w="518" w:type="pct"/>
            <w:vAlign w:val="center"/>
          </w:tcPr>
          <w:p>
            <w:pPr>
              <w:pStyle w:val="694"/>
              <w:kinsoku w:val="0"/>
              <w:overflowPunct w:val="0"/>
              <w:spacing w:line="340" w:lineRule="exact"/>
              <w:jc w:val="center"/>
              <w:rPr>
                <w:bCs/>
                <w:w w:val="99"/>
                <w:szCs w:val="21"/>
              </w:rPr>
            </w:pPr>
            <w:r>
              <w:rPr>
                <w:bCs/>
                <w:w w:val="99"/>
                <w:szCs w:val="21"/>
              </w:rPr>
              <w:t>1,1,1-</w:t>
            </w:r>
            <w:r>
              <w:rPr>
                <w:rFonts w:hAnsi="宋体"/>
                <w:bCs/>
                <w:w w:val="99"/>
                <w:szCs w:val="21"/>
              </w:rPr>
              <w:t>三氯乙烷</w:t>
            </w:r>
          </w:p>
        </w:tc>
        <w:tc>
          <w:tcPr>
            <w:tcW w:w="651" w:type="pct"/>
            <w:vAlign w:val="center"/>
          </w:tcPr>
          <w:p>
            <w:pPr>
              <w:pStyle w:val="694"/>
              <w:kinsoku w:val="0"/>
              <w:overflowPunct w:val="0"/>
              <w:spacing w:line="340" w:lineRule="exact"/>
              <w:jc w:val="center"/>
              <w:rPr>
                <w:bCs/>
                <w:w w:val="99"/>
                <w:szCs w:val="21"/>
              </w:rPr>
            </w:pPr>
            <w:r>
              <w:rPr>
                <w:rFonts w:hAnsi="宋体"/>
                <w:bCs/>
                <w:w w:val="99"/>
                <w:szCs w:val="21"/>
              </w:rPr>
              <w:t>四氯化碳</w:t>
            </w:r>
          </w:p>
        </w:tc>
        <w:tc>
          <w:tcPr>
            <w:tcW w:w="474" w:type="pct"/>
            <w:vAlign w:val="center"/>
          </w:tcPr>
          <w:p>
            <w:pPr>
              <w:pStyle w:val="694"/>
              <w:kinsoku w:val="0"/>
              <w:overflowPunct w:val="0"/>
              <w:spacing w:line="340" w:lineRule="exact"/>
              <w:jc w:val="center"/>
              <w:rPr>
                <w:bCs/>
                <w:w w:val="99"/>
                <w:szCs w:val="21"/>
              </w:rPr>
            </w:pPr>
            <w:r>
              <w:rPr>
                <w:rFonts w:hAnsi="宋体"/>
                <w:bCs/>
                <w:w w:val="99"/>
                <w:szCs w:val="21"/>
              </w:rPr>
              <w:t>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标准值</w:t>
            </w:r>
          </w:p>
        </w:tc>
        <w:tc>
          <w:tcPr>
            <w:tcW w:w="453" w:type="pct"/>
            <w:vAlign w:val="center"/>
          </w:tcPr>
          <w:p>
            <w:pPr>
              <w:pStyle w:val="694"/>
              <w:kinsoku w:val="0"/>
              <w:overflowPunct w:val="0"/>
              <w:spacing w:line="340" w:lineRule="exact"/>
              <w:jc w:val="center"/>
              <w:rPr>
                <w:bCs/>
                <w:w w:val="99"/>
                <w:szCs w:val="21"/>
              </w:rPr>
            </w:pPr>
            <w:r>
              <w:rPr>
                <w:bCs/>
                <w:w w:val="99"/>
                <w:szCs w:val="21"/>
              </w:rPr>
              <w:t>66</w:t>
            </w:r>
          </w:p>
        </w:tc>
        <w:tc>
          <w:tcPr>
            <w:tcW w:w="350" w:type="pct"/>
            <w:vAlign w:val="center"/>
          </w:tcPr>
          <w:p>
            <w:pPr>
              <w:pStyle w:val="694"/>
              <w:kinsoku w:val="0"/>
              <w:overflowPunct w:val="0"/>
              <w:spacing w:line="340" w:lineRule="exact"/>
              <w:jc w:val="center"/>
              <w:rPr>
                <w:bCs/>
                <w:w w:val="99"/>
                <w:szCs w:val="21"/>
              </w:rPr>
            </w:pPr>
            <w:r>
              <w:rPr>
                <w:bCs/>
                <w:w w:val="99"/>
                <w:szCs w:val="21"/>
              </w:rPr>
              <w:t>616</w:t>
            </w:r>
          </w:p>
        </w:tc>
        <w:tc>
          <w:tcPr>
            <w:tcW w:w="642" w:type="pct"/>
            <w:vAlign w:val="center"/>
          </w:tcPr>
          <w:p>
            <w:pPr>
              <w:pStyle w:val="694"/>
              <w:kinsoku w:val="0"/>
              <w:overflowPunct w:val="0"/>
              <w:spacing w:line="340" w:lineRule="exact"/>
              <w:jc w:val="center"/>
              <w:rPr>
                <w:bCs/>
                <w:w w:val="99"/>
                <w:szCs w:val="21"/>
              </w:rPr>
            </w:pPr>
            <w:r>
              <w:rPr>
                <w:bCs/>
                <w:w w:val="99"/>
                <w:szCs w:val="21"/>
              </w:rPr>
              <w:t>54</w:t>
            </w:r>
          </w:p>
        </w:tc>
        <w:tc>
          <w:tcPr>
            <w:tcW w:w="490" w:type="pct"/>
            <w:vAlign w:val="center"/>
          </w:tcPr>
          <w:p>
            <w:pPr>
              <w:pStyle w:val="694"/>
              <w:kinsoku w:val="0"/>
              <w:overflowPunct w:val="0"/>
              <w:spacing w:line="340" w:lineRule="exact"/>
              <w:jc w:val="center"/>
              <w:rPr>
                <w:bCs/>
                <w:w w:val="99"/>
                <w:szCs w:val="21"/>
              </w:rPr>
            </w:pPr>
            <w:r>
              <w:rPr>
                <w:bCs/>
                <w:w w:val="99"/>
                <w:szCs w:val="21"/>
              </w:rPr>
              <w:t>9</w:t>
            </w:r>
          </w:p>
        </w:tc>
        <w:tc>
          <w:tcPr>
            <w:tcW w:w="598" w:type="pct"/>
            <w:vAlign w:val="center"/>
          </w:tcPr>
          <w:p>
            <w:pPr>
              <w:pStyle w:val="694"/>
              <w:kinsoku w:val="0"/>
              <w:overflowPunct w:val="0"/>
              <w:spacing w:line="340" w:lineRule="exact"/>
              <w:jc w:val="center"/>
              <w:rPr>
                <w:bCs/>
                <w:w w:val="99"/>
                <w:szCs w:val="21"/>
              </w:rPr>
            </w:pPr>
            <w:r>
              <w:rPr>
                <w:bCs/>
                <w:w w:val="99"/>
                <w:szCs w:val="21"/>
              </w:rPr>
              <w:t>596</w:t>
            </w:r>
          </w:p>
        </w:tc>
        <w:tc>
          <w:tcPr>
            <w:tcW w:w="415" w:type="pct"/>
            <w:vAlign w:val="center"/>
          </w:tcPr>
          <w:p>
            <w:pPr>
              <w:pStyle w:val="694"/>
              <w:kinsoku w:val="0"/>
              <w:overflowPunct w:val="0"/>
              <w:spacing w:line="340" w:lineRule="exact"/>
              <w:jc w:val="center"/>
              <w:rPr>
                <w:bCs/>
                <w:w w:val="99"/>
                <w:szCs w:val="21"/>
              </w:rPr>
            </w:pPr>
            <w:r>
              <w:rPr>
                <w:bCs/>
                <w:w w:val="99"/>
                <w:szCs w:val="21"/>
              </w:rPr>
              <w:t>0.9</w:t>
            </w:r>
          </w:p>
        </w:tc>
        <w:tc>
          <w:tcPr>
            <w:tcW w:w="518" w:type="pct"/>
            <w:vAlign w:val="center"/>
          </w:tcPr>
          <w:p>
            <w:pPr>
              <w:pStyle w:val="694"/>
              <w:kinsoku w:val="0"/>
              <w:overflowPunct w:val="0"/>
              <w:spacing w:line="340" w:lineRule="exact"/>
              <w:jc w:val="center"/>
              <w:rPr>
                <w:bCs/>
                <w:w w:val="99"/>
                <w:szCs w:val="21"/>
              </w:rPr>
            </w:pPr>
            <w:r>
              <w:rPr>
                <w:bCs/>
                <w:w w:val="99"/>
                <w:szCs w:val="21"/>
              </w:rPr>
              <w:t>940</w:t>
            </w:r>
          </w:p>
        </w:tc>
        <w:tc>
          <w:tcPr>
            <w:tcW w:w="651" w:type="pct"/>
            <w:vAlign w:val="center"/>
          </w:tcPr>
          <w:p>
            <w:pPr>
              <w:pStyle w:val="694"/>
              <w:kinsoku w:val="0"/>
              <w:overflowPunct w:val="0"/>
              <w:spacing w:line="340" w:lineRule="exact"/>
              <w:jc w:val="center"/>
              <w:rPr>
                <w:bCs/>
                <w:w w:val="99"/>
                <w:szCs w:val="21"/>
              </w:rPr>
            </w:pPr>
            <w:r>
              <w:rPr>
                <w:bCs/>
                <w:w w:val="99"/>
                <w:szCs w:val="21"/>
              </w:rPr>
              <w:t>2.8</w:t>
            </w:r>
          </w:p>
        </w:tc>
        <w:tc>
          <w:tcPr>
            <w:tcW w:w="474" w:type="pct"/>
            <w:vAlign w:val="center"/>
          </w:tcPr>
          <w:p>
            <w:pPr>
              <w:pStyle w:val="694"/>
              <w:kinsoku w:val="0"/>
              <w:overflowPunct w:val="0"/>
              <w:spacing w:line="340" w:lineRule="exact"/>
              <w:jc w:val="center"/>
              <w:rPr>
                <w:bCs/>
                <w:w w:val="99"/>
                <w:szCs w:val="21"/>
              </w:rPr>
            </w:pPr>
            <w:r>
              <w:rPr>
                <w:bCs/>
                <w:w w:val="99"/>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污染物</w:t>
            </w:r>
          </w:p>
        </w:tc>
        <w:tc>
          <w:tcPr>
            <w:tcW w:w="453" w:type="pct"/>
            <w:vAlign w:val="center"/>
          </w:tcPr>
          <w:p>
            <w:pPr>
              <w:pStyle w:val="694"/>
              <w:kinsoku w:val="0"/>
              <w:overflowPunct w:val="0"/>
              <w:spacing w:line="340" w:lineRule="exact"/>
              <w:jc w:val="center"/>
              <w:rPr>
                <w:bCs/>
                <w:w w:val="99"/>
                <w:szCs w:val="21"/>
              </w:rPr>
            </w:pPr>
            <w:r>
              <w:rPr>
                <w:bCs/>
                <w:w w:val="99"/>
                <w:szCs w:val="21"/>
              </w:rPr>
              <w:t>1,2-</w:t>
            </w:r>
            <w:r>
              <w:rPr>
                <w:rFonts w:hAnsi="宋体"/>
                <w:bCs/>
                <w:w w:val="99"/>
                <w:szCs w:val="21"/>
              </w:rPr>
              <w:t>二氯乙烷</w:t>
            </w:r>
          </w:p>
        </w:tc>
        <w:tc>
          <w:tcPr>
            <w:tcW w:w="350" w:type="pct"/>
            <w:vAlign w:val="center"/>
          </w:tcPr>
          <w:p>
            <w:pPr>
              <w:pStyle w:val="694"/>
              <w:kinsoku w:val="0"/>
              <w:overflowPunct w:val="0"/>
              <w:spacing w:line="340" w:lineRule="exact"/>
              <w:jc w:val="center"/>
              <w:rPr>
                <w:bCs/>
                <w:w w:val="99"/>
                <w:szCs w:val="21"/>
              </w:rPr>
            </w:pPr>
            <w:r>
              <w:rPr>
                <w:rFonts w:hAnsi="宋体"/>
                <w:bCs/>
                <w:w w:val="99"/>
                <w:szCs w:val="21"/>
              </w:rPr>
              <w:t>三氯乙烯</w:t>
            </w:r>
          </w:p>
        </w:tc>
        <w:tc>
          <w:tcPr>
            <w:tcW w:w="642" w:type="pct"/>
            <w:vAlign w:val="center"/>
          </w:tcPr>
          <w:p>
            <w:pPr>
              <w:pStyle w:val="694"/>
              <w:kinsoku w:val="0"/>
              <w:overflowPunct w:val="0"/>
              <w:spacing w:line="340" w:lineRule="exact"/>
              <w:jc w:val="center"/>
              <w:rPr>
                <w:bCs/>
                <w:w w:val="99"/>
                <w:szCs w:val="21"/>
              </w:rPr>
            </w:pPr>
            <w:r>
              <w:rPr>
                <w:bCs/>
                <w:w w:val="99"/>
                <w:szCs w:val="21"/>
              </w:rPr>
              <w:t>1,2-</w:t>
            </w:r>
            <w:r>
              <w:rPr>
                <w:rFonts w:hAnsi="宋体"/>
                <w:bCs/>
                <w:w w:val="99"/>
                <w:szCs w:val="21"/>
              </w:rPr>
              <w:t>二氯丙烷</w:t>
            </w:r>
          </w:p>
        </w:tc>
        <w:tc>
          <w:tcPr>
            <w:tcW w:w="490" w:type="pct"/>
            <w:vAlign w:val="center"/>
          </w:tcPr>
          <w:p>
            <w:pPr>
              <w:pStyle w:val="694"/>
              <w:kinsoku w:val="0"/>
              <w:overflowPunct w:val="0"/>
              <w:spacing w:line="340" w:lineRule="exact"/>
              <w:jc w:val="center"/>
              <w:rPr>
                <w:bCs/>
                <w:w w:val="99"/>
                <w:szCs w:val="21"/>
              </w:rPr>
            </w:pPr>
            <w:r>
              <w:rPr>
                <w:rFonts w:hAnsi="宋体"/>
                <w:bCs/>
                <w:w w:val="99"/>
                <w:szCs w:val="21"/>
              </w:rPr>
              <w:t>甲苯</w:t>
            </w:r>
          </w:p>
        </w:tc>
        <w:tc>
          <w:tcPr>
            <w:tcW w:w="598" w:type="pct"/>
            <w:vAlign w:val="center"/>
          </w:tcPr>
          <w:p>
            <w:pPr>
              <w:pStyle w:val="694"/>
              <w:kinsoku w:val="0"/>
              <w:overflowPunct w:val="0"/>
              <w:spacing w:line="340" w:lineRule="exact"/>
              <w:jc w:val="center"/>
              <w:rPr>
                <w:bCs/>
                <w:w w:val="99"/>
                <w:szCs w:val="21"/>
              </w:rPr>
            </w:pPr>
            <w:r>
              <w:rPr>
                <w:bCs/>
                <w:w w:val="99"/>
                <w:szCs w:val="21"/>
              </w:rPr>
              <w:t>1,1,2-</w:t>
            </w:r>
            <w:r>
              <w:rPr>
                <w:rFonts w:hAnsi="宋体"/>
                <w:bCs/>
                <w:w w:val="99"/>
                <w:szCs w:val="21"/>
              </w:rPr>
              <w:t>三氯乙烷</w:t>
            </w:r>
          </w:p>
        </w:tc>
        <w:tc>
          <w:tcPr>
            <w:tcW w:w="415" w:type="pct"/>
            <w:vAlign w:val="center"/>
          </w:tcPr>
          <w:p>
            <w:pPr>
              <w:pStyle w:val="694"/>
              <w:kinsoku w:val="0"/>
              <w:overflowPunct w:val="0"/>
              <w:spacing w:line="340" w:lineRule="exact"/>
              <w:jc w:val="center"/>
              <w:rPr>
                <w:bCs/>
                <w:w w:val="99"/>
                <w:szCs w:val="21"/>
              </w:rPr>
            </w:pPr>
            <w:r>
              <w:rPr>
                <w:rFonts w:hAnsi="宋体"/>
                <w:bCs/>
                <w:w w:val="99"/>
                <w:szCs w:val="21"/>
              </w:rPr>
              <w:t>四氯乙烯</w:t>
            </w:r>
          </w:p>
        </w:tc>
        <w:tc>
          <w:tcPr>
            <w:tcW w:w="518" w:type="pct"/>
            <w:vAlign w:val="center"/>
          </w:tcPr>
          <w:p>
            <w:pPr>
              <w:pStyle w:val="694"/>
              <w:kinsoku w:val="0"/>
              <w:overflowPunct w:val="0"/>
              <w:spacing w:line="340" w:lineRule="exact"/>
              <w:jc w:val="center"/>
              <w:rPr>
                <w:bCs/>
                <w:w w:val="99"/>
                <w:szCs w:val="21"/>
              </w:rPr>
            </w:pPr>
            <w:r>
              <w:rPr>
                <w:rFonts w:hAnsi="宋体"/>
                <w:bCs/>
                <w:w w:val="99"/>
                <w:szCs w:val="21"/>
              </w:rPr>
              <w:t>氯苯</w:t>
            </w:r>
          </w:p>
        </w:tc>
        <w:tc>
          <w:tcPr>
            <w:tcW w:w="651" w:type="pct"/>
            <w:vAlign w:val="center"/>
          </w:tcPr>
          <w:p>
            <w:pPr>
              <w:pStyle w:val="694"/>
              <w:kinsoku w:val="0"/>
              <w:overflowPunct w:val="0"/>
              <w:spacing w:line="340" w:lineRule="exact"/>
              <w:jc w:val="center"/>
              <w:rPr>
                <w:bCs/>
                <w:w w:val="99"/>
                <w:szCs w:val="21"/>
              </w:rPr>
            </w:pPr>
            <w:r>
              <w:rPr>
                <w:bCs/>
                <w:w w:val="99"/>
                <w:szCs w:val="21"/>
              </w:rPr>
              <w:t>1,1,1,2-</w:t>
            </w:r>
            <w:r>
              <w:rPr>
                <w:rFonts w:hAnsi="宋体"/>
                <w:bCs/>
                <w:w w:val="99"/>
                <w:szCs w:val="21"/>
              </w:rPr>
              <w:t>四氯乙烷</w:t>
            </w:r>
          </w:p>
        </w:tc>
        <w:tc>
          <w:tcPr>
            <w:tcW w:w="474" w:type="pct"/>
            <w:vAlign w:val="center"/>
          </w:tcPr>
          <w:p>
            <w:pPr>
              <w:pStyle w:val="694"/>
              <w:kinsoku w:val="0"/>
              <w:overflowPunct w:val="0"/>
              <w:spacing w:line="340" w:lineRule="exact"/>
              <w:jc w:val="center"/>
              <w:rPr>
                <w:bCs/>
                <w:w w:val="99"/>
                <w:szCs w:val="21"/>
              </w:rPr>
            </w:pPr>
            <w:r>
              <w:rPr>
                <w:rFonts w:hAnsi="宋体"/>
                <w:bCs/>
                <w:w w:val="99"/>
                <w:szCs w:val="21"/>
              </w:rPr>
              <w:t>乙苯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标准值</w:t>
            </w:r>
          </w:p>
        </w:tc>
        <w:tc>
          <w:tcPr>
            <w:tcW w:w="453" w:type="pct"/>
            <w:vAlign w:val="center"/>
          </w:tcPr>
          <w:p>
            <w:pPr>
              <w:pStyle w:val="694"/>
              <w:kinsoku w:val="0"/>
              <w:overflowPunct w:val="0"/>
              <w:spacing w:line="340" w:lineRule="exact"/>
              <w:jc w:val="center"/>
              <w:rPr>
                <w:bCs/>
                <w:w w:val="99"/>
                <w:szCs w:val="21"/>
              </w:rPr>
            </w:pPr>
            <w:r>
              <w:rPr>
                <w:bCs/>
                <w:w w:val="99"/>
                <w:szCs w:val="21"/>
              </w:rPr>
              <w:t>5</w:t>
            </w:r>
          </w:p>
        </w:tc>
        <w:tc>
          <w:tcPr>
            <w:tcW w:w="350" w:type="pct"/>
            <w:vAlign w:val="center"/>
          </w:tcPr>
          <w:p>
            <w:pPr>
              <w:pStyle w:val="694"/>
              <w:kinsoku w:val="0"/>
              <w:overflowPunct w:val="0"/>
              <w:spacing w:line="340" w:lineRule="exact"/>
              <w:jc w:val="center"/>
              <w:rPr>
                <w:bCs/>
                <w:w w:val="99"/>
                <w:szCs w:val="21"/>
              </w:rPr>
            </w:pPr>
            <w:r>
              <w:rPr>
                <w:bCs/>
                <w:w w:val="99"/>
                <w:szCs w:val="21"/>
              </w:rPr>
              <w:t>2.8</w:t>
            </w:r>
          </w:p>
        </w:tc>
        <w:tc>
          <w:tcPr>
            <w:tcW w:w="642" w:type="pct"/>
            <w:vAlign w:val="center"/>
          </w:tcPr>
          <w:p>
            <w:pPr>
              <w:pStyle w:val="694"/>
              <w:kinsoku w:val="0"/>
              <w:overflowPunct w:val="0"/>
              <w:spacing w:line="340" w:lineRule="exact"/>
              <w:jc w:val="center"/>
              <w:rPr>
                <w:bCs/>
                <w:w w:val="99"/>
                <w:szCs w:val="21"/>
              </w:rPr>
            </w:pPr>
            <w:r>
              <w:rPr>
                <w:bCs/>
                <w:w w:val="99"/>
                <w:szCs w:val="21"/>
              </w:rPr>
              <w:t>5</w:t>
            </w:r>
          </w:p>
        </w:tc>
        <w:tc>
          <w:tcPr>
            <w:tcW w:w="490" w:type="pct"/>
            <w:vAlign w:val="center"/>
          </w:tcPr>
          <w:p>
            <w:pPr>
              <w:pStyle w:val="694"/>
              <w:kinsoku w:val="0"/>
              <w:overflowPunct w:val="0"/>
              <w:spacing w:line="340" w:lineRule="exact"/>
              <w:jc w:val="center"/>
              <w:rPr>
                <w:bCs/>
                <w:w w:val="99"/>
                <w:szCs w:val="21"/>
              </w:rPr>
            </w:pPr>
            <w:r>
              <w:rPr>
                <w:bCs/>
                <w:w w:val="99"/>
                <w:szCs w:val="21"/>
              </w:rPr>
              <w:t>1200</w:t>
            </w:r>
          </w:p>
        </w:tc>
        <w:tc>
          <w:tcPr>
            <w:tcW w:w="598" w:type="pct"/>
            <w:vAlign w:val="center"/>
          </w:tcPr>
          <w:p>
            <w:pPr>
              <w:pStyle w:val="694"/>
              <w:kinsoku w:val="0"/>
              <w:overflowPunct w:val="0"/>
              <w:spacing w:line="340" w:lineRule="exact"/>
              <w:jc w:val="center"/>
              <w:rPr>
                <w:bCs/>
                <w:w w:val="99"/>
                <w:szCs w:val="21"/>
              </w:rPr>
            </w:pPr>
            <w:r>
              <w:rPr>
                <w:bCs/>
                <w:w w:val="99"/>
                <w:szCs w:val="21"/>
              </w:rPr>
              <w:t>2.8</w:t>
            </w:r>
          </w:p>
        </w:tc>
        <w:tc>
          <w:tcPr>
            <w:tcW w:w="415" w:type="pct"/>
            <w:vAlign w:val="center"/>
          </w:tcPr>
          <w:p>
            <w:pPr>
              <w:pStyle w:val="694"/>
              <w:kinsoku w:val="0"/>
              <w:overflowPunct w:val="0"/>
              <w:spacing w:line="340" w:lineRule="exact"/>
              <w:jc w:val="center"/>
              <w:rPr>
                <w:bCs/>
                <w:w w:val="99"/>
                <w:szCs w:val="21"/>
              </w:rPr>
            </w:pPr>
            <w:r>
              <w:rPr>
                <w:bCs/>
                <w:w w:val="99"/>
                <w:szCs w:val="21"/>
              </w:rPr>
              <w:t>53</w:t>
            </w:r>
          </w:p>
        </w:tc>
        <w:tc>
          <w:tcPr>
            <w:tcW w:w="518" w:type="pct"/>
            <w:vAlign w:val="center"/>
          </w:tcPr>
          <w:p>
            <w:pPr>
              <w:pStyle w:val="694"/>
              <w:kinsoku w:val="0"/>
              <w:overflowPunct w:val="0"/>
              <w:spacing w:line="340" w:lineRule="exact"/>
              <w:jc w:val="center"/>
              <w:rPr>
                <w:bCs/>
                <w:w w:val="99"/>
                <w:szCs w:val="21"/>
              </w:rPr>
            </w:pPr>
            <w:r>
              <w:rPr>
                <w:bCs/>
                <w:w w:val="99"/>
                <w:szCs w:val="21"/>
              </w:rPr>
              <w:t>270</w:t>
            </w:r>
          </w:p>
        </w:tc>
        <w:tc>
          <w:tcPr>
            <w:tcW w:w="651" w:type="pct"/>
            <w:vAlign w:val="center"/>
          </w:tcPr>
          <w:p>
            <w:pPr>
              <w:pStyle w:val="694"/>
              <w:kinsoku w:val="0"/>
              <w:overflowPunct w:val="0"/>
              <w:spacing w:line="340" w:lineRule="exact"/>
              <w:jc w:val="center"/>
              <w:rPr>
                <w:bCs/>
                <w:w w:val="99"/>
                <w:szCs w:val="21"/>
              </w:rPr>
            </w:pPr>
            <w:r>
              <w:rPr>
                <w:bCs/>
                <w:w w:val="99"/>
                <w:szCs w:val="21"/>
              </w:rPr>
              <w:t>10</w:t>
            </w:r>
          </w:p>
        </w:tc>
        <w:tc>
          <w:tcPr>
            <w:tcW w:w="474" w:type="pct"/>
            <w:vAlign w:val="center"/>
          </w:tcPr>
          <w:p>
            <w:pPr>
              <w:pStyle w:val="694"/>
              <w:kinsoku w:val="0"/>
              <w:overflowPunct w:val="0"/>
              <w:spacing w:line="340" w:lineRule="exact"/>
              <w:jc w:val="center"/>
              <w:rPr>
                <w:bCs/>
                <w:w w:val="99"/>
                <w:szCs w:val="21"/>
              </w:rPr>
            </w:pPr>
            <w:r>
              <w:rPr>
                <w:bCs/>
                <w:w w:val="99"/>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污染物</w:t>
            </w:r>
          </w:p>
        </w:tc>
        <w:tc>
          <w:tcPr>
            <w:tcW w:w="453" w:type="pct"/>
            <w:vAlign w:val="center"/>
          </w:tcPr>
          <w:p>
            <w:pPr>
              <w:pStyle w:val="694"/>
              <w:kinsoku w:val="0"/>
              <w:overflowPunct w:val="0"/>
              <w:spacing w:line="340" w:lineRule="exact"/>
              <w:jc w:val="center"/>
              <w:rPr>
                <w:bCs/>
                <w:w w:val="99"/>
                <w:szCs w:val="21"/>
              </w:rPr>
            </w:pPr>
            <w:r>
              <w:rPr>
                <w:rFonts w:hAnsi="宋体"/>
                <w:bCs/>
                <w:w w:val="99"/>
                <w:szCs w:val="21"/>
              </w:rPr>
              <w:t>间二甲苯</w:t>
            </w:r>
            <w:r>
              <w:rPr>
                <w:bCs/>
                <w:w w:val="99"/>
                <w:szCs w:val="21"/>
              </w:rPr>
              <w:t>+</w:t>
            </w:r>
            <w:r>
              <w:rPr>
                <w:rFonts w:hAnsi="宋体"/>
                <w:bCs/>
                <w:w w:val="99"/>
                <w:szCs w:val="21"/>
              </w:rPr>
              <w:t>对二甲苯</w:t>
            </w:r>
          </w:p>
        </w:tc>
        <w:tc>
          <w:tcPr>
            <w:tcW w:w="350" w:type="pct"/>
            <w:vAlign w:val="center"/>
          </w:tcPr>
          <w:p>
            <w:pPr>
              <w:pStyle w:val="694"/>
              <w:kinsoku w:val="0"/>
              <w:overflowPunct w:val="0"/>
              <w:spacing w:line="340" w:lineRule="exact"/>
              <w:jc w:val="center"/>
              <w:rPr>
                <w:bCs/>
                <w:w w:val="99"/>
                <w:szCs w:val="21"/>
              </w:rPr>
            </w:pPr>
            <w:r>
              <w:rPr>
                <w:rFonts w:hAnsi="宋体"/>
                <w:bCs/>
                <w:w w:val="99"/>
                <w:szCs w:val="21"/>
              </w:rPr>
              <w:t>邻二甲苯</w:t>
            </w:r>
          </w:p>
        </w:tc>
        <w:tc>
          <w:tcPr>
            <w:tcW w:w="642" w:type="pct"/>
            <w:vAlign w:val="center"/>
          </w:tcPr>
          <w:p>
            <w:pPr>
              <w:pStyle w:val="694"/>
              <w:kinsoku w:val="0"/>
              <w:overflowPunct w:val="0"/>
              <w:spacing w:line="340" w:lineRule="exact"/>
              <w:jc w:val="center"/>
              <w:rPr>
                <w:bCs/>
                <w:w w:val="99"/>
                <w:szCs w:val="21"/>
              </w:rPr>
            </w:pPr>
            <w:r>
              <w:rPr>
                <w:bCs/>
                <w:w w:val="99"/>
                <w:szCs w:val="21"/>
              </w:rPr>
              <w:t>1,1,2,2-</w:t>
            </w:r>
            <w:r>
              <w:rPr>
                <w:rFonts w:hAnsi="宋体"/>
                <w:bCs/>
                <w:w w:val="99"/>
                <w:szCs w:val="21"/>
              </w:rPr>
              <w:t>四氯乙烷</w:t>
            </w:r>
          </w:p>
        </w:tc>
        <w:tc>
          <w:tcPr>
            <w:tcW w:w="490" w:type="pct"/>
            <w:vAlign w:val="center"/>
          </w:tcPr>
          <w:p>
            <w:pPr>
              <w:pStyle w:val="694"/>
              <w:kinsoku w:val="0"/>
              <w:overflowPunct w:val="0"/>
              <w:spacing w:line="340" w:lineRule="exact"/>
              <w:jc w:val="center"/>
              <w:rPr>
                <w:bCs/>
                <w:w w:val="99"/>
                <w:szCs w:val="21"/>
              </w:rPr>
            </w:pPr>
            <w:r>
              <w:rPr>
                <w:rFonts w:hAnsi="宋体"/>
                <w:bCs/>
                <w:w w:val="99"/>
                <w:szCs w:val="21"/>
              </w:rPr>
              <w:t>苯乙烯</w:t>
            </w:r>
          </w:p>
        </w:tc>
        <w:tc>
          <w:tcPr>
            <w:tcW w:w="598" w:type="pct"/>
            <w:vAlign w:val="center"/>
          </w:tcPr>
          <w:p>
            <w:pPr>
              <w:pStyle w:val="694"/>
              <w:kinsoku w:val="0"/>
              <w:overflowPunct w:val="0"/>
              <w:spacing w:line="340" w:lineRule="exact"/>
              <w:jc w:val="center"/>
              <w:rPr>
                <w:bCs/>
                <w:w w:val="99"/>
                <w:szCs w:val="21"/>
              </w:rPr>
            </w:pPr>
            <w:r>
              <w:rPr>
                <w:bCs/>
                <w:w w:val="99"/>
                <w:szCs w:val="21"/>
              </w:rPr>
              <w:t>1,2,3-</w:t>
            </w:r>
            <w:r>
              <w:rPr>
                <w:rFonts w:hAnsi="宋体"/>
                <w:bCs/>
                <w:w w:val="99"/>
                <w:szCs w:val="21"/>
              </w:rPr>
              <w:t>三氯丙烷</w:t>
            </w:r>
          </w:p>
        </w:tc>
        <w:tc>
          <w:tcPr>
            <w:tcW w:w="415" w:type="pct"/>
            <w:vAlign w:val="center"/>
          </w:tcPr>
          <w:p>
            <w:pPr>
              <w:pStyle w:val="694"/>
              <w:kinsoku w:val="0"/>
              <w:overflowPunct w:val="0"/>
              <w:spacing w:line="340" w:lineRule="exact"/>
              <w:jc w:val="center"/>
              <w:rPr>
                <w:bCs/>
                <w:w w:val="99"/>
                <w:szCs w:val="21"/>
              </w:rPr>
            </w:pPr>
            <w:r>
              <w:rPr>
                <w:bCs/>
                <w:w w:val="99"/>
                <w:szCs w:val="21"/>
              </w:rPr>
              <w:t>1,4-</w:t>
            </w:r>
            <w:r>
              <w:rPr>
                <w:rFonts w:hAnsi="宋体"/>
                <w:bCs/>
                <w:w w:val="99"/>
                <w:szCs w:val="21"/>
              </w:rPr>
              <w:t>二氯苯</w:t>
            </w:r>
          </w:p>
        </w:tc>
        <w:tc>
          <w:tcPr>
            <w:tcW w:w="518" w:type="pct"/>
            <w:vAlign w:val="center"/>
          </w:tcPr>
          <w:p>
            <w:pPr>
              <w:pStyle w:val="694"/>
              <w:kinsoku w:val="0"/>
              <w:overflowPunct w:val="0"/>
              <w:spacing w:line="340" w:lineRule="exact"/>
              <w:jc w:val="center"/>
              <w:rPr>
                <w:bCs/>
                <w:w w:val="99"/>
                <w:szCs w:val="21"/>
              </w:rPr>
            </w:pPr>
            <w:r>
              <w:rPr>
                <w:bCs/>
                <w:w w:val="99"/>
                <w:szCs w:val="21"/>
              </w:rPr>
              <w:t>1,2-</w:t>
            </w:r>
            <w:r>
              <w:rPr>
                <w:rFonts w:hAnsi="宋体"/>
                <w:bCs/>
                <w:w w:val="99"/>
                <w:szCs w:val="21"/>
              </w:rPr>
              <w:t>二氯苯</w:t>
            </w:r>
          </w:p>
        </w:tc>
        <w:tc>
          <w:tcPr>
            <w:tcW w:w="651" w:type="pct"/>
            <w:vAlign w:val="center"/>
          </w:tcPr>
          <w:p>
            <w:pPr>
              <w:pStyle w:val="694"/>
              <w:kinsoku w:val="0"/>
              <w:overflowPunct w:val="0"/>
              <w:spacing w:line="340" w:lineRule="exact"/>
              <w:jc w:val="center"/>
              <w:rPr>
                <w:bCs/>
                <w:w w:val="99"/>
                <w:szCs w:val="21"/>
              </w:rPr>
            </w:pPr>
            <w:r>
              <w:rPr>
                <w:rFonts w:hAnsi="宋体"/>
                <w:bCs/>
                <w:w w:val="99"/>
                <w:szCs w:val="21"/>
              </w:rPr>
              <w:t>苯胺</w:t>
            </w:r>
          </w:p>
        </w:tc>
        <w:tc>
          <w:tcPr>
            <w:tcW w:w="474" w:type="pct"/>
            <w:vAlign w:val="center"/>
          </w:tcPr>
          <w:p>
            <w:pPr>
              <w:pStyle w:val="694"/>
              <w:kinsoku w:val="0"/>
              <w:overflowPunct w:val="0"/>
              <w:spacing w:line="340" w:lineRule="exact"/>
              <w:jc w:val="center"/>
              <w:rPr>
                <w:bCs/>
                <w:w w:val="99"/>
                <w:szCs w:val="21"/>
              </w:rPr>
            </w:pPr>
            <w:r>
              <w:rPr>
                <w:bCs/>
                <w:w w:val="99"/>
                <w:szCs w:val="21"/>
              </w:rPr>
              <w:t>2-</w:t>
            </w:r>
            <w:r>
              <w:rPr>
                <w:rFonts w:hAnsi="宋体"/>
                <w:bCs/>
                <w:w w:val="99"/>
                <w:szCs w:val="21"/>
              </w:rPr>
              <w:t>氯酚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标准值</w:t>
            </w:r>
          </w:p>
        </w:tc>
        <w:tc>
          <w:tcPr>
            <w:tcW w:w="453" w:type="pct"/>
            <w:vAlign w:val="center"/>
          </w:tcPr>
          <w:p>
            <w:pPr>
              <w:pStyle w:val="694"/>
              <w:kinsoku w:val="0"/>
              <w:overflowPunct w:val="0"/>
              <w:spacing w:line="340" w:lineRule="exact"/>
              <w:jc w:val="center"/>
              <w:rPr>
                <w:bCs/>
                <w:w w:val="99"/>
                <w:szCs w:val="21"/>
              </w:rPr>
            </w:pPr>
            <w:r>
              <w:rPr>
                <w:bCs/>
                <w:w w:val="99"/>
                <w:szCs w:val="21"/>
              </w:rPr>
              <w:t>570</w:t>
            </w:r>
          </w:p>
        </w:tc>
        <w:tc>
          <w:tcPr>
            <w:tcW w:w="350" w:type="pct"/>
            <w:vAlign w:val="center"/>
          </w:tcPr>
          <w:p>
            <w:pPr>
              <w:pStyle w:val="694"/>
              <w:kinsoku w:val="0"/>
              <w:overflowPunct w:val="0"/>
              <w:spacing w:line="340" w:lineRule="exact"/>
              <w:jc w:val="center"/>
              <w:rPr>
                <w:bCs/>
                <w:w w:val="99"/>
                <w:szCs w:val="21"/>
              </w:rPr>
            </w:pPr>
            <w:r>
              <w:rPr>
                <w:bCs/>
                <w:w w:val="99"/>
                <w:szCs w:val="21"/>
              </w:rPr>
              <w:t>640</w:t>
            </w:r>
          </w:p>
        </w:tc>
        <w:tc>
          <w:tcPr>
            <w:tcW w:w="642" w:type="pct"/>
            <w:vAlign w:val="center"/>
          </w:tcPr>
          <w:p>
            <w:pPr>
              <w:pStyle w:val="694"/>
              <w:kinsoku w:val="0"/>
              <w:overflowPunct w:val="0"/>
              <w:spacing w:line="340" w:lineRule="exact"/>
              <w:jc w:val="center"/>
              <w:rPr>
                <w:bCs/>
                <w:w w:val="99"/>
                <w:szCs w:val="21"/>
              </w:rPr>
            </w:pPr>
            <w:r>
              <w:rPr>
                <w:bCs/>
                <w:w w:val="99"/>
                <w:szCs w:val="21"/>
              </w:rPr>
              <w:t>6.8</w:t>
            </w:r>
          </w:p>
        </w:tc>
        <w:tc>
          <w:tcPr>
            <w:tcW w:w="490" w:type="pct"/>
            <w:vAlign w:val="center"/>
          </w:tcPr>
          <w:p>
            <w:pPr>
              <w:pStyle w:val="694"/>
              <w:kinsoku w:val="0"/>
              <w:overflowPunct w:val="0"/>
              <w:spacing w:line="340" w:lineRule="exact"/>
              <w:jc w:val="center"/>
              <w:rPr>
                <w:bCs/>
                <w:w w:val="99"/>
                <w:szCs w:val="21"/>
              </w:rPr>
            </w:pPr>
            <w:r>
              <w:rPr>
                <w:bCs/>
                <w:w w:val="99"/>
                <w:szCs w:val="21"/>
              </w:rPr>
              <w:t>1290</w:t>
            </w:r>
          </w:p>
        </w:tc>
        <w:tc>
          <w:tcPr>
            <w:tcW w:w="598" w:type="pct"/>
            <w:vAlign w:val="center"/>
          </w:tcPr>
          <w:p>
            <w:pPr>
              <w:pStyle w:val="694"/>
              <w:kinsoku w:val="0"/>
              <w:overflowPunct w:val="0"/>
              <w:spacing w:line="340" w:lineRule="exact"/>
              <w:jc w:val="center"/>
              <w:rPr>
                <w:bCs/>
                <w:w w:val="99"/>
                <w:szCs w:val="21"/>
              </w:rPr>
            </w:pPr>
            <w:r>
              <w:rPr>
                <w:bCs/>
                <w:w w:val="99"/>
                <w:szCs w:val="21"/>
              </w:rPr>
              <w:t>0.5</w:t>
            </w:r>
          </w:p>
        </w:tc>
        <w:tc>
          <w:tcPr>
            <w:tcW w:w="415" w:type="pct"/>
            <w:vAlign w:val="center"/>
          </w:tcPr>
          <w:p>
            <w:pPr>
              <w:pStyle w:val="694"/>
              <w:kinsoku w:val="0"/>
              <w:overflowPunct w:val="0"/>
              <w:spacing w:line="340" w:lineRule="exact"/>
              <w:jc w:val="center"/>
              <w:rPr>
                <w:bCs/>
                <w:w w:val="99"/>
                <w:szCs w:val="21"/>
              </w:rPr>
            </w:pPr>
            <w:r>
              <w:rPr>
                <w:bCs/>
                <w:w w:val="99"/>
                <w:szCs w:val="21"/>
              </w:rPr>
              <w:t>20</w:t>
            </w:r>
          </w:p>
        </w:tc>
        <w:tc>
          <w:tcPr>
            <w:tcW w:w="518" w:type="pct"/>
            <w:vAlign w:val="center"/>
          </w:tcPr>
          <w:p>
            <w:pPr>
              <w:pStyle w:val="694"/>
              <w:kinsoku w:val="0"/>
              <w:overflowPunct w:val="0"/>
              <w:spacing w:line="340" w:lineRule="exact"/>
              <w:jc w:val="center"/>
              <w:rPr>
                <w:bCs/>
                <w:w w:val="99"/>
                <w:szCs w:val="21"/>
              </w:rPr>
            </w:pPr>
            <w:r>
              <w:rPr>
                <w:bCs/>
                <w:w w:val="99"/>
                <w:szCs w:val="21"/>
              </w:rPr>
              <w:t>560</w:t>
            </w:r>
          </w:p>
        </w:tc>
        <w:tc>
          <w:tcPr>
            <w:tcW w:w="651" w:type="pct"/>
            <w:vAlign w:val="center"/>
          </w:tcPr>
          <w:p>
            <w:pPr>
              <w:pStyle w:val="694"/>
              <w:kinsoku w:val="0"/>
              <w:overflowPunct w:val="0"/>
              <w:spacing w:line="340" w:lineRule="exact"/>
              <w:jc w:val="center"/>
              <w:rPr>
                <w:bCs/>
                <w:w w:val="99"/>
                <w:szCs w:val="21"/>
              </w:rPr>
            </w:pPr>
            <w:r>
              <w:rPr>
                <w:bCs/>
                <w:w w:val="99"/>
                <w:szCs w:val="21"/>
              </w:rPr>
              <w:t>260</w:t>
            </w:r>
          </w:p>
        </w:tc>
        <w:tc>
          <w:tcPr>
            <w:tcW w:w="474" w:type="pct"/>
            <w:vAlign w:val="center"/>
          </w:tcPr>
          <w:p>
            <w:pPr>
              <w:pStyle w:val="694"/>
              <w:kinsoku w:val="0"/>
              <w:overflowPunct w:val="0"/>
              <w:spacing w:line="340" w:lineRule="exact"/>
              <w:jc w:val="center"/>
              <w:rPr>
                <w:bCs/>
                <w:w w:val="99"/>
                <w:szCs w:val="21"/>
              </w:rPr>
            </w:pPr>
            <w:r>
              <w:rPr>
                <w:bCs/>
                <w:w w:val="99"/>
                <w:szCs w:val="21"/>
              </w:rPr>
              <w:t>2256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污染物</w:t>
            </w:r>
          </w:p>
        </w:tc>
        <w:tc>
          <w:tcPr>
            <w:tcW w:w="453" w:type="pct"/>
            <w:vAlign w:val="center"/>
          </w:tcPr>
          <w:p>
            <w:pPr>
              <w:pStyle w:val="694"/>
              <w:kinsoku w:val="0"/>
              <w:overflowPunct w:val="0"/>
              <w:spacing w:line="340" w:lineRule="exact"/>
              <w:jc w:val="center"/>
              <w:rPr>
                <w:bCs/>
                <w:w w:val="99"/>
                <w:szCs w:val="21"/>
              </w:rPr>
            </w:pPr>
            <w:r>
              <w:rPr>
                <w:rFonts w:hAnsi="宋体"/>
                <w:bCs/>
                <w:w w:val="99"/>
                <w:szCs w:val="21"/>
              </w:rPr>
              <w:t>硝基苯</w:t>
            </w:r>
          </w:p>
        </w:tc>
        <w:tc>
          <w:tcPr>
            <w:tcW w:w="350" w:type="pct"/>
            <w:vAlign w:val="center"/>
          </w:tcPr>
          <w:p>
            <w:pPr>
              <w:pStyle w:val="694"/>
              <w:kinsoku w:val="0"/>
              <w:overflowPunct w:val="0"/>
              <w:spacing w:line="340" w:lineRule="exact"/>
              <w:jc w:val="center"/>
              <w:rPr>
                <w:bCs/>
                <w:w w:val="99"/>
                <w:szCs w:val="21"/>
              </w:rPr>
            </w:pPr>
            <w:r>
              <w:rPr>
                <w:rFonts w:hAnsi="宋体"/>
                <w:bCs/>
                <w:w w:val="99"/>
                <w:szCs w:val="21"/>
              </w:rPr>
              <w:t>萘</w:t>
            </w:r>
          </w:p>
        </w:tc>
        <w:tc>
          <w:tcPr>
            <w:tcW w:w="642" w:type="pct"/>
            <w:vAlign w:val="center"/>
          </w:tcPr>
          <w:p>
            <w:pPr>
              <w:pStyle w:val="694"/>
              <w:kinsoku w:val="0"/>
              <w:overflowPunct w:val="0"/>
              <w:spacing w:line="340" w:lineRule="exact"/>
              <w:jc w:val="center"/>
              <w:rPr>
                <w:bCs/>
                <w:w w:val="99"/>
                <w:szCs w:val="21"/>
              </w:rPr>
            </w:pPr>
            <w:r>
              <w:rPr>
                <w:rFonts w:hAnsi="宋体"/>
                <w:bCs/>
                <w:w w:val="99"/>
                <w:szCs w:val="21"/>
              </w:rPr>
              <w:t>苯并</w:t>
            </w:r>
            <w:r>
              <w:rPr>
                <w:bCs/>
                <w:w w:val="99"/>
                <w:szCs w:val="21"/>
              </w:rPr>
              <w:t>[a]</w:t>
            </w:r>
            <w:r>
              <w:rPr>
                <w:rFonts w:hAnsi="宋体"/>
                <w:bCs/>
                <w:w w:val="99"/>
                <w:szCs w:val="21"/>
              </w:rPr>
              <w:t>蒽</w:t>
            </w:r>
          </w:p>
        </w:tc>
        <w:tc>
          <w:tcPr>
            <w:tcW w:w="490" w:type="pct"/>
            <w:vAlign w:val="center"/>
          </w:tcPr>
          <w:p>
            <w:pPr>
              <w:pStyle w:val="694"/>
              <w:kinsoku w:val="0"/>
              <w:overflowPunct w:val="0"/>
              <w:spacing w:line="340" w:lineRule="exact"/>
              <w:jc w:val="center"/>
              <w:rPr>
                <w:bCs/>
                <w:w w:val="99"/>
                <w:szCs w:val="21"/>
              </w:rPr>
            </w:pPr>
            <w:r>
              <w:rPr>
                <w:rFonts w:hAnsi="宋体"/>
                <w:bCs/>
                <w:w w:val="99"/>
                <w:szCs w:val="21"/>
              </w:rPr>
              <w:t>䓛</w:t>
            </w:r>
          </w:p>
        </w:tc>
        <w:tc>
          <w:tcPr>
            <w:tcW w:w="598" w:type="pct"/>
            <w:vAlign w:val="center"/>
          </w:tcPr>
          <w:p>
            <w:pPr>
              <w:pStyle w:val="694"/>
              <w:kinsoku w:val="0"/>
              <w:overflowPunct w:val="0"/>
              <w:spacing w:line="340" w:lineRule="exact"/>
              <w:jc w:val="center"/>
              <w:rPr>
                <w:bCs/>
                <w:w w:val="99"/>
                <w:szCs w:val="21"/>
              </w:rPr>
            </w:pPr>
            <w:r>
              <w:rPr>
                <w:rFonts w:hAnsi="宋体"/>
                <w:bCs/>
                <w:w w:val="99"/>
                <w:szCs w:val="21"/>
              </w:rPr>
              <w:t>苯并</w:t>
            </w:r>
            <w:r>
              <w:rPr>
                <w:bCs/>
                <w:w w:val="99"/>
                <w:szCs w:val="21"/>
              </w:rPr>
              <w:t>[b]</w:t>
            </w:r>
            <w:r>
              <w:rPr>
                <w:rFonts w:hAnsi="宋体"/>
                <w:bCs/>
                <w:w w:val="99"/>
                <w:szCs w:val="21"/>
              </w:rPr>
              <w:t>荧蒽</w:t>
            </w:r>
          </w:p>
        </w:tc>
        <w:tc>
          <w:tcPr>
            <w:tcW w:w="415" w:type="pct"/>
            <w:vAlign w:val="center"/>
          </w:tcPr>
          <w:p>
            <w:pPr>
              <w:pStyle w:val="694"/>
              <w:kinsoku w:val="0"/>
              <w:overflowPunct w:val="0"/>
              <w:spacing w:line="340" w:lineRule="exact"/>
              <w:jc w:val="center"/>
              <w:rPr>
                <w:bCs/>
                <w:w w:val="99"/>
                <w:szCs w:val="21"/>
              </w:rPr>
            </w:pPr>
            <w:r>
              <w:rPr>
                <w:rFonts w:hAnsi="宋体"/>
                <w:bCs/>
                <w:w w:val="99"/>
                <w:szCs w:val="21"/>
              </w:rPr>
              <w:t>苯并</w:t>
            </w:r>
            <w:r>
              <w:rPr>
                <w:bCs/>
                <w:w w:val="99"/>
                <w:szCs w:val="21"/>
              </w:rPr>
              <w:t>[k]</w:t>
            </w:r>
            <w:r>
              <w:rPr>
                <w:rFonts w:hAnsi="宋体"/>
                <w:bCs/>
                <w:w w:val="99"/>
                <w:szCs w:val="21"/>
              </w:rPr>
              <w:t>荧蒽</w:t>
            </w:r>
          </w:p>
        </w:tc>
        <w:tc>
          <w:tcPr>
            <w:tcW w:w="518" w:type="pct"/>
            <w:vAlign w:val="center"/>
          </w:tcPr>
          <w:p>
            <w:pPr>
              <w:pStyle w:val="694"/>
              <w:kinsoku w:val="0"/>
              <w:overflowPunct w:val="0"/>
              <w:spacing w:line="340" w:lineRule="exact"/>
              <w:jc w:val="center"/>
              <w:rPr>
                <w:bCs/>
                <w:w w:val="99"/>
                <w:szCs w:val="21"/>
              </w:rPr>
            </w:pPr>
            <w:r>
              <w:rPr>
                <w:rFonts w:hAnsi="宋体"/>
                <w:bCs/>
                <w:w w:val="99"/>
                <w:szCs w:val="21"/>
              </w:rPr>
              <w:t>苯并</w:t>
            </w:r>
            <w:r>
              <w:rPr>
                <w:bCs/>
                <w:w w:val="99"/>
                <w:szCs w:val="21"/>
              </w:rPr>
              <w:t>[a]</w:t>
            </w:r>
            <w:r>
              <w:rPr>
                <w:rFonts w:hAnsi="宋体"/>
                <w:bCs/>
                <w:w w:val="99"/>
                <w:szCs w:val="21"/>
              </w:rPr>
              <w:t>芘</w:t>
            </w:r>
          </w:p>
        </w:tc>
        <w:tc>
          <w:tcPr>
            <w:tcW w:w="651" w:type="pct"/>
            <w:vAlign w:val="center"/>
          </w:tcPr>
          <w:p>
            <w:pPr>
              <w:pStyle w:val="694"/>
              <w:kinsoku w:val="0"/>
              <w:overflowPunct w:val="0"/>
              <w:spacing w:line="340" w:lineRule="exact"/>
              <w:jc w:val="center"/>
              <w:rPr>
                <w:bCs/>
                <w:w w:val="99"/>
                <w:szCs w:val="21"/>
              </w:rPr>
            </w:pPr>
            <w:r>
              <w:rPr>
                <w:rFonts w:hAnsi="宋体"/>
                <w:bCs/>
                <w:w w:val="99"/>
                <w:szCs w:val="21"/>
              </w:rPr>
              <w:t>茚并</w:t>
            </w:r>
            <w:r>
              <w:rPr>
                <w:bCs/>
                <w:w w:val="99"/>
                <w:szCs w:val="21"/>
              </w:rPr>
              <w:t>[1,2,3-cd]</w:t>
            </w:r>
            <w:r>
              <w:rPr>
                <w:rFonts w:hAnsi="宋体"/>
                <w:bCs/>
                <w:w w:val="99"/>
                <w:szCs w:val="21"/>
              </w:rPr>
              <w:t>芘</w:t>
            </w:r>
          </w:p>
        </w:tc>
        <w:tc>
          <w:tcPr>
            <w:tcW w:w="474" w:type="pct"/>
            <w:vAlign w:val="center"/>
          </w:tcPr>
          <w:p>
            <w:pPr>
              <w:pStyle w:val="694"/>
              <w:kinsoku w:val="0"/>
              <w:overflowPunct w:val="0"/>
              <w:spacing w:line="340" w:lineRule="exact"/>
              <w:jc w:val="center"/>
              <w:rPr>
                <w:bCs/>
                <w:w w:val="99"/>
                <w:szCs w:val="21"/>
              </w:rPr>
            </w:pPr>
            <w:r>
              <w:rPr>
                <w:rFonts w:hAnsi="宋体"/>
                <w:bCs/>
                <w:w w:val="99"/>
                <w:szCs w:val="21"/>
              </w:rPr>
              <w:t>二苯并</w:t>
            </w:r>
            <w:r>
              <w:rPr>
                <w:bCs/>
                <w:w w:val="99"/>
                <w:szCs w:val="21"/>
              </w:rPr>
              <w:t>[a,h]</w:t>
            </w:r>
            <w:r>
              <w:rPr>
                <w:rFonts w:hAnsi="宋体"/>
                <w:bCs/>
                <w:w w:val="99"/>
                <w:szCs w:val="21"/>
              </w:rPr>
              <w:t>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4" w:type="pct"/>
            <w:vAlign w:val="center"/>
          </w:tcPr>
          <w:p>
            <w:pPr>
              <w:pStyle w:val="694"/>
              <w:kinsoku w:val="0"/>
              <w:overflowPunct w:val="0"/>
              <w:spacing w:line="340" w:lineRule="exact"/>
              <w:jc w:val="center"/>
              <w:rPr>
                <w:bCs/>
                <w:w w:val="99"/>
                <w:szCs w:val="21"/>
              </w:rPr>
            </w:pPr>
            <w:r>
              <w:rPr>
                <w:rFonts w:hAnsi="宋体"/>
                <w:bCs/>
                <w:w w:val="99"/>
                <w:szCs w:val="21"/>
              </w:rPr>
              <w:t>标准值</w:t>
            </w:r>
          </w:p>
        </w:tc>
        <w:tc>
          <w:tcPr>
            <w:tcW w:w="453" w:type="pct"/>
            <w:vAlign w:val="center"/>
          </w:tcPr>
          <w:p>
            <w:pPr>
              <w:pStyle w:val="694"/>
              <w:kinsoku w:val="0"/>
              <w:overflowPunct w:val="0"/>
              <w:spacing w:line="340" w:lineRule="exact"/>
              <w:jc w:val="center"/>
              <w:rPr>
                <w:bCs/>
                <w:w w:val="99"/>
                <w:szCs w:val="21"/>
              </w:rPr>
            </w:pPr>
            <w:r>
              <w:rPr>
                <w:bCs/>
                <w:w w:val="99"/>
                <w:szCs w:val="21"/>
              </w:rPr>
              <w:t>76</w:t>
            </w:r>
          </w:p>
        </w:tc>
        <w:tc>
          <w:tcPr>
            <w:tcW w:w="350" w:type="pct"/>
            <w:vAlign w:val="center"/>
          </w:tcPr>
          <w:p>
            <w:pPr>
              <w:pStyle w:val="694"/>
              <w:kinsoku w:val="0"/>
              <w:overflowPunct w:val="0"/>
              <w:spacing w:line="340" w:lineRule="exact"/>
              <w:jc w:val="center"/>
              <w:rPr>
                <w:bCs/>
                <w:w w:val="99"/>
                <w:szCs w:val="21"/>
              </w:rPr>
            </w:pPr>
            <w:r>
              <w:rPr>
                <w:bCs/>
                <w:w w:val="99"/>
                <w:szCs w:val="21"/>
              </w:rPr>
              <w:t>70</w:t>
            </w:r>
          </w:p>
        </w:tc>
        <w:tc>
          <w:tcPr>
            <w:tcW w:w="642" w:type="pct"/>
            <w:vAlign w:val="center"/>
          </w:tcPr>
          <w:p>
            <w:pPr>
              <w:pStyle w:val="694"/>
              <w:kinsoku w:val="0"/>
              <w:overflowPunct w:val="0"/>
              <w:spacing w:line="340" w:lineRule="exact"/>
              <w:jc w:val="center"/>
              <w:rPr>
                <w:bCs/>
                <w:w w:val="99"/>
                <w:szCs w:val="21"/>
              </w:rPr>
            </w:pPr>
            <w:r>
              <w:rPr>
                <w:bCs/>
                <w:w w:val="99"/>
                <w:szCs w:val="21"/>
              </w:rPr>
              <w:t>15</w:t>
            </w:r>
          </w:p>
        </w:tc>
        <w:tc>
          <w:tcPr>
            <w:tcW w:w="490" w:type="pct"/>
            <w:vAlign w:val="center"/>
          </w:tcPr>
          <w:p>
            <w:pPr>
              <w:pStyle w:val="694"/>
              <w:kinsoku w:val="0"/>
              <w:overflowPunct w:val="0"/>
              <w:spacing w:line="340" w:lineRule="exact"/>
              <w:jc w:val="center"/>
              <w:rPr>
                <w:bCs/>
                <w:w w:val="99"/>
                <w:szCs w:val="21"/>
              </w:rPr>
            </w:pPr>
            <w:r>
              <w:rPr>
                <w:bCs/>
                <w:w w:val="99"/>
                <w:szCs w:val="21"/>
              </w:rPr>
              <w:t>1293</w:t>
            </w:r>
          </w:p>
        </w:tc>
        <w:tc>
          <w:tcPr>
            <w:tcW w:w="598" w:type="pct"/>
            <w:vAlign w:val="center"/>
          </w:tcPr>
          <w:p>
            <w:pPr>
              <w:pStyle w:val="694"/>
              <w:kinsoku w:val="0"/>
              <w:overflowPunct w:val="0"/>
              <w:spacing w:line="340" w:lineRule="exact"/>
              <w:jc w:val="center"/>
              <w:rPr>
                <w:bCs/>
                <w:w w:val="99"/>
                <w:szCs w:val="21"/>
              </w:rPr>
            </w:pPr>
            <w:r>
              <w:rPr>
                <w:bCs/>
                <w:w w:val="99"/>
                <w:szCs w:val="21"/>
              </w:rPr>
              <w:t>15</w:t>
            </w:r>
          </w:p>
        </w:tc>
        <w:tc>
          <w:tcPr>
            <w:tcW w:w="415" w:type="pct"/>
            <w:vAlign w:val="center"/>
          </w:tcPr>
          <w:p>
            <w:pPr>
              <w:pStyle w:val="694"/>
              <w:kinsoku w:val="0"/>
              <w:overflowPunct w:val="0"/>
              <w:spacing w:line="340" w:lineRule="exact"/>
              <w:jc w:val="center"/>
              <w:rPr>
                <w:bCs/>
                <w:w w:val="99"/>
                <w:szCs w:val="21"/>
              </w:rPr>
            </w:pPr>
            <w:r>
              <w:rPr>
                <w:bCs/>
                <w:w w:val="99"/>
                <w:szCs w:val="21"/>
              </w:rPr>
              <w:t>151</w:t>
            </w:r>
          </w:p>
        </w:tc>
        <w:tc>
          <w:tcPr>
            <w:tcW w:w="518" w:type="pct"/>
            <w:vAlign w:val="center"/>
          </w:tcPr>
          <w:p>
            <w:pPr>
              <w:pStyle w:val="694"/>
              <w:kinsoku w:val="0"/>
              <w:overflowPunct w:val="0"/>
              <w:spacing w:line="340" w:lineRule="exact"/>
              <w:jc w:val="center"/>
              <w:rPr>
                <w:bCs/>
                <w:w w:val="99"/>
                <w:szCs w:val="21"/>
              </w:rPr>
            </w:pPr>
            <w:r>
              <w:rPr>
                <w:bCs/>
                <w:w w:val="99"/>
                <w:szCs w:val="21"/>
              </w:rPr>
              <w:t>1.5</w:t>
            </w:r>
          </w:p>
        </w:tc>
        <w:tc>
          <w:tcPr>
            <w:tcW w:w="651" w:type="pct"/>
            <w:vAlign w:val="center"/>
          </w:tcPr>
          <w:p>
            <w:pPr>
              <w:pStyle w:val="694"/>
              <w:kinsoku w:val="0"/>
              <w:overflowPunct w:val="0"/>
              <w:spacing w:line="340" w:lineRule="exact"/>
              <w:jc w:val="center"/>
              <w:rPr>
                <w:bCs/>
                <w:w w:val="99"/>
                <w:szCs w:val="21"/>
              </w:rPr>
            </w:pPr>
            <w:r>
              <w:rPr>
                <w:bCs/>
                <w:w w:val="99"/>
                <w:szCs w:val="21"/>
              </w:rPr>
              <w:t>15</w:t>
            </w:r>
          </w:p>
        </w:tc>
        <w:tc>
          <w:tcPr>
            <w:tcW w:w="474" w:type="pct"/>
            <w:vAlign w:val="center"/>
          </w:tcPr>
          <w:p>
            <w:pPr>
              <w:pStyle w:val="694"/>
              <w:kinsoku w:val="0"/>
              <w:overflowPunct w:val="0"/>
              <w:spacing w:line="340" w:lineRule="exact"/>
              <w:jc w:val="center"/>
              <w:rPr>
                <w:bCs/>
                <w:w w:val="99"/>
                <w:szCs w:val="21"/>
              </w:rPr>
            </w:pPr>
            <w:r>
              <w:rPr>
                <w:bCs/>
                <w:w w:val="99"/>
                <w:szCs w:val="21"/>
              </w:rPr>
              <w:t>1.5</w:t>
            </w:r>
          </w:p>
        </w:tc>
      </w:tr>
    </w:tbl>
    <w:p>
      <w:pPr>
        <w:pStyle w:val="33"/>
        <w:kinsoku w:val="0"/>
        <w:overflowPunct w:val="0"/>
        <w:spacing w:before="120" w:beforeLines="50" w:after="0" w:line="240" w:lineRule="auto"/>
        <w:ind w:firstLine="0" w:firstLineChars="0"/>
        <w:jc w:val="center"/>
        <w:rPr>
          <w:rFonts w:ascii="黑体" w:hAnsi="黑体" w:eastAsia="黑体"/>
          <w:bCs/>
          <w:szCs w:val="24"/>
        </w:rPr>
      </w:pPr>
      <w:r>
        <w:rPr>
          <w:rFonts w:hint="eastAsia" w:ascii="黑体" w:hAnsi="黑体" w:eastAsia="黑体"/>
          <w:bCs/>
          <w:szCs w:val="24"/>
        </w:rPr>
        <w:t>表</w:t>
      </w:r>
      <w:r>
        <w:rPr>
          <w:rFonts w:ascii="黑体" w:hAnsi="黑体" w:eastAsia="黑体"/>
          <w:bCs/>
          <w:szCs w:val="24"/>
        </w:rPr>
        <w:t xml:space="preserve"> 1.</w:t>
      </w:r>
      <w:r>
        <w:rPr>
          <w:rFonts w:hint="eastAsia" w:ascii="黑体" w:hAnsi="黑体" w:eastAsia="黑体"/>
          <w:bCs/>
          <w:szCs w:val="24"/>
        </w:rPr>
        <w:t>5</w:t>
      </w:r>
      <w:r>
        <w:rPr>
          <w:rFonts w:ascii="黑体" w:hAnsi="黑体" w:eastAsia="黑体"/>
          <w:bCs/>
          <w:szCs w:val="24"/>
        </w:rPr>
        <w:t>-</w:t>
      </w:r>
      <w:r>
        <w:rPr>
          <w:rFonts w:hint="eastAsia" w:ascii="黑体" w:hAnsi="黑体" w:eastAsia="黑体"/>
          <w:bCs/>
          <w:szCs w:val="24"/>
        </w:rPr>
        <w:t>6</w:t>
      </w:r>
      <w:r>
        <w:rPr>
          <w:rFonts w:ascii="黑体" w:hAnsi="黑体" w:eastAsia="黑体"/>
          <w:bCs/>
          <w:szCs w:val="24"/>
        </w:rPr>
        <w:tab/>
      </w:r>
      <w:r>
        <w:rPr>
          <w:rFonts w:hint="eastAsia" w:ascii="黑体" w:hAnsi="黑体" w:eastAsia="黑体"/>
          <w:bCs/>
          <w:szCs w:val="24"/>
        </w:rPr>
        <w:t>《土壤环境质量标准》（</w:t>
      </w:r>
      <w:r>
        <w:rPr>
          <w:rFonts w:ascii="黑体" w:hAnsi="黑体" w:eastAsia="黑体"/>
          <w:bCs/>
          <w:szCs w:val="24"/>
        </w:rPr>
        <w:t>GB15618-</w:t>
      </w:r>
      <w:r>
        <w:rPr>
          <w:rFonts w:hint="eastAsia" w:ascii="黑体" w:hAnsi="黑体" w:eastAsia="黑体"/>
          <w:bCs/>
          <w:szCs w:val="24"/>
        </w:rPr>
        <w:t>2018）（摘录）单位：</w:t>
      </w:r>
      <w:r>
        <w:rPr>
          <w:rFonts w:ascii="黑体" w:hAnsi="黑体" w:eastAsia="黑体"/>
          <w:bCs/>
          <w:szCs w:val="24"/>
        </w:rPr>
        <w:t>mg/kg</w:t>
      </w:r>
    </w:p>
    <w:tbl>
      <w:tblPr>
        <w:tblStyle w:val="8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85" w:type="dxa"/>
          <w:bottom w:w="0" w:type="dxa"/>
          <w:right w:w="85" w:type="dxa"/>
        </w:tblCellMar>
      </w:tblPr>
      <w:tblGrid>
        <w:gridCol w:w="1829"/>
        <w:gridCol w:w="2046"/>
        <w:gridCol w:w="592"/>
        <w:gridCol w:w="589"/>
        <w:gridCol w:w="678"/>
        <w:gridCol w:w="509"/>
        <w:gridCol w:w="670"/>
        <w:gridCol w:w="592"/>
        <w:gridCol w:w="670"/>
        <w:gridCol w:w="676"/>
        <w:gridCol w:w="67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97" w:hRule="exact"/>
        </w:trPr>
        <w:tc>
          <w:tcPr>
            <w:tcW w:w="960" w:type="pct"/>
            <w:vAlign w:val="center"/>
          </w:tcPr>
          <w:p>
            <w:pPr>
              <w:pStyle w:val="694"/>
              <w:kinsoku w:val="0"/>
              <w:overflowPunct w:val="0"/>
              <w:spacing w:line="340" w:lineRule="exact"/>
              <w:jc w:val="center"/>
              <w:rPr>
                <w:szCs w:val="21"/>
              </w:rPr>
            </w:pPr>
            <w:r>
              <w:rPr>
                <w:rFonts w:hAnsi="宋体"/>
                <w:bCs/>
                <w:szCs w:val="21"/>
              </w:rPr>
              <w:t>评价因子</w:t>
            </w:r>
          </w:p>
        </w:tc>
        <w:tc>
          <w:tcPr>
            <w:tcW w:w="1074" w:type="pct"/>
            <w:tcBorders>
              <w:right w:val="single" w:color="auto" w:sz="4" w:space="0"/>
            </w:tcBorders>
            <w:vAlign w:val="center"/>
          </w:tcPr>
          <w:p>
            <w:pPr>
              <w:pStyle w:val="694"/>
              <w:kinsoku w:val="0"/>
              <w:overflowPunct w:val="0"/>
              <w:spacing w:before="47" w:line="340" w:lineRule="exact"/>
              <w:jc w:val="center"/>
              <w:rPr>
                <w:szCs w:val="21"/>
              </w:rPr>
            </w:pPr>
            <w:r>
              <w:rPr>
                <w:bCs/>
                <w:szCs w:val="21"/>
              </w:rPr>
              <w:t>pH</w:t>
            </w:r>
          </w:p>
        </w:tc>
        <w:tc>
          <w:tcPr>
            <w:tcW w:w="311" w:type="pct"/>
            <w:tcBorders>
              <w:right w:val="single" w:color="auto" w:sz="4" w:space="0"/>
            </w:tcBorders>
            <w:vAlign w:val="center"/>
          </w:tcPr>
          <w:p>
            <w:pPr>
              <w:pStyle w:val="694"/>
              <w:kinsoku w:val="0"/>
              <w:overflowPunct w:val="0"/>
              <w:spacing w:line="340" w:lineRule="exact"/>
              <w:jc w:val="center"/>
              <w:rPr>
                <w:szCs w:val="21"/>
              </w:rPr>
            </w:pPr>
            <w:r>
              <w:rPr>
                <w:rFonts w:hAnsi="宋体"/>
                <w:bCs/>
                <w:w w:val="99"/>
                <w:szCs w:val="21"/>
              </w:rPr>
              <w:t>镉</w:t>
            </w:r>
          </w:p>
        </w:tc>
        <w:tc>
          <w:tcPr>
            <w:tcW w:w="309" w:type="pct"/>
            <w:tcBorders>
              <w:left w:val="single" w:color="auto" w:sz="4" w:space="0"/>
            </w:tcBorders>
            <w:vAlign w:val="center"/>
          </w:tcPr>
          <w:p>
            <w:pPr>
              <w:pStyle w:val="694"/>
              <w:kinsoku w:val="0"/>
              <w:overflowPunct w:val="0"/>
              <w:spacing w:line="340" w:lineRule="exact"/>
              <w:jc w:val="center"/>
              <w:rPr>
                <w:rFonts w:hAnsi="宋体"/>
                <w:bCs/>
                <w:w w:val="99"/>
                <w:szCs w:val="21"/>
              </w:rPr>
            </w:pPr>
            <w:r>
              <w:rPr>
                <w:rFonts w:hAnsi="宋体"/>
                <w:bCs/>
                <w:w w:val="99"/>
                <w:szCs w:val="21"/>
              </w:rPr>
              <w:t>汞</w:t>
            </w:r>
          </w:p>
        </w:tc>
        <w:tc>
          <w:tcPr>
            <w:tcW w:w="356" w:type="pct"/>
            <w:vAlign w:val="center"/>
          </w:tcPr>
          <w:p>
            <w:pPr>
              <w:pStyle w:val="694"/>
              <w:kinsoku w:val="0"/>
              <w:overflowPunct w:val="0"/>
              <w:spacing w:line="340" w:lineRule="exact"/>
              <w:ind w:right="1"/>
              <w:jc w:val="center"/>
              <w:rPr>
                <w:szCs w:val="21"/>
              </w:rPr>
            </w:pPr>
            <w:r>
              <w:rPr>
                <w:rFonts w:hAnsi="宋体"/>
                <w:bCs/>
                <w:w w:val="99"/>
                <w:szCs w:val="21"/>
              </w:rPr>
              <w:t>铬</w:t>
            </w:r>
          </w:p>
        </w:tc>
        <w:tc>
          <w:tcPr>
            <w:tcW w:w="267" w:type="pct"/>
            <w:vAlign w:val="center"/>
          </w:tcPr>
          <w:p>
            <w:pPr>
              <w:pStyle w:val="694"/>
              <w:kinsoku w:val="0"/>
              <w:overflowPunct w:val="0"/>
              <w:spacing w:line="340" w:lineRule="exact"/>
              <w:jc w:val="center"/>
              <w:rPr>
                <w:szCs w:val="21"/>
              </w:rPr>
            </w:pPr>
            <w:r>
              <w:rPr>
                <w:rFonts w:hAnsi="宋体"/>
                <w:bCs/>
                <w:w w:val="99"/>
                <w:szCs w:val="21"/>
              </w:rPr>
              <w:t>砷</w:t>
            </w:r>
          </w:p>
        </w:tc>
        <w:tc>
          <w:tcPr>
            <w:tcW w:w="352" w:type="pct"/>
            <w:vAlign w:val="center"/>
          </w:tcPr>
          <w:p>
            <w:pPr>
              <w:pStyle w:val="694"/>
              <w:kinsoku w:val="0"/>
              <w:overflowPunct w:val="0"/>
              <w:spacing w:line="340" w:lineRule="exact"/>
              <w:jc w:val="center"/>
              <w:rPr>
                <w:szCs w:val="21"/>
              </w:rPr>
            </w:pPr>
            <w:r>
              <w:rPr>
                <w:rFonts w:hAnsi="宋体"/>
                <w:bCs/>
                <w:w w:val="99"/>
                <w:szCs w:val="21"/>
              </w:rPr>
              <w:t>铅</w:t>
            </w:r>
          </w:p>
        </w:tc>
        <w:tc>
          <w:tcPr>
            <w:tcW w:w="311" w:type="pct"/>
            <w:vAlign w:val="center"/>
          </w:tcPr>
          <w:p>
            <w:pPr>
              <w:pStyle w:val="694"/>
              <w:kinsoku w:val="0"/>
              <w:overflowPunct w:val="0"/>
              <w:spacing w:line="340" w:lineRule="exact"/>
              <w:jc w:val="center"/>
              <w:rPr>
                <w:szCs w:val="21"/>
              </w:rPr>
            </w:pPr>
            <w:r>
              <w:rPr>
                <w:rFonts w:hAnsi="宋体"/>
                <w:bCs/>
                <w:w w:val="99"/>
                <w:szCs w:val="21"/>
              </w:rPr>
              <w:t>镉</w:t>
            </w:r>
          </w:p>
        </w:tc>
        <w:tc>
          <w:tcPr>
            <w:tcW w:w="352" w:type="pct"/>
            <w:vAlign w:val="center"/>
          </w:tcPr>
          <w:p>
            <w:pPr>
              <w:pStyle w:val="694"/>
              <w:kinsoku w:val="0"/>
              <w:overflowPunct w:val="0"/>
              <w:spacing w:line="340" w:lineRule="exact"/>
              <w:ind w:right="1"/>
              <w:jc w:val="center"/>
              <w:rPr>
                <w:szCs w:val="21"/>
              </w:rPr>
            </w:pPr>
            <w:r>
              <w:rPr>
                <w:rFonts w:hAnsi="宋体"/>
                <w:bCs/>
                <w:w w:val="99"/>
                <w:szCs w:val="21"/>
              </w:rPr>
              <w:t>铜</w:t>
            </w:r>
          </w:p>
        </w:tc>
        <w:tc>
          <w:tcPr>
            <w:tcW w:w="355" w:type="pct"/>
            <w:vAlign w:val="center"/>
          </w:tcPr>
          <w:p>
            <w:pPr>
              <w:pStyle w:val="694"/>
              <w:kinsoku w:val="0"/>
              <w:overflowPunct w:val="0"/>
              <w:spacing w:line="340" w:lineRule="exact"/>
              <w:ind w:right="2"/>
              <w:jc w:val="center"/>
              <w:rPr>
                <w:szCs w:val="21"/>
              </w:rPr>
            </w:pPr>
            <w:r>
              <w:rPr>
                <w:rFonts w:hAnsi="宋体"/>
                <w:bCs/>
                <w:w w:val="99"/>
                <w:szCs w:val="21"/>
              </w:rPr>
              <w:t>锌</w:t>
            </w:r>
          </w:p>
        </w:tc>
        <w:tc>
          <w:tcPr>
            <w:tcW w:w="353" w:type="pct"/>
            <w:vAlign w:val="center"/>
          </w:tcPr>
          <w:p>
            <w:pPr>
              <w:pStyle w:val="694"/>
              <w:kinsoku w:val="0"/>
              <w:overflowPunct w:val="0"/>
              <w:spacing w:line="340" w:lineRule="exact"/>
              <w:ind w:right="2"/>
              <w:jc w:val="center"/>
              <w:rPr>
                <w:rFonts w:hAnsi="宋体"/>
                <w:bCs/>
                <w:w w:val="99"/>
                <w:szCs w:val="21"/>
              </w:rPr>
            </w:pPr>
            <w:r>
              <w:rPr>
                <w:rFonts w:hint="eastAsia" w:hAnsi="宋体"/>
                <w:bCs/>
                <w:w w:val="99"/>
                <w:szCs w:val="21"/>
              </w:rPr>
              <w:t>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97" w:hRule="exact"/>
        </w:trPr>
        <w:tc>
          <w:tcPr>
            <w:tcW w:w="960" w:type="pct"/>
            <w:vMerge w:val="restart"/>
            <w:vAlign w:val="center"/>
          </w:tcPr>
          <w:p>
            <w:pPr>
              <w:pStyle w:val="694"/>
              <w:kinsoku w:val="0"/>
              <w:overflowPunct w:val="0"/>
              <w:spacing w:line="340" w:lineRule="exact"/>
              <w:jc w:val="center"/>
              <w:rPr>
                <w:rFonts w:hAnsi="宋体"/>
                <w:bCs/>
                <w:szCs w:val="21"/>
              </w:rPr>
            </w:pPr>
            <w:r>
              <w:rPr>
                <w:rFonts w:hint="eastAsia" w:hAnsi="宋体"/>
                <w:szCs w:val="21"/>
              </w:rPr>
              <w:t>风险筛选值</w:t>
            </w:r>
          </w:p>
        </w:tc>
        <w:tc>
          <w:tcPr>
            <w:tcW w:w="1074" w:type="pct"/>
            <w:tcBorders>
              <w:right w:val="single" w:color="auto" w:sz="4" w:space="0"/>
            </w:tcBorders>
            <w:vAlign w:val="center"/>
          </w:tcPr>
          <w:p>
            <w:pPr>
              <w:pStyle w:val="694"/>
              <w:kinsoku w:val="0"/>
              <w:overflowPunct w:val="0"/>
              <w:spacing w:line="340" w:lineRule="exact"/>
              <w:ind w:right="1"/>
              <w:jc w:val="center"/>
              <w:rPr>
                <w:rFonts w:hAnsi="宋体"/>
                <w:bCs/>
                <w:w w:val="99"/>
                <w:szCs w:val="21"/>
              </w:rPr>
            </w:pPr>
            <w:r>
              <w:rPr>
                <w:rFonts w:hAnsi="宋体"/>
                <w:bCs/>
                <w:w w:val="99"/>
                <w:szCs w:val="21"/>
              </w:rPr>
              <w:t>pH</w:t>
            </w:r>
            <w:r>
              <w:rPr>
                <w:rFonts w:hint="eastAsia" w:hAnsi="宋体"/>
                <w:bCs/>
                <w:w w:val="99"/>
                <w:szCs w:val="21"/>
              </w:rPr>
              <w:t>≤5</w:t>
            </w:r>
            <w:r>
              <w:rPr>
                <w:rFonts w:hAnsi="宋体"/>
                <w:bCs/>
                <w:w w:val="99"/>
                <w:szCs w:val="21"/>
              </w:rPr>
              <w:t>.5</w:t>
            </w:r>
          </w:p>
        </w:tc>
        <w:tc>
          <w:tcPr>
            <w:tcW w:w="311" w:type="pct"/>
            <w:tcBorders>
              <w:righ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0.3</w:t>
            </w:r>
          </w:p>
        </w:tc>
        <w:tc>
          <w:tcPr>
            <w:tcW w:w="309" w:type="pct"/>
            <w:tcBorders>
              <w:lef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1.3</w:t>
            </w:r>
          </w:p>
        </w:tc>
        <w:tc>
          <w:tcPr>
            <w:tcW w:w="356"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150</w:t>
            </w:r>
          </w:p>
        </w:tc>
        <w:tc>
          <w:tcPr>
            <w:tcW w:w="267"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40</w:t>
            </w:r>
          </w:p>
        </w:tc>
        <w:tc>
          <w:tcPr>
            <w:tcW w:w="352"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70</w:t>
            </w:r>
          </w:p>
        </w:tc>
        <w:tc>
          <w:tcPr>
            <w:tcW w:w="311"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0.3</w:t>
            </w:r>
          </w:p>
        </w:tc>
        <w:tc>
          <w:tcPr>
            <w:tcW w:w="352"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50</w:t>
            </w:r>
          </w:p>
        </w:tc>
        <w:tc>
          <w:tcPr>
            <w:tcW w:w="355" w:type="pct"/>
            <w:vAlign w:val="center"/>
          </w:tcPr>
          <w:p>
            <w:pPr>
              <w:pStyle w:val="694"/>
              <w:kinsoku w:val="0"/>
              <w:overflowPunct w:val="0"/>
              <w:spacing w:line="340" w:lineRule="exact"/>
              <w:ind w:right="2"/>
              <w:jc w:val="center"/>
              <w:rPr>
                <w:rFonts w:hAnsi="宋体"/>
                <w:bCs/>
                <w:w w:val="99"/>
                <w:szCs w:val="21"/>
              </w:rPr>
            </w:pPr>
            <w:r>
              <w:rPr>
                <w:rFonts w:hint="eastAsia" w:hAnsi="宋体"/>
                <w:bCs/>
                <w:w w:val="99"/>
                <w:szCs w:val="21"/>
              </w:rPr>
              <w:t>200</w:t>
            </w:r>
          </w:p>
        </w:tc>
        <w:tc>
          <w:tcPr>
            <w:tcW w:w="353" w:type="pct"/>
            <w:vAlign w:val="center"/>
          </w:tcPr>
          <w:p>
            <w:pPr>
              <w:pStyle w:val="694"/>
              <w:kinsoku w:val="0"/>
              <w:overflowPunct w:val="0"/>
              <w:spacing w:line="340" w:lineRule="exact"/>
              <w:ind w:right="2"/>
              <w:jc w:val="center"/>
              <w:rPr>
                <w:rFonts w:hAnsi="宋体"/>
                <w:bCs/>
                <w:w w:val="99"/>
                <w:szCs w:val="21"/>
              </w:rPr>
            </w:pPr>
            <w:r>
              <w:rPr>
                <w:rFonts w:hint="eastAsia" w:hAnsi="宋体"/>
                <w:bCs/>
                <w:w w:val="99"/>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97" w:hRule="exact"/>
        </w:trPr>
        <w:tc>
          <w:tcPr>
            <w:tcW w:w="960" w:type="pct"/>
            <w:vMerge w:val="continue"/>
            <w:vAlign w:val="center"/>
          </w:tcPr>
          <w:p>
            <w:pPr>
              <w:pStyle w:val="694"/>
              <w:kinsoku w:val="0"/>
              <w:overflowPunct w:val="0"/>
              <w:spacing w:line="340" w:lineRule="exact"/>
              <w:jc w:val="center"/>
              <w:rPr>
                <w:rFonts w:hAnsi="宋体"/>
                <w:bCs/>
                <w:szCs w:val="21"/>
              </w:rPr>
            </w:pPr>
          </w:p>
        </w:tc>
        <w:tc>
          <w:tcPr>
            <w:tcW w:w="1074" w:type="pct"/>
            <w:tcBorders>
              <w:right w:val="single" w:color="auto" w:sz="4" w:space="0"/>
            </w:tcBorders>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5.5＜</w:t>
            </w:r>
            <w:r>
              <w:rPr>
                <w:rFonts w:hAnsi="宋体"/>
                <w:bCs/>
                <w:w w:val="99"/>
                <w:szCs w:val="21"/>
              </w:rPr>
              <w:t>pH</w:t>
            </w:r>
            <w:r>
              <w:rPr>
                <w:rFonts w:hint="eastAsia" w:hAnsi="宋体"/>
                <w:bCs/>
                <w:w w:val="99"/>
                <w:szCs w:val="21"/>
              </w:rPr>
              <w:t>≤</w:t>
            </w:r>
            <w:r>
              <w:rPr>
                <w:rFonts w:hAnsi="宋体"/>
                <w:bCs/>
                <w:w w:val="99"/>
                <w:szCs w:val="21"/>
              </w:rPr>
              <w:t>6.5</w:t>
            </w:r>
          </w:p>
        </w:tc>
        <w:tc>
          <w:tcPr>
            <w:tcW w:w="311" w:type="pct"/>
            <w:tcBorders>
              <w:right w:val="single" w:color="auto" w:sz="4" w:space="0"/>
            </w:tcBorders>
            <w:vAlign w:val="center"/>
          </w:tcPr>
          <w:p>
            <w:pPr>
              <w:pStyle w:val="694"/>
              <w:kinsoku w:val="0"/>
              <w:overflowPunct w:val="0"/>
              <w:spacing w:before="48" w:line="340" w:lineRule="exact"/>
              <w:jc w:val="center"/>
              <w:rPr>
                <w:szCs w:val="21"/>
              </w:rPr>
            </w:pPr>
            <w:r>
              <w:rPr>
                <w:szCs w:val="21"/>
              </w:rPr>
              <w:t>0.3</w:t>
            </w:r>
          </w:p>
        </w:tc>
        <w:tc>
          <w:tcPr>
            <w:tcW w:w="309" w:type="pct"/>
            <w:tcBorders>
              <w:lef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1.8</w:t>
            </w:r>
          </w:p>
        </w:tc>
        <w:tc>
          <w:tcPr>
            <w:tcW w:w="356" w:type="pct"/>
            <w:vAlign w:val="center"/>
          </w:tcPr>
          <w:p>
            <w:pPr>
              <w:pStyle w:val="694"/>
              <w:kinsoku w:val="0"/>
              <w:overflowPunct w:val="0"/>
              <w:spacing w:before="48" w:line="340" w:lineRule="exact"/>
              <w:ind w:left="2"/>
              <w:jc w:val="center"/>
              <w:rPr>
                <w:szCs w:val="21"/>
              </w:rPr>
            </w:pPr>
            <w:r>
              <w:rPr>
                <w:rFonts w:hint="eastAsia"/>
                <w:szCs w:val="21"/>
              </w:rPr>
              <w:t>1</w:t>
            </w:r>
            <w:r>
              <w:rPr>
                <w:szCs w:val="21"/>
              </w:rPr>
              <w:t>50</w:t>
            </w:r>
          </w:p>
        </w:tc>
        <w:tc>
          <w:tcPr>
            <w:tcW w:w="267" w:type="pct"/>
            <w:vAlign w:val="center"/>
          </w:tcPr>
          <w:p>
            <w:pPr>
              <w:pStyle w:val="694"/>
              <w:kinsoku w:val="0"/>
              <w:overflowPunct w:val="0"/>
              <w:spacing w:before="48" w:line="340" w:lineRule="exact"/>
              <w:jc w:val="center"/>
              <w:rPr>
                <w:szCs w:val="21"/>
              </w:rPr>
            </w:pPr>
            <w:r>
              <w:rPr>
                <w:rFonts w:hint="eastAsia"/>
                <w:szCs w:val="21"/>
              </w:rPr>
              <w:t>4</w:t>
            </w:r>
            <w:r>
              <w:rPr>
                <w:szCs w:val="21"/>
              </w:rPr>
              <w:t>0</w:t>
            </w:r>
          </w:p>
        </w:tc>
        <w:tc>
          <w:tcPr>
            <w:tcW w:w="352" w:type="pct"/>
            <w:vAlign w:val="center"/>
          </w:tcPr>
          <w:p>
            <w:pPr>
              <w:pStyle w:val="694"/>
              <w:kinsoku w:val="0"/>
              <w:overflowPunct w:val="0"/>
              <w:spacing w:before="48" w:line="340" w:lineRule="exact"/>
              <w:ind w:left="1"/>
              <w:jc w:val="center"/>
              <w:rPr>
                <w:szCs w:val="21"/>
              </w:rPr>
            </w:pPr>
            <w:r>
              <w:rPr>
                <w:rFonts w:hint="eastAsia"/>
                <w:szCs w:val="21"/>
              </w:rPr>
              <w:t>90</w:t>
            </w:r>
          </w:p>
        </w:tc>
        <w:tc>
          <w:tcPr>
            <w:tcW w:w="311" w:type="pct"/>
            <w:vAlign w:val="center"/>
          </w:tcPr>
          <w:p>
            <w:pPr>
              <w:pStyle w:val="694"/>
              <w:kinsoku w:val="0"/>
              <w:overflowPunct w:val="0"/>
              <w:spacing w:before="48" w:line="340" w:lineRule="exact"/>
              <w:jc w:val="center"/>
              <w:rPr>
                <w:szCs w:val="21"/>
              </w:rPr>
            </w:pPr>
            <w:r>
              <w:rPr>
                <w:szCs w:val="21"/>
              </w:rPr>
              <w:t>0.3</w:t>
            </w:r>
          </w:p>
        </w:tc>
        <w:tc>
          <w:tcPr>
            <w:tcW w:w="352" w:type="pct"/>
            <w:vAlign w:val="center"/>
          </w:tcPr>
          <w:p>
            <w:pPr>
              <w:pStyle w:val="694"/>
              <w:kinsoku w:val="0"/>
              <w:overflowPunct w:val="0"/>
              <w:spacing w:before="48" w:line="340" w:lineRule="exact"/>
              <w:jc w:val="center"/>
              <w:rPr>
                <w:szCs w:val="21"/>
              </w:rPr>
            </w:pPr>
            <w:r>
              <w:rPr>
                <w:szCs w:val="21"/>
              </w:rPr>
              <w:t>50</w:t>
            </w:r>
          </w:p>
        </w:tc>
        <w:tc>
          <w:tcPr>
            <w:tcW w:w="355" w:type="pct"/>
            <w:vAlign w:val="center"/>
          </w:tcPr>
          <w:p>
            <w:pPr>
              <w:pStyle w:val="694"/>
              <w:kinsoku w:val="0"/>
              <w:overflowPunct w:val="0"/>
              <w:spacing w:before="48" w:line="340" w:lineRule="exact"/>
              <w:ind w:right="1"/>
              <w:jc w:val="center"/>
              <w:rPr>
                <w:szCs w:val="21"/>
              </w:rPr>
            </w:pPr>
            <w:r>
              <w:rPr>
                <w:szCs w:val="21"/>
              </w:rPr>
              <w:t>200</w:t>
            </w:r>
          </w:p>
        </w:tc>
        <w:tc>
          <w:tcPr>
            <w:tcW w:w="353" w:type="pct"/>
            <w:vAlign w:val="center"/>
          </w:tcPr>
          <w:p>
            <w:pPr>
              <w:pStyle w:val="694"/>
              <w:kinsoku w:val="0"/>
              <w:overflowPunct w:val="0"/>
              <w:spacing w:before="48" w:line="340" w:lineRule="exact"/>
              <w:ind w:right="1"/>
              <w:jc w:val="center"/>
              <w:rPr>
                <w:szCs w:val="21"/>
              </w:rPr>
            </w:pPr>
            <w:r>
              <w:rPr>
                <w:rFonts w:hint="eastAsia"/>
                <w:szCs w:val="21"/>
              </w:rPr>
              <w:t>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97" w:hRule="exact"/>
        </w:trPr>
        <w:tc>
          <w:tcPr>
            <w:tcW w:w="960" w:type="pct"/>
            <w:vMerge w:val="continue"/>
            <w:vAlign w:val="center"/>
          </w:tcPr>
          <w:p>
            <w:pPr>
              <w:pStyle w:val="694"/>
              <w:kinsoku w:val="0"/>
              <w:overflowPunct w:val="0"/>
              <w:spacing w:line="340" w:lineRule="exact"/>
              <w:jc w:val="center"/>
              <w:rPr>
                <w:rFonts w:hAnsi="宋体"/>
                <w:bCs/>
                <w:szCs w:val="21"/>
              </w:rPr>
            </w:pPr>
          </w:p>
        </w:tc>
        <w:tc>
          <w:tcPr>
            <w:tcW w:w="1074" w:type="pct"/>
            <w:tcBorders>
              <w:right w:val="single" w:color="auto" w:sz="4" w:space="0"/>
            </w:tcBorders>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6.5＜</w:t>
            </w:r>
            <w:r>
              <w:rPr>
                <w:rFonts w:hAnsi="宋体"/>
                <w:bCs/>
                <w:w w:val="99"/>
                <w:szCs w:val="21"/>
              </w:rPr>
              <w:t>pH</w:t>
            </w:r>
            <w:r>
              <w:rPr>
                <w:rFonts w:hint="eastAsia" w:hAnsi="宋体"/>
                <w:bCs/>
                <w:w w:val="99"/>
                <w:szCs w:val="21"/>
              </w:rPr>
              <w:t>≤7</w:t>
            </w:r>
            <w:r>
              <w:rPr>
                <w:rFonts w:hAnsi="宋体"/>
                <w:bCs/>
                <w:w w:val="99"/>
                <w:szCs w:val="21"/>
              </w:rPr>
              <w:t>.5</w:t>
            </w:r>
          </w:p>
        </w:tc>
        <w:tc>
          <w:tcPr>
            <w:tcW w:w="311" w:type="pct"/>
            <w:tcBorders>
              <w:righ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0.3</w:t>
            </w:r>
          </w:p>
        </w:tc>
        <w:tc>
          <w:tcPr>
            <w:tcW w:w="309" w:type="pct"/>
            <w:tcBorders>
              <w:lef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2.4</w:t>
            </w:r>
          </w:p>
        </w:tc>
        <w:tc>
          <w:tcPr>
            <w:tcW w:w="356"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200</w:t>
            </w:r>
          </w:p>
        </w:tc>
        <w:tc>
          <w:tcPr>
            <w:tcW w:w="267"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30</w:t>
            </w:r>
          </w:p>
        </w:tc>
        <w:tc>
          <w:tcPr>
            <w:tcW w:w="352"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120</w:t>
            </w:r>
          </w:p>
        </w:tc>
        <w:tc>
          <w:tcPr>
            <w:tcW w:w="311" w:type="pct"/>
            <w:vAlign w:val="center"/>
          </w:tcPr>
          <w:p>
            <w:pPr>
              <w:pStyle w:val="694"/>
              <w:kinsoku w:val="0"/>
              <w:overflowPunct w:val="0"/>
              <w:spacing w:line="340" w:lineRule="exact"/>
              <w:jc w:val="center"/>
              <w:rPr>
                <w:rFonts w:hAnsi="宋体"/>
                <w:bCs/>
                <w:w w:val="99"/>
                <w:szCs w:val="21"/>
              </w:rPr>
            </w:pPr>
            <w:r>
              <w:rPr>
                <w:rFonts w:hint="eastAsia" w:hAnsi="宋体"/>
                <w:bCs/>
                <w:w w:val="99"/>
                <w:szCs w:val="21"/>
              </w:rPr>
              <w:t>0.3</w:t>
            </w:r>
          </w:p>
        </w:tc>
        <w:tc>
          <w:tcPr>
            <w:tcW w:w="352"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100</w:t>
            </w:r>
          </w:p>
        </w:tc>
        <w:tc>
          <w:tcPr>
            <w:tcW w:w="355" w:type="pct"/>
            <w:vAlign w:val="center"/>
          </w:tcPr>
          <w:p>
            <w:pPr>
              <w:pStyle w:val="694"/>
              <w:kinsoku w:val="0"/>
              <w:overflowPunct w:val="0"/>
              <w:spacing w:line="340" w:lineRule="exact"/>
              <w:ind w:right="2"/>
              <w:jc w:val="center"/>
              <w:rPr>
                <w:rFonts w:hAnsi="宋体"/>
                <w:bCs/>
                <w:w w:val="99"/>
                <w:szCs w:val="21"/>
              </w:rPr>
            </w:pPr>
            <w:r>
              <w:rPr>
                <w:rFonts w:hint="eastAsia" w:hAnsi="宋体"/>
                <w:bCs/>
                <w:w w:val="99"/>
                <w:szCs w:val="21"/>
              </w:rPr>
              <w:t>250</w:t>
            </w:r>
          </w:p>
        </w:tc>
        <w:tc>
          <w:tcPr>
            <w:tcW w:w="353" w:type="pct"/>
            <w:vAlign w:val="center"/>
          </w:tcPr>
          <w:p>
            <w:pPr>
              <w:pStyle w:val="694"/>
              <w:kinsoku w:val="0"/>
              <w:overflowPunct w:val="0"/>
              <w:spacing w:line="340" w:lineRule="exact"/>
              <w:ind w:right="2"/>
              <w:jc w:val="center"/>
              <w:rPr>
                <w:rFonts w:hAnsi="宋体"/>
                <w:bCs/>
                <w:w w:val="99"/>
                <w:szCs w:val="21"/>
              </w:rPr>
            </w:pPr>
            <w:r>
              <w:rPr>
                <w:rFonts w:hint="eastAsia" w:hAnsi="宋体"/>
                <w:bCs/>
                <w:w w:val="99"/>
                <w:szCs w:val="21"/>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97" w:hRule="exact"/>
        </w:trPr>
        <w:tc>
          <w:tcPr>
            <w:tcW w:w="960" w:type="pct"/>
            <w:vMerge w:val="continue"/>
            <w:vAlign w:val="center"/>
          </w:tcPr>
          <w:p>
            <w:pPr>
              <w:pStyle w:val="694"/>
              <w:kinsoku w:val="0"/>
              <w:overflowPunct w:val="0"/>
              <w:spacing w:line="340" w:lineRule="exact"/>
              <w:jc w:val="center"/>
              <w:rPr>
                <w:szCs w:val="21"/>
              </w:rPr>
            </w:pPr>
          </w:p>
        </w:tc>
        <w:tc>
          <w:tcPr>
            <w:tcW w:w="1074" w:type="pct"/>
            <w:tcBorders>
              <w:right w:val="single" w:color="auto" w:sz="4" w:space="0"/>
            </w:tcBorders>
            <w:vAlign w:val="center"/>
          </w:tcPr>
          <w:p>
            <w:pPr>
              <w:pStyle w:val="694"/>
              <w:kinsoku w:val="0"/>
              <w:overflowPunct w:val="0"/>
              <w:spacing w:line="340" w:lineRule="exact"/>
              <w:ind w:right="1"/>
              <w:jc w:val="center"/>
              <w:rPr>
                <w:rFonts w:hAnsi="宋体"/>
                <w:bCs/>
                <w:w w:val="99"/>
                <w:szCs w:val="21"/>
              </w:rPr>
            </w:pPr>
            <w:r>
              <w:rPr>
                <w:rFonts w:hAnsi="宋体"/>
                <w:bCs/>
                <w:w w:val="99"/>
                <w:szCs w:val="21"/>
              </w:rPr>
              <w:t>pH</w:t>
            </w:r>
            <w:r>
              <w:rPr>
                <w:rFonts w:hint="eastAsia" w:hAnsi="宋体"/>
                <w:bCs/>
                <w:w w:val="99"/>
                <w:szCs w:val="21"/>
              </w:rPr>
              <w:t>＞7</w:t>
            </w:r>
            <w:r>
              <w:rPr>
                <w:rFonts w:hAnsi="宋体"/>
                <w:bCs/>
                <w:w w:val="99"/>
                <w:szCs w:val="21"/>
              </w:rPr>
              <w:t>.5</w:t>
            </w:r>
          </w:p>
        </w:tc>
        <w:tc>
          <w:tcPr>
            <w:tcW w:w="311" w:type="pct"/>
            <w:tcBorders>
              <w:right w:val="single" w:color="auto" w:sz="4" w:space="0"/>
            </w:tcBorders>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0.6</w:t>
            </w:r>
          </w:p>
        </w:tc>
        <w:tc>
          <w:tcPr>
            <w:tcW w:w="309" w:type="pct"/>
            <w:tcBorders>
              <w:left w:val="single" w:color="auto" w:sz="4" w:space="0"/>
            </w:tcBorders>
            <w:vAlign w:val="center"/>
          </w:tcPr>
          <w:p>
            <w:pPr>
              <w:pStyle w:val="694"/>
              <w:kinsoku w:val="0"/>
              <w:overflowPunct w:val="0"/>
              <w:spacing w:line="340" w:lineRule="exact"/>
              <w:jc w:val="center"/>
              <w:rPr>
                <w:rFonts w:hAnsi="宋体"/>
                <w:bCs/>
                <w:w w:val="99"/>
                <w:szCs w:val="21"/>
              </w:rPr>
            </w:pPr>
            <w:r>
              <w:rPr>
                <w:rFonts w:hint="eastAsia" w:hAnsi="宋体"/>
                <w:bCs/>
                <w:w w:val="99"/>
                <w:szCs w:val="21"/>
              </w:rPr>
              <w:t>3.4</w:t>
            </w:r>
          </w:p>
        </w:tc>
        <w:tc>
          <w:tcPr>
            <w:tcW w:w="356"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250</w:t>
            </w:r>
          </w:p>
        </w:tc>
        <w:tc>
          <w:tcPr>
            <w:tcW w:w="267"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25</w:t>
            </w:r>
          </w:p>
        </w:tc>
        <w:tc>
          <w:tcPr>
            <w:tcW w:w="352"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170</w:t>
            </w:r>
          </w:p>
        </w:tc>
        <w:tc>
          <w:tcPr>
            <w:tcW w:w="311"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0.6</w:t>
            </w:r>
          </w:p>
        </w:tc>
        <w:tc>
          <w:tcPr>
            <w:tcW w:w="352"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100</w:t>
            </w:r>
          </w:p>
        </w:tc>
        <w:tc>
          <w:tcPr>
            <w:tcW w:w="355"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300</w:t>
            </w:r>
          </w:p>
        </w:tc>
        <w:tc>
          <w:tcPr>
            <w:tcW w:w="353" w:type="pct"/>
            <w:vAlign w:val="center"/>
          </w:tcPr>
          <w:p>
            <w:pPr>
              <w:pStyle w:val="694"/>
              <w:kinsoku w:val="0"/>
              <w:overflowPunct w:val="0"/>
              <w:spacing w:line="340" w:lineRule="exact"/>
              <w:ind w:right="1"/>
              <w:jc w:val="center"/>
              <w:rPr>
                <w:rFonts w:hAnsi="宋体"/>
                <w:bCs/>
                <w:w w:val="99"/>
                <w:szCs w:val="21"/>
              </w:rPr>
            </w:pPr>
            <w:r>
              <w:rPr>
                <w:rFonts w:hint="eastAsia" w:hAnsi="宋体"/>
                <w:bCs/>
                <w:w w:val="99"/>
                <w:szCs w:val="21"/>
              </w:rPr>
              <w:t>190</w:t>
            </w:r>
          </w:p>
        </w:tc>
      </w:tr>
    </w:tbl>
    <w:p>
      <w:pPr>
        <w:pStyle w:val="7"/>
        <w:spacing w:before="120" w:beforeLines="50"/>
        <w:rPr>
          <w:szCs w:val="24"/>
        </w:rPr>
      </w:pPr>
      <w:bookmarkStart w:id="166" w:name="_Toc3903195"/>
      <w:bookmarkStart w:id="167" w:name="_Toc534895193"/>
      <w:bookmarkStart w:id="168" w:name="_Toc534386216"/>
      <w:bookmarkStart w:id="169" w:name="_Toc534806975"/>
      <w:bookmarkStart w:id="170" w:name="_Toc529278978"/>
      <w:bookmarkStart w:id="171" w:name="_Toc536265058"/>
      <w:r>
        <w:rPr>
          <w:szCs w:val="24"/>
        </w:rPr>
        <w:t>1.</w:t>
      </w:r>
      <w:r>
        <w:rPr>
          <w:rFonts w:hint="eastAsia"/>
          <w:szCs w:val="24"/>
        </w:rPr>
        <w:t>5</w:t>
      </w:r>
      <w:r>
        <w:rPr>
          <w:szCs w:val="24"/>
        </w:rPr>
        <w:t>.2污染物排放标准</w:t>
      </w:r>
      <w:bookmarkEnd w:id="166"/>
      <w:bookmarkEnd w:id="167"/>
      <w:bookmarkEnd w:id="168"/>
      <w:bookmarkEnd w:id="169"/>
      <w:bookmarkEnd w:id="170"/>
      <w:bookmarkEnd w:id="171"/>
    </w:p>
    <w:p>
      <w:pPr>
        <w:ind w:firstLine="480"/>
      </w:pPr>
      <w:r>
        <w:rPr>
          <w:rFonts w:hint="eastAsia" w:ascii="宋体" w:hAnsi="宋体" w:cs="宋体"/>
          <w:szCs w:val="24"/>
        </w:rPr>
        <w:t>⑴</w:t>
      </w:r>
      <w:r>
        <w:t>废气</w:t>
      </w:r>
    </w:p>
    <w:p>
      <w:pPr>
        <w:ind w:firstLine="480"/>
      </w:pPr>
      <w:r>
        <w:t>施工废气执行《大气污染物综合排放标准》（</w:t>
      </w:r>
      <w:r>
        <w:rPr>
          <w:rFonts w:eastAsia="黑体"/>
        </w:rPr>
        <w:t>GB16297-1996</w:t>
      </w:r>
      <w:r>
        <w:t>）中表2新污染源无组织排放监控浓度限值，具体标准列于表1.</w:t>
      </w:r>
      <w:r>
        <w:rPr>
          <w:rFonts w:hint="eastAsia"/>
        </w:rPr>
        <w:t>5</w:t>
      </w:r>
      <w:r>
        <w:t>-</w:t>
      </w:r>
      <w:r>
        <w:rPr>
          <w:rFonts w:hint="eastAsia"/>
        </w:rPr>
        <w:t>7</w:t>
      </w:r>
      <w:r>
        <w:t>。</w:t>
      </w:r>
    </w:p>
    <w:p>
      <w:pPr>
        <w:spacing w:before="120" w:beforeLines="50" w:line="240" w:lineRule="auto"/>
        <w:ind w:firstLine="480"/>
        <w:jc w:val="center"/>
        <w:rPr>
          <w:rFonts w:ascii="黑体" w:hAnsi="黑体" w:eastAsia="黑体" w:cs="黑体"/>
        </w:rPr>
      </w:pPr>
      <w:r>
        <w:rPr>
          <w:rFonts w:hint="eastAsia" w:ascii="黑体" w:hAnsi="黑体" w:eastAsia="黑体" w:cs="黑体"/>
        </w:rPr>
        <w:t>表1.5-7  《大气污染物综合排放标准》（GB16297-1996）（摘录）</w:t>
      </w:r>
    </w:p>
    <w:tbl>
      <w:tblPr>
        <w:tblStyle w:val="82"/>
        <w:tblW w:w="0" w:type="auto"/>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688"/>
        <w:gridCol w:w="6384"/>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exact"/>
          <w:jc w:val="center"/>
        </w:trPr>
        <w:tc>
          <w:tcPr>
            <w:tcW w:w="2688" w:type="dxa"/>
            <w:tcBorders>
              <w:top w:val="single" w:color="000000" w:sz="12" w:space="0"/>
              <w:bottom w:val="single" w:color="000000" w:sz="6" w:space="0"/>
            </w:tcBorders>
            <w:vAlign w:val="center"/>
          </w:tcPr>
          <w:p>
            <w:pPr>
              <w:spacing w:line="340" w:lineRule="exact"/>
              <w:ind w:firstLine="0" w:firstLineChars="0"/>
              <w:jc w:val="center"/>
              <w:rPr>
                <w:sz w:val="21"/>
                <w:szCs w:val="21"/>
              </w:rPr>
            </w:pPr>
            <w:r>
              <w:rPr>
                <w:sz w:val="21"/>
                <w:szCs w:val="21"/>
              </w:rPr>
              <w:t>污染物</w:t>
            </w:r>
          </w:p>
        </w:tc>
        <w:tc>
          <w:tcPr>
            <w:tcW w:w="6384" w:type="dxa"/>
            <w:tcBorders>
              <w:top w:val="single" w:color="000000" w:sz="12" w:space="0"/>
              <w:bottom w:val="single" w:color="000000" w:sz="6" w:space="0"/>
            </w:tcBorders>
            <w:vAlign w:val="center"/>
          </w:tcPr>
          <w:p>
            <w:pPr>
              <w:spacing w:line="340" w:lineRule="exact"/>
              <w:ind w:firstLine="0" w:firstLineChars="0"/>
              <w:jc w:val="center"/>
              <w:rPr>
                <w:sz w:val="21"/>
                <w:szCs w:val="21"/>
              </w:rPr>
            </w:pPr>
            <w:r>
              <w:rPr>
                <w:sz w:val="21"/>
                <w:szCs w:val="21"/>
              </w:rPr>
              <w:t>无组织排放监控浓度限值（mg/m</w:t>
            </w:r>
            <w:r>
              <w:rPr>
                <w:sz w:val="21"/>
                <w:szCs w:val="21"/>
                <w:vertAlign w:val="superscript"/>
              </w:rPr>
              <w:t>3</w:t>
            </w:r>
            <w:r>
              <w:rPr>
                <w:sz w:val="21"/>
                <w:szCs w:val="21"/>
              </w:rPr>
              <w:t>）</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exact"/>
          <w:jc w:val="center"/>
        </w:trPr>
        <w:tc>
          <w:tcPr>
            <w:tcW w:w="2688" w:type="dxa"/>
            <w:tcBorders>
              <w:top w:val="single" w:color="000000" w:sz="6" w:space="0"/>
              <w:bottom w:val="single" w:color="000000" w:sz="6" w:space="0"/>
            </w:tcBorders>
            <w:vAlign w:val="center"/>
          </w:tcPr>
          <w:p>
            <w:pPr>
              <w:spacing w:line="340" w:lineRule="exact"/>
              <w:ind w:firstLine="0" w:firstLineChars="0"/>
              <w:jc w:val="center"/>
              <w:rPr>
                <w:sz w:val="21"/>
                <w:szCs w:val="21"/>
              </w:rPr>
            </w:pPr>
            <w:r>
              <w:rPr>
                <w:sz w:val="21"/>
                <w:szCs w:val="21"/>
              </w:rPr>
              <w:t>颗粒物</w:t>
            </w:r>
          </w:p>
        </w:tc>
        <w:tc>
          <w:tcPr>
            <w:tcW w:w="6384" w:type="dxa"/>
            <w:tcBorders>
              <w:top w:val="single" w:color="000000" w:sz="6" w:space="0"/>
              <w:bottom w:val="single" w:color="000000" w:sz="6" w:space="0"/>
            </w:tcBorders>
            <w:vAlign w:val="center"/>
          </w:tcPr>
          <w:p>
            <w:pPr>
              <w:spacing w:line="340" w:lineRule="exact"/>
              <w:ind w:firstLine="0" w:firstLineChars="0"/>
              <w:jc w:val="center"/>
              <w:rPr>
                <w:sz w:val="21"/>
                <w:szCs w:val="21"/>
              </w:rPr>
            </w:pPr>
            <w:r>
              <w:rPr>
                <w:sz w:val="21"/>
                <w:szCs w:val="21"/>
              </w:rPr>
              <w:t>周界外浓度最高点1.0</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exact"/>
          <w:jc w:val="center"/>
        </w:trPr>
        <w:tc>
          <w:tcPr>
            <w:tcW w:w="2688" w:type="dxa"/>
            <w:tcBorders>
              <w:top w:val="single" w:color="000000" w:sz="6" w:space="0"/>
              <w:bottom w:val="single" w:color="000000" w:sz="12" w:space="0"/>
            </w:tcBorders>
            <w:vAlign w:val="center"/>
          </w:tcPr>
          <w:p>
            <w:pPr>
              <w:spacing w:line="340" w:lineRule="exact"/>
              <w:ind w:firstLine="0" w:firstLineChars="0"/>
              <w:jc w:val="center"/>
              <w:rPr>
                <w:sz w:val="21"/>
                <w:szCs w:val="21"/>
              </w:rPr>
            </w:pPr>
            <w:r>
              <w:rPr>
                <w:sz w:val="21"/>
                <w:szCs w:val="21"/>
              </w:rPr>
              <w:t>氮氧化物</w:t>
            </w:r>
          </w:p>
        </w:tc>
        <w:tc>
          <w:tcPr>
            <w:tcW w:w="6384" w:type="dxa"/>
            <w:tcBorders>
              <w:top w:val="single" w:color="000000" w:sz="6" w:space="0"/>
              <w:bottom w:val="single" w:color="000000" w:sz="12" w:space="0"/>
            </w:tcBorders>
            <w:vAlign w:val="center"/>
          </w:tcPr>
          <w:p>
            <w:pPr>
              <w:spacing w:line="340" w:lineRule="exact"/>
              <w:ind w:firstLine="0" w:firstLineChars="0"/>
              <w:jc w:val="center"/>
              <w:rPr>
                <w:sz w:val="21"/>
                <w:szCs w:val="21"/>
              </w:rPr>
            </w:pPr>
            <w:r>
              <w:rPr>
                <w:sz w:val="21"/>
                <w:szCs w:val="21"/>
              </w:rPr>
              <w:t>周界外浓度最高点0.12</w:t>
            </w:r>
          </w:p>
        </w:tc>
      </w:tr>
    </w:tbl>
    <w:p>
      <w:pPr>
        <w:spacing w:before="120" w:beforeLines="50"/>
        <w:ind w:firstLine="480"/>
        <w:rPr>
          <w:lang w:val="en-GB"/>
        </w:rPr>
      </w:pPr>
      <w:r>
        <w:rPr>
          <w:rFonts w:hint="eastAsia" w:ascii="宋体" w:hAnsi="宋体" w:cs="宋体"/>
          <w:szCs w:val="24"/>
        </w:rPr>
        <w:t>⑵</w:t>
      </w:r>
      <w:r>
        <w:rPr>
          <w:lang w:val="en-GB"/>
        </w:rPr>
        <w:t>废水</w:t>
      </w:r>
    </w:p>
    <w:p>
      <w:pPr>
        <w:ind w:firstLine="480"/>
      </w:pPr>
      <w:r>
        <w:t>项目运营期无生产废水外排，生活污水经化粪池处理后由当地村民清掏用于周边农田菜地施肥，不外排周边水环境。项目废水排放执行《农田灌溉水质标准》（GB5084-20</w:t>
      </w:r>
      <w:r>
        <w:rPr>
          <w:rFonts w:hint="eastAsia"/>
        </w:rPr>
        <w:t>21</w:t>
      </w:r>
      <w:r>
        <w:t>）中旱作标准。具体见表</w:t>
      </w:r>
      <w:r>
        <w:rPr>
          <w:rFonts w:hint="eastAsia"/>
        </w:rPr>
        <w:t>1.5</w:t>
      </w:r>
      <w:r>
        <w:t>-</w:t>
      </w:r>
      <w:r>
        <w:rPr>
          <w:rFonts w:hint="eastAsia"/>
        </w:rPr>
        <w:t>8</w:t>
      </w:r>
      <w:r>
        <w:t>。</w:t>
      </w:r>
    </w:p>
    <w:p>
      <w:pPr>
        <w:spacing w:before="120" w:beforeLines="50" w:line="240" w:lineRule="auto"/>
        <w:ind w:firstLine="480"/>
        <w:jc w:val="center"/>
        <w:rPr>
          <w:rFonts w:ascii="黑体" w:hAnsi="黑体" w:eastAsia="黑体" w:cs="黑体"/>
        </w:rPr>
      </w:pPr>
      <w:r>
        <w:rPr>
          <w:rFonts w:hint="eastAsia" w:ascii="黑体" w:hAnsi="黑体" w:eastAsia="黑体" w:cs="黑体"/>
        </w:rPr>
        <w:t>表1.5-8   废水污染物排放标准   单位：mg/L(pH除外)</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87"/>
        <w:gridCol w:w="1068"/>
        <w:gridCol w:w="1028"/>
        <w:gridCol w:w="1097"/>
        <w:gridCol w:w="1009"/>
        <w:gridCol w:w="10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0" w:type="pct"/>
            <w:vAlign w:val="center"/>
          </w:tcPr>
          <w:p>
            <w:pPr>
              <w:spacing w:line="340" w:lineRule="exact"/>
              <w:ind w:firstLine="0" w:firstLineChars="0"/>
              <w:jc w:val="center"/>
              <w:rPr>
                <w:sz w:val="21"/>
                <w:szCs w:val="21"/>
              </w:rPr>
            </w:pPr>
            <w:r>
              <w:rPr>
                <w:sz w:val="21"/>
                <w:szCs w:val="21"/>
              </w:rPr>
              <w:t>污染物项目</w:t>
            </w:r>
          </w:p>
        </w:tc>
        <w:tc>
          <w:tcPr>
            <w:tcW w:w="558" w:type="pct"/>
            <w:vAlign w:val="center"/>
          </w:tcPr>
          <w:p>
            <w:pPr>
              <w:spacing w:line="340" w:lineRule="exact"/>
              <w:ind w:firstLine="0" w:firstLineChars="0"/>
              <w:jc w:val="center"/>
              <w:rPr>
                <w:sz w:val="21"/>
                <w:szCs w:val="21"/>
              </w:rPr>
            </w:pPr>
            <w:r>
              <w:rPr>
                <w:sz w:val="21"/>
                <w:szCs w:val="21"/>
              </w:rPr>
              <w:t>pH</w:t>
            </w:r>
          </w:p>
        </w:tc>
        <w:tc>
          <w:tcPr>
            <w:tcW w:w="537" w:type="pct"/>
            <w:vAlign w:val="center"/>
          </w:tcPr>
          <w:p>
            <w:pPr>
              <w:spacing w:line="340" w:lineRule="exact"/>
              <w:ind w:firstLine="0" w:firstLineChars="0"/>
              <w:jc w:val="center"/>
              <w:rPr>
                <w:sz w:val="21"/>
                <w:szCs w:val="21"/>
              </w:rPr>
            </w:pPr>
            <w:r>
              <w:rPr>
                <w:sz w:val="21"/>
                <w:szCs w:val="21"/>
              </w:rPr>
              <w:t>COD</w:t>
            </w:r>
            <w:r>
              <w:rPr>
                <w:sz w:val="21"/>
                <w:szCs w:val="21"/>
                <w:vertAlign w:val="subscript"/>
              </w:rPr>
              <w:t>Cr</w:t>
            </w:r>
          </w:p>
        </w:tc>
        <w:tc>
          <w:tcPr>
            <w:tcW w:w="573" w:type="pct"/>
            <w:vAlign w:val="center"/>
          </w:tcPr>
          <w:p>
            <w:pPr>
              <w:spacing w:line="340" w:lineRule="exact"/>
              <w:ind w:firstLine="0" w:firstLineChars="0"/>
              <w:jc w:val="center"/>
              <w:rPr>
                <w:sz w:val="21"/>
                <w:szCs w:val="21"/>
              </w:rPr>
            </w:pPr>
            <w:r>
              <w:rPr>
                <w:sz w:val="21"/>
                <w:szCs w:val="21"/>
              </w:rPr>
              <w:t>BOD</w:t>
            </w:r>
            <w:r>
              <w:rPr>
                <w:sz w:val="21"/>
                <w:szCs w:val="21"/>
                <w:vertAlign w:val="subscript"/>
              </w:rPr>
              <w:t>5</w:t>
            </w:r>
          </w:p>
        </w:tc>
        <w:tc>
          <w:tcPr>
            <w:tcW w:w="527" w:type="pct"/>
            <w:vAlign w:val="center"/>
          </w:tcPr>
          <w:p>
            <w:pPr>
              <w:spacing w:line="340" w:lineRule="exact"/>
              <w:ind w:firstLine="0" w:firstLineChars="0"/>
              <w:jc w:val="center"/>
              <w:rPr>
                <w:sz w:val="21"/>
                <w:szCs w:val="21"/>
              </w:rPr>
            </w:pPr>
            <w:r>
              <w:rPr>
                <w:sz w:val="21"/>
                <w:szCs w:val="21"/>
              </w:rPr>
              <w:t>SS</w:t>
            </w:r>
          </w:p>
        </w:tc>
        <w:tc>
          <w:tcPr>
            <w:tcW w:w="565" w:type="pct"/>
            <w:vAlign w:val="center"/>
          </w:tcPr>
          <w:p>
            <w:pPr>
              <w:spacing w:line="340" w:lineRule="exact"/>
              <w:ind w:firstLine="0" w:firstLineChars="0"/>
              <w:jc w:val="center"/>
              <w:rPr>
                <w:sz w:val="21"/>
                <w:szCs w:val="21"/>
              </w:rPr>
            </w:pPr>
            <w:r>
              <w:rPr>
                <w:sz w:val="21"/>
                <w:szCs w:val="21"/>
              </w:rPr>
              <w:t>NH</w:t>
            </w:r>
            <w:r>
              <w:rPr>
                <w:sz w:val="21"/>
                <w:szCs w:val="21"/>
                <w:vertAlign w:val="subscript"/>
              </w:rPr>
              <w:t>3</w:t>
            </w:r>
            <w:r>
              <w:rPr>
                <w:sz w:val="21"/>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0" w:type="pct"/>
            <w:vAlign w:val="center"/>
          </w:tcPr>
          <w:p>
            <w:pPr>
              <w:spacing w:line="340" w:lineRule="exact"/>
              <w:ind w:firstLine="0" w:firstLineChars="0"/>
              <w:jc w:val="center"/>
              <w:rPr>
                <w:sz w:val="21"/>
                <w:szCs w:val="21"/>
              </w:rPr>
            </w:pPr>
            <w:r>
              <w:rPr>
                <w:sz w:val="21"/>
                <w:szCs w:val="21"/>
              </w:rPr>
              <w:t>《农田灌溉水质标准》（GB5084-20</w:t>
            </w:r>
            <w:r>
              <w:rPr>
                <w:rFonts w:hint="eastAsia"/>
                <w:sz w:val="21"/>
                <w:szCs w:val="21"/>
              </w:rPr>
              <w:t>21</w:t>
            </w:r>
            <w:r>
              <w:rPr>
                <w:sz w:val="21"/>
                <w:szCs w:val="21"/>
              </w:rPr>
              <w:t>）</w:t>
            </w:r>
          </w:p>
        </w:tc>
        <w:tc>
          <w:tcPr>
            <w:tcW w:w="558" w:type="pct"/>
            <w:vAlign w:val="center"/>
          </w:tcPr>
          <w:p>
            <w:pPr>
              <w:spacing w:line="340" w:lineRule="exact"/>
              <w:ind w:firstLine="0" w:firstLineChars="0"/>
              <w:jc w:val="center"/>
              <w:rPr>
                <w:sz w:val="21"/>
                <w:szCs w:val="21"/>
              </w:rPr>
            </w:pPr>
            <w:r>
              <w:rPr>
                <w:sz w:val="21"/>
                <w:szCs w:val="21"/>
              </w:rPr>
              <w:t>5.5-8.5</w:t>
            </w:r>
          </w:p>
        </w:tc>
        <w:tc>
          <w:tcPr>
            <w:tcW w:w="537" w:type="pct"/>
            <w:vAlign w:val="center"/>
          </w:tcPr>
          <w:p>
            <w:pPr>
              <w:spacing w:line="340" w:lineRule="exact"/>
              <w:ind w:firstLine="0" w:firstLineChars="0"/>
              <w:jc w:val="center"/>
              <w:rPr>
                <w:sz w:val="21"/>
                <w:szCs w:val="21"/>
              </w:rPr>
            </w:pPr>
            <w:r>
              <w:rPr>
                <w:rFonts w:hint="eastAsia"/>
                <w:sz w:val="21"/>
                <w:szCs w:val="21"/>
              </w:rPr>
              <w:t>200</w:t>
            </w:r>
          </w:p>
        </w:tc>
        <w:tc>
          <w:tcPr>
            <w:tcW w:w="573" w:type="pct"/>
            <w:vAlign w:val="center"/>
          </w:tcPr>
          <w:p>
            <w:pPr>
              <w:spacing w:line="340" w:lineRule="exact"/>
              <w:ind w:firstLine="0" w:firstLineChars="0"/>
              <w:jc w:val="center"/>
              <w:rPr>
                <w:sz w:val="21"/>
                <w:szCs w:val="21"/>
              </w:rPr>
            </w:pPr>
            <w:r>
              <w:rPr>
                <w:sz w:val="21"/>
                <w:szCs w:val="21"/>
              </w:rPr>
              <w:t>100</w:t>
            </w:r>
          </w:p>
        </w:tc>
        <w:tc>
          <w:tcPr>
            <w:tcW w:w="527" w:type="pct"/>
            <w:vAlign w:val="center"/>
          </w:tcPr>
          <w:p>
            <w:pPr>
              <w:spacing w:line="340" w:lineRule="exact"/>
              <w:ind w:firstLine="0" w:firstLineChars="0"/>
              <w:jc w:val="center"/>
              <w:rPr>
                <w:sz w:val="21"/>
                <w:szCs w:val="21"/>
              </w:rPr>
            </w:pPr>
            <w:r>
              <w:rPr>
                <w:sz w:val="21"/>
                <w:szCs w:val="21"/>
              </w:rPr>
              <w:t>100</w:t>
            </w:r>
          </w:p>
        </w:tc>
        <w:tc>
          <w:tcPr>
            <w:tcW w:w="565" w:type="pct"/>
            <w:vAlign w:val="center"/>
          </w:tcPr>
          <w:p>
            <w:pPr>
              <w:spacing w:line="340" w:lineRule="exact"/>
              <w:ind w:firstLine="0" w:firstLineChars="0"/>
              <w:jc w:val="center"/>
              <w:rPr>
                <w:sz w:val="21"/>
                <w:szCs w:val="21"/>
              </w:rPr>
            </w:pPr>
            <w:r>
              <w:rPr>
                <w:sz w:val="21"/>
                <w:szCs w:val="21"/>
              </w:rPr>
              <w:t>/</w:t>
            </w:r>
          </w:p>
        </w:tc>
      </w:tr>
    </w:tbl>
    <w:p>
      <w:pPr>
        <w:ind w:firstLine="480"/>
        <w:rPr>
          <w:lang w:val="en-GB"/>
        </w:rPr>
      </w:pPr>
      <w:r>
        <w:rPr>
          <w:rFonts w:hint="eastAsia" w:ascii="宋体" w:hAnsi="宋体" w:cs="宋体"/>
          <w:szCs w:val="24"/>
        </w:rPr>
        <w:t>⑶</w:t>
      </w:r>
      <w:r>
        <w:rPr>
          <w:lang w:val="en-GB"/>
        </w:rPr>
        <w:t>噪声</w:t>
      </w:r>
    </w:p>
    <w:p>
      <w:pPr>
        <w:autoSpaceDE w:val="0"/>
        <w:autoSpaceDN w:val="0"/>
        <w:adjustRightInd w:val="0"/>
        <w:ind w:firstLine="480"/>
        <w:rPr>
          <w:rFonts w:hAnsi="宋体"/>
          <w:szCs w:val="24"/>
        </w:rPr>
      </w:pPr>
      <w:r>
        <w:rPr>
          <w:rFonts w:hAnsi="宋体"/>
          <w:szCs w:val="24"/>
        </w:rPr>
        <w:t>工程施工期场界噪声排放执行《建筑施工场界环境噪声排放标准》</w:t>
      </w:r>
      <w:r>
        <w:rPr>
          <w:szCs w:val="24"/>
        </w:rPr>
        <w:t>GB12523-2011</w:t>
      </w:r>
      <w:r>
        <w:rPr>
          <w:rFonts w:hAnsi="宋体"/>
          <w:szCs w:val="24"/>
        </w:rPr>
        <w:t>中表</w:t>
      </w:r>
      <w:r>
        <w:rPr>
          <w:szCs w:val="24"/>
        </w:rPr>
        <w:t>1</w:t>
      </w:r>
      <w:r>
        <w:rPr>
          <w:rFonts w:hAnsi="宋体"/>
          <w:szCs w:val="24"/>
        </w:rPr>
        <w:t>排放限值；即昼间</w:t>
      </w:r>
      <w:r>
        <w:rPr>
          <w:szCs w:val="24"/>
        </w:rPr>
        <w:t>70dB</w:t>
      </w:r>
      <w:r>
        <w:rPr>
          <w:rFonts w:hAnsi="宋体"/>
          <w:szCs w:val="24"/>
        </w:rPr>
        <w:t>，夜间</w:t>
      </w:r>
      <w:r>
        <w:rPr>
          <w:szCs w:val="24"/>
        </w:rPr>
        <w:t>55dB</w:t>
      </w:r>
      <w:r>
        <w:rPr>
          <w:rFonts w:hAnsi="宋体"/>
          <w:szCs w:val="24"/>
        </w:rPr>
        <w:t>，运行期执行《工业企业厂界环境噪声排放标准》（</w:t>
      </w:r>
      <w:r>
        <w:rPr>
          <w:szCs w:val="24"/>
        </w:rPr>
        <w:t>GB12348-2008</w:t>
      </w:r>
      <w:r>
        <w:rPr>
          <w:rFonts w:hAnsi="宋体"/>
          <w:szCs w:val="24"/>
        </w:rPr>
        <w:t>）</w:t>
      </w:r>
      <w:r>
        <w:rPr>
          <w:szCs w:val="24"/>
        </w:rPr>
        <w:t xml:space="preserve">2 </w:t>
      </w:r>
      <w:r>
        <w:rPr>
          <w:rFonts w:hAnsi="宋体"/>
          <w:szCs w:val="24"/>
        </w:rPr>
        <w:t>类</w:t>
      </w:r>
      <w:r>
        <w:rPr>
          <w:rFonts w:hint="eastAsia" w:hAnsi="宋体"/>
          <w:szCs w:val="24"/>
        </w:rPr>
        <w:t>区</w:t>
      </w:r>
      <w:r>
        <w:rPr>
          <w:rFonts w:hAnsi="宋体"/>
          <w:szCs w:val="24"/>
        </w:rPr>
        <w:t>标准；详见表</w:t>
      </w:r>
      <w:r>
        <w:rPr>
          <w:szCs w:val="24"/>
        </w:rPr>
        <w:t>1.5-</w:t>
      </w:r>
      <w:r>
        <w:rPr>
          <w:rFonts w:hint="eastAsia"/>
          <w:szCs w:val="24"/>
        </w:rPr>
        <w:t>9</w:t>
      </w:r>
      <w:r>
        <w:rPr>
          <w:rFonts w:hAnsi="宋体"/>
          <w:szCs w:val="24"/>
        </w:rPr>
        <w:t>。</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表1.5-9   厂界环境噪声排放标准</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3684"/>
        <w:gridCol w:w="2192"/>
        <w:gridCol w:w="20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1" w:type="pct"/>
            <w:vMerge w:val="restart"/>
            <w:tcBorders>
              <w:top w:val="single" w:color="auto" w:sz="12" w:space="0"/>
              <w:left w:val="nil"/>
              <w:bottom w:val="single" w:color="auto" w:sz="4" w:space="0"/>
              <w:right w:val="single" w:color="auto" w:sz="4" w:space="0"/>
            </w:tcBorders>
            <w:vAlign w:val="center"/>
          </w:tcPr>
          <w:p>
            <w:pPr>
              <w:pStyle w:val="159"/>
              <w:rPr>
                <w:kern w:val="2"/>
                <w:szCs w:val="22"/>
              </w:rPr>
            </w:pPr>
            <w:r>
              <w:rPr>
                <w:kern w:val="2"/>
                <w:szCs w:val="22"/>
              </w:rPr>
              <w:t>时段</w:t>
            </w:r>
          </w:p>
        </w:tc>
        <w:tc>
          <w:tcPr>
            <w:tcW w:w="1925" w:type="pct"/>
            <w:vMerge w:val="restart"/>
            <w:tcBorders>
              <w:top w:val="single" w:color="auto" w:sz="12" w:space="0"/>
              <w:left w:val="single" w:color="auto" w:sz="4" w:space="0"/>
              <w:bottom w:val="single" w:color="auto" w:sz="4" w:space="0"/>
              <w:right w:val="single" w:color="auto" w:sz="4" w:space="0"/>
            </w:tcBorders>
            <w:vAlign w:val="center"/>
          </w:tcPr>
          <w:p>
            <w:pPr>
              <w:pStyle w:val="159"/>
              <w:rPr>
                <w:kern w:val="2"/>
                <w:szCs w:val="22"/>
              </w:rPr>
            </w:pPr>
            <w:r>
              <w:rPr>
                <w:kern w:val="2"/>
                <w:szCs w:val="22"/>
              </w:rPr>
              <w:t>标准</w:t>
            </w:r>
          </w:p>
        </w:tc>
        <w:tc>
          <w:tcPr>
            <w:tcW w:w="2194" w:type="pct"/>
            <w:gridSpan w:val="2"/>
            <w:tcBorders>
              <w:top w:val="single" w:color="auto" w:sz="12" w:space="0"/>
              <w:left w:val="single" w:color="auto" w:sz="4" w:space="0"/>
              <w:bottom w:val="single" w:color="auto" w:sz="4" w:space="0"/>
              <w:right w:val="nil"/>
            </w:tcBorders>
            <w:vAlign w:val="center"/>
          </w:tcPr>
          <w:p>
            <w:pPr>
              <w:pStyle w:val="159"/>
              <w:rPr>
                <w:kern w:val="2"/>
                <w:szCs w:val="22"/>
              </w:rPr>
            </w:pPr>
            <w:r>
              <w:rPr>
                <w:kern w:val="2"/>
                <w:szCs w:val="22"/>
              </w:rPr>
              <w:t>标准限值dB(A)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single" w:color="auto" w:sz="12" w:space="0"/>
              <w:left w:val="nil"/>
              <w:bottom w:val="single" w:color="auto" w:sz="4" w:space="0"/>
              <w:right w:val="single" w:color="auto" w:sz="4" w:space="0"/>
            </w:tcBorders>
            <w:vAlign w:val="center"/>
          </w:tcPr>
          <w:p>
            <w:pPr>
              <w:widowControl/>
              <w:spacing w:line="340" w:lineRule="exact"/>
              <w:ind w:firstLine="0" w:firstLineChars="0"/>
              <w:jc w:val="left"/>
              <w:rPr>
                <w:sz w:val="21"/>
              </w:rPr>
            </w:pPr>
          </w:p>
        </w:tc>
        <w:tc>
          <w:tcPr>
            <w:tcW w:w="0" w:type="auto"/>
            <w:vMerge w:val="continue"/>
            <w:tcBorders>
              <w:top w:val="single" w:color="auto" w:sz="12" w:space="0"/>
              <w:left w:val="single" w:color="auto" w:sz="4" w:space="0"/>
              <w:bottom w:val="single" w:color="auto" w:sz="4" w:space="0"/>
              <w:right w:val="single" w:color="auto" w:sz="4" w:space="0"/>
            </w:tcBorders>
            <w:vAlign w:val="center"/>
          </w:tcPr>
          <w:p>
            <w:pPr>
              <w:widowControl/>
              <w:spacing w:line="340" w:lineRule="exact"/>
              <w:ind w:firstLine="0" w:firstLineChars="0"/>
              <w:jc w:val="left"/>
              <w:rPr>
                <w:sz w:val="21"/>
              </w:rPr>
            </w:pPr>
          </w:p>
        </w:tc>
        <w:tc>
          <w:tcPr>
            <w:tcW w:w="1145" w:type="pct"/>
            <w:tcBorders>
              <w:top w:val="single" w:color="auto" w:sz="4" w:space="0"/>
              <w:left w:val="single" w:color="auto" w:sz="4" w:space="0"/>
              <w:bottom w:val="single" w:color="auto" w:sz="4" w:space="0"/>
              <w:right w:val="single" w:color="auto" w:sz="4" w:space="0"/>
            </w:tcBorders>
            <w:vAlign w:val="center"/>
          </w:tcPr>
          <w:p>
            <w:pPr>
              <w:pStyle w:val="159"/>
              <w:rPr>
                <w:kern w:val="2"/>
                <w:szCs w:val="22"/>
              </w:rPr>
            </w:pPr>
            <w:r>
              <w:rPr>
                <w:kern w:val="2"/>
                <w:szCs w:val="22"/>
              </w:rPr>
              <w:t>昼间</w:t>
            </w:r>
          </w:p>
        </w:tc>
        <w:tc>
          <w:tcPr>
            <w:tcW w:w="1049" w:type="pct"/>
            <w:tcBorders>
              <w:top w:val="single" w:color="auto" w:sz="4" w:space="0"/>
              <w:left w:val="single" w:color="auto" w:sz="4" w:space="0"/>
              <w:bottom w:val="single" w:color="auto" w:sz="4" w:space="0"/>
              <w:right w:val="nil"/>
            </w:tcBorders>
            <w:vAlign w:val="center"/>
          </w:tcPr>
          <w:p>
            <w:pPr>
              <w:pStyle w:val="159"/>
              <w:rPr>
                <w:kern w:val="2"/>
                <w:szCs w:val="22"/>
              </w:rPr>
            </w:pPr>
            <w:r>
              <w:rPr>
                <w:kern w:val="2"/>
                <w:szCs w:val="22"/>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1" w:type="pct"/>
            <w:tcBorders>
              <w:top w:val="single" w:color="auto" w:sz="4" w:space="0"/>
              <w:left w:val="nil"/>
              <w:bottom w:val="single" w:color="auto" w:sz="4" w:space="0"/>
              <w:right w:val="single" w:color="auto" w:sz="4" w:space="0"/>
            </w:tcBorders>
            <w:vAlign w:val="center"/>
          </w:tcPr>
          <w:p>
            <w:pPr>
              <w:pStyle w:val="159"/>
              <w:rPr>
                <w:kern w:val="2"/>
                <w:szCs w:val="22"/>
              </w:rPr>
            </w:pPr>
            <w:r>
              <w:rPr>
                <w:kern w:val="2"/>
                <w:szCs w:val="22"/>
              </w:rPr>
              <w:t>施工期</w:t>
            </w:r>
          </w:p>
        </w:tc>
        <w:tc>
          <w:tcPr>
            <w:tcW w:w="1925" w:type="pct"/>
            <w:tcBorders>
              <w:top w:val="single" w:color="auto" w:sz="4" w:space="0"/>
              <w:left w:val="single" w:color="auto" w:sz="4" w:space="0"/>
              <w:bottom w:val="single" w:color="auto" w:sz="4" w:space="0"/>
              <w:right w:val="single" w:color="auto" w:sz="4" w:space="0"/>
            </w:tcBorders>
            <w:vAlign w:val="center"/>
          </w:tcPr>
          <w:p>
            <w:pPr>
              <w:pStyle w:val="159"/>
              <w:rPr>
                <w:kern w:val="2"/>
                <w:szCs w:val="22"/>
              </w:rPr>
            </w:pPr>
            <w:r>
              <w:rPr>
                <w:kern w:val="2"/>
                <w:szCs w:val="22"/>
              </w:rPr>
              <w:t>（GB12523-2011）</w:t>
            </w:r>
          </w:p>
        </w:tc>
        <w:tc>
          <w:tcPr>
            <w:tcW w:w="1145" w:type="pct"/>
            <w:tcBorders>
              <w:top w:val="single" w:color="auto" w:sz="4" w:space="0"/>
              <w:left w:val="single" w:color="auto" w:sz="4" w:space="0"/>
              <w:bottom w:val="single" w:color="auto" w:sz="4" w:space="0"/>
              <w:right w:val="single" w:color="auto" w:sz="4" w:space="0"/>
            </w:tcBorders>
            <w:vAlign w:val="center"/>
          </w:tcPr>
          <w:p>
            <w:pPr>
              <w:pStyle w:val="401"/>
              <w:spacing w:line="340" w:lineRule="exact"/>
              <w:rPr>
                <w:rFonts w:ascii="Times New Roman" w:hAnsi="Times New Roman"/>
                <w:spacing w:val="0"/>
                <w:kern w:val="2"/>
              </w:rPr>
            </w:pPr>
            <w:r>
              <w:rPr>
                <w:rFonts w:ascii="Times New Roman" w:hAnsi="Times New Roman"/>
                <w:spacing w:val="0"/>
                <w:kern w:val="2"/>
              </w:rPr>
              <w:t>70</w:t>
            </w:r>
          </w:p>
        </w:tc>
        <w:tc>
          <w:tcPr>
            <w:tcW w:w="1049" w:type="pct"/>
            <w:tcBorders>
              <w:top w:val="single" w:color="auto" w:sz="4" w:space="0"/>
              <w:left w:val="single" w:color="auto" w:sz="4" w:space="0"/>
              <w:bottom w:val="single" w:color="auto" w:sz="4" w:space="0"/>
              <w:right w:val="nil"/>
            </w:tcBorders>
            <w:vAlign w:val="center"/>
          </w:tcPr>
          <w:p>
            <w:pPr>
              <w:pStyle w:val="401"/>
              <w:spacing w:line="340" w:lineRule="exact"/>
              <w:rPr>
                <w:rFonts w:ascii="Times New Roman" w:hAnsi="Times New Roman"/>
                <w:spacing w:val="0"/>
                <w:kern w:val="2"/>
              </w:rPr>
            </w:pPr>
            <w:r>
              <w:rPr>
                <w:rFonts w:ascii="Times New Roman" w:hAnsi="Times New Roman"/>
                <w:spacing w:val="0"/>
                <w:kern w:val="2"/>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1" w:type="pct"/>
            <w:tcBorders>
              <w:top w:val="single" w:color="auto" w:sz="4" w:space="0"/>
              <w:left w:val="nil"/>
              <w:bottom w:val="single" w:color="auto" w:sz="12" w:space="0"/>
              <w:right w:val="single" w:color="auto" w:sz="4" w:space="0"/>
            </w:tcBorders>
            <w:vAlign w:val="center"/>
          </w:tcPr>
          <w:p>
            <w:pPr>
              <w:pStyle w:val="159"/>
              <w:rPr>
                <w:kern w:val="2"/>
                <w:szCs w:val="22"/>
              </w:rPr>
            </w:pPr>
            <w:r>
              <w:rPr>
                <w:kern w:val="2"/>
                <w:szCs w:val="22"/>
              </w:rPr>
              <w:t>营运期</w:t>
            </w:r>
          </w:p>
        </w:tc>
        <w:tc>
          <w:tcPr>
            <w:tcW w:w="1925" w:type="pct"/>
            <w:tcBorders>
              <w:top w:val="single" w:color="auto" w:sz="4" w:space="0"/>
              <w:left w:val="single" w:color="auto" w:sz="4" w:space="0"/>
              <w:bottom w:val="single" w:color="auto" w:sz="12" w:space="0"/>
              <w:right w:val="single" w:color="auto" w:sz="4" w:space="0"/>
            </w:tcBorders>
            <w:vAlign w:val="center"/>
          </w:tcPr>
          <w:p>
            <w:pPr>
              <w:pStyle w:val="159"/>
              <w:rPr>
                <w:kern w:val="2"/>
                <w:szCs w:val="22"/>
              </w:rPr>
            </w:pPr>
            <w:r>
              <w:rPr>
                <w:kern w:val="2"/>
                <w:szCs w:val="22"/>
              </w:rPr>
              <w:t>（GB12348-2008）</w:t>
            </w:r>
            <w:r>
              <w:rPr>
                <w:rFonts w:hint="eastAsia"/>
                <w:kern w:val="2"/>
                <w:szCs w:val="22"/>
              </w:rPr>
              <w:t>2</w:t>
            </w:r>
            <w:r>
              <w:rPr>
                <w:kern w:val="2"/>
                <w:szCs w:val="22"/>
              </w:rPr>
              <w:t>类功能区标准</w:t>
            </w:r>
          </w:p>
        </w:tc>
        <w:tc>
          <w:tcPr>
            <w:tcW w:w="1145" w:type="pct"/>
            <w:tcBorders>
              <w:top w:val="single" w:color="auto" w:sz="4" w:space="0"/>
              <w:left w:val="single" w:color="auto" w:sz="4" w:space="0"/>
              <w:bottom w:val="single" w:color="auto" w:sz="12" w:space="0"/>
              <w:right w:val="single" w:color="auto" w:sz="4" w:space="0"/>
            </w:tcBorders>
            <w:vAlign w:val="center"/>
          </w:tcPr>
          <w:p>
            <w:pPr>
              <w:pStyle w:val="866"/>
              <w:rPr>
                <w:rFonts w:ascii="Times New Roman" w:hAnsi="Times New Roman"/>
              </w:rPr>
            </w:pPr>
            <w:r>
              <w:rPr>
                <w:rFonts w:hint="eastAsia" w:ascii="Times New Roman" w:hAnsi="Times New Roman"/>
              </w:rPr>
              <w:t>60</w:t>
            </w:r>
          </w:p>
        </w:tc>
        <w:tc>
          <w:tcPr>
            <w:tcW w:w="1049" w:type="pct"/>
            <w:tcBorders>
              <w:top w:val="single" w:color="auto" w:sz="4" w:space="0"/>
              <w:left w:val="single" w:color="auto" w:sz="4" w:space="0"/>
              <w:bottom w:val="single" w:color="auto" w:sz="12" w:space="0"/>
              <w:right w:val="nil"/>
            </w:tcBorders>
            <w:vAlign w:val="center"/>
          </w:tcPr>
          <w:p>
            <w:pPr>
              <w:pStyle w:val="866"/>
              <w:rPr>
                <w:rFonts w:ascii="Times New Roman" w:hAnsi="Times New Roman"/>
              </w:rPr>
            </w:pPr>
            <w:r>
              <w:rPr>
                <w:rFonts w:hint="eastAsia" w:ascii="Times New Roman" w:hAnsi="Times New Roman"/>
              </w:rPr>
              <w:t>50</w:t>
            </w:r>
          </w:p>
        </w:tc>
      </w:tr>
    </w:tbl>
    <w:p>
      <w:pPr>
        <w:spacing w:before="120" w:beforeLines="50"/>
        <w:ind w:firstLine="480"/>
        <w:rPr>
          <w:szCs w:val="24"/>
        </w:rPr>
      </w:pPr>
      <w:r>
        <w:rPr>
          <w:rFonts w:hint="eastAsia" w:ascii="宋体" w:hAnsi="宋体" w:cs="宋体"/>
          <w:szCs w:val="24"/>
        </w:rPr>
        <w:t>⑷</w:t>
      </w:r>
      <w:r>
        <w:rPr>
          <w:szCs w:val="24"/>
        </w:rPr>
        <w:t>固体废物</w:t>
      </w:r>
    </w:p>
    <w:p>
      <w:pPr>
        <w:ind w:firstLine="480"/>
        <w:rPr>
          <w:szCs w:val="24"/>
        </w:rPr>
      </w:pPr>
      <w:r>
        <w:t>一般固废执行《一般工业固体废物贮存</w:t>
      </w:r>
      <w:r>
        <w:rPr>
          <w:rFonts w:hint="eastAsia"/>
        </w:rPr>
        <w:t>和填埋</w:t>
      </w:r>
      <w:r>
        <w:t>污染控制标准》（GB18599</w:t>
      </w:r>
      <w:r>
        <w:rPr>
          <w:rFonts w:hint="eastAsia"/>
        </w:rPr>
        <w:t>-</w:t>
      </w:r>
      <w:r>
        <w:t>20</w:t>
      </w:r>
      <w:r>
        <w:rPr>
          <w:rFonts w:hint="eastAsia"/>
        </w:rPr>
        <w:t>20</w:t>
      </w:r>
      <w:r>
        <w:t>）中的有关规定和要求，设备检修和维护产生的废机油、废乳化液、废液压油及废机油桶、废乳化液桶、废液压油桶等执行《危险废物贮存污染控制</w:t>
      </w:r>
      <w:r>
        <w:rPr>
          <w:rFonts w:hint="eastAsia"/>
        </w:rPr>
        <w:t>标准</w:t>
      </w:r>
      <w:r>
        <w:t>》（GB18597-2001）中的有关规定和要求。</w:t>
      </w:r>
    </w:p>
    <w:bookmarkEnd w:id="156"/>
    <w:bookmarkEnd w:id="157"/>
    <w:bookmarkEnd w:id="158"/>
    <w:bookmarkEnd w:id="159"/>
    <w:bookmarkEnd w:id="160"/>
    <w:bookmarkEnd w:id="161"/>
    <w:bookmarkEnd w:id="162"/>
    <w:bookmarkEnd w:id="163"/>
    <w:p>
      <w:pPr>
        <w:pStyle w:val="6"/>
        <w:spacing w:beforeLines="50" w:afterLines="50"/>
        <w:rPr>
          <w:szCs w:val="28"/>
        </w:rPr>
      </w:pPr>
      <w:bookmarkStart w:id="172" w:name="_Toc201932530"/>
      <w:bookmarkStart w:id="173" w:name="_Toc223843205"/>
      <w:bookmarkStart w:id="174" w:name="_Toc252288896"/>
      <w:bookmarkStart w:id="175" w:name="_Toc334643150"/>
      <w:bookmarkStart w:id="176" w:name="_Toc224878966"/>
      <w:bookmarkStart w:id="177" w:name="_Toc209351698"/>
      <w:bookmarkStart w:id="178" w:name="_Toc157479015"/>
      <w:bookmarkStart w:id="179" w:name="_Toc224879260"/>
      <w:bookmarkStart w:id="180" w:name="_Toc170981417"/>
      <w:bookmarkStart w:id="181" w:name="_Toc183011699"/>
      <w:bookmarkStart w:id="182" w:name="_Toc536265059"/>
      <w:bookmarkStart w:id="183" w:name="_Toc534895194"/>
      <w:bookmarkStart w:id="184" w:name="_Toc534806976"/>
      <w:bookmarkStart w:id="185" w:name="_Toc3903196"/>
      <w:bookmarkStart w:id="186" w:name="_Toc534386217"/>
      <w:bookmarkStart w:id="187" w:name="_Toc529278979"/>
      <w:bookmarkStart w:id="188" w:name="_Toc15890"/>
      <w:r>
        <w:rPr>
          <w:szCs w:val="28"/>
        </w:rPr>
        <w:t>1.6评价工作等级及</w:t>
      </w:r>
      <w:bookmarkEnd w:id="172"/>
      <w:bookmarkEnd w:id="173"/>
      <w:bookmarkEnd w:id="174"/>
      <w:bookmarkEnd w:id="175"/>
      <w:bookmarkEnd w:id="176"/>
      <w:bookmarkEnd w:id="177"/>
      <w:bookmarkEnd w:id="178"/>
      <w:bookmarkEnd w:id="179"/>
      <w:bookmarkEnd w:id="180"/>
      <w:bookmarkEnd w:id="181"/>
      <w:r>
        <w:rPr>
          <w:szCs w:val="28"/>
        </w:rPr>
        <w:t>评价</w:t>
      </w:r>
      <w:bookmarkEnd w:id="182"/>
      <w:bookmarkEnd w:id="183"/>
      <w:bookmarkEnd w:id="184"/>
      <w:bookmarkEnd w:id="185"/>
      <w:bookmarkEnd w:id="186"/>
      <w:bookmarkEnd w:id="187"/>
      <w:r>
        <w:rPr>
          <w:rFonts w:hint="eastAsia"/>
          <w:szCs w:val="28"/>
        </w:rPr>
        <w:t>范围</w:t>
      </w:r>
      <w:bookmarkEnd w:id="188"/>
    </w:p>
    <w:p>
      <w:pPr>
        <w:pStyle w:val="7"/>
        <w:rPr>
          <w:szCs w:val="24"/>
        </w:rPr>
      </w:pPr>
      <w:bookmarkStart w:id="189" w:name="_Toc529278980"/>
      <w:bookmarkStart w:id="190" w:name="_Toc223843206"/>
      <w:bookmarkStart w:id="191" w:name="_Toc183011700"/>
      <w:bookmarkStart w:id="192" w:name="_Toc224878967"/>
      <w:bookmarkStart w:id="193" w:name="_Toc201932531"/>
      <w:bookmarkStart w:id="194" w:name="_Toc252288897"/>
      <w:bookmarkStart w:id="195" w:name="_Toc3903197"/>
      <w:bookmarkStart w:id="196" w:name="_Toc534386218"/>
      <w:bookmarkStart w:id="197" w:name="_Toc534806977"/>
      <w:bookmarkStart w:id="198" w:name="_Toc157479016"/>
      <w:bookmarkStart w:id="199" w:name="_Toc170981418"/>
      <w:bookmarkStart w:id="200" w:name="_Toc224879261"/>
      <w:bookmarkStart w:id="201" w:name="_Toc209351699"/>
      <w:bookmarkStart w:id="202" w:name="_Toc536265060"/>
      <w:bookmarkStart w:id="203" w:name="_Toc534895195"/>
      <w:r>
        <w:rPr>
          <w:szCs w:val="24"/>
        </w:rPr>
        <w:t>1.6.1评价工作等级</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pPr>
        <w:ind w:firstLine="480"/>
      </w:pPr>
      <w:r>
        <w:rPr>
          <w:rFonts w:hint="eastAsia" w:ascii="宋体" w:hAnsi="宋体" w:cs="宋体"/>
          <w:szCs w:val="24"/>
        </w:rPr>
        <w:t>⑴</w:t>
      </w:r>
      <w:r>
        <w:t>环境空气</w:t>
      </w:r>
    </w:p>
    <w:p>
      <w:pPr>
        <w:ind w:firstLine="503"/>
        <w:rPr>
          <w:spacing w:val="-3"/>
        </w:rPr>
      </w:pPr>
      <w:r>
        <w:rPr>
          <w:w w:val="105"/>
          <w:szCs w:val="24"/>
        </w:rPr>
        <w:t>工程所在地地形简单，工程对环境空气质量的影响主要集中在施工期，影响范围为施工区域、施工生产生活区和施工道路两侧，施工期大气污染物主要是土方挖填引起的扬尘、运输中产生的扬尘、施工机械车辆排放的尾气，污染物主要是TSP、</w:t>
      </w:r>
      <w:r>
        <w:rPr>
          <w:rFonts w:hint="eastAsia"/>
          <w:w w:val="105"/>
          <w:szCs w:val="24"/>
        </w:rPr>
        <w:t>SO</w:t>
      </w:r>
      <w:r>
        <w:rPr>
          <w:rFonts w:hint="eastAsia"/>
          <w:w w:val="105"/>
          <w:szCs w:val="24"/>
          <w:vertAlign w:val="subscript"/>
        </w:rPr>
        <w:t>2</w:t>
      </w:r>
      <w:r>
        <w:rPr>
          <w:w w:val="105"/>
          <w:szCs w:val="24"/>
        </w:rPr>
        <w:t>、NOx、CO等，废气排放量很小，影响范围主要在施工场界内。工程完建后，对环境空气的影响随之消失。根据《环境影响评价技术导则大气环境》（HJ2.2-2018）评价工作分级原则，本次评价不再对环境空气影响评价进行等级</w:t>
      </w:r>
      <w:r>
        <w:rPr>
          <w:spacing w:val="-3"/>
          <w:szCs w:val="24"/>
        </w:rPr>
        <w:t>判定，仅针对施工期废气影响进行定性分析。</w:t>
      </w:r>
    </w:p>
    <w:p>
      <w:pPr>
        <w:pStyle w:val="8"/>
        <w:ind w:firstLine="480"/>
      </w:pPr>
      <w:r>
        <w:rPr>
          <w:rFonts w:hint="eastAsia" w:ascii="宋体" w:hAnsi="宋体" w:cs="宋体"/>
          <w:szCs w:val="24"/>
        </w:rPr>
        <w:t>⑵</w:t>
      </w:r>
      <w:r>
        <w:t>地表水</w:t>
      </w:r>
    </w:p>
    <w:p>
      <w:pPr>
        <w:ind w:firstLine="503"/>
        <w:rPr>
          <w:w w:val="105"/>
          <w:szCs w:val="24"/>
        </w:rPr>
      </w:pPr>
      <w:r>
        <w:rPr>
          <w:w w:val="105"/>
          <w:szCs w:val="24"/>
        </w:rPr>
        <w:t>本工程为非污染生态类项目，本工程运营期无废污水排放；施工期产生的污水主要是施工车辆冲洗废水和生活污水，污水量较小，污水成份较为简单，施工期废水经处理后全部综合利用，不外排。本工程对地表水体产生影响的工程内容主要为坝体建设。</w:t>
      </w:r>
    </w:p>
    <w:p>
      <w:pPr>
        <w:autoSpaceDE w:val="0"/>
        <w:autoSpaceDN w:val="0"/>
        <w:adjustRightInd w:val="0"/>
        <w:ind w:firstLine="503"/>
        <w:rPr>
          <w:szCs w:val="24"/>
        </w:rPr>
      </w:pPr>
      <w:r>
        <w:rPr>
          <w:w w:val="105"/>
          <w:szCs w:val="24"/>
        </w:rPr>
        <w:t>因此，根据《环境影响评价技术导则地表水环境》（HJ2.3-2018），本工程属水文要素影响型建设项目，评价等级划分根据</w:t>
      </w:r>
      <w:r>
        <w:rPr>
          <w:rFonts w:hint="eastAsia"/>
          <w:szCs w:val="24"/>
        </w:rPr>
        <w:t>水温、径流与受影响地表水域等三类水文要素的影响程度进行判定，水文要素影响</w:t>
      </w:r>
      <w:r>
        <w:rPr>
          <w:szCs w:val="24"/>
        </w:rPr>
        <w:t>地表水环境评价工作等级判定具体依据如下：</w:t>
      </w:r>
    </w:p>
    <w:p>
      <w:pPr>
        <w:spacing w:before="120" w:beforeLines="50" w:line="240" w:lineRule="auto"/>
        <w:ind w:firstLine="480"/>
        <w:jc w:val="center"/>
        <w:rPr>
          <w:rFonts w:ascii="黑体" w:hAnsi="黑体" w:eastAsia="黑体" w:cs="黑体"/>
        </w:rPr>
      </w:pPr>
      <w:r>
        <w:rPr>
          <w:rFonts w:hint="eastAsia" w:ascii="黑体" w:hAnsi="黑体" w:eastAsia="黑体" w:cs="黑体"/>
        </w:rPr>
        <w:t>表1.6-1  水文要素影响型建设项目评价等级判定表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1003"/>
        <w:gridCol w:w="1131"/>
        <w:gridCol w:w="1418"/>
        <w:gridCol w:w="1560"/>
        <w:gridCol w:w="1560"/>
        <w:gridCol w:w="20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Merge w:val="restart"/>
            <w:vAlign w:val="center"/>
          </w:tcPr>
          <w:p>
            <w:pPr>
              <w:spacing w:line="340" w:lineRule="exact"/>
              <w:ind w:firstLine="0" w:firstLineChars="0"/>
              <w:jc w:val="center"/>
              <w:rPr>
                <w:sz w:val="21"/>
                <w:szCs w:val="21"/>
              </w:rPr>
            </w:pPr>
            <w:r>
              <w:rPr>
                <w:rFonts w:hint="eastAsia"/>
                <w:sz w:val="21"/>
                <w:szCs w:val="21"/>
              </w:rPr>
              <w:t>评价</w:t>
            </w:r>
            <w:r>
              <w:rPr>
                <w:sz w:val="21"/>
                <w:szCs w:val="21"/>
              </w:rPr>
              <w:t>等级</w:t>
            </w:r>
          </w:p>
        </w:tc>
        <w:tc>
          <w:tcPr>
            <w:tcW w:w="524" w:type="pct"/>
            <w:vAlign w:val="center"/>
          </w:tcPr>
          <w:p>
            <w:pPr>
              <w:spacing w:line="340" w:lineRule="exact"/>
              <w:ind w:firstLine="0" w:firstLineChars="0"/>
              <w:jc w:val="center"/>
              <w:rPr>
                <w:sz w:val="21"/>
                <w:szCs w:val="21"/>
              </w:rPr>
            </w:pPr>
            <w:r>
              <w:rPr>
                <w:rFonts w:hint="eastAsia"/>
                <w:sz w:val="21"/>
                <w:szCs w:val="21"/>
              </w:rPr>
              <w:t>水温</w:t>
            </w:r>
          </w:p>
        </w:tc>
        <w:tc>
          <w:tcPr>
            <w:tcW w:w="1332" w:type="pct"/>
            <w:gridSpan w:val="2"/>
            <w:vAlign w:val="center"/>
          </w:tcPr>
          <w:p>
            <w:pPr>
              <w:spacing w:line="340" w:lineRule="exact"/>
              <w:ind w:firstLine="0" w:firstLineChars="0"/>
              <w:jc w:val="center"/>
              <w:rPr>
                <w:sz w:val="21"/>
                <w:szCs w:val="21"/>
              </w:rPr>
            </w:pPr>
            <w:r>
              <w:rPr>
                <w:rFonts w:hint="eastAsia"/>
                <w:sz w:val="21"/>
                <w:szCs w:val="21"/>
              </w:rPr>
              <w:t>径流</w:t>
            </w:r>
          </w:p>
        </w:tc>
        <w:tc>
          <w:tcPr>
            <w:tcW w:w="2722" w:type="pct"/>
            <w:gridSpan w:val="3"/>
            <w:vAlign w:val="center"/>
          </w:tcPr>
          <w:p>
            <w:pPr>
              <w:spacing w:line="340" w:lineRule="exact"/>
              <w:ind w:firstLine="0" w:firstLineChars="0"/>
              <w:jc w:val="center"/>
              <w:rPr>
                <w:sz w:val="21"/>
                <w:szCs w:val="21"/>
              </w:rPr>
            </w:pPr>
            <w:r>
              <w:rPr>
                <w:rFonts w:hint="eastAsia"/>
                <w:sz w:val="21"/>
                <w:szCs w:val="21"/>
              </w:rPr>
              <w:t>受</w:t>
            </w:r>
            <w:r>
              <w:rPr>
                <w:sz w:val="21"/>
                <w:szCs w:val="21"/>
              </w:rPr>
              <w:t>影响地表</w:t>
            </w:r>
            <w:r>
              <w:rPr>
                <w:rFonts w:hint="eastAsia"/>
                <w:sz w:val="21"/>
                <w:szCs w:val="21"/>
              </w:rPr>
              <w:t>水域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421" w:type="pct"/>
            <w:vMerge w:val="continue"/>
            <w:vAlign w:val="center"/>
          </w:tcPr>
          <w:p>
            <w:pPr>
              <w:spacing w:line="340" w:lineRule="exact"/>
              <w:ind w:firstLine="0" w:firstLineChars="0"/>
              <w:jc w:val="center"/>
              <w:rPr>
                <w:sz w:val="21"/>
                <w:szCs w:val="21"/>
              </w:rPr>
            </w:pPr>
          </w:p>
        </w:tc>
        <w:tc>
          <w:tcPr>
            <w:tcW w:w="524" w:type="pct"/>
            <w:vMerge w:val="restart"/>
            <w:vAlign w:val="center"/>
          </w:tcPr>
          <w:p>
            <w:pPr>
              <w:spacing w:line="340" w:lineRule="exact"/>
              <w:ind w:firstLine="0" w:firstLineChars="0"/>
              <w:jc w:val="center"/>
              <w:rPr>
                <w:sz w:val="21"/>
                <w:szCs w:val="21"/>
              </w:rPr>
            </w:pPr>
            <w:r>
              <w:rPr>
                <w:rFonts w:hint="eastAsia"/>
                <w:sz w:val="21"/>
                <w:szCs w:val="21"/>
              </w:rPr>
              <w:t>年径流量</w:t>
            </w:r>
            <w:r>
              <w:rPr>
                <w:sz w:val="21"/>
                <w:szCs w:val="21"/>
              </w:rPr>
              <w:t>与总库容之比α</w:t>
            </w:r>
          </w:p>
        </w:tc>
        <w:tc>
          <w:tcPr>
            <w:tcW w:w="591" w:type="pct"/>
            <w:vMerge w:val="restart"/>
            <w:vAlign w:val="center"/>
          </w:tcPr>
          <w:p>
            <w:pPr>
              <w:spacing w:line="340" w:lineRule="exact"/>
              <w:ind w:firstLine="0" w:firstLineChars="0"/>
              <w:jc w:val="center"/>
              <w:rPr>
                <w:sz w:val="21"/>
                <w:szCs w:val="21"/>
              </w:rPr>
            </w:pPr>
            <w:r>
              <w:rPr>
                <w:rFonts w:hint="eastAsia"/>
                <w:sz w:val="21"/>
                <w:szCs w:val="21"/>
              </w:rPr>
              <w:t>兴利</w:t>
            </w:r>
            <w:r>
              <w:rPr>
                <w:sz w:val="21"/>
                <w:szCs w:val="21"/>
              </w:rPr>
              <w:t>库容占</w:t>
            </w:r>
            <w:r>
              <w:rPr>
                <w:rFonts w:hint="eastAsia"/>
                <w:sz w:val="21"/>
                <w:szCs w:val="21"/>
              </w:rPr>
              <w:t>年径流量</w:t>
            </w:r>
            <w:r>
              <w:rPr>
                <w:sz w:val="21"/>
                <w:szCs w:val="21"/>
              </w:rPr>
              <w:t>百分比β%</w:t>
            </w:r>
          </w:p>
        </w:tc>
        <w:tc>
          <w:tcPr>
            <w:tcW w:w="740" w:type="pct"/>
            <w:vMerge w:val="restart"/>
            <w:vAlign w:val="center"/>
          </w:tcPr>
          <w:p>
            <w:pPr>
              <w:spacing w:line="340" w:lineRule="exact"/>
              <w:ind w:firstLine="0" w:firstLineChars="0"/>
              <w:jc w:val="center"/>
              <w:rPr>
                <w:sz w:val="21"/>
                <w:szCs w:val="21"/>
              </w:rPr>
            </w:pPr>
            <w:r>
              <w:rPr>
                <w:rFonts w:hint="eastAsia"/>
                <w:sz w:val="21"/>
                <w:szCs w:val="21"/>
              </w:rPr>
              <w:t>取水量</w:t>
            </w:r>
            <w:r>
              <w:rPr>
                <w:sz w:val="21"/>
                <w:szCs w:val="21"/>
              </w:rPr>
              <w:t>占多年平均径流量百分比γ%</w:t>
            </w:r>
          </w:p>
        </w:tc>
        <w:tc>
          <w:tcPr>
            <w:tcW w:w="1630" w:type="pct"/>
            <w:gridSpan w:val="2"/>
            <w:vAlign w:val="center"/>
          </w:tcPr>
          <w:p>
            <w:pPr>
              <w:spacing w:line="340" w:lineRule="exact"/>
              <w:ind w:firstLine="0" w:firstLineChars="0"/>
              <w:jc w:val="center"/>
              <w:rPr>
                <w:sz w:val="21"/>
                <w:szCs w:val="21"/>
              </w:rPr>
            </w:pPr>
            <w:r>
              <w:rPr>
                <w:rFonts w:hint="eastAsia"/>
                <w:sz w:val="21"/>
                <w:szCs w:val="21"/>
              </w:rPr>
              <w:t>工程</w:t>
            </w:r>
            <w:r>
              <w:rPr>
                <w:sz w:val="21"/>
                <w:szCs w:val="21"/>
              </w:rPr>
              <w:t>垂直投影面积及外扩范围</w:t>
            </w:r>
            <w:r>
              <w:rPr>
                <w:rFonts w:hint="eastAsia"/>
                <w:sz w:val="21"/>
                <w:szCs w:val="21"/>
              </w:rPr>
              <w:t>A</w:t>
            </w:r>
            <w:r>
              <w:rPr>
                <w:sz w:val="21"/>
                <w:szCs w:val="21"/>
                <w:vertAlign w:val="subscript"/>
              </w:rPr>
              <w:t>1</w:t>
            </w:r>
            <w:r>
              <w:rPr>
                <w:sz w:val="21"/>
                <w:szCs w:val="21"/>
              </w:rPr>
              <w:t>/km</w:t>
            </w:r>
            <w:r>
              <w:rPr>
                <w:sz w:val="21"/>
                <w:szCs w:val="21"/>
                <w:vertAlign w:val="superscript"/>
              </w:rPr>
              <w:t>2</w:t>
            </w:r>
            <w:r>
              <w:rPr>
                <w:rFonts w:hint="eastAsia"/>
                <w:sz w:val="21"/>
                <w:szCs w:val="21"/>
              </w:rPr>
              <w:t>；</w:t>
            </w:r>
            <w:r>
              <w:rPr>
                <w:sz w:val="21"/>
                <w:szCs w:val="21"/>
              </w:rPr>
              <w:t>工程扰动水底面积</w:t>
            </w:r>
            <w:r>
              <w:rPr>
                <w:rFonts w:hint="eastAsia"/>
                <w:sz w:val="21"/>
                <w:szCs w:val="21"/>
              </w:rPr>
              <w:t>A</w:t>
            </w:r>
            <w:r>
              <w:rPr>
                <w:sz w:val="21"/>
                <w:szCs w:val="21"/>
                <w:vertAlign w:val="subscript"/>
              </w:rPr>
              <w:t>2</w:t>
            </w:r>
            <w:r>
              <w:rPr>
                <w:sz w:val="21"/>
                <w:szCs w:val="21"/>
              </w:rPr>
              <w:t>/km</w:t>
            </w:r>
            <w:r>
              <w:rPr>
                <w:sz w:val="21"/>
                <w:szCs w:val="21"/>
                <w:vertAlign w:val="superscript"/>
              </w:rPr>
              <w:t>2</w:t>
            </w:r>
            <w:r>
              <w:rPr>
                <w:rFonts w:hint="eastAsia"/>
                <w:sz w:val="21"/>
                <w:szCs w:val="21"/>
              </w:rPr>
              <w:t>；过水断面</w:t>
            </w:r>
            <w:r>
              <w:rPr>
                <w:sz w:val="21"/>
                <w:szCs w:val="21"/>
              </w:rPr>
              <w:t>宽度占用比例或</w:t>
            </w:r>
            <w:r>
              <w:rPr>
                <w:rFonts w:hint="eastAsia"/>
                <w:sz w:val="21"/>
                <w:szCs w:val="21"/>
              </w:rPr>
              <w:t>占用</w:t>
            </w:r>
            <w:r>
              <w:rPr>
                <w:sz w:val="21"/>
                <w:szCs w:val="21"/>
              </w:rPr>
              <w:t>水域面积比例</w:t>
            </w:r>
            <w:r>
              <w:rPr>
                <w:rFonts w:hint="eastAsia"/>
                <w:sz w:val="21"/>
                <w:szCs w:val="21"/>
              </w:rPr>
              <w:t>R/</w:t>
            </w:r>
            <w:r>
              <w:rPr>
                <w:sz w:val="21"/>
                <w:szCs w:val="21"/>
              </w:rPr>
              <w:t>%</w:t>
            </w:r>
          </w:p>
        </w:tc>
        <w:tc>
          <w:tcPr>
            <w:tcW w:w="1091" w:type="pct"/>
            <w:vAlign w:val="center"/>
          </w:tcPr>
          <w:p>
            <w:pPr>
              <w:spacing w:line="340" w:lineRule="exact"/>
              <w:ind w:firstLine="0" w:firstLineChars="0"/>
              <w:jc w:val="center"/>
              <w:rPr>
                <w:sz w:val="21"/>
                <w:szCs w:val="21"/>
              </w:rPr>
            </w:pPr>
            <w:r>
              <w:rPr>
                <w:rFonts w:hint="eastAsia"/>
                <w:sz w:val="21"/>
                <w:szCs w:val="21"/>
              </w:rPr>
              <w:t>工程</w:t>
            </w:r>
            <w:r>
              <w:rPr>
                <w:sz w:val="21"/>
                <w:szCs w:val="21"/>
              </w:rPr>
              <w:t>垂直投影面积外扩范围</w:t>
            </w:r>
            <w:r>
              <w:rPr>
                <w:rFonts w:hint="eastAsia"/>
                <w:sz w:val="21"/>
                <w:szCs w:val="21"/>
              </w:rPr>
              <w:t>A</w:t>
            </w:r>
            <w:r>
              <w:rPr>
                <w:sz w:val="21"/>
                <w:szCs w:val="21"/>
                <w:vertAlign w:val="subscript"/>
              </w:rPr>
              <w:t>1</w:t>
            </w:r>
            <w:r>
              <w:rPr>
                <w:sz w:val="21"/>
                <w:szCs w:val="21"/>
              </w:rPr>
              <w:t>/km</w:t>
            </w:r>
            <w:r>
              <w:rPr>
                <w:sz w:val="21"/>
                <w:szCs w:val="21"/>
                <w:vertAlign w:val="superscript"/>
              </w:rPr>
              <w:t>2</w:t>
            </w:r>
            <w:r>
              <w:rPr>
                <w:rFonts w:hint="eastAsia"/>
                <w:sz w:val="21"/>
                <w:szCs w:val="21"/>
              </w:rPr>
              <w:t>；</w:t>
            </w:r>
            <w:r>
              <w:rPr>
                <w:sz w:val="21"/>
                <w:szCs w:val="21"/>
              </w:rPr>
              <w:t>工程扰动水底面积</w:t>
            </w:r>
            <w:r>
              <w:rPr>
                <w:rFonts w:hint="eastAsia"/>
                <w:sz w:val="21"/>
                <w:szCs w:val="21"/>
              </w:rPr>
              <w:t>A</w:t>
            </w:r>
            <w:r>
              <w:rPr>
                <w:sz w:val="21"/>
                <w:szCs w:val="21"/>
                <w:vertAlign w:val="subscript"/>
              </w:rPr>
              <w:t>2</w:t>
            </w:r>
            <w:r>
              <w:rPr>
                <w:sz w:val="21"/>
                <w:szCs w:val="21"/>
              </w:rPr>
              <w:t>/km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21" w:type="pct"/>
            <w:vMerge w:val="continue"/>
            <w:vAlign w:val="center"/>
          </w:tcPr>
          <w:p>
            <w:pPr>
              <w:spacing w:line="340" w:lineRule="exact"/>
              <w:ind w:firstLine="0" w:firstLineChars="0"/>
              <w:jc w:val="center"/>
              <w:rPr>
                <w:sz w:val="21"/>
                <w:szCs w:val="21"/>
              </w:rPr>
            </w:pPr>
          </w:p>
        </w:tc>
        <w:tc>
          <w:tcPr>
            <w:tcW w:w="524" w:type="pct"/>
            <w:vMerge w:val="continue"/>
            <w:vAlign w:val="center"/>
          </w:tcPr>
          <w:p>
            <w:pPr>
              <w:spacing w:line="340" w:lineRule="exact"/>
              <w:ind w:firstLine="0" w:firstLineChars="0"/>
              <w:jc w:val="center"/>
              <w:rPr>
                <w:sz w:val="21"/>
                <w:szCs w:val="21"/>
              </w:rPr>
            </w:pPr>
          </w:p>
        </w:tc>
        <w:tc>
          <w:tcPr>
            <w:tcW w:w="591" w:type="pct"/>
            <w:vMerge w:val="continue"/>
            <w:vAlign w:val="center"/>
          </w:tcPr>
          <w:p>
            <w:pPr>
              <w:spacing w:line="340" w:lineRule="exact"/>
              <w:ind w:firstLine="0" w:firstLineChars="0"/>
              <w:jc w:val="center"/>
              <w:rPr>
                <w:sz w:val="21"/>
                <w:szCs w:val="21"/>
              </w:rPr>
            </w:pPr>
          </w:p>
        </w:tc>
        <w:tc>
          <w:tcPr>
            <w:tcW w:w="740" w:type="pct"/>
            <w:vMerge w:val="continue"/>
            <w:vAlign w:val="center"/>
          </w:tcPr>
          <w:p>
            <w:pPr>
              <w:spacing w:line="340" w:lineRule="exact"/>
              <w:ind w:firstLine="0" w:firstLineChars="0"/>
              <w:jc w:val="center"/>
              <w:rPr>
                <w:sz w:val="21"/>
                <w:szCs w:val="21"/>
              </w:rPr>
            </w:pPr>
          </w:p>
        </w:tc>
        <w:tc>
          <w:tcPr>
            <w:tcW w:w="815" w:type="pct"/>
            <w:vAlign w:val="center"/>
          </w:tcPr>
          <w:p>
            <w:pPr>
              <w:spacing w:line="340" w:lineRule="exact"/>
              <w:ind w:firstLine="0" w:firstLineChars="0"/>
              <w:jc w:val="center"/>
              <w:rPr>
                <w:sz w:val="21"/>
                <w:szCs w:val="21"/>
              </w:rPr>
            </w:pPr>
            <w:r>
              <w:rPr>
                <w:rFonts w:hint="eastAsia"/>
                <w:sz w:val="21"/>
                <w:szCs w:val="21"/>
              </w:rPr>
              <w:t>河流</w:t>
            </w:r>
          </w:p>
        </w:tc>
        <w:tc>
          <w:tcPr>
            <w:tcW w:w="815" w:type="pct"/>
            <w:vAlign w:val="center"/>
          </w:tcPr>
          <w:p>
            <w:pPr>
              <w:spacing w:line="340" w:lineRule="exact"/>
              <w:ind w:firstLine="0" w:firstLineChars="0"/>
              <w:jc w:val="center"/>
              <w:rPr>
                <w:sz w:val="21"/>
                <w:szCs w:val="21"/>
              </w:rPr>
            </w:pPr>
            <w:r>
              <w:rPr>
                <w:rFonts w:hint="eastAsia"/>
                <w:sz w:val="21"/>
                <w:szCs w:val="21"/>
              </w:rPr>
              <w:t>湖库</w:t>
            </w:r>
          </w:p>
        </w:tc>
        <w:tc>
          <w:tcPr>
            <w:tcW w:w="1091" w:type="pct"/>
            <w:vAlign w:val="center"/>
          </w:tcPr>
          <w:p>
            <w:pPr>
              <w:spacing w:line="340" w:lineRule="exact"/>
              <w:ind w:firstLine="0" w:firstLineChars="0"/>
              <w:jc w:val="center"/>
              <w:rPr>
                <w:sz w:val="21"/>
                <w:szCs w:val="21"/>
              </w:rPr>
            </w:pPr>
            <w:r>
              <w:rPr>
                <w:rFonts w:hint="eastAsia"/>
                <w:sz w:val="21"/>
                <w:szCs w:val="21"/>
              </w:rPr>
              <w:t>入海河口</w:t>
            </w:r>
            <w:r>
              <w:rPr>
                <w:sz w:val="21"/>
                <w:szCs w:val="21"/>
              </w:rPr>
              <w:t>、近岸海域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vAlign w:val="center"/>
          </w:tcPr>
          <w:p>
            <w:pPr>
              <w:spacing w:line="340" w:lineRule="exact"/>
              <w:ind w:firstLine="0" w:firstLineChars="0"/>
              <w:jc w:val="center"/>
              <w:rPr>
                <w:sz w:val="21"/>
                <w:szCs w:val="21"/>
              </w:rPr>
            </w:pPr>
            <w:r>
              <w:rPr>
                <w:rFonts w:hint="eastAsia"/>
                <w:sz w:val="21"/>
                <w:szCs w:val="21"/>
              </w:rPr>
              <w:t>一级</w:t>
            </w:r>
          </w:p>
        </w:tc>
        <w:tc>
          <w:tcPr>
            <w:tcW w:w="524" w:type="pct"/>
            <w:vAlign w:val="center"/>
          </w:tcPr>
          <w:p>
            <w:pPr>
              <w:spacing w:line="340" w:lineRule="exact"/>
              <w:ind w:firstLine="0" w:firstLineChars="0"/>
              <w:jc w:val="center"/>
              <w:rPr>
                <w:sz w:val="21"/>
                <w:szCs w:val="21"/>
              </w:rPr>
            </w:pPr>
            <w:r>
              <w:rPr>
                <w:sz w:val="21"/>
                <w:szCs w:val="21"/>
              </w:rPr>
              <w:t>Α≤10</w:t>
            </w:r>
            <w:r>
              <w:rPr>
                <w:rFonts w:hint="eastAsia"/>
                <w:sz w:val="21"/>
                <w:szCs w:val="21"/>
              </w:rPr>
              <w:t>；</w:t>
            </w:r>
            <w:r>
              <w:rPr>
                <w:sz w:val="21"/>
                <w:szCs w:val="21"/>
              </w:rPr>
              <w:t>或稳定分层</w:t>
            </w:r>
          </w:p>
        </w:tc>
        <w:tc>
          <w:tcPr>
            <w:tcW w:w="591" w:type="pct"/>
            <w:vAlign w:val="center"/>
          </w:tcPr>
          <w:p>
            <w:pPr>
              <w:spacing w:line="340" w:lineRule="exact"/>
              <w:ind w:firstLine="0" w:firstLineChars="0"/>
              <w:jc w:val="center"/>
              <w:rPr>
                <w:sz w:val="21"/>
                <w:szCs w:val="21"/>
              </w:rPr>
            </w:pPr>
            <w:r>
              <w:rPr>
                <w:sz w:val="21"/>
                <w:szCs w:val="21"/>
              </w:rPr>
              <w:t>β≥20</w:t>
            </w:r>
            <w:r>
              <w:rPr>
                <w:rFonts w:hint="eastAsia"/>
                <w:sz w:val="21"/>
                <w:szCs w:val="21"/>
              </w:rPr>
              <w:t>；</w:t>
            </w:r>
            <w:r>
              <w:rPr>
                <w:sz w:val="21"/>
                <w:szCs w:val="21"/>
              </w:rPr>
              <w:t>或完全年调节与多年调节</w:t>
            </w:r>
          </w:p>
        </w:tc>
        <w:tc>
          <w:tcPr>
            <w:tcW w:w="740" w:type="pct"/>
            <w:vAlign w:val="center"/>
          </w:tcPr>
          <w:p>
            <w:pPr>
              <w:spacing w:line="340" w:lineRule="exact"/>
              <w:ind w:firstLine="0" w:firstLineChars="0"/>
              <w:jc w:val="center"/>
              <w:rPr>
                <w:sz w:val="21"/>
                <w:szCs w:val="21"/>
              </w:rPr>
            </w:pPr>
            <w:r>
              <w:rPr>
                <w:sz w:val="21"/>
                <w:szCs w:val="21"/>
              </w:rPr>
              <w:t>γ≥30</w:t>
            </w:r>
          </w:p>
        </w:tc>
        <w:tc>
          <w:tcPr>
            <w:tcW w:w="815"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≥0.3</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≥1.5</w:t>
            </w:r>
            <w:r>
              <w:rPr>
                <w:rFonts w:hint="eastAsia"/>
                <w:sz w:val="21"/>
                <w:szCs w:val="21"/>
              </w:rPr>
              <w:t>；</w:t>
            </w:r>
            <w:r>
              <w:rPr>
                <w:sz w:val="21"/>
                <w:szCs w:val="21"/>
              </w:rPr>
              <w:t>或</w:t>
            </w:r>
            <w:r>
              <w:rPr>
                <w:rFonts w:hint="eastAsia"/>
                <w:sz w:val="21"/>
                <w:szCs w:val="21"/>
              </w:rPr>
              <w:t>R</w:t>
            </w:r>
            <w:r>
              <w:rPr>
                <w:sz w:val="21"/>
                <w:szCs w:val="21"/>
              </w:rPr>
              <w:t>≥10</w:t>
            </w:r>
          </w:p>
        </w:tc>
        <w:tc>
          <w:tcPr>
            <w:tcW w:w="815"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≥0.3</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≥1.5</w:t>
            </w:r>
            <w:r>
              <w:rPr>
                <w:rFonts w:hint="eastAsia"/>
                <w:sz w:val="21"/>
                <w:szCs w:val="21"/>
              </w:rPr>
              <w:t>；</w:t>
            </w:r>
            <w:r>
              <w:rPr>
                <w:sz w:val="21"/>
                <w:szCs w:val="21"/>
              </w:rPr>
              <w:t>或</w:t>
            </w:r>
            <w:r>
              <w:rPr>
                <w:rFonts w:hint="eastAsia"/>
                <w:sz w:val="21"/>
                <w:szCs w:val="21"/>
              </w:rPr>
              <w:t>R</w:t>
            </w:r>
            <w:r>
              <w:rPr>
                <w:sz w:val="21"/>
                <w:szCs w:val="21"/>
              </w:rPr>
              <w:t>≥20</w:t>
            </w:r>
          </w:p>
        </w:tc>
        <w:tc>
          <w:tcPr>
            <w:tcW w:w="1091"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≥0.5</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shd w:val="clear" w:color="auto" w:fill="auto"/>
            <w:vAlign w:val="center"/>
          </w:tcPr>
          <w:p>
            <w:pPr>
              <w:spacing w:line="340" w:lineRule="exact"/>
              <w:ind w:firstLine="0" w:firstLineChars="0"/>
              <w:jc w:val="center"/>
              <w:rPr>
                <w:sz w:val="21"/>
                <w:szCs w:val="21"/>
              </w:rPr>
            </w:pPr>
            <w:r>
              <w:rPr>
                <w:rFonts w:hint="eastAsia"/>
                <w:sz w:val="21"/>
                <w:szCs w:val="21"/>
              </w:rPr>
              <w:t>二级</w:t>
            </w:r>
          </w:p>
        </w:tc>
        <w:tc>
          <w:tcPr>
            <w:tcW w:w="524" w:type="pct"/>
            <w:shd w:val="clear" w:color="auto" w:fill="auto"/>
            <w:vAlign w:val="center"/>
          </w:tcPr>
          <w:p>
            <w:pPr>
              <w:spacing w:line="340" w:lineRule="exact"/>
              <w:ind w:firstLine="0" w:firstLineChars="0"/>
              <w:jc w:val="center"/>
              <w:rPr>
                <w:sz w:val="21"/>
                <w:szCs w:val="21"/>
              </w:rPr>
            </w:pPr>
            <w:r>
              <w:rPr>
                <w:rFonts w:hint="eastAsia"/>
                <w:sz w:val="21"/>
                <w:szCs w:val="21"/>
              </w:rPr>
              <w:t>20＞</w:t>
            </w:r>
            <w:r>
              <w:rPr>
                <w:sz w:val="21"/>
                <w:szCs w:val="21"/>
              </w:rPr>
              <w:t>α</w:t>
            </w:r>
            <w:r>
              <w:rPr>
                <w:rFonts w:hint="eastAsia"/>
                <w:sz w:val="21"/>
                <w:szCs w:val="21"/>
              </w:rPr>
              <w:t>＞10；</w:t>
            </w:r>
            <w:r>
              <w:rPr>
                <w:sz w:val="21"/>
                <w:szCs w:val="21"/>
              </w:rPr>
              <w:t>或不稳定</w:t>
            </w:r>
            <w:r>
              <w:rPr>
                <w:rFonts w:hint="eastAsia"/>
                <w:sz w:val="21"/>
                <w:szCs w:val="21"/>
              </w:rPr>
              <w:t>分层</w:t>
            </w:r>
          </w:p>
        </w:tc>
        <w:tc>
          <w:tcPr>
            <w:tcW w:w="591" w:type="pct"/>
            <w:shd w:val="clear" w:color="auto" w:fill="auto"/>
            <w:vAlign w:val="center"/>
          </w:tcPr>
          <w:p>
            <w:pPr>
              <w:spacing w:line="340" w:lineRule="exact"/>
              <w:ind w:firstLine="0" w:firstLineChars="0"/>
              <w:jc w:val="center"/>
              <w:rPr>
                <w:sz w:val="21"/>
                <w:szCs w:val="21"/>
              </w:rPr>
            </w:pPr>
            <w:r>
              <w:rPr>
                <w:rFonts w:hint="eastAsia"/>
                <w:sz w:val="21"/>
                <w:szCs w:val="21"/>
              </w:rPr>
              <w:t>20＞</w:t>
            </w:r>
            <w:r>
              <w:rPr>
                <w:sz w:val="21"/>
                <w:szCs w:val="21"/>
              </w:rPr>
              <w:t>β</w:t>
            </w:r>
            <w:r>
              <w:rPr>
                <w:rFonts w:hint="eastAsia"/>
                <w:sz w:val="21"/>
                <w:szCs w:val="21"/>
              </w:rPr>
              <w:t>＞</w:t>
            </w:r>
            <w:r>
              <w:rPr>
                <w:sz w:val="21"/>
                <w:szCs w:val="21"/>
              </w:rPr>
              <w:t>2</w:t>
            </w:r>
            <w:r>
              <w:rPr>
                <w:rFonts w:hint="eastAsia"/>
                <w:sz w:val="21"/>
                <w:szCs w:val="21"/>
              </w:rPr>
              <w:t>；</w:t>
            </w:r>
            <w:r>
              <w:rPr>
                <w:sz w:val="21"/>
                <w:szCs w:val="21"/>
              </w:rPr>
              <w:t>或季调节与不完全年调节</w:t>
            </w:r>
          </w:p>
        </w:tc>
        <w:tc>
          <w:tcPr>
            <w:tcW w:w="740" w:type="pct"/>
            <w:shd w:val="clear" w:color="auto" w:fill="auto"/>
            <w:vAlign w:val="center"/>
          </w:tcPr>
          <w:p>
            <w:pPr>
              <w:spacing w:line="340" w:lineRule="exact"/>
              <w:ind w:firstLine="0" w:firstLineChars="0"/>
              <w:jc w:val="center"/>
              <w:rPr>
                <w:sz w:val="21"/>
                <w:szCs w:val="21"/>
              </w:rPr>
            </w:pPr>
            <w:r>
              <w:rPr>
                <w:sz w:val="21"/>
                <w:szCs w:val="21"/>
              </w:rPr>
              <w:t>30</w:t>
            </w:r>
            <w:r>
              <w:rPr>
                <w:rFonts w:hint="eastAsia"/>
                <w:sz w:val="21"/>
                <w:szCs w:val="21"/>
              </w:rPr>
              <w:t>＞</w:t>
            </w:r>
            <w:r>
              <w:rPr>
                <w:sz w:val="21"/>
                <w:szCs w:val="21"/>
              </w:rPr>
              <w:t>γ</w:t>
            </w:r>
            <w:r>
              <w:rPr>
                <w:rFonts w:hint="eastAsia"/>
                <w:sz w:val="21"/>
                <w:szCs w:val="21"/>
              </w:rPr>
              <w:t>＞10</w:t>
            </w:r>
          </w:p>
        </w:tc>
        <w:tc>
          <w:tcPr>
            <w:tcW w:w="815" w:type="pct"/>
            <w:shd w:val="clear" w:color="auto" w:fill="D9D9D9"/>
            <w:vAlign w:val="center"/>
          </w:tcPr>
          <w:p>
            <w:pPr>
              <w:spacing w:line="340" w:lineRule="exact"/>
              <w:ind w:firstLine="0" w:firstLineChars="0"/>
              <w:jc w:val="center"/>
              <w:rPr>
                <w:sz w:val="21"/>
                <w:szCs w:val="21"/>
              </w:rPr>
            </w:pPr>
            <w:r>
              <w:rPr>
                <w:rFonts w:hint="eastAsia"/>
                <w:sz w:val="21"/>
                <w:szCs w:val="21"/>
              </w:rPr>
              <w:t>0.3＞A</w:t>
            </w:r>
            <w:r>
              <w:rPr>
                <w:sz w:val="21"/>
                <w:szCs w:val="21"/>
                <w:vertAlign w:val="subscript"/>
              </w:rPr>
              <w:t>1</w:t>
            </w:r>
            <w:r>
              <w:rPr>
                <w:rFonts w:hint="eastAsia"/>
                <w:sz w:val="21"/>
                <w:szCs w:val="21"/>
              </w:rPr>
              <w:t>＞0.05；或1.5＞A</w:t>
            </w:r>
            <w:r>
              <w:rPr>
                <w:sz w:val="21"/>
                <w:szCs w:val="21"/>
                <w:vertAlign w:val="subscript"/>
              </w:rPr>
              <w:t>2</w:t>
            </w:r>
            <w:r>
              <w:rPr>
                <w:rFonts w:hint="eastAsia"/>
                <w:sz w:val="21"/>
                <w:szCs w:val="21"/>
              </w:rPr>
              <w:t>＞0.2；或10＞</w:t>
            </w:r>
            <w:r>
              <w:rPr>
                <w:sz w:val="21"/>
                <w:szCs w:val="21"/>
              </w:rPr>
              <w:t>R</w:t>
            </w:r>
            <w:r>
              <w:rPr>
                <w:rFonts w:hint="eastAsia"/>
                <w:sz w:val="21"/>
                <w:szCs w:val="21"/>
              </w:rPr>
              <w:t>＞5</w:t>
            </w:r>
          </w:p>
        </w:tc>
        <w:tc>
          <w:tcPr>
            <w:tcW w:w="815" w:type="pct"/>
            <w:vAlign w:val="center"/>
          </w:tcPr>
          <w:p>
            <w:pPr>
              <w:spacing w:line="340" w:lineRule="exact"/>
              <w:ind w:firstLine="0" w:firstLineChars="0"/>
              <w:jc w:val="center"/>
              <w:rPr>
                <w:sz w:val="21"/>
                <w:szCs w:val="21"/>
              </w:rPr>
            </w:pPr>
            <w:r>
              <w:rPr>
                <w:rFonts w:hint="eastAsia"/>
                <w:sz w:val="21"/>
                <w:szCs w:val="21"/>
              </w:rPr>
              <w:t>0.3＞A</w:t>
            </w:r>
            <w:r>
              <w:rPr>
                <w:sz w:val="21"/>
                <w:szCs w:val="21"/>
                <w:vertAlign w:val="subscript"/>
              </w:rPr>
              <w:t>1</w:t>
            </w:r>
            <w:r>
              <w:rPr>
                <w:rFonts w:hint="eastAsia"/>
                <w:sz w:val="21"/>
                <w:szCs w:val="21"/>
              </w:rPr>
              <w:t>＞0.05；或1.5＞A</w:t>
            </w:r>
            <w:r>
              <w:rPr>
                <w:sz w:val="21"/>
                <w:szCs w:val="21"/>
                <w:vertAlign w:val="subscript"/>
              </w:rPr>
              <w:t>2</w:t>
            </w:r>
            <w:r>
              <w:rPr>
                <w:rFonts w:hint="eastAsia"/>
                <w:sz w:val="21"/>
                <w:szCs w:val="21"/>
              </w:rPr>
              <w:t>＞0.2；或</w:t>
            </w:r>
            <w:r>
              <w:rPr>
                <w:sz w:val="21"/>
                <w:szCs w:val="21"/>
              </w:rPr>
              <w:t>2</w:t>
            </w:r>
            <w:r>
              <w:rPr>
                <w:rFonts w:hint="eastAsia"/>
                <w:sz w:val="21"/>
                <w:szCs w:val="21"/>
              </w:rPr>
              <w:t>0＞</w:t>
            </w:r>
            <w:r>
              <w:rPr>
                <w:sz w:val="21"/>
                <w:szCs w:val="21"/>
              </w:rPr>
              <w:t>R</w:t>
            </w:r>
            <w:r>
              <w:rPr>
                <w:rFonts w:hint="eastAsia"/>
                <w:sz w:val="21"/>
                <w:szCs w:val="21"/>
              </w:rPr>
              <w:t>＞5</w:t>
            </w:r>
          </w:p>
        </w:tc>
        <w:tc>
          <w:tcPr>
            <w:tcW w:w="1091" w:type="pct"/>
            <w:vAlign w:val="center"/>
          </w:tcPr>
          <w:p>
            <w:pPr>
              <w:spacing w:line="340" w:lineRule="exact"/>
              <w:ind w:firstLine="0" w:firstLineChars="0"/>
              <w:jc w:val="center"/>
              <w:rPr>
                <w:sz w:val="21"/>
                <w:szCs w:val="21"/>
              </w:rPr>
            </w:pPr>
            <w:r>
              <w:rPr>
                <w:rFonts w:hint="eastAsia"/>
                <w:sz w:val="21"/>
                <w:szCs w:val="21"/>
              </w:rPr>
              <w:t>0.</w:t>
            </w:r>
            <w:r>
              <w:rPr>
                <w:sz w:val="21"/>
                <w:szCs w:val="21"/>
              </w:rPr>
              <w:t>5</w:t>
            </w:r>
            <w:r>
              <w:rPr>
                <w:rFonts w:hint="eastAsia"/>
                <w:sz w:val="21"/>
                <w:szCs w:val="21"/>
              </w:rPr>
              <w:t>＞A</w:t>
            </w:r>
            <w:r>
              <w:rPr>
                <w:sz w:val="21"/>
                <w:szCs w:val="21"/>
                <w:vertAlign w:val="subscript"/>
              </w:rPr>
              <w:t>1</w:t>
            </w:r>
            <w:r>
              <w:rPr>
                <w:rFonts w:hint="eastAsia"/>
                <w:sz w:val="21"/>
                <w:szCs w:val="21"/>
              </w:rPr>
              <w:t>＞0.</w:t>
            </w:r>
            <w:r>
              <w:rPr>
                <w:sz w:val="21"/>
                <w:szCs w:val="21"/>
              </w:rPr>
              <w:t>1</w:t>
            </w:r>
            <w:r>
              <w:rPr>
                <w:rFonts w:hint="eastAsia"/>
                <w:sz w:val="21"/>
                <w:szCs w:val="21"/>
              </w:rPr>
              <w:t>5；或3＞A</w:t>
            </w:r>
            <w:r>
              <w:rPr>
                <w:sz w:val="21"/>
                <w:szCs w:val="21"/>
                <w:vertAlign w:val="subscript"/>
              </w:rPr>
              <w:t>2</w:t>
            </w:r>
            <w:r>
              <w:rPr>
                <w:rFonts w:hint="eastAsia"/>
                <w:sz w:val="21"/>
                <w:szCs w:val="21"/>
              </w:rPr>
              <w:t>＞0.</w:t>
            </w:r>
            <w:r>
              <w:rPr>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 w:type="pct"/>
            <w:shd w:val="clear" w:color="auto" w:fill="auto"/>
            <w:vAlign w:val="center"/>
          </w:tcPr>
          <w:p>
            <w:pPr>
              <w:spacing w:line="340" w:lineRule="exact"/>
              <w:ind w:firstLine="0" w:firstLineChars="0"/>
              <w:jc w:val="center"/>
              <w:rPr>
                <w:sz w:val="21"/>
                <w:szCs w:val="21"/>
              </w:rPr>
            </w:pPr>
            <w:r>
              <w:rPr>
                <w:rFonts w:hint="eastAsia"/>
                <w:sz w:val="21"/>
                <w:szCs w:val="21"/>
              </w:rPr>
              <w:t>三</w:t>
            </w:r>
            <w:r>
              <w:rPr>
                <w:sz w:val="21"/>
                <w:szCs w:val="21"/>
              </w:rPr>
              <w:t>级</w:t>
            </w:r>
          </w:p>
        </w:tc>
        <w:tc>
          <w:tcPr>
            <w:tcW w:w="524" w:type="pct"/>
            <w:shd w:val="clear" w:color="auto" w:fill="D9D9D9"/>
            <w:vAlign w:val="center"/>
          </w:tcPr>
          <w:p>
            <w:pPr>
              <w:spacing w:line="340" w:lineRule="exact"/>
              <w:ind w:firstLine="0" w:firstLineChars="0"/>
              <w:jc w:val="center"/>
              <w:rPr>
                <w:sz w:val="21"/>
                <w:szCs w:val="21"/>
              </w:rPr>
            </w:pPr>
            <w:r>
              <w:rPr>
                <w:sz w:val="21"/>
                <w:szCs w:val="21"/>
              </w:rPr>
              <w:t>α≥20</w:t>
            </w:r>
            <w:r>
              <w:rPr>
                <w:rFonts w:hint="eastAsia"/>
                <w:sz w:val="21"/>
                <w:szCs w:val="21"/>
              </w:rPr>
              <w:t>；</w:t>
            </w:r>
            <w:r>
              <w:rPr>
                <w:sz w:val="21"/>
                <w:szCs w:val="21"/>
              </w:rPr>
              <w:t>或混合型</w:t>
            </w:r>
          </w:p>
        </w:tc>
        <w:tc>
          <w:tcPr>
            <w:tcW w:w="591" w:type="pct"/>
            <w:shd w:val="clear" w:color="auto" w:fill="D9D9D9"/>
            <w:vAlign w:val="center"/>
          </w:tcPr>
          <w:p>
            <w:pPr>
              <w:spacing w:line="340" w:lineRule="exact"/>
              <w:ind w:firstLine="0" w:firstLineChars="0"/>
              <w:jc w:val="center"/>
              <w:rPr>
                <w:sz w:val="21"/>
                <w:szCs w:val="21"/>
              </w:rPr>
            </w:pPr>
            <w:r>
              <w:rPr>
                <w:sz w:val="21"/>
                <w:szCs w:val="21"/>
              </w:rPr>
              <w:t>β≤2</w:t>
            </w:r>
            <w:r>
              <w:rPr>
                <w:rFonts w:hint="eastAsia"/>
                <w:sz w:val="21"/>
                <w:szCs w:val="21"/>
              </w:rPr>
              <w:t>；</w:t>
            </w:r>
            <w:r>
              <w:rPr>
                <w:sz w:val="21"/>
                <w:szCs w:val="21"/>
              </w:rPr>
              <w:t>或</w:t>
            </w:r>
            <w:r>
              <w:rPr>
                <w:rFonts w:hint="eastAsia"/>
                <w:sz w:val="21"/>
                <w:szCs w:val="21"/>
              </w:rPr>
              <w:t>无</w:t>
            </w:r>
            <w:r>
              <w:rPr>
                <w:sz w:val="21"/>
                <w:szCs w:val="21"/>
              </w:rPr>
              <w:t>调节</w:t>
            </w:r>
          </w:p>
        </w:tc>
        <w:tc>
          <w:tcPr>
            <w:tcW w:w="740" w:type="pct"/>
            <w:vAlign w:val="center"/>
          </w:tcPr>
          <w:p>
            <w:pPr>
              <w:spacing w:line="340" w:lineRule="exact"/>
              <w:ind w:firstLine="0" w:firstLineChars="0"/>
              <w:jc w:val="center"/>
              <w:rPr>
                <w:sz w:val="21"/>
                <w:szCs w:val="21"/>
              </w:rPr>
            </w:pPr>
            <w:r>
              <w:rPr>
                <w:sz w:val="21"/>
                <w:szCs w:val="21"/>
              </w:rPr>
              <w:t>γ≤10</w:t>
            </w:r>
          </w:p>
        </w:tc>
        <w:tc>
          <w:tcPr>
            <w:tcW w:w="815"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≤0.05</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≤0.2</w:t>
            </w:r>
            <w:r>
              <w:rPr>
                <w:rFonts w:hint="eastAsia"/>
                <w:sz w:val="21"/>
                <w:szCs w:val="21"/>
              </w:rPr>
              <w:t>；</w:t>
            </w:r>
            <w:r>
              <w:rPr>
                <w:sz w:val="21"/>
                <w:szCs w:val="21"/>
              </w:rPr>
              <w:t>或</w:t>
            </w:r>
            <w:r>
              <w:rPr>
                <w:rFonts w:hint="eastAsia"/>
                <w:sz w:val="21"/>
                <w:szCs w:val="21"/>
              </w:rPr>
              <w:t>R</w:t>
            </w:r>
            <w:r>
              <w:rPr>
                <w:sz w:val="21"/>
                <w:szCs w:val="21"/>
              </w:rPr>
              <w:t>≤5</w:t>
            </w:r>
          </w:p>
        </w:tc>
        <w:tc>
          <w:tcPr>
            <w:tcW w:w="815"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≤0.05</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≤0.2</w:t>
            </w:r>
            <w:r>
              <w:rPr>
                <w:rFonts w:hint="eastAsia"/>
                <w:sz w:val="21"/>
                <w:szCs w:val="21"/>
              </w:rPr>
              <w:t>；</w:t>
            </w:r>
            <w:r>
              <w:rPr>
                <w:sz w:val="21"/>
                <w:szCs w:val="21"/>
              </w:rPr>
              <w:t>或</w:t>
            </w:r>
            <w:r>
              <w:rPr>
                <w:rFonts w:hint="eastAsia"/>
                <w:sz w:val="21"/>
                <w:szCs w:val="21"/>
              </w:rPr>
              <w:t>R</w:t>
            </w:r>
            <w:r>
              <w:rPr>
                <w:sz w:val="21"/>
                <w:szCs w:val="21"/>
              </w:rPr>
              <w:t>≤5</w:t>
            </w:r>
          </w:p>
        </w:tc>
        <w:tc>
          <w:tcPr>
            <w:tcW w:w="1091" w:type="pct"/>
            <w:vAlign w:val="center"/>
          </w:tcPr>
          <w:p>
            <w:pPr>
              <w:spacing w:line="340" w:lineRule="exact"/>
              <w:ind w:firstLine="0" w:firstLineChars="0"/>
              <w:jc w:val="center"/>
              <w:rPr>
                <w:sz w:val="21"/>
                <w:szCs w:val="21"/>
              </w:rPr>
            </w:pPr>
            <w:r>
              <w:rPr>
                <w:rFonts w:hint="eastAsia"/>
                <w:sz w:val="21"/>
                <w:szCs w:val="21"/>
              </w:rPr>
              <w:t>A</w:t>
            </w:r>
            <w:r>
              <w:rPr>
                <w:sz w:val="21"/>
                <w:szCs w:val="21"/>
                <w:vertAlign w:val="subscript"/>
              </w:rPr>
              <w:t>1</w:t>
            </w:r>
            <w:r>
              <w:rPr>
                <w:sz w:val="21"/>
                <w:szCs w:val="21"/>
              </w:rPr>
              <w:t>≤0.15</w:t>
            </w:r>
            <w:r>
              <w:rPr>
                <w:rFonts w:hint="eastAsia"/>
                <w:sz w:val="21"/>
                <w:szCs w:val="21"/>
              </w:rPr>
              <w:t>；</w:t>
            </w:r>
            <w:r>
              <w:rPr>
                <w:sz w:val="21"/>
                <w:szCs w:val="21"/>
              </w:rPr>
              <w:t>或</w:t>
            </w:r>
            <w:r>
              <w:rPr>
                <w:rFonts w:hint="eastAsia"/>
                <w:sz w:val="21"/>
                <w:szCs w:val="21"/>
              </w:rPr>
              <w:t>A</w:t>
            </w:r>
            <w:r>
              <w:rPr>
                <w:sz w:val="21"/>
                <w:szCs w:val="21"/>
                <w:vertAlign w:val="subscript"/>
              </w:rPr>
              <w:t>2</w:t>
            </w:r>
            <w:r>
              <w:rPr>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5000" w:type="pct"/>
            <w:gridSpan w:val="7"/>
            <w:vAlign w:val="center"/>
          </w:tcPr>
          <w:p>
            <w:pPr>
              <w:spacing w:line="340" w:lineRule="exact"/>
              <w:ind w:firstLine="0" w:firstLineChars="0"/>
              <w:rPr>
                <w:sz w:val="21"/>
                <w:szCs w:val="21"/>
              </w:rPr>
            </w:pPr>
            <w:r>
              <w:rPr>
                <w:sz w:val="21"/>
                <w:szCs w:val="21"/>
              </w:rPr>
              <w:t>注</w:t>
            </w:r>
            <w:r>
              <w:rPr>
                <w:rFonts w:hint="eastAsia"/>
                <w:sz w:val="21"/>
                <w:szCs w:val="21"/>
              </w:rPr>
              <w:t>1</w:t>
            </w:r>
            <w:r>
              <w:rPr>
                <w:sz w:val="21"/>
                <w:szCs w:val="21"/>
              </w:rPr>
              <w:t>：影响范围涉及饮用</w:t>
            </w:r>
            <w:r>
              <w:rPr>
                <w:rFonts w:hint="eastAsia"/>
                <w:sz w:val="21"/>
                <w:szCs w:val="21"/>
              </w:rPr>
              <w:t>水</w:t>
            </w:r>
            <w:r>
              <w:rPr>
                <w:sz w:val="21"/>
                <w:szCs w:val="21"/>
              </w:rPr>
              <w:t>水源保护区</w:t>
            </w:r>
            <w:r>
              <w:rPr>
                <w:rFonts w:hint="eastAsia"/>
                <w:sz w:val="21"/>
                <w:szCs w:val="21"/>
              </w:rPr>
              <w:t>、</w:t>
            </w:r>
            <w:r>
              <w:rPr>
                <w:sz w:val="21"/>
                <w:szCs w:val="21"/>
              </w:rPr>
              <w:t>重点保护与</w:t>
            </w:r>
            <w:r>
              <w:rPr>
                <w:rFonts w:hint="eastAsia"/>
                <w:sz w:val="21"/>
                <w:szCs w:val="21"/>
              </w:rPr>
              <w:t>珍稀</w:t>
            </w:r>
            <w:r>
              <w:rPr>
                <w:sz w:val="21"/>
                <w:szCs w:val="21"/>
              </w:rPr>
              <w:t>水生生物的栖息地、重要水生生物的自然产卵场、自然保护区等保护目标，评价等级应不低于二级。</w:t>
            </w:r>
          </w:p>
          <w:p>
            <w:pPr>
              <w:spacing w:line="340" w:lineRule="exact"/>
              <w:ind w:firstLine="0" w:firstLineChars="0"/>
              <w:rPr>
                <w:sz w:val="21"/>
                <w:szCs w:val="21"/>
              </w:rPr>
            </w:pPr>
            <w:r>
              <w:rPr>
                <w:rFonts w:hint="eastAsia"/>
                <w:sz w:val="21"/>
                <w:szCs w:val="21"/>
              </w:rPr>
              <w:t>注2：</w:t>
            </w:r>
            <w:r>
              <w:rPr>
                <w:sz w:val="21"/>
                <w:szCs w:val="21"/>
              </w:rPr>
              <w:t>跨流域调水、引水式电站、可能受到大型河流感潮河段咸潮影响的项目，评价等级</w:t>
            </w:r>
            <w:r>
              <w:rPr>
                <w:rFonts w:hint="eastAsia"/>
                <w:sz w:val="21"/>
                <w:szCs w:val="21"/>
              </w:rPr>
              <w:t>不低于</w:t>
            </w:r>
            <w:r>
              <w:rPr>
                <w:sz w:val="21"/>
                <w:szCs w:val="21"/>
              </w:rPr>
              <w:t>二级。</w:t>
            </w:r>
          </w:p>
          <w:p>
            <w:pPr>
              <w:spacing w:line="340" w:lineRule="exact"/>
              <w:ind w:firstLine="0" w:firstLineChars="0"/>
              <w:rPr>
                <w:sz w:val="21"/>
                <w:szCs w:val="21"/>
              </w:rPr>
            </w:pPr>
            <w:r>
              <w:rPr>
                <w:rFonts w:hint="eastAsia"/>
                <w:sz w:val="21"/>
                <w:szCs w:val="21"/>
              </w:rPr>
              <w:t>注3：造成</w:t>
            </w:r>
            <w:r>
              <w:rPr>
                <w:sz w:val="21"/>
                <w:szCs w:val="21"/>
              </w:rPr>
              <w:t>入海河口（</w:t>
            </w:r>
            <w:r>
              <w:rPr>
                <w:rFonts w:hint="eastAsia"/>
                <w:sz w:val="21"/>
                <w:szCs w:val="21"/>
              </w:rPr>
              <w:t>湾口</w:t>
            </w:r>
            <w:r>
              <w:rPr>
                <w:sz w:val="21"/>
                <w:szCs w:val="21"/>
              </w:rPr>
              <w:t>）</w:t>
            </w:r>
            <w:r>
              <w:rPr>
                <w:rFonts w:hint="eastAsia"/>
                <w:sz w:val="21"/>
                <w:szCs w:val="21"/>
              </w:rPr>
              <w:t>宽度</w:t>
            </w:r>
            <w:r>
              <w:rPr>
                <w:sz w:val="21"/>
                <w:szCs w:val="21"/>
              </w:rPr>
              <w:t>束窄（</w:t>
            </w:r>
            <w:r>
              <w:rPr>
                <w:rFonts w:hint="eastAsia"/>
                <w:sz w:val="21"/>
                <w:szCs w:val="21"/>
              </w:rPr>
              <w:t>束窄</w:t>
            </w:r>
            <w:r>
              <w:rPr>
                <w:sz w:val="21"/>
                <w:szCs w:val="21"/>
              </w:rPr>
              <w:t>尺度达到原</w:t>
            </w:r>
            <w:r>
              <w:rPr>
                <w:rFonts w:hint="eastAsia"/>
                <w:sz w:val="21"/>
                <w:szCs w:val="21"/>
              </w:rPr>
              <w:t>宽度</w:t>
            </w:r>
            <w:r>
              <w:rPr>
                <w:sz w:val="21"/>
                <w:szCs w:val="21"/>
              </w:rPr>
              <w:t>的</w:t>
            </w:r>
            <w:r>
              <w:rPr>
                <w:rFonts w:hint="eastAsia"/>
                <w:sz w:val="21"/>
                <w:szCs w:val="21"/>
              </w:rPr>
              <w:t>5</w:t>
            </w:r>
            <w:r>
              <w:rPr>
                <w:sz w:val="21"/>
                <w:szCs w:val="21"/>
              </w:rPr>
              <w:t>%以上）</w:t>
            </w:r>
            <w:r>
              <w:rPr>
                <w:rFonts w:hint="eastAsia"/>
                <w:sz w:val="21"/>
                <w:szCs w:val="21"/>
              </w:rPr>
              <w:t>，</w:t>
            </w:r>
            <w:r>
              <w:rPr>
                <w:sz w:val="21"/>
                <w:szCs w:val="21"/>
              </w:rPr>
              <w:t>评价等级应不低于二级。</w:t>
            </w:r>
          </w:p>
          <w:p>
            <w:pPr>
              <w:spacing w:line="340" w:lineRule="exact"/>
              <w:ind w:firstLine="0" w:firstLineChars="0"/>
              <w:rPr>
                <w:sz w:val="21"/>
                <w:szCs w:val="21"/>
              </w:rPr>
            </w:pPr>
            <w:r>
              <w:rPr>
                <w:rFonts w:hint="eastAsia"/>
                <w:sz w:val="21"/>
                <w:szCs w:val="21"/>
              </w:rPr>
              <w:t>注4：</w:t>
            </w:r>
            <w:r>
              <w:rPr>
                <w:sz w:val="21"/>
                <w:szCs w:val="21"/>
              </w:rPr>
              <w:t>对不透水的</w:t>
            </w:r>
            <w:r>
              <w:rPr>
                <w:rFonts w:hint="eastAsia"/>
                <w:sz w:val="21"/>
                <w:szCs w:val="21"/>
              </w:rPr>
              <w:t>单方向</w:t>
            </w:r>
            <w:r>
              <w:rPr>
                <w:sz w:val="21"/>
                <w:szCs w:val="21"/>
              </w:rPr>
              <w:t>建筑尺度</w:t>
            </w:r>
            <w:r>
              <w:rPr>
                <w:rFonts w:hint="eastAsia"/>
                <w:sz w:val="21"/>
                <w:szCs w:val="21"/>
              </w:rPr>
              <w:t>较长</w:t>
            </w:r>
            <w:r>
              <w:rPr>
                <w:sz w:val="21"/>
                <w:szCs w:val="21"/>
              </w:rPr>
              <w:t>的水工建筑物（</w:t>
            </w:r>
            <w:r>
              <w:rPr>
                <w:rFonts w:hint="eastAsia"/>
                <w:sz w:val="21"/>
                <w:szCs w:val="21"/>
              </w:rPr>
              <w:t>如</w:t>
            </w:r>
            <w:r>
              <w:rPr>
                <w:sz w:val="21"/>
                <w:szCs w:val="21"/>
              </w:rPr>
              <w:t>防波堤、导流堤等）</w:t>
            </w:r>
            <w:r>
              <w:rPr>
                <w:rFonts w:hint="eastAsia"/>
                <w:sz w:val="21"/>
                <w:szCs w:val="21"/>
              </w:rPr>
              <w:t>，其</w:t>
            </w:r>
            <w:r>
              <w:rPr>
                <w:sz w:val="21"/>
                <w:szCs w:val="21"/>
              </w:rPr>
              <w:t>与潮流或水流主流向切线垂直方向投影长度大于</w:t>
            </w:r>
            <w:r>
              <w:rPr>
                <w:rFonts w:hint="eastAsia"/>
                <w:sz w:val="21"/>
                <w:szCs w:val="21"/>
              </w:rPr>
              <w:t>2</w:t>
            </w:r>
            <w:r>
              <w:rPr>
                <w:sz w:val="21"/>
                <w:szCs w:val="21"/>
              </w:rPr>
              <w:t>km</w:t>
            </w:r>
            <w:r>
              <w:rPr>
                <w:rFonts w:hint="eastAsia"/>
                <w:sz w:val="21"/>
                <w:szCs w:val="21"/>
              </w:rPr>
              <w:t>时</w:t>
            </w:r>
            <w:r>
              <w:rPr>
                <w:sz w:val="21"/>
                <w:szCs w:val="21"/>
              </w:rPr>
              <w:t>，评价等级应不低于二级。</w:t>
            </w:r>
          </w:p>
          <w:p>
            <w:pPr>
              <w:spacing w:line="340" w:lineRule="exact"/>
              <w:ind w:firstLine="0" w:firstLineChars="0"/>
              <w:rPr>
                <w:sz w:val="21"/>
                <w:szCs w:val="21"/>
              </w:rPr>
            </w:pPr>
            <w:r>
              <w:rPr>
                <w:rFonts w:hint="eastAsia"/>
                <w:sz w:val="21"/>
                <w:szCs w:val="21"/>
              </w:rPr>
              <w:t>注5：</w:t>
            </w:r>
            <w:r>
              <w:rPr>
                <w:sz w:val="21"/>
                <w:szCs w:val="21"/>
              </w:rPr>
              <w:t>允许在一类海域建设的项目，评价等级为一级。</w:t>
            </w:r>
          </w:p>
          <w:p>
            <w:pPr>
              <w:spacing w:line="340" w:lineRule="exact"/>
              <w:ind w:firstLine="0" w:firstLineChars="0"/>
              <w:rPr>
                <w:sz w:val="21"/>
                <w:szCs w:val="21"/>
              </w:rPr>
            </w:pPr>
            <w:r>
              <w:rPr>
                <w:rFonts w:hint="eastAsia"/>
                <w:sz w:val="21"/>
                <w:szCs w:val="21"/>
              </w:rPr>
              <w:t>注6：同时存在多个</w:t>
            </w:r>
            <w:r>
              <w:rPr>
                <w:sz w:val="21"/>
                <w:szCs w:val="21"/>
              </w:rPr>
              <w:t>水文要素影响的建设项目，分别判定各水文要素影响评价等级，并取其中最高等级作为水文要素影响型建设项目评价等级</w:t>
            </w:r>
            <w:r>
              <w:rPr>
                <w:rFonts w:hint="eastAsia"/>
                <w:sz w:val="21"/>
                <w:szCs w:val="21"/>
              </w:rPr>
              <w:t>。</w:t>
            </w:r>
          </w:p>
        </w:tc>
      </w:tr>
    </w:tbl>
    <w:p>
      <w:pPr>
        <w:tabs>
          <w:tab w:val="left" w:pos="567"/>
        </w:tabs>
        <w:ind w:firstLine="480"/>
      </w:pPr>
      <w:r>
        <w:rPr>
          <w:rFonts w:hint="eastAsia"/>
          <w:szCs w:val="24"/>
        </w:rPr>
        <w:t>根据</w:t>
      </w:r>
      <w:r>
        <w:rPr>
          <w:szCs w:val="24"/>
        </w:rPr>
        <w:t>可研</w:t>
      </w:r>
      <w:r>
        <w:rPr>
          <w:rFonts w:hint="eastAsia"/>
          <w:szCs w:val="24"/>
        </w:rPr>
        <w:t>报告</w:t>
      </w:r>
      <w:r>
        <w:rPr>
          <w:szCs w:val="24"/>
        </w:rPr>
        <w:t>，</w:t>
      </w:r>
      <w:r>
        <w:rPr>
          <w:rFonts w:hint="eastAsia"/>
        </w:rPr>
        <w:t>利用水文圈量</w:t>
      </w:r>
      <w:r>
        <w:t>估算</w:t>
      </w:r>
      <w:r>
        <w:rPr>
          <w:rFonts w:hint="eastAsia"/>
          <w:szCs w:val="24"/>
        </w:rPr>
        <w:t>项目</w:t>
      </w:r>
      <w:r>
        <w:rPr>
          <w:szCs w:val="24"/>
        </w:rPr>
        <w:t>库容</w:t>
      </w:r>
      <w:r>
        <w:rPr>
          <w:rFonts w:hint="eastAsia"/>
          <w:szCs w:val="24"/>
        </w:rPr>
        <w:t>量约</w:t>
      </w:r>
      <w:r>
        <w:rPr>
          <w:szCs w:val="24"/>
        </w:rPr>
        <w:t>为</w:t>
      </w:r>
      <w:r>
        <w:rPr>
          <w:rFonts w:hint="eastAsia"/>
          <w:szCs w:val="24"/>
        </w:rPr>
        <w:t>1221万</w:t>
      </w:r>
      <w:r>
        <w:rPr>
          <w:szCs w:val="24"/>
        </w:rPr>
        <w:t>m</w:t>
      </w:r>
      <w:r>
        <w:rPr>
          <w:szCs w:val="24"/>
          <w:vertAlign w:val="superscript"/>
        </w:rPr>
        <w:t>3</w:t>
      </w:r>
      <w:r>
        <w:rPr>
          <w:rFonts w:hint="eastAsia"/>
        </w:rPr>
        <w:t>（根据其运行工况，正常运行期，水位超过44.80m，闸门就会部分开启，保证水位在44.50~44.80m 之间；洪水期，闸门全开，不挡水，无库容，库容小于1 亿m</w:t>
      </w:r>
      <w:r>
        <w:rPr>
          <w:rFonts w:hint="eastAsia"/>
          <w:vertAlign w:val="superscript"/>
        </w:rPr>
        <w:t>3</w:t>
      </w:r>
      <w:r>
        <w:rPr>
          <w:rFonts w:hint="eastAsia"/>
        </w:rPr>
        <w:t>大于等于0.1亿m</w:t>
      </w:r>
      <w:r>
        <w:rPr>
          <w:rFonts w:hint="eastAsia"/>
          <w:vertAlign w:val="superscript"/>
        </w:rPr>
        <w:t>3</w:t>
      </w:r>
      <w:r>
        <w:rPr>
          <w:rFonts w:hint="eastAsia"/>
        </w:rPr>
        <w:t>）</w:t>
      </w:r>
      <w:r>
        <w:rPr>
          <w:rFonts w:hint="eastAsia"/>
          <w:szCs w:val="24"/>
        </w:rPr>
        <w:t>，</w:t>
      </w:r>
      <w:r>
        <w:rPr>
          <w:szCs w:val="24"/>
        </w:rPr>
        <w:t>多年平均年径流量</w:t>
      </w:r>
      <w:r>
        <w:rPr>
          <w:rFonts w:hint="eastAsia"/>
          <w:szCs w:val="24"/>
        </w:rPr>
        <w:t>381900.96万</w:t>
      </w:r>
      <w:r>
        <w:rPr>
          <w:szCs w:val="24"/>
        </w:rPr>
        <w:t>m</w:t>
      </w:r>
      <w:r>
        <w:rPr>
          <w:szCs w:val="24"/>
          <w:vertAlign w:val="superscript"/>
        </w:rPr>
        <w:t>3</w:t>
      </w:r>
      <w:r>
        <w:rPr>
          <w:rFonts w:hint="eastAsia"/>
          <w:szCs w:val="24"/>
        </w:rPr>
        <w:t>，</w:t>
      </w:r>
      <w:r>
        <w:t>抬水坝宽</w:t>
      </w:r>
      <w:r>
        <w:rPr>
          <w:rFonts w:hint="eastAsia"/>
        </w:rPr>
        <w:t>195</w:t>
      </w:r>
      <w:r>
        <w:t>m，</w:t>
      </w:r>
      <w:r>
        <w:rPr>
          <w:rFonts w:hint="eastAsia"/>
        </w:rPr>
        <w:t>泄洪闸总宽度为150m，冲砂闸宽度35m。</w:t>
      </w:r>
    </w:p>
    <w:p>
      <w:pPr>
        <w:tabs>
          <w:tab w:val="left" w:pos="567"/>
        </w:tabs>
        <w:ind w:firstLine="480"/>
      </w:pPr>
      <w:r>
        <w:rPr>
          <w:rFonts w:hint="eastAsia"/>
        </w:rPr>
        <w:t>根据以上工程设计参数，拟建设地表水环境影响评价等级详细划分依据见下表：</w:t>
      </w:r>
    </w:p>
    <w:p>
      <w:pPr>
        <w:tabs>
          <w:tab w:val="left" w:pos="567"/>
        </w:tabs>
        <w:spacing w:before="120" w:beforeLines="50" w:line="240" w:lineRule="auto"/>
        <w:ind w:firstLine="480"/>
        <w:jc w:val="center"/>
        <w:rPr>
          <w:rFonts w:ascii="黑体" w:hAnsi="黑体" w:eastAsia="黑体" w:cs="黑体"/>
        </w:rPr>
      </w:pPr>
      <w:r>
        <w:rPr>
          <w:rFonts w:hint="eastAsia" w:ascii="黑体" w:hAnsi="黑体" w:eastAsia="黑体" w:cs="黑体"/>
        </w:rPr>
        <w:t>表 1.6-2  地表水环境影响评价等级划参数一览表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7"/>
        <w:gridCol w:w="1417"/>
        <w:gridCol w:w="1320"/>
        <w:gridCol w:w="4041"/>
        <w:gridCol w:w="12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517" w:type="dxa"/>
            <w:vAlign w:val="center"/>
          </w:tcPr>
          <w:p>
            <w:pPr>
              <w:tabs>
                <w:tab w:val="left" w:pos="567"/>
              </w:tabs>
              <w:spacing w:line="340" w:lineRule="exact"/>
              <w:ind w:firstLine="0" w:firstLineChars="0"/>
              <w:jc w:val="center"/>
              <w:rPr>
                <w:sz w:val="21"/>
                <w:szCs w:val="21"/>
              </w:rPr>
            </w:pPr>
            <w:r>
              <w:rPr>
                <w:rFonts w:hint="eastAsia"/>
                <w:sz w:val="21"/>
                <w:szCs w:val="21"/>
              </w:rPr>
              <w:t>水温</w:t>
            </w:r>
          </w:p>
        </w:tc>
        <w:tc>
          <w:tcPr>
            <w:tcW w:w="1417" w:type="dxa"/>
            <w:vAlign w:val="center"/>
          </w:tcPr>
          <w:p>
            <w:pPr>
              <w:tabs>
                <w:tab w:val="left" w:pos="567"/>
              </w:tabs>
              <w:spacing w:line="340" w:lineRule="exact"/>
              <w:ind w:firstLine="0" w:firstLineChars="0"/>
              <w:jc w:val="center"/>
              <w:rPr>
                <w:sz w:val="21"/>
                <w:szCs w:val="21"/>
              </w:rPr>
            </w:pPr>
            <w:r>
              <w:rPr>
                <w:rFonts w:hint="eastAsia"/>
                <w:sz w:val="21"/>
                <w:szCs w:val="21"/>
              </w:rPr>
              <w:t>径流</w:t>
            </w:r>
          </w:p>
        </w:tc>
        <w:tc>
          <w:tcPr>
            <w:tcW w:w="1320" w:type="dxa"/>
            <w:vAlign w:val="center"/>
          </w:tcPr>
          <w:p>
            <w:pPr>
              <w:tabs>
                <w:tab w:val="left" w:pos="567"/>
              </w:tabs>
              <w:spacing w:line="340" w:lineRule="exact"/>
              <w:ind w:firstLine="0" w:firstLineChars="0"/>
              <w:jc w:val="center"/>
              <w:rPr>
                <w:sz w:val="21"/>
                <w:szCs w:val="21"/>
              </w:rPr>
            </w:pPr>
          </w:p>
        </w:tc>
        <w:tc>
          <w:tcPr>
            <w:tcW w:w="4041" w:type="dxa"/>
            <w:vAlign w:val="center"/>
          </w:tcPr>
          <w:p>
            <w:pPr>
              <w:tabs>
                <w:tab w:val="left" w:pos="567"/>
              </w:tabs>
              <w:spacing w:line="340" w:lineRule="exact"/>
              <w:ind w:firstLine="420"/>
              <w:jc w:val="center"/>
              <w:rPr>
                <w:sz w:val="21"/>
                <w:szCs w:val="21"/>
              </w:rPr>
            </w:pPr>
            <w:r>
              <w:rPr>
                <w:rFonts w:hint="eastAsia"/>
                <w:sz w:val="21"/>
                <w:szCs w:val="21"/>
              </w:rPr>
              <w:t>受影响地表水域</w:t>
            </w:r>
          </w:p>
        </w:tc>
        <w:tc>
          <w:tcPr>
            <w:tcW w:w="1275" w:type="dxa"/>
            <w:vMerge w:val="restart"/>
            <w:vAlign w:val="center"/>
          </w:tcPr>
          <w:p>
            <w:pPr>
              <w:tabs>
                <w:tab w:val="left" w:pos="567"/>
              </w:tabs>
              <w:spacing w:line="340" w:lineRule="exact"/>
              <w:ind w:firstLine="0" w:firstLineChars="0"/>
              <w:jc w:val="center"/>
              <w:rPr>
                <w:sz w:val="21"/>
                <w:szCs w:val="21"/>
              </w:rPr>
            </w:pPr>
            <w:r>
              <w:rPr>
                <w:rFonts w:hint="eastAsia"/>
                <w:sz w:val="21"/>
                <w:szCs w:val="21"/>
              </w:rPr>
              <w:t>等级评价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7" w:type="dxa"/>
            <w:vAlign w:val="center"/>
          </w:tcPr>
          <w:p>
            <w:pPr>
              <w:tabs>
                <w:tab w:val="left" w:pos="567"/>
              </w:tabs>
              <w:spacing w:line="340" w:lineRule="exact"/>
              <w:ind w:firstLine="0" w:firstLineChars="0"/>
              <w:jc w:val="center"/>
              <w:rPr>
                <w:sz w:val="21"/>
                <w:szCs w:val="21"/>
              </w:rPr>
            </w:pPr>
            <w:r>
              <w:rPr>
                <w:rFonts w:hint="eastAsia"/>
                <w:sz w:val="21"/>
                <w:szCs w:val="21"/>
              </w:rPr>
              <w:t>年径流量与总库容百分比α</w:t>
            </w:r>
          </w:p>
        </w:tc>
        <w:tc>
          <w:tcPr>
            <w:tcW w:w="1417" w:type="dxa"/>
            <w:vAlign w:val="center"/>
          </w:tcPr>
          <w:p>
            <w:pPr>
              <w:tabs>
                <w:tab w:val="left" w:pos="567"/>
              </w:tabs>
              <w:spacing w:line="340" w:lineRule="exact"/>
              <w:ind w:firstLine="0" w:firstLineChars="0"/>
              <w:jc w:val="center"/>
              <w:rPr>
                <w:sz w:val="21"/>
                <w:szCs w:val="21"/>
              </w:rPr>
            </w:pPr>
            <w:r>
              <w:rPr>
                <w:rFonts w:hint="eastAsia"/>
                <w:sz w:val="21"/>
                <w:szCs w:val="21"/>
              </w:rPr>
              <w:t>兴利库容与年径流量百分比β/%</w:t>
            </w:r>
          </w:p>
        </w:tc>
        <w:tc>
          <w:tcPr>
            <w:tcW w:w="1320" w:type="dxa"/>
            <w:vAlign w:val="center"/>
          </w:tcPr>
          <w:p>
            <w:pPr>
              <w:tabs>
                <w:tab w:val="left" w:pos="567"/>
              </w:tabs>
              <w:spacing w:line="340" w:lineRule="exact"/>
              <w:ind w:firstLine="0" w:firstLineChars="0"/>
              <w:jc w:val="center"/>
              <w:rPr>
                <w:sz w:val="21"/>
                <w:szCs w:val="21"/>
              </w:rPr>
            </w:pPr>
            <w:r>
              <w:rPr>
                <w:rFonts w:hint="eastAsia"/>
                <w:sz w:val="21"/>
                <w:szCs w:val="21"/>
              </w:rPr>
              <w:t>取水量占多年平均径流量百分比γ/%</w:t>
            </w:r>
          </w:p>
        </w:tc>
        <w:tc>
          <w:tcPr>
            <w:tcW w:w="4041" w:type="dxa"/>
            <w:vAlign w:val="center"/>
          </w:tcPr>
          <w:p>
            <w:pPr>
              <w:tabs>
                <w:tab w:val="left" w:pos="567"/>
              </w:tabs>
              <w:spacing w:line="340" w:lineRule="exact"/>
              <w:ind w:firstLine="0" w:firstLineChars="0"/>
              <w:jc w:val="center"/>
              <w:rPr>
                <w:sz w:val="21"/>
                <w:szCs w:val="21"/>
              </w:rPr>
            </w:pPr>
            <w:r>
              <w:rPr>
                <w:rFonts w:hint="eastAsia"/>
                <w:sz w:val="21"/>
                <w:szCs w:val="21"/>
              </w:rPr>
              <w:t>工程垂直投影面积及外扩范围A1 /km</w:t>
            </w:r>
            <w:r>
              <w:rPr>
                <w:rFonts w:hint="eastAsia"/>
                <w:sz w:val="21"/>
                <w:szCs w:val="21"/>
                <w:vertAlign w:val="superscript"/>
              </w:rPr>
              <w:t>2</w:t>
            </w:r>
            <w:r>
              <w:rPr>
                <w:rFonts w:hint="eastAsia"/>
                <w:sz w:val="21"/>
                <w:szCs w:val="21"/>
              </w:rPr>
              <w:t>；工程扰动水底面积A2/km</w:t>
            </w:r>
            <w:r>
              <w:rPr>
                <w:rFonts w:hint="eastAsia"/>
                <w:sz w:val="21"/>
                <w:szCs w:val="21"/>
                <w:vertAlign w:val="superscript"/>
              </w:rPr>
              <w:t>2</w:t>
            </w:r>
            <w:r>
              <w:rPr>
                <w:rFonts w:hint="eastAsia"/>
                <w:sz w:val="21"/>
                <w:szCs w:val="21"/>
              </w:rPr>
              <w:t>；过水断面宽度占用比例或占用水域面积比例R/%</w:t>
            </w:r>
          </w:p>
        </w:tc>
        <w:tc>
          <w:tcPr>
            <w:tcW w:w="1275" w:type="dxa"/>
            <w:vMerge w:val="continue"/>
            <w:vAlign w:val="center"/>
          </w:tcPr>
          <w:p>
            <w:pPr>
              <w:tabs>
                <w:tab w:val="left" w:pos="567"/>
              </w:tabs>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17" w:type="dxa"/>
            <w:vAlign w:val="center"/>
          </w:tcPr>
          <w:p>
            <w:pPr>
              <w:tabs>
                <w:tab w:val="left" w:pos="567"/>
              </w:tabs>
              <w:spacing w:line="340" w:lineRule="exact"/>
              <w:ind w:firstLine="0" w:firstLineChars="0"/>
              <w:jc w:val="center"/>
              <w:rPr>
                <w:sz w:val="21"/>
                <w:szCs w:val="21"/>
              </w:rPr>
            </w:pPr>
            <w:r>
              <w:rPr>
                <w:rFonts w:ascii="Arial" w:hAnsi="Arial" w:cs="Arial"/>
                <w:sz w:val="21"/>
                <w:szCs w:val="21"/>
              </w:rPr>
              <w:t>ɑ</w:t>
            </w:r>
            <w:r>
              <w:rPr>
                <w:rFonts w:hint="eastAsia"/>
                <w:sz w:val="21"/>
                <w:szCs w:val="21"/>
              </w:rPr>
              <w:t>=</w:t>
            </w:r>
            <w:r>
              <w:rPr>
                <w:rFonts w:hint="eastAsia"/>
                <w:kern w:val="0"/>
                <w:sz w:val="21"/>
                <w:szCs w:val="21"/>
              </w:rPr>
              <w:t>312.77</w:t>
            </w:r>
            <w:r>
              <w:rPr>
                <w:rFonts w:ascii="Arial" w:hAnsi="Arial" w:cs="Arial"/>
                <w:kern w:val="0"/>
                <w:sz w:val="21"/>
                <w:szCs w:val="21"/>
              </w:rPr>
              <w:t>≤</w:t>
            </w:r>
            <w:r>
              <w:rPr>
                <w:rFonts w:hint="eastAsia"/>
                <w:kern w:val="0"/>
                <w:sz w:val="21"/>
                <w:szCs w:val="21"/>
              </w:rPr>
              <w:t>20</w:t>
            </w:r>
          </w:p>
        </w:tc>
        <w:tc>
          <w:tcPr>
            <w:tcW w:w="1417" w:type="dxa"/>
            <w:vAlign w:val="center"/>
          </w:tcPr>
          <w:p>
            <w:pPr>
              <w:tabs>
                <w:tab w:val="left" w:pos="567"/>
              </w:tabs>
              <w:spacing w:line="340" w:lineRule="exact"/>
              <w:ind w:firstLine="0" w:firstLineChars="0"/>
              <w:jc w:val="center"/>
              <w:rPr>
                <w:sz w:val="21"/>
                <w:szCs w:val="21"/>
              </w:rPr>
            </w:pPr>
            <w:r>
              <w:rPr>
                <w:rFonts w:hint="eastAsia"/>
                <w:sz w:val="21"/>
                <w:szCs w:val="21"/>
              </w:rPr>
              <w:t>0.32，无调节</w:t>
            </w:r>
          </w:p>
        </w:tc>
        <w:tc>
          <w:tcPr>
            <w:tcW w:w="1320" w:type="dxa"/>
            <w:vAlign w:val="center"/>
          </w:tcPr>
          <w:p>
            <w:pPr>
              <w:tabs>
                <w:tab w:val="left" w:pos="567"/>
              </w:tabs>
              <w:spacing w:line="340" w:lineRule="exact"/>
              <w:ind w:firstLine="0" w:firstLineChars="0"/>
              <w:jc w:val="center"/>
              <w:rPr>
                <w:sz w:val="21"/>
                <w:szCs w:val="21"/>
              </w:rPr>
            </w:pPr>
            <w:r>
              <w:rPr>
                <w:rFonts w:hint="eastAsia"/>
                <w:sz w:val="21"/>
                <w:szCs w:val="21"/>
              </w:rPr>
              <w:t>不涉及</w:t>
            </w:r>
          </w:p>
        </w:tc>
        <w:tc>
          <w:tcPr>
            <w:tcW w:w="4041" w:type="dxa"/>
            <w:vAlign w:val="center"/>
          </w:tcPr>
          <w:p>
            <w:pPr>
              <w:tabs>
                <w:tab w:val="left" w:pos="567"/>
              </w:tabs>
              <w:spacing w:line="340" w:lineRule="exact"/>
              <w:ind w:firstLine="0" w:firstLineChars="0"/>
              <w:jc w:val="center"/>
              <w:rPr>
                <w:sz w:val="21"/>
                <w:szCs w:val="21"/>
              </w:rPr>
            </w:pPr>
            <w:r>
              <w:rPr>
                <w:rFonts w:hint="eastAsia"/>
                <w:sz w:val="21"/>
                <w:szCs w:val="21"/>
              </w:rPr>
              <w:t>A1=0.0129km</w:t>
            </w:r>
            <w:r>
              <w:rPr>
                <w:rFonts w:hint="eastAsia"/>
                <w:sz w:val="21"/>
                <w:szCs w:val="21"/>
                <w:vertAlign w:val="superscript"/>
              </w:rPr>
              <w:t>2</w:t>
            </w:r>
            <w:r>
              <w:rPr>
                <w:rFonts w:hint="eastAsia"/>
                <w:sz w:val="21"/>
                <w:szCs w:val="21"/>
              </w:rPr>
              <w:t>≤0.05km</w:t>
            </w:r>
            <w:r>
              <w:rPr>
                <w:rFonts w:hint="eastAsia"/>
                <w:sz w:val="21"/>
                <w:szCs w:val="21"/>
                <w:vertAlign w:val="superscript"/>
              </w:rPr>
              <w:t>2</w:t>
            </w:r>
            <w:r>
              <w:rPr>
                <w:rFonts w:hint="eastAsia"/>
                <w:sz w:val="21"/>
                <w:szCs w:val="21"/>
              </w:rPr>
              <w:t>；A2=0.01km</w:t>
            </w:r>
            <w:r>
              <w:rPr>
                <w:rFonts w:hint="eastAsia"/>
                <w:sz w:val="21"/>
                <w:szCs w:val="21"/>
                <w:vertAlign w:val="superscript"/>
              </w:rPr>
              <w:t>2</w:t>
            </w:r>
            <w:r>
              <w:rPr>
                <w:rFonts w:hint="eastAsia"/>
                <w:sz w:val="21"/>
                <w:szCs w:val="21"/>
              </w:rPr>
              <w:t>≤0.2km</w:t>
            </w:r>
            <w:r>
              <w:rPr>
                <w:rFonts w:hint="eastAsia"/>
                <w:sz w:val="21"/>
                <w:szCs w:val="21"/>
                <w:vertAlign w:val="superscript"/>
              </w:rPr>
              <w:t>2</w:t>
            </w:r>
            <w:r>
              <w:rPr>
                <w:rFonts w:hint="eastAsia"/>
                <w:sz w:val="21"/>
                <w:szCs w:val="21"/>
              </w:rPr>
              <w:t>；R=5.13</w:t>
            </w:r>
          </w:p>
        </w:tc>
        <w:tc>
          <w:tcPr>
            <w:tcW w:w="1275" w:type="dxa"/>
            <w:vAlign w:val="center"/>
          </w:tcPr>
          <w:p>
            <w:pPr>
              <w:tabs>
                <w:tab w:val="left" w:pos="567"/>
              </w:tabs>
              <w:spacing w:line="340" w:lineRule="exact"/>
              <w:ind w:firstLine="0" w:firstLineChars="0"/>
              <w:jc w:val="center"/>
              <w:rPr>
                <w:sz w:val="21"/>
                <w:szCs w:val="21"/>
              </w:rPr>
            </w:pPr>
            <w:r>
              <w:rPr>
                <w:rFonts w:hint="eastAsia"/>
                <w:sz w:val="21"/>
                <w:szCs w:val="21"/>
              </w:rP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70" w:type="dxa"/>
            <w:gridSpan w:val="5"/>
            <w:vAlign w:val="center"/>
          </w:tcPr>
          <w:p>
            <w:pPr>
              <w:tabs>
                <w:tab w:val="left" w:pos="567"/>
              </w:tabs>
              <w:spacing w:line="340" w:lineRule="exact"/>
              <w:ind w:firstLine="0" w:firstLineChars="0"/>
              <w:jc w:val="center"/>
              <w:rPr>
                <w:sz w:val="21"/>
                <w:szCs w:val="21"/>
              </w:rPr>
            </w:pPr>
            <w:r>
              <w:rPr>
                <w:rFonts w:hint="eastAsia"/>
                <w:sz w:val="21"/>
                <w:szCs w:val="21"/>
              </w:rPr>
              <w:t>拟建项目不涉及生态红线区，不涉及饮用水水源地保护区、重点保护与珍稀水生生物的栖息地、重要水生生物的自然产卵场、自然保护区等敏感目标。</w:t>
            </w:r>
          </w:p>
        </w:tc>
      </w:tr>
    </w:tbl>
    <w:p>
      <w:pPr>
        <w:tabs>
          <w:tab w:val="left" w:pos="567"/>
        </w:tabs>
        <w:spacing w:before="120" w:beforeLines="50"/>
        <w:ind w:firstLine="480"/>
      </w:pPr>
      <w:r>
        <w:rPr>
          <w:rFonts w:hint="eastAsia"/>
        </w:rPr>
        <w:t>根据以上分析，拟建项目地表水评价等级为水文要素影响型二级评价。</w:t>
      </w:r>
    </w:p>
    <w:p>
      <w:pPr>
        <w:pStyle w:val="8"/>
        <w:ind w:firstLine="480"/>
      </w:pPr>
      <w:r>
        <w:rPr>
          <w:rFonts w:hint="eastAsia" w:ascii="宋体" w:hAnsi="宋体" w:cs="宋体"/>
          <w:szCs w:val="24"/>
        </w:rPr>
        <w:t>⑶</w:t>
      </w:r>
      <w:r>
        <w:t>地下水</w:t>
      </w:r>
    </w:p>
    <w:p>
      <w:pPr>
        <w:ind w:firstLine="480"/>
        <w:rPr>
          <w:szCs w:val="24"/>
        </w:rPr>
      </w:pPr>
      <w:r>
        <w:rPr>
          <w:rFonts w:hint="eastAsia"/>
          <w:szCs w:val="24"/>
        </w:rPr>
        <w:t>建设项目地下水评价工作等级的划分应依据建设项目行业分类和地下水环境敏感程度分级进行判定。</w:t>
      </w:r>
    </w:p>
    <w:p>
      <w:pPr>
        <w:ind w:firstLine="480"/>
        <w:rPr>
          <w:kern w:val="44"/>
          <w:lang w:val="zh-CN"/>
        </w:rPr>
      </w:pPr>
      <w:r>
        <w:rPr>
          <w:szCs w:val="24"/>
        </w:rPr>
        <w:t>根据《环境影响评价技术导则—地下水环境》(HJ610-2016)，本项目为</w:t>
      </w:r>
      <w:r>
        <w:t>水利工程项目</w:t>
      </w:r>
      <w:r>
        <w:rPr>
          <w:szCs w:val="24"/>
        </w:rPr>
        <w:t>，根据附录A可知，本项目（A水利—4、防洪治涝工程—新建大中型）地下水环境影响评价项目类别为</w:t>
      </w:r>
      <w:r>
        <w:rPr>
          <w:rFonts w:hint="eastAsia" w:ascii="宋体" w:hAnsi="宋体" w:cs="宋体"/>
          <w:szCs w:val="24"/>
        </w:rPr>
        <w:t>Ⅲ</w:t>
      </w:r>
      <w:r>
        <w:rPr>
          <w:szCs w:val="24"/>
        </w:rPr>
        <w:t>类，</w:t>
      </w:r>
      <w:r>
        <w:rPr>
          <w:rFonts w:hint="eastAsia"/>
          <w:kern w:val="44"/>
          <w:lang w:val="zh-CN"/>
        </w:rPr>
        <w:t>评价范围内</w:t>
      </w:r>
      <w:r>
        <w:rPr>
          <w:kern w:val="44"/>
          <w:lang w:val="zh-CN"/>
        </w:rPr>
        <w:t>饮用自来水</w:t>
      </w:r>
      <w:r>
        <w:rPr>
          <w:rFonts w:hint="eastAsia"/>
          <w:kern w:val="44"/>
          <w:lang w:val="zh-CN"/>
        </w:rPr>
        <w:t>，因此，</w:t>
      </w:r>
      <w:r>
        <w:rPr>
          <w:kern w:val="44"/>
          <w:lang w:val="zh-CN"/>
        </w:rPr>
        <w:t>评价区范围内没有地下水集中式供水水源地</w:t>
      </w:r>
      <w:r>
        <w:rPr>
          <w:rFonts w:hint="eastAsia"/>
          <w:kern w:val="44"/>
          <w:lang w:val="zh-CN"/>
        </w:rPr>
        <w:t>，分散式供水水源地</w:t>
      </w:r>
      <w:r>
        <w:rPr>
          <w:kern w:val="44"/>
          <w:lang w:val="zh-CN"/>
        </w:rPr>
        <w:t>及其他环境敏感区，</w:t>
      </w:r>
      <w:r>
        <w:rPr>
          <w:rFonts w:hint="eastAsia"/>
          <w:kern w:val="44"/>
          <w:lang w:val="zh-CN"/>
        </w:rPr>
        <w:t>工程场地地下水敏感程度为不敏感。</w:t>
      </w:r>
      <w:r>
        <w:rPr>
          <w:kern w:val="44"/>
          <w:lang w:val="zh-CN"/>
        </w:rPr>
        <w:t>因此，拟建</w:t>
      </w:r>
      <w:r>
        <w:rPr>
          <w:rFonts w:hint="eastAsia"/>
          <w:kern w:val="44"/>
          <w:lang w:val="zh-CN"/>
        </w:rPr>
        <w:t>工程</w:t>
      </w:r>
      <w:r>
        <w:rPr>
          <w:kern w:val="44"/>
          <w:lang w:val="zh-CN"/>
        </w:rPr>
        <w:t>地下水环境影响评价等级为三级。</w:t>
      </w:r>
    </w:p>
    <w:p>
      <w:pPr>
        <w:pStyle w:val="306"/>
        <w:rPr>
          <w:color w:val="auto"/>
        </w:rPr>
      </w:pPr>
      <w:r>
        <w:rPr>
          <w:rFonts w:hint="eastAsia" w:ascii="宋体" w:hAnsi="宋体" w:cs="宋体"/>
          <w:color w:val="auto"/>
          <w:szCs w:val="24"/>
        </w:rPr>
        <w:t>⑷</w:t>
      </w:r>
      <w:r>
        <w:rPr>
          <w:color w:val="auto"/>
        </w:rPr>
        <w:t>声环境</w:t>
      </w:r>
    </w:p>
    <w:p>
      <w:pPr>
        <w:ind w:firstLine="480"/>
        <w:rPr>
          <w:szCs w:val="24"/>
        </w:rPr>
      </w:pPr>
      <w:r>
        <w:rPr>
          <w:rFonts w:hint="eastAsia"/>
          <w:szCs w:val="24"/>
        </w:rPr>
        <w:t>上高</w:t>
      </w:r>
      <w:r>
        <w:rPr>
          <w:szCs w:val="24"/>
        </w:rPr>
        <w:t>县</w:t>
      </w:r>
      <w:r>
        <w:rPr>
          <w:rFonts w:hint="eastAsia"/>
          <w:szCs w:val="24"/>
        </w:rPr>
        <w:t>毛家渡</w:t>
      </w:r>
      <w:r>
        <w:rPr>
          <w:szCs w:val="24"/>
        </w:rPr>
        <w:t>抬水工程所处区域为声环境功能2类区，周围没有特别需要保护的声环境保护目标。工程施工期噪声源主要来自开挖</w:t>
      </w:r>
      <w:r>
        <w:rPr>
          <w:rFonts w:hint="eastAsia"/>
          <w:szCs w:val="24"/>
        </w:rPr>
        <w:t>钻孔</w:t>
      </w:r>
      <w:r>
        <w:rPr>
          <w:szCs w:val="24"/>
        </w:rPr>
        <w:t>、砂石料加工系统、交通车辆等，持续时间相对较短，可能受影响的区域主要是施工区，直接受影响人口是近设备操作人员，其次是料场附近居民，施工结束后声污染随即自行消失。本项目位于声环境功能2类区，工程建设前后噪声值增加较小（</w:t>
      </w:r>
      <w:r>
        <w:rPr>
          <w:rFonts w:hint="eastAsia"/>
          <w:szCs w:val="24"/>
        </w:rPr>
        <w:t>5</w:t>
      </w:r>
      <w:r>
        <w:rPr>
          <w:szCs w:val="24"/>
        </w:rPr>
        <w:t>dB</w:t>
      </w:r>
      <w:r>
        <w:rPr>
          <w:rFonts w:hint="eastAsia"/>
          <w:szCs w:val="24"/>
        </w:rPr>
        <w:t>以内</w:t>
      </w:r>
      <w:r>
        <w:rPr>
          <w:szCs w:val="24"/>
        </w:rPr>
        <w:t>），周边居民受噪声影响主要在施工期，噪声影响随着施工结束而消失。因此，本项目声环境影响评价工作等级为二级。</w:t>
      </w:r>
    </w:p>
    <w:p>
      <w:pPr>
        <w:ind w:firstLine="480"/>
        <w:rPr>
          <w:szCs w:val="24"/>
        </w:rPr>
      </w:pPr>
      <w:r>
        <w:rPr>
          <w:rFonts w:hint="eastAsia" w:ascii="宋体" w:hAnsi="宋体" w:cs="宋体"/>
          <w:szCs w:val="24"/>
        </w:rPr>
        <w:t>⑸</w:t>
      </w:r>
      <w:r>
        <w:rPr>
          <w:szCs w:val="24"/>
        </w:rPr>
        <w:t>生态环境</w:t>
      </w:r>
    </w:p>
    <w:p>
      <w:pPr>
        <w:ind w:firstLine="480"/>
        <w:rPr>
          <w:szCs w:val="24"/>
        </w:rPr>
      </w:pPr>
      <w:r>
        <w:rPr>
          <w:color w:val="0000FF"/>
          <w:szCs w:val="24"/>
        </w:rPr>
        <w:t>本项目正常蓄水时，抬高坝址上游</w:t>
      </w:r>
      <w:r>
        <w:rPr>
          <w:rFonts w:hint="eastAsia"/>
          <w:color w:val="0000FF"/>
          <w:szCs w:val="24"/>
        </w:rPr>
        <w:t>县城城区</w:t>
      </w:r>
      <w:r>
        <w:rPr>
          <w:color w:val="0000FF"/>
          <w:szCs w:val="24"/>
        </w:rPr>
        <w:t>河段水位，根据《环境影响评价技术导则生态影响》（HJ19-20</w:t>
      </w:r>
      <w:r>
        <w:rPr>
          <w:rFonts w:hint="eastAsia"/>
          <w:color w:val="0000FF"/>
          <w:szCs w:val="24"/>
        </w:rPr>
        <w:t>22</w:t>
      </w:r>
      <w:r>
        <w:rPr>
          <w:color w:val="0000FF"/>
          <w:szCs w:val="24"/>
        </w:rPr>
        <w:t>），</w:t>
      </w:r>
      <w:r>
        <w:rPr>
          <w:rFonts w:hint="eastAsia"/>
          <w:color w:val="0000FF"/>
          <w:szCs w:val="24"/>
        </w:rPr>
        <w:t>本工程属于水文要素影响型且地表水评价等级不低于二级的建设项目，生态影响评价等级不低于二级，本工程位于团结溢流坝与利高溢流坝利之间的抬水工程，并且利高水电站的回水长度已至本工程上游河段3km处，因此，本工程不会造成坝址下游减水段，</w:t>
      </w:r>
      <w:r>
        <w:rPr>
          <w:color w:val="0000FF"/>
          <w:szCs w:val="24"/>
        </w:rPr>
        <w:t>最终确定本项目生态环境影响评价工作等级按</w:t>
      </w:r>
      <w:r>
        <w:rPr>
          <w:rFonts w:hint="eastAsia"/>
          <w:color w:val="0000FF"/>
          <w:szCs w:val="24"/>
        </w:rPr>
        <w:t>二</w:t>
      </w:r>
      <w:r>
        <w:rPr>
          <w:color w:val="0000FF"/>
          <w:szCs w:val="24"/>
        </w:rPr>
        <w:t>级评价。</w:t>
      </w:r>
    </w:p>
    <w:p>
      <w:pPr>
        <w:ind w:firstLine="480"/>
        <w:rPr>
          <w:szCs w:val="24"/>
        </w:rPr>
      </w:pPr>
      <w:r>
        <w:rPr>
          <w:rFonts w:hint="eastAsia" w:ascii="宋体" w:hAnsi="宋体" w:cs="宋体"/>
          <w:szCs w:val="24"/>
        </w:rPr>
        <w:t>(6)土壤</w:t>
      </w:r>
      <w:r>
        <w:rPr>
          <w:szCs w:val="24"/>
        </w:rPr>
        <w:t>环境</w:t>
      </w:r>
    </w:p>
    <w:p>
      <w:pPr>
        <w:autoSpaceDE w:val="0"/>
        <w:autoSpaceDN w:val="0"/>
        <w:adjustRightInd w:val="0"/>
        <w:ind w:firstLine="480"/>
      </w:pPr>
      <w:r>
        <w:rPr>
          <w:szCs w:val="24"/>
        </w:rPr>
        <w:t>本项目</w:t>
      </w:r>
      <w:r>
        <w:rPr>
          <w:rFonts w:hint="eastAsia"/>
          <w:szCs w:val="24"/>
        </w:rPr>
        <w:t>毛家渡</w:t>
      </w:r>
      <w:r>
        <w:rPr>
          <w:szCs w:val="24"/>
        </w:rPr>
        <w:t>抬水工程属于水利行业，根据《环境影响评价技术导则-土壤环境》（HJ964-2018）附录A注解，本项目属于“水利——</w:t>
      </w:r>
      <w:r>
        <w:rPr>
          <w:rFonts w:hint="eastAsia"/>
          <w:szCs w:val="24"/>
        </w:rPr>
        <w:t>库容1000万m</w:t>
      </w:r>
      <w:r>
        <w:rPr>
          <w:rFonts w:hint="eastAsia"/>
          <w:szCs w:val="24"/>
          <w:vertAlign w:val="superscript"/>
        </w:rPr>
        <w:t>3</w:t>
      </w:r>
      <w:r>
        <w:rPr>
          <w:rFonts w:hint="eastAsia"/>
          <w:szCs w:val="24"/>
        </w:rPr>
        <w:t>至1亿m</w:t>
      </w:r>
      <w:r>
        <w:rPr>
          <w:rFonts w:hint="eastAsia"/>
          <w:szCs w:val="24"/>
          <w:vertAlign w:val="superscript"/>
        </w:rPr>
        <w:t>3</w:t>
      </w:r>
      <w:r>
        <w:rPr>
          <w:rFonts w:hint="eastAsia"/>
          <w:szCs w:val="24"/>
        </w:rPr>
        <w:t>的水库</w:t>
      </w:r>
      <w:r>
        <w:rPr>
          <w:szCs w:val="24"/>
        </w:rPr>
        <w:t>”，土壤环境影响评价类别为</w:t>
      </w:r>
      <w:r>
        <w:rPr>
          <w:rFonts w:hint="eastAsia" w:ascii="宋体" w:hAnsi="宋体" w:cs="宋体"/>
          <w:szCs w:val="24"/>
        </w:rPr>
        <w:t>Ⅱ</w:t>
      </w:r>
      <w:r>
        <w:rPr>
          <w:szCs w:val="24"/>
        </w:rPr>
        <w:t>类。盐化程度：</w:t>
      </w:r>
      <w:r>
        <w:rPr>
          <w:rFonts w:hint="eastAsia"/>
          <w:szCs w:val="24"/>
        </w:rPr>
        <w:t>上高</w:t>
      </w:r>
      <w:r>
        <w:rPr>
          <w:szCs w:val="24"/>
        </w:rPr>
        <w:t>县全年平均蒸发量为</w:t>
      </w:r>
      <w:r>
        <w:rPr>
          <w:rFonts w:hint="eastAsia"/>
          <w:szCs w:val="24"/>
        </w:rPr>
        <w:t>960.1</w:t>
      </w:r>
      <w:r>
        <w:rPr>
          <w:szCs w:val="24"/>
        </w:rPr>
        <w:t>mm，全年平均降雨量为16</w:t>
      </w:r>
      <w:r>
        <w:rPr>
          <w:rFonts w:hint="eastAsia"/>
          <w:szCs w:val="24"/>
        </w:rPr>
        <w:t>85</w:t>
      </w:r>
      <w:r>
        <w:rPr>
          <w:szCs w:val="24"/>
        </w:rPr>
        <w:t>mm，则干燥度约为0.</w:t>
      </w:r>
      <w:r>
        <w:rPr>
          <w:rFonts w:hint="eastAsia"/>
          <w:szCs w:val="24"/>
        </w:rPr>
        <w:t>5</w:t>
      </w:r>
      <w:r>
        <w:rPr>
          <w:szCs w:val="24"/>
        </w:rPr>
        <w:t>7；根据地下水环境现状评价内容，项目所在地地下水平均埋深约为</w:t>
      </w:r>
      <w:r>
        <w:rPr>
          <w:rFonts w:hint="eastAsia"/>
          <w:szCs w:val="24"/>
        </w:rPr>
        <w:t>2-4</w:t>
      </w:r>
      <w:r>
        <w:rPr>
          <w:szCs w:val="24"/>
        </w:rPr>
        <w:t>m，</w:t>
      </w:r>
      <w:r>
        <w:rPr>
          <w:kern w:val="0"/>
          <w:szCs w:val="24"/>
        </w:rPr>
        <w:t>大于1.8m；根据土壤监测结果，</w:t>
      </w:r>
      <w:r>
        <w:rPr>
          <w:szCs w:val="24"/>
        </w:rPr>
        <w:t>项目所在地土壤含盐量平均值约为</w:t>
      </w:r>
      <w:r>
        <w:rPr>
          <w:kern w:val="0"/>
          <w:szCs w:val="24"/>
        </w:rPr>
        <w:t>0.0596~0.28g/kg</w:t>
      </w:r>
      <w:r>
        <w:rPr>
          <w:szCs w:val="24"/>
        </w:rPr>
        <w:t>，</w:t>
      </w:r>
      <w:r>
        <w:rPr>
          <w:kern w:val="0"/>
          <w:szCs w:val="24"/>
        </w:rPr>
        <w:t>小于2g/kg；根据土壤监测结果，土壤pH值为</w:t>
      </w:r>
      <w:r>
        <w:rPr>
          <w:rFonts w:hint="eastAsia"/>
          <w:kern w:val="0"/>
          <w:szCs w:val="24"/>
        </w:rPr>
        <w:t>6.31</w:t>
      </w:r>
      <w:r>
        <w:rPr>
          <w:kern w:val="0"/>
          <w:szCs w:val="24"/>
        </w:rPr>
        <w:t>~6.</w:t>
      </w:r>
      <w:r>
        <w:rPr>
          <w:rFonts w:hint="eastAsia"/>
          <w:kern w:val="0"/>
          <w:szCs w:val="24"/>
        </w:rPr>
        <w:t>44</w:t>
      </w:r>
      <w:r>
        <w:rPr>
          <w:kern w:val="0"/>
          <w:szCs w:val="24"/>
        </w:rPr>
        <w:t>。</w:t>
      </w:r>
    </w:p>
    <w:p>
      <w:pPr>
        <w:spacing w:before="120" w:beforeLines="50" w:line="240" w:lineRule="auto"/>
        <w:ind w:firstLine="480"/>
        <w:jc w:val="center"/>
        <w:rPr>
          <w:rFonts w:ascii="黑体" w:hAnsi="黑体" w:eastAsia="黑体" w:cs="黑体"/>
        </w:rPr>
      </w:pPr>
      <w:r>
        <w:rPr>
          <w:rFonts w:hint="eastAsia" w:ascii="黑体" w:hAnsi="黑体" w:eastAsia="黑体" w:cs="黑体"/>
        </w:rPr>
        <w:t>表1.6-3  生态影响型敏感程度分级表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6236"/>
        <w:gridCol w:w="1131"/>
        <w:gridCol w:w="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vMerge w:val="restart"/>
            <w:vAlign w:val="center"/>
          </w:tcPr>
          <w:p>
            <w:pPr>
              <w:adjustRightInd w:val="0"/>
              <w:snapToGrid w:val="0"/>
              <w:spacing w:line="340" w:lineRule="exact"/>
              <w:ind w:firstLine="0" w:firstLineChars="0"/>
              <w:jc w:val="center"/>
              <w:rPr>
                <w:sz w:val="21"/>
                <w:szCs w:val="21"/>
              </w:rPr>
            </w:pPr>
            <w:r>
              <w:rPr>
                <w:rFonts w:hint="eastAsia"/>
                <w:sz w:val="21"/>
                <w:szCs w:val="21"/>
              </w:rPr>
              <w:t>敏感程度</w:t>
            </w:r>
          </w:p>
        </w:tc>
        <w:tc>
          <w:tcPr>
            <w:tcW w:w="4352" w:type="pct"/>
            <w:gridSpan w:val="3"/>
            <w:vAlign w:val="center"/>
          </w:tcPr>
          <w:p>
            <w:pPr>
              <w:adjustRightInd w:val="0"/>
              <w:snapToGrid w:val="0"/>
              <w:spacing w:line="340" w:lineRule="exact"/>
              <w:ind w:firstLine="0" w:firstLineChars="0"/>
              <w:jc w:val="center"/>
              <w:rPr>
                <w:sz w:val="21"/>
                <w:szCs w:val="21"/>
              </w:rPr>
            </w:pPr>
            <w:r>
              <w:rPr>
                <w:rFonts w:hint="eastAsia"/>
                <w:sz w:val="21"/>
                <w:szCs w:val="21"/>
              </w:rPr>
              <w:t>判别依据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vMerge w:val="continue"/>
            <w:vAlign w:val="center"/>
          </w:tcPr>
          <w:p>
            <w:pPr>
              <w:adjustRightInd w:val="0"/>
              <w:snapToGrid w:val="0"/>
              <w:spacing w:line="340" w:lineRule="exact"/>
              <w:ind w:firstLine="0" w:firstLineChars="0"/>
              <w:jc w:val="center"/>
              <w:rPr>
                <w:sz w:val="21"/>
                <w:szCs w:val="21"/>
              </w:rPr>
            </w:pPr>
          </w:p>
        </w:tc>
        <w:tc>
          <w:tcPr>
            <w:tcW w:w="3258" w:type="pct"/>
            <w:vAlign w:val="center"/>
          </w:tcPr>
          <w:p>
            <w:pPr>
              <w:adjustRightInd w:val="0"/>
              <w:snapToGrid w:val="0"/>
              <w:spacing w:line="340" w:lineRule="exact"/>
              <w:ind w:firstLine="0" w:firstLineChars="0"/>
              <w:jc w:val="center"/>
              <w:rPr>
                <w:sz w:val="21"/>
                <w:szCs w:val="21"/>
              </w:rPr>
            </w:pPr>
            <w:r>
              <w:rPr>
                <w:rFonts w:hint="eastAsia"/>
                <w:sz w:val="21"/>
                <w:szCs w:val="21"/>
              </w:rPr>
              <w:t>盐化</w:t>
            </w:r>
          </w:p>
        </w:tc>
        <w:tc>
          <w:tcPr>
            <w:tcW w:w="591" w:type="pct"/>
            <w:vAlign w:val="center"/>
          </w:tcPr>
          <w:p>
            <w:pPr>
              <w:adjustRightInd w:val="0"/>
              <w:snapToGrid w:val="0"/>
              <w:spacing w:line="340" w:lineRule="exact"/>
              <w:ind w:firstLine="0" w:firstLineChars="0"/>
              <w:jc w:val="center"/>
              <w:rPr>
                <w:sz w:val="21"/>
                <w:szCs w:val="21"/>
              </w:rPr>
            </w:pPr>
            <w:r>
              <w:rPr>
                <w:rFonts w:hint="eastAsia"/>
                <w:sz w:val="21"/>
                <w:szCs w:val="21"/>
              </w:rPr>
              <w:t>酸化</w:t>
            </w:r>
          </w:p>
        </w:tc>
        <w:tc>
          <w:tcPr>
            <w:tcW w:w="502" w:type="pct"/>
            <w:vAlign w:val="center"/>
          </w:tcPr>
          <w:p>
            <w:pPr>
              <w:adjustRightInd w:val="0"/>
              <w:snapToGrid w:val="0"/>
              <w:spacing w:line="340" w:lineRule="exact"/>
              <w:ind w:firstLine="0" w:firstLineChars="0"/>
              <w:jc w:val="center"/>
              <w:rPr>
                <w:sz w:val="21"/>
                <w:szCs w:val="21"/>
              </w:rPr>
            </w:pPr>
            <w:r>
              <w:rPr>
                <w:rFonts w:hint="eastAsia"/>
                <w:sz w:val="21"/>
                <w:szCs w:val="21"/>
              </w:rPr>
              <w:t>碱化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vAlign w:val="center"/>
          </w:tcPr>
          <w:p>
            <w:pPr>
              <w:adjustRightInd w:val="0"/>
              <w:snapToGrid w:val="0"/>
              <w:spacing w:line="340" w:lineRule="exact"/>
              <w:ind w:firstLine="0" w:firstLineChars="0"/>
              <w:jc w:val="center"/>
              <w:rPr>
                <w:sz w:val="21"/>
                <w:szCs w:val="21"/>
              </w:rPr>
            </w:pPr>
            <w:r>
              <w:rPr>
                <w:rFonts w:hint="eastAsia"/>
                <w:sz w:val="21"/>
                <w:szCs w:val="21"/>
              </w:rPr>
              <w:t>敏感</w:t>
            </w:r>
          </w:p>
        </w:tc>
        <w:tc>
          <w:tcPr>
            <w:tcW w:w="3258" w:type="pct"/>
            <w:vAlign w:val="center"/>
          </w:tcPr>
          <w:p>
            <w:pPr>
              <w:adjustRightInd w:val="0"/>
              <w:snapToGrid w:val="0"/>
              <w:spacing w:line="340" w:lineRule="exact"/>
              <w:ind w:firstLine="0" w:firstLineChars="0"/>
              <w:jc w:val="center"/>
              <w:rPr>
                <w:sz w:val="21"/>
                <w:szCs w:val="21"/>
              </w:rPr>
            </w:pPr>
            <w:r>
              <w:rPr>
                <w:rFonts w:hint="eastAsia"/>
                <w:sz w:val="21"/>
                <w:szCs w:val="21"/>
              </w:rPr>
              <w:t>建设</w:t>
            </w:r>
            <w:r>
              <w:rPr>
                <w:sz w:val="21"/>
                <w:szCs w:val="21"/>
              </w:rPr>
              <w:t>项目所在地干燥度</w:t>
            </w:r>
            <w:r>
              <w:rPr>
                <w:rFonts w:hint="eastAsia"/>
                <w:sz w:val="21"/>
                <w:szCs w:val="21"/>
                <w:vertAlign w:val="superscript"/>
              </w:rPr>
              <w:t>a</w:t>
            </w:r>
            <w:r>
              <w:rPr>
                <w:rFonts w:hint="eastAsia"/>
                <w:sz w:val="21"/>
                <w:szCs w:val="21"/>
              </w:rPr>
              <w:t>＞2.5且</w:t>
            </w:r>
            <w:r>
              <w:rPr>
                <w:sz w:val="21"/>
                <w:szCs w:val="21"/>
              </w:rPr>
              <w:t>常年地下水</w:t>
            </w:r>
            <w:r>
              <w:rPr>
                <w:rFonts w:hint="eastAsia"/>
                <w:sz w:val="21"/>
                <w:szCs w:val="21"/>
              </w:rPr>
              <w:t>位</w:t>
            </w:r>
            <w:r>
              <w:rPr>
                <w:sz w:val="21"/>
                <w:szCs w:val="21"/>
              </w:rPr>
              <w:t>平均埋深＜</w:t>
            </w:r>
            <w:r>
              <w:rPr>
                <w:rFonts w:hint="eastAsia"/>
                <w:sz w:val="21"/>
                <w:szCs w:val="21"/>
              </w:rPr>
              <w:t>1.5</w:t>
            </w:r>
            <w:r>
              <w:rPr>
                <w:sz w:val="21"/>
                <w:szCs w:val="21"/>
              </w:rPr>
              <w:t>m的地势平坦区域；或土壤含盐量＞</w:t>
            </w:r>
            <w:r>
              <w:rPr>
                <w:rFonts w:hint="eastAsia"/>
                <w:sz w:val="21"/>
                <w:szCs w:val="21"/>
              </w:rPr>
              <w:t>4</w:t>
            </w:r>
            <w:r>
              <w:rPr>
                <w:sz w:val="21"/>
                <w:szCs w:val="21"/>
              </w:rPr>
              <w:t>g/kg的区域</w:t>
            </w:r>
          </w:p>
        </w:tc>
        <w:tc>
          <w:tcPr>
            <w:tcW w:w="591" w:type="pct"/>
            <w:vAlign w:val="center"/>
          </w:tcPr>
          <w:p>
            <w:pPr>
              <w:adjustRightInd w:val="0"/>
              <w:snapToGrid w:val="0"/>
              <w:spacing w:line="340" w:lineRule="exact"/>
              <w:ind w:firstLine="0" w:firstLineChars="0"/>
              <w:jc w:val="center"/>
              <w:rPr>
                <w:sz w:val="21"/>
                <w:szCs w:val="21"/>
              </w:rPr>
            </w:pPr>
            <w:r>
              <w:rPr>
                <w:sz w:val="21"/>
                <w:szCs w:val="21"/>
              </w:rPr>
              <w:t>pH≤4.5</w:t>
            </w:r>
          </w:p>
        </w:tc>
        <w:tc>
          <w:tcPr>
            <w:tcW w:w="502" w:type="pct"/>
            <w:vAlign w:val="center"/>
          </w:tcPr>
          <w:p>
            <w:pPr>
              <w:adjustRightInd w:val="0"/>
              <w:snapToGrid w:val="0"/>
              <w:spacing w:line="340" w:lineRule="exact"/>
              <w:ind w:firstLine="0" w:firstLineChars="0"/>
              <w:jc w:val="center"/>
              <w:rPr>
                <w:sz w:val="21"/>
                <w:szCs w:val="21"/>
              </w:rPr>
            </w:pPr>
            <w:r>
              <w:rPr>
                <w:sz w:val="21"/>
                <w:szCs w:val="21"/>
              </w:rPr>
              <w:t>pH≥9.0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vAlign w:val="center"/>
          </w:tcPr>
          <w:p>
            <w:pPr>
              <w:adjustRightInd w:val="0"/>
              <w:snapToGrid w:val="0"/>
              <w:spacing w:line="340" w:lineRule="exact"/>
              <w:ind w:firstLine="0" w:firstLineChars="0"/>
              <w:jc w:val="center"/>
              <w:rPr>
                <w:sz w:val="21"/>
                <w:szCs w:val="21"/>
              </w:rPr>
            </w:pPr>
            <w:r>
              <w:rPr>
                <w:rFonts w:hint="eastAsia"/>
                <w:sz w:val="21"/>
                <w:szCs w:val="21"/>
              </w:rPr>
              <w:t>较敏感</w:t>
            </w:r>
          </w:p>
        </w:tc>
        <w:tc>
          <w:tcPr>
            <w:tcW w:w="3258" w:type="pct"/>
            <w:vAlign w:val="center"/>
          </w:tcPr>
          <w:p>
            <w:pPr>
              <w:adjustRightInd w:val="0"/>
              <w:snapToGrid w:val="0"/>
              <w:spacing w:line="340" w:lineRule="exact"/>
              <w:ind w:firstLine="0" w:firstLineChars="0"/>
              <w:jc w:val="center"/>
              <w:rPr>
                <w:sz w:val="21"/>
                <w:szCs w:val="21"/>
              </w:rPr>
            </w:pPr>
            <w:r>
              <w:rPr>
                <w:rFonts w:hint="eastAsia"/>
                <w:sz w:val="21"/>
                <w:szCs w:val="21"/>
              </w:rPr>
              <w:t>建设</w:t>
            </w:r>
            <w:r>
              <w:rPr>
                <w:sz w:val="21"/>
                <w:szCs w:val="21"/>
              </w:rPr>
              <w:t>项目所在地干燥度</w:t>
            </w:r>
            <w:r>
              <w:rPr>
                <w:rFonts w:hint="eastAsia"/>
                <w:sz w:val="21"/>
                <w:szCs w:val="21"/>
                <w:vertAlign w:val="superscript"/>
              </w:rPr>
              <w:t>a</w:t>
            </w:r>
            <w:r>
              <w:rPr>
                <w:rFonts w:hint="eastAsia"/>
                <w:sz w:val="21"/>
                <w:szCs w:val="21"/>
              </w:rPr>
              <w:t>＞2.5且</w:t>
            </w:r>
            <w:r>
              <w:rPr>
                <w:sz w:val="21"/>
                <w:szCs w:val="21"/>
              </w:rPr>
              <w:t>常年地下水</w:t>
            </w:r>
            <w:r>
              <w:rPr>
                <w:rFonts w:hint="eastAsia"/>
                <w:sz w:val="21"/>
                <w:szCs w:val="21"/>
              </w:rPr>
              <w:t>位</w:t>
            </w:r>
            <w:r>
              <w:rPr>
                <w:sz w:val="21"/>
                <w:szCs w:val="21"/>
              </w:rPr>
              <w:t>平均埋深</w:t>
            </w:r>
            <w:r>
              <w:rPr>
                <w:rFonts w:hint="eastAsia"/>
                <w:sz w:val="21"/>
                <w:szCs w:val="21"/>
              </w:rPr>
              <w:t>≥1.5</w:t>
            </w:r>
            <w:r>
              <w:rPr>
                <w:sz w:val="21"/>
                <w:szCs w:val="21"/>
              </w:rPr>
              <w:t>m的</w:t>
            </w:r>
            <w:r>
              <w:rPr>
                <w:rFonts w:hint="eastAsia"/>
                <w:sz w:val="21"/>
                <w:szCs w:val="21"/>
              </w:rPr>
              <w:t>，</w:t>
            </w:r>
            <w:r>
              <w:rPr>
                <w:sz w:val="21"/>
                <w:szCs w:val="21"/>
              </w:rPr>
              <w:t>或</w:t>
            </w:r>
            <w:r>
              <w:rPr>
                <w:rFonts w:hint="eastAsia"/>
                <w:sz w:val="21"/>
                <w:szCs w:val="21"/>
              </w:rPr>
              <w:t>1.8＜</w:t>
            </w:r>
            <w:r>
              <w:rPr>
                <w:sz w:val="21"/>
                <w:szCs w:val="21"/>
              </w:rPr>
              <w:t>干燥度≤2.5</w:t>
            </w:r>
            <w:r>
              <w:rPr>
                <w:rFonts w:hint="eastAsia"/>
                <w:sz w:val="21"/>
                <w:szCs w:val="21"/>
              </w:rPr>
              <w:t>且</w:t>
            </w:r>
            <w:r>
              <w:rPr>
                <w:sz w:val="21"/>
                <w:szCs w:val="21"/>
              </w:rPr>
              <w:t>常年地下水</w:t>
            </w:r>
            <w:r>
              <w:rPr>
                <w:rFonts w:hint="eastAsia"/>
                <w:sz w:val="21"/>
                <w:szCs w:val="21"/>
              </w:rPr>
              <w:t>位</w:t>
            </w:r>
            <w:r>
              <w:rPr>
                <w:sz w:val="21"/>
                <w:szCs w:val="21"/>
              </w:rPr>
              <w:t>平均埋深</w:t>
            </w:r>
            <w:r>
              <w:rPr>
                <w:rFonts w:hint="eastAsia"/>
                <w:sz w:val="21"/>
                <w:szCs w:val="21"/>
              </w:rPr>
              <w:t>＜1.</w:t>
            </w:r>
            <w:r>
              <w:rPr>
                <w:sz w:val="21"/>
                <w:szCs w:val="21"/>
              </w:rPr>
              <w:t>8m的地势平坦区域</w:t>
            </w:r>
            <w:r>
              <w:rPr>
                <w:rFonts w:hint="eastAsia"/>
                <w:sz w:val="21"/>
                <w:szCs w:val="21"/>
              </w:rPr>
              <w:t>；建设</w:t>
            </w:r>
            <w:r>
              <w:rPr>
                <w:sz w:val="21"/>
                <w:szCs w:val="21"/>
              </w:rPr>
              <w:t>项目所在地干燥度</w:t>
            </w:r>
            <w:r>
              <w:rPr>
                <w:rFonts w:hint="eastAsia"/>
                <w:sz w:val="21"/>
                <w:szCs w:val="21"/>
                <w:vertAlign w:val="superscript"/>
              </w:rPr>
              <w:t>a</w:t>
            </w:r>
            <w:r>
              <w:rPr>
                <w:rFonts w:hint="eastAsia"/>
                <w:sz w:val="21"/>
                <w:szCs w:val="21"/>
              </w:rPr>
              <w:t>＞2.5或</w:t>
            </w:r>
            <w:r>
              <w:rPr>
                <w:sz w:val="21"/>
                <w:szCs w:val="21"/>
              </w:rPr>
              <w:t>常年地下水</w:t>
            </w:r>
            <w:r>
              <w:rPr>
                <w:rFonts w:hint="eastAsia"/>
                <w:sz w:val="21"/>
                <w:szCs w:val="21"/>
              </w:rPr>
              <w:t>位</w:t>
            </w:r>
            <w:r>
              <w:rPr>
                <w:sz w:val="21"/>
                <w:szCs w:val="21"/>
              </w:rPr>
              <w:t>平均埋深</w:t>
            </w:r>
            <w:r>
              <w:rPr>
                <w:rFonts w:hint="eastAsia"/>
                <w:sz w:val="21"/>
                <w:szCs w:val="21"/>
              </w:rPr>
              <w:t>＜1.5</w:t>
            </w:r>
            <w:r>
              <w:rPr>
                <w:sz w:val="21"/>
                <w:szCs w:val="21"/>
              </w:rPr>
              <w:t>m的</w:t>
            </w:r>
            <w:r>
              <w:rPr>
                <w:rFonts w:hint="eastAsia"/>
                <w:sz w:val="21"/>
                <w:szCs w:val="21"/>
              </w:rPr>
              <w:t>平原区，</w:t>
            </w:r>
            <w:r>
              <w:rPr>
                <w:sz w:val="21"/>
                <w:szCs w:val="21"/>
              </w:rPr>
              <w:t>或</w:t>
            </w:r>
            <w:r>
              <w:rPr>
                <w:rFonts w:hint="eastAsia"/>
                <w:sz w:val="21"/>
                <w:szCs w:val="21"/>
              </w:rPr>
              <w:t>2</w:t>
            </w:r>
            <w:r>
              <w:rPr>
                <w:sz w:val="21"/>
                <w:szCs w:val="21"/>
              </w:rPr>
              <w:t>g/kg＜土壤含盐量</w:t>
            </w:r>
            <w:r>
              <w:rPr>
                <w:rFonts w:hint="eastAsia"/>
                <w:sz w:val="21"/>
                <w:szCs w:val="21"/>
              </w:rPr>
              <w:t>≤4</w:t>
            </w:r>
            <w:r>
              <w:rPr>
                <w:sz w:val="21"/>
                <w:szCs w:val="21"/>
              </w:rPr>
              <w:t>g/kg的区域</w:t>
            </w:r>
          </w:p>
        </w:tc>
        <w:tc>
          <w:tcPr>
            <w:tcW w:w="591" w:type="pct"/>
            <w:vAlign w:val="center"/>
          </w:tcPr>
          <w:p>
            <w:pPr>
              <w:adjustRightInd w:val="0"/>
              <w:snapToGrid w:val="0"/>
              <w:spacing w:line="340" w:lineRule="exact"/>
              <w:ind w:firstLine="0" w:firstLineChars="0"/>
              <w:jc w:val="center"/>
              <w:rPr>
                <w:sz w:val="21"/>
                <w:szCs w:val="21"/>
              </w:rPr>
            </w:pPr>
            <w:r>
              <w:rPr>
                <w:rFonts w:hint="eastAsia"/>
                <w:sz w:val="21"/>
                <w:szCs w:val="21"/>
              </w:rPr>
              <w:t>4.5＜</w:t>
            </w:r>
            <w:r>
              <w:rPr>
                <w:sz w:val="21"/>
                <w:szCs w:val="21"/>
              </w:rPr>
              <w:t>pH≤5.5</w:t>
            </w:r>
          </w:p>
        </w:tc>
        <w:tc>
          <w:tcPr>
            <w:tcW w:w="502" w:type="pct"/>
            <w:vAlign w:val="center"/>
          </w:tcPr>
          <w:p>
            <w:pPr>
              <w:adjustRightInd w:val="0"/>
              <w:snapToGrid w:val="0"/>
              <w:spacing w:line="340" w:lineRule="exact"/>
              <w:ind w:firstLine="0" w:firstLineChars="0"/>
              <w:jc w:val="center"/>
              <w:rPr>
                <w:sz w:val="21"/>
                <w:szCs w:val="21"/>
              </w:rPr>
            </w:pPr>
            <w:r>
              <w:rPr>
                <w:sz w:val="21"/>
                <w:szCs w:val="21"/>
              </w:rPr>
              <w:t>8.5≤pH</w:t>
            </w:r>
            <w:r>
              <w:rPr>
                <w:rFonts w:hint="eastAsia"/>
                <w:sz w:val="21"/>
                <w:szCs w:val="21"/>
              </w:rPr>
              <w:t>＜</w:t>
            </w:r>
            <w:r>
              <w:rPr>
                <w:sz w:val="21"/>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pct"/>
            <w:shd w:val="clear" w:color="auto" w:fill="D9D9D9"/>
            <w:vAlign w:val="center"/>
          </w:tcPr>
          <w:p>
            <w:pPr>
              <w:adjustRightInd w:val="0"/>
              <w:snapToGrid w:val="0"/>
              <w:spacing w:line="340" w:lineRule="exact"/>
              <w:ind w:firstLine="0" w:firstLineChars="0"/>
              <w:jc w:val="center"/>
              <w:rPr>
                <w:sz w:val="21"/>
                <w:szCs w:val="21"/>
              </w:rPr>
            </w:pPr>
            <w:r>
              <w:rPr>
                <w:rFonts w:hint="eastAsia"/>
                <w:sz w:val="21"/>
                <w:szCs w:val="21"/>
              </w:rPr>
              <w:t>不敏感</w:t>
            </w:r>
          </w:p>
        </w:tc>
        <w:tc>
          <w:tcPr>
            <w:tcW w:w="3258" w:type="pct"/>
            <w:shd w:val="clear" w:color="auto" w:fill="D9D9D9"/>
            <w:vAlign w:val="center"/>
          </w:tcPr>
          <w:p>
            <w:pPr>
              <w:adjustRightInd w:val="0"/>
              <w:snapToGrid w:val="0"/>
              <w:spacing w:line="340" w:lineRule="exact"/>
              <w:ind w:firstLine="0" w:firstLineChars="0"/>
              <w:jc w:val="center"/>
              <w:rPr>
                <w:sz w:val="21"/>
                <w:szCs w:val="21"/>
              </w:rPr>
            </w:pPr>
            <w:r>
              <w:rPr>
                <w:rFonts w:hint="eastAsia"/>
                <w:sz w:val="21"/>
                <w:szCs w:val="21"/>
              </w:rPr>
              <w:t>其他</w:t>
            </w:r>
          </w:p>
        </w:tc>
        <w:tc>
          <w:tcPr>
            <w:tcW w:w="1094" w:type="pct"/>
            <w:gridSpan w:val="2"/>
            <w:shd w:val="clear" w:color="auto" w:fill="D9D9D9"/>
            <w:vAlign w:val="center"/>
          </w:tcPr>
          <w:p>
            <w:pPr>
              <w:adjustRightInd w:val="0"/>
              <w:snapToGrid w:val="0"/>
              <w:spacing w:line="340" w:lineRule="exact"/>
              <w:ind w:firstLine="0" w:firstLineChars="0"/>
              <w:jc w:val="center"/>
              <w:rPr>
                <w:sz w:val="21"/>
                <w:szCs w:val="21"/>
              </w:rPr>
            </w:pPr>
            <w:r>
              <w:rPr>
                <w:sz w:val="21"/>
                <w:szCs w:val="21"/>
              </w:rPr>
              <w:t>5.5</w:t>
            </w:r>
            <w:r>
              <w:rPr>
                <w:rFonts w:hint="eastAsia"/>
                <w:sz w:val="21"/>
                <w:szCs w:val="21"/>
              </w:rPr>
              <w:t>＜</w:t>
            </w:r>
            <w:r>
              <w:rPr>
                <w:sz w:val="21"/>
                <w:szCs w:val="21"/>
              </w:rPr>
              <w:t>pH</w:t>
            </w:r>
            <w:r>
              <w:rPr>
                <w:rFonts w:hint="eastAsia"/>
                <w:sz w:val="21"/>
                <w:szCs w:val="21"/>
              </w:rPr>
              <w:t>＜</w:t>
            </w:r>
            <w:r>
              <w:rPr>
                <w:sz w:val="21"/>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vAlign w:val="center"/>
          </w:tcPr>
          <w:p>
            <w:pPr>
              <w:adjustRightInd w:val="0"/>
              <w:snapToGrid w:val="0"/>
              <w:spacing w:line="340" w:lineRule="exact"/>
              <w:ind w:firstLine="0" w:firstLineChars="0"/>
              <w:rPr>
                <w:sz w:val="21"/>
                <w:szCs w:val="21"/>
              </w:rPr>
            </w:pPr>
            <w:r>
              <w:rPr>
                <w:sz w:val="21"/>
                <w:szCs w:val="21"/>
              </w:rPr>
              <w:t>a是指采用</w:t>
            </w:r>
            <w:r>
              <w:rPr>
                <w:rFonts w:hint="eastAsia"/>
                <w:sz w:val="21"/>
                <w:szCs w:val="21"/>
              </w:rPr>
              <w:t>E601观测</w:t>
            </w:r>
            <w:r>
              <w:rPr>
                <w:sz w:val="21"/>
                <w:szCs w:val="21"/>
              </w:rPr>
              <w:t>的多年平均</w:t>
            </w:r>
            <w:r>
              <w:rPr>
                <w:rFonts w:hint="eastAsia"/>
                <w:sz w:val="21"/>
                <w:szCs w:val="21"/>
              </w:rPr>
              <w:t>水面</w:t>
            </w:r>
            <w:r>
              <w:rPr>
                <w:sz w:val="21"/>
                <w:szCs w:val="21"/>
              </w:rPr>
              <w:t>蒸发量与降水量的比值，</w:t>
            </w:r>
            <w:r>
              <w:rPr>
                <w:rFonts w:hint="eastAsia"/>
                <w:sz w:val="21"/>
                <w:szCs w:val="21"/>
              </w:rPr>
              <w:t>即</w:t>
            </w:r>
            <w:r>
              <w:rPr>
                <w:sz w:val="21"/>
                <w:szCs w:val="21"/>
              </w:rPr>
              <w:t>蒸降比值。</w:t>
            </w:r>
          </w:p>
        </w:tc>
      </w:tr>
    </w:tbl>
    <w:p>
      <w:pPr>
        <w:spacing w:before="120" w:beforeLines="50" w:line="240" w:lineRule="auto"/>
        <w:ind w:firstLine="480"/>
        <w:jc w:val="center"/>
        <w:rPr>
          <w:rFonts w:ascii="宋体" w:hAnsi="宋体" w:cs="宋体"/>
          <w:b/>
          <w:bCs/>
          <w:szCs w:val="24"/>
        </w:rPr>
      </w:pPr>
      <w:r>
        <w:rPr>
          <w:rFonts w:hint="eastAsia" w:ascii="黑体" w:hAnsi="黑体" w:eastAsia="黑体" w:cs="黑体"/>
          <w:szCs w:val="24"/>
        </w:rPr>
        <w:t>表1.6-4  生态影响型评价工作等级划分表</w:t>
      </w:r>
    </w:p>
    <w:tbl>
      <w:tblPr>
        <w:tblStyle w:val="82"/>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2386"/>
        <w:gridCol w:w="2390"/>
        <w:gridCol w:w="24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7"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项目类别</w:t>
            </w:r>
          </w:p>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评价工作等级</w:t>
            </w:r>
          </w:p>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敏感程度</w:t>
            </w:r>
          </w:p>
        </w:tc>
        <w:tc>
          <w:tcPr>
            <w:tcW w:w="1248" w:type="pct"/>
            <w:vAlign w:val="center"/>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Ⅰ类</w:t>
            </w:r>
          </w:p>
        </w:tc>
        <w:tc>
          <w:tcPr>
            <w:tcW w:w="1250" w:type="pct"/>
            <w:vAlign w:val="center"/>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Ⅱ类</w:t>
            </w:r>
          </w:p>
        </w:tc>
        <w:tc>
          <w:tcPr>
            <w:tcW w:w="1253" w:type="pct"/>
            <w:vAlign w:val="center"/>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7"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敏感</w:t>
            </w:r>
          </w:p>
        </w:tc>
        <w:tc>
          <w:tcPr>
            <w:tcW w:w="1248"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一级</w:t>
            </w:r>
          </w:p>
        </w:tc>
        <w:tc>
          <w:tcPr>
            <w:tcW w:w="1250"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二级</w:t>
            </w:r>
          </w:p>
        </w:tc>
        <w:tc>
          <w:tcPr>
            <w:tcW w:w="1253"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7"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较敏感</w:t>
            </w:r>
          </w:p>
        </w:tc>
        <w:tc>
          <w:tcPr>
            <w:tcW w:w="1248"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二级</w:t>
            </w:r>
          </w:p>
        </w:tc>
        <w:tc>
          <w:tcPr>
            <w:tcW w:w="1250"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三级</w:t>
            </w:r>
          </w:p>
        </w:tc>
        <w:tc>
          <w:tcPr>
            <w:tcW w:w="1253"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7"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不敏感</w:t>
            </w:r>
          </w:p>
        </w:tc>
        <w:tc>
          <w:tcPr>
            <w:tcW w:w="1248"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三级</w:t>
            </w:r>
          </w:p>
        </w:tc>
        <w:tc>
          <w:tcPr>
            <w:tcW w:w="1250"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三级</w:t>
            </w:r>
          </w:p>
        </w:tc>
        <w:tc>
          <w:tcPr>
            <w:tcW w:w="1253" w:type="pct"/>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Pr>
          <w:p>
            <w:pPr>
              <w:pStyle w:val="33"/>
              <w:spacing w:after="0" w:line="340" w:lineRule="exact"/>
              <w:ind w:firstLine="440"/>
              <w:jc w:val="center"/>
              <w:rPr>
                <w:rFonts w:ascii="宋体" w:hAnsi="宋体" w:cs="宋体"/>
                <w:w w:val="105"/>
                <w:sz w:val="21"/>
                <w:szCs w:val="21"/>
              </w:rPr>
            </w:pPr>
            <w:r>
              <w:rPr>
                <w:rFonts w:hint="eastAsia" w:ascii="宋体" w:hAnsi="宋体" w:cs="宋体"/>
                <w:w w:val="105"/>
                <w:sz w:val="21"/>
                <w:szCs w:val="21"/>
              </w:rPr>
              <w:t>注：“-”表示可不开展土壤环境影响评价工作</w:t>
            </w:r>
          </w:p>
        </w:tc>
      </w:tr>
    </w:tbl>
    <w:p>
      <w:pPr>
        <w:autoSpaceDE w:val="0"/>
        <w:autoSpaceDN w:val="0"/>
        <w:adjustRightInd w:val="0"/>
        <w:ind w:firstLine="480"/>
      </w:pPr>
      <w:r>
        <w:rPr>
          <w:rFonts w:hint="eastAsia"/>
          <w:kern w:val="0"/>
          <w:szCs w:val="24"/>
        </w:rPr>
        <w:t>根据表1.6-4中判定依据，项目土壤</w:t>
      </w:r>
      <w:r>
        <w:rPr>
          <w:rFonts w:hint="eastAsia"/>
        </w:rPr>
        <w:t>土壤环境敏感程度分级为不敏感，因此拟建项目土壤环境评价等级为“三级”。</w:t>
      </w:r>
    </w:p>
    <w:p>
      <w:pPr>
        <w:ind w:firstLine="480"/>
        <w:rPr>
          <w:szCs w:val="24"/>
        </w:rPr>
      </w:pPr>
      <w:r>
        <w:rPr>
          <w:rFonts w:hint="eastAsia" w:ascii="宋体" w:hAnsi="宋体" w:cs="宋体"/>
          <w:szCs w:val="24"/>
        </w:rPr>
        <w:t>(7)</w:t>
      </w:r>
      <w:r>
        <w:rPr>
          <w:szCs w:val="24"/>
        </w:rPr>
        <w:t>环境</w:t>
      </w:r>
      <w:r>
        <w:rPr>
          <w:lang w:val="zh-CN"/>
        </w:rPr>
        <w:t>风险</w:t>
      </w:r>
    </w:p>
    <w:p>
      <w:pPr>
        <w:ind w:firstLine="480"/>
      </w:pPr>
      <w:bookmarkStart w:id="204" w:name="_Toc224879262"/>
      <w:bookmarkStart w:id="205" w:name="_Toc183011701"/>
      <w:bookmarkStart w:id="206" w:name="_Toc201932532"/>
      <w:bookmarkStart w:id="207" w:name="_Toc170981419"/>
      <w:bookmarkStart w:id="208" w:name="_Toc252288898"/>
      <w:bookmarkStart w:id="209" w:name="_Toc223843207"/>
      <w:bookmarkStart w:id="210" w:name="_Toc209351700"/>
      <w:bookmarkStart w:id="211" w:name="_Toc157479017"/>
      <w:bookmarkStart w:id="212" w:name="_Toc224878968"/>
      <w:r>
        <w:t>本工程属于水利工程，工程本身运行</w:t>
      </w:r>
      <w:r>
        <w:rPr>
          <w:rFonts w:hint="eastAsia"/>
        </w:rPr>
        <w:t>时</w:t>
      </w:r>
      <w:r>
        <w:t>不会产生任何的“三废”，也不涉及有毒有害物质。项目</w:t>
      </w:r>
      <w:r>
        <w:rPr>
          <w:rFonts w:hint="eastAsia"/>
        </w:rPr>
        <w:t>不涉及</w:t>
      </w:r>
      <w:r>
        <w:t>《建设项目环境风险评价技术导则》（HJ169-2018）附录B表B.1中规定的</w:t>
      </w:r>
      <w:r>
        <w:rPr>
          <w:rFonts w:hint="eastAsia"/>
        </w:rPr>
        <w:t>危险废物贮存</w:t>
      </w:r>
      <w:r>
        <w:t>，</w:t>
      </w:r>
      <w:r>
        <w:rPr>
          <w:sz w:val="21"/>
          <w:szCs w:val="21"/>
        </w:rPr>
        <w:t>Q＜1，</w:t>
      </w:r>
      <w:r>
        <w:t>本项目环境风险潜势为</w:t>
      </w:r>
      <w:r>
        <w:rPr>
          <w:rFonts w:hint="eastAsia" w:ascii="宋体" w:hAnsi="宋体" w:cs="宋体"/>
        </w:rPr>
        <w:t>Ⅰ</w:t>
      </w:r>
      <w:r>
        <w:t>。项目选址于不属于环境敏感区。根据《建设项目环境风险评价技术导则》（HJ169-2018）关于评价等级的判定(见表1.6-</w:t>
      </w:r>
      <w:r>
        <w:rPr>
          <w:rFonts w:hint="eastAsia"/>
        </w:rPr>
        <w:t>5</w:t>
      </w:r>
      <w:r>
        <w:t>)，确定本项目的环境风险评价工作等级为简单分析。</w:t>
      </w:r>
    </w:p>
    <w:p>
      <w:pPr>
        <w:spacing w:before="120" w:beforeLines="50" w:line="240" w:lineRule="auto"/>
        <w:ind w:firstLine="480"/>
        <w:jc w:val="center"/>
        <w:rPr>
          <w:rFonts w:ascii="黑体" w:hAnsi="黑体" w:eastAsia="黑体" w:cs="黑体"/>
        </w:rPr>
      </w:pPr>
      <w:r>
        <w:rPr>
          <w:rFonts w:hint="eastAsia" w:ascii="黑体" w:hAnsi="黑体" w:eastAsia="黑体" w:cs="黑体"/>
        </w:rPr>
        <w:t>表1.6-5  评价工作级别一览表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4"/>
        <w:gridCol w:w="1914"/>
        <w:gridCol w:w="1914"/>
        <w:gridCol w:w="1914"/>
        <w:gridCol w:w="1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14" w:type="dxa"/>
            <w:shd w:val="clear" w:color="auto" w:fill="auto"/>
            <w:vAlign w:val="center"/>
          </w:tcPr>
          <w:p>
            <w:pPr>
              <w:spacing w:line="340" w:lineRule="exact"/>
              <w:ind w:firstLine="0" w:firstLineChars="0"/>
              <w:jc w:val="center"/>
              <w:rPr>
                <w:sz w:val="21"/>
                <w:szCs w:val="21"/>
              </w:rPr>
            </w:pPr>
            <w:r>
              <w:rPr>
                <w:sz w:val="21"/>
                <w:szCs w:val="21"/>
              </w:rPr>
              <w:t>环境风险潜势</w:t>
            </w:r>
          </w:p>
        </w:tc>
        <w:tc>
          <w:tcPr>
            <w:tcW w:w="1914" w:type="dxa"/>
            <w:shd w:val="clear" w:color="auto" w:fill="auto"/>
            <w:vAlign w:val="center"/>
          </w:tcPr>
          <w:p>
            <w:pPr>
              <w:spacing w:line="340" w:lineRule="exact"/>
              <w:ind w:firstLine="0" w:firstLineChars="0"/>
              <w:jc w:val="center"/>
              <w:rPr>
                <w:sz w:val="21"/>
                <w:szCs w:val="21"/>
              </w:rPr>
            </w:pPr>
            <w:r>
              <w:rPr>
                <w:rFonts w:hint="eastAsia" w:ascii="宋体" w:hAnsi="宋体" w:cs="宋体"/>
                <w:sz w:val="21"/>
                <w:szCs w:val="21"/>
              </w:rPr>
              <w:t>Ⅳ</w:t>
            </w:r>
            <w:r>
              <w:rPr>
                <w:sz w:val="21"/>
                <w:szCs w:val="21"/>
              </w:rPr>
              <w:t>、</w:t>
            </w:r>
            <w:r>
              <w:rPr>
                <w:rFonts w:hint="eastAsia" w:ascii="宋体" w:hAnsi="宋体" w:cs="宋体"/>
                <w:sz w:val="21"/>
                <w:szCs w:val="21"/>
              </w:rPr>
              <w:t>Ⅳ</w:t>
            </w:r>
            <w:r>
              <w:rPr>
                <w:sz w:val="21"/>
                <w:szCs w:val="21"/>
              </w:rPr>
              <w:t>+</w:t>
            </w:r>
          </w:p>
        </w:tc>
        <w:tc>
          <w:tcPr>
            <w:tcW w:w="1914" w:type="dxa"/>
            <w:shd w:val="clear" w:color="auto" w:fill="auto"/>
            <w:vAlign w:val="center"/>
          </w:tcPr>
          <w:p>
            <w:pPr>
              <w:spacing w:line="340" w:lineRule="exact"/>
              <w:ind w:firstLine="0" w:firstLineChars="0"/>
              <w:jc w:val="center"/>
              <w:rPr>
                <w:sz w:val="21"/>
                <w:szCs w:val="21"/>
              </w:rPr>
            </w:pPr>
            <w:r>
              <w:rPr>
                <w:rFonts w:hint="eastAsia" w:ascii="宋体" w:hAnsi="宋体" w:cs="宋体"/>
                <w:sz w:val="21"/>
                <w:szCs w:val="21"/>
              </w:rPr>
              <w:t>Ⅲ</w:t>
            </w:r>
          </w:p>
        </w:tc>
        <w:tc>
          <w:tcPr>
            <w:tcW w:w="1914" w:type="dxa"/>
            <w:shd w:val="clear" w:color="auto" w:fill="auto"/>
            <w:vAlign w:val="center"/>
          </w:tcPr>
          <w:p>
            <w:pPr>
              <w:spacing w:line="340" w:lineRule="exact"/>
              <w:ind w:firstLine="0" w:firstLineChars="0"/>
              <w:jc w:val="center"/>
              <w:rPr>
                <w:sz w:val="21"/>
                <w:szCs w:val="21"/>
              </w:rPr>
            </w:pPr>
            <w:r>
              <w:rPr>
                <w:rFonts w:hint="eastAsia" w:ascii="宋体" w:hAnsi="宋体" w:cs="宋体"/>
                <w:sz w:val="21"/>
                <w:szCs w:val="21"/>
              </w:rPr>
              <w:t>Ⅱ</w:t>
            </w:r>
          </w:p>
        </w:tc>
        <w:tc>
          <w:tcPr>
            <w:tcW w:w="1914" w:type="dxa"/>
            <w:shd w:val="clear" w:color="auto" w:fill="D9D9D9"/>
            <w:vAlign w:val="center"/>
          </w:tcPr>
          <w:p>
            <w:pPr>
              <w:spacing w:line="340" w:lineRule="exact"/>
              <w:ind w:firstLine="0" w:firstLineChars="0"/>
              <w:jc w:val="center"/>
              <w:rPr>
                <w:sz w:val="21"/>
                <w:szCs w:val="21"/>
              </w:rPr>
            </w:pPr>
            <w:r>
              <w:rPr>
                <w:rFonts w:hint="eastAsia" w:ascii="宋体" w:hAnsi="宋体" w:cs="宋体"/>
                <w:sz w:val="21"/>
                <w:szCs w:val="21"/>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14" w:type="dxa"/>
            <w:shd w:val="clear" w:color="auto" w:fill="auto"/>
            <w:vAlign w:val="center"/>
          </w:tcPr>
          <w:p>
            <w:pPr>
              <w:spacing w:line="340" w:lineRule="exact"/>
              <w:ind w:firstLine="0" w:firstLineChars="0"/>
              <w:jc w:val="center"/>
              <w:rPr>
                <w:sz w:val="21"/>
                <w:szCs w:val="21"/>
              </w:rPr>
            </w:pPr>
            <w:r>
              <w:rPr>
                <w:sz w:val="21"/>
                <w:szCs w:val="21"/>
              </w:rPr>
              <w:t>评价工作等级</w:t>
            </w:r>
          </w:p>
        </w:tc>
        <w:tc>
          <w:tcPr>
            <w:tcW w:w="1914" w:type="dxa"/>
            <w:shd w:val="clear" w:color="auto" w:fill="auto"/>
            <w:vAlign w:val="center"/>
          </w:tcPr>
          <w:p>
            <w:pPr>
              <w:spacing w:line="340" w:lineRule="exact"/>
              <w:ind w:firstLine="0" w:firstLineChars="0"/>
              <w:jc w:val="center"/>
              <w:rPr>
                <w:sz w:val="21"/>
                <w:szCs w:val="21"/>
              </w:rPr>
            </w:pPr>
            <w:r>
              <w:rPr>
                <w:sz w:val="21"/>
                <w:szCs w:val="21"/>
              </w:rPr>
              <w:t>一</w:t>
            </w:r>
          </w:p>
        </w:tc>
        <w:tc>
          <w:tcPr>
            <w:tcW w:w="1914" w:type="dxa"/>
            <w:shd w:val="clear" w:color="auto" w:fill="auto"/>
            <w:vAlign w:val="center"/>
          </w:tcPr>
          <w:p>
            <w:pPr>
              <w:spacing w:line="340" w:lineRule="exact"/>
              <w:ind w:firstLine="0" w:firstLineChars="0"/>
              <w:jc w:val="center"/>
              <w:rPr>
                <w:sz w:val="21"/>
                <w:szCs w:val="21"/>
              </w:rPr>
            </w:pPr>
            <w:r>
              <w:rPr>
                <w:sz w:val="21"/>
                <w:szCs w:val="21"/>
              </w:rPr>
              <w:t>二</w:t>
            </w:r>
          </w:p>
        </w:tc>
        <w:tc>
          <w:tcPr>
            <w:tcW w:w="1914" w:type="dxa"/>
            <w:shd w:val="clear" w:color="auto" w:fill="auto"/>
            <w:vAlign w:val="center"/>
          </w:tcPr>
          <w:p>
            <w:pPr>
              <w:spacing w:line="340" w:lineRule="exact"/>
              <w:ind w:firstLine="0" w:firstLineChars="0"/>
              <w:jc w:val="center"/>
              <w:rPr>
                <w:sz w:val="21"/>
                <w:szCs w:val="21"/>
              </w:rPr>
            </w:pPr>
            <w:r>
              <w:rPr>
                <w:sz w:val="21"/>
                <w:szCs w:val="21"/>
              </w:rPr>
              <w:t>三</w:t>
            </w:r>
          </w:p>
        </w:tc>
        <w:tc>
          <w:tcPr>
            <w:tcW w:w="1914" w:type="dxa"/>
            <w:shd w:val="clear" w:color="auto" w:fill="D9D9D9"/>
            <w:vAlign w:val="center"/>
          </w:tcPr>
          <w:p>
            <w:pPr>
              <w:spacing w:line="340" w:lineRule="exact"/>
              <w:ind w:firstLine="0" w:firstLineChars="0"/>
              <w:jc w:val="center"/>
              <w:rPr>
                <w:sz w:val="21"/>
                <w:szCs w:val="21"/>
              </w:rPr>
            </w:pPr>
            <w:r>
              <w:rPr>
                <w:sz w:val="21"/>
                <w:szCs w:val="21"/>
              </w:rPr>
              <w:t>简单分析</w:t>
            </w:r>
          </w:p>
        </w:tc>
      </w:tr>
    </w:tbl>
    <w:p>
      <w:pPr>
        <w:spacing w:before="120" w:beforeLines="50"/>
        <w:ind w:firstLine="0" w:firstLineChars="0"/>
        <w:outlineLvl w:val="2"/>
        <w:rPr>
          <w:b/>
          <w:kern w:val="24"/>
          <w:szCs w:val="24"/>
        </w:rPr>
      </w:pPr>
      <w:bookmarkStart w:id="213" w:name="_Toc534895196"/>
      <w:bookmarkStart w:id="214" w:name="_Toc3903198"/>
      <w:bookmarkStart w:id="215" w:name="_Toc534386219"/>
      <w:bookmarkStart w:id="216" w:name="_Toc529278981"/>
      <w:bookmarkStart w:id="217" w:name="_Toc536265061"/>
      <w:bookmarkStart w:id="218" w:name="_Toc534806978"/>
      <w:r>
        <w:rPr>
          <w:b/>
          <w:kern w:val="24"/>
          <w:szCs w:val="24"/>
        </w:rPr>
        <w:t>1.</w:t>
      </w:r>
      <w:r>
        <w:rPr>
          <w:rFonts w:hint="eastAsia"/>
          <w:b/>
          <w:kern w:val="24"/>
          <w:szCs w:val="24"/>
        </w:rPr>
        <w:t>6</w:t>
      </w:r>
      <w:r>
        <w:rPr>
          <w:b/>
          <w:kern w:val="24"/>
          <w:szCs w:val="24"/>
        </w:rPr>
        <w:t>.2评价范围</w:t>
      </w:r>
    </w:p>
    <w:p>
      <w:pPr>
        <w:ind w:firstLine="480"/>
      </w:pPr>
      <w:r>
        <w:t>根据项目环境影响特性和周围环境特征，参照环境影响评价有关技术规范的基本要求，按不同环境要素及其评价等级，确定项目环境影响评价范围</w:t>
      </w:r>
      <w:r>
        <w:rPr>
          <w:rFonts w:hint="eastAsia"/>
        </w:rPr>
        <w:t>如下：</w:t>
      </w:r>
    </w:p>
    <w:p>
      <w:pPr>
        <w:ind w:firstLine="480"/>
      </w:pPr>
      <w:r>
        <w:rPr>
          <w:rFonts w:hint="eastAsia" w:ascii="宋体" w:hAnsi="宋体" w:cs="宋体"/>
          <w:szCs w:val="24"/>
        </w:rPr>
        <w:t>⑴</w:t>
      </w:r>
      <w:r>
        <w:t>环境空气：工程建成后基本不产生大气污染物，环境空气影响评价时段主要为施工期。根据施工期大气污染物排放特点，确定评价范围为各施工区周</w:t>
      </w:r>
      <w:r>
        <w:rPr>
          <w:rFonts w:hint="eastAsia"/>
        </w:rPr>
        <w:t>边</w:t>
      </w:r>
      <w:r>
        <w:t>200m范围。</w:t>
      </w:r>
    </w:p>
    <w:p>
      <w:pPr>
        <w:autoSpaceDE w:val="0"/>
        <w:autoSpaceDN w:val="0"/>
        <w:adjustRightInd w:val="0"/>
        <w:ind w:firstLine="480"/>
      </w:pPr>
      <w:r>
        <w:rPr>
          <w:rFonts w:hint="eastAsia"/>
        </w:rPr>
        <w:t>⑵</w:t>
      </w:r>
      <w:r>
        <w:t>声环境：</w:t>
      </w:r>
      <w:r>
        <w:rPr>
          <w:rFonts w:hint="eastAsia"/>
        </w:rPr>
        <w:t>永久及临时占地边界外</w:t>
      </w:r>
      <w:r>
        <w:t>200m</w:t>
      </w:r>
      <w:r>
        <w:rPr>
          <w:rFonts w:hint="eastAsia"/>
        </w:rPr>
        <w:t>范围，在靠近居民区的地方，评价范围适当调整放宽到敏感点附近。</w:t>
      </w:r>
    </w:p>
    <w:p>
      <w:pPr>
        <w:ind w:firstLine="480"/>
        <w:rPr>
          <w:szCs w:val="24"/>
        </w:rPr>
      </w:pPr>
      <w:r>
        <w:rPr>
          <w:rFonts w:hint="eastAsia" w:ascii="宋体" w:hAnsi="宋体" w:cs="宋体"/>
          <w:szCs w:val="24"/>
        </w:rPr>
        <w:t>⑶</w:t>
      </w:r>
      <w:r>
        <w:rPr>
          <w:szCs w:val="24"/>
        </w:rPr>
        <w:t>地表水环境：本项目属于</w:t>
      </w:r>
      <w:r>
        <w:rPr>
          <w:rFonts w:hint="eastAsia"/>
          <w:szCs w:val="24"/>
        </w:rPr>
        <w:t>径流</w:t>
      </w:r>
      <w:r>
        <w:rPr>
          <w:szCs w:val="24"/>
        </w:rPr>
        <w:t>要素影响</w:t>
      </w:r>
      <w:r>
        <w:rPr>
          <w:rFonts w:hint="eastAsia"/>
          <w:szCs w:val="24"/>
        </w:rPr>
        <w:t>型</w:t>
      </w:r>
      <w:r>
        <w:rPr>
          <w:szCs w:val="24"/>
        </w:rPr>
        <w:t>的建设项目，根据《环境影响评价技术导则—地表水环境》（HJ2.3-2018），径流要素影响评价范围为水体天然性状发生变化的水域，以及</w:t>
      </w:r>
      <w:r>
        <w:rPr>
          <w:rFonts w:hint="eastAsia"/>
          <w:szCs w:val="24"/>
        </w:rPr>
        <w:t>上</w:t>
      </w:r>
      <w:r>
        <w:rPr>
          <w:szCs w:val="24"/>
        </w:rPr>
        <w:t>下游增减水影响水域。因此</w:t>
      </w:r>
      <w:r>
        <w:rPr>
          <w:rFonts w:hint="eastAsia"/>
          <w:szCs w:val="24"/>
        </w:rPr>
        <w:t>，</w:t>
      </w:r>
      <w:r>
        <w:rPr>
          <w:szCs w:val="24"/>
        </w:rPr>
        <w:t>本项目地表水评价范围为坝址上游</w:t>
      </w:r>
      <w:r>
        <w:rPr>
          <w:rFonts w:hint="eastAsia"/>
          <w:szCs w:val="24"/>
        </w:rPr>
        <w:t>14km处的团结水电站溢流坝</w:t>
      </w:r>
      <w:r>
        <w:rPr>
          <w:szCs w:val="24"/>
        </w:rPr>
        <w:t>至坝址下游约</w:t>
      </w:r>
      <w:r>
        <w:rPr>
          <w:rFonts w:hint="eastAsia"/>
          <w:snapToGrid w:val="0"/>
        </w:rPr>
        <w:t>14.8</w:t>
      </w:r>
      <w:r>
        <w:rPr>
          <w:snapToGrid w:val="0"/>
        </w:rPr>
        <w:t>km处有</w:t>
      </w:r>
      <w:r>
        <w:rPr>
          <w:rFonts w:hint="eastAsia"/>
          <w:snapToGrid w:val="0"/>
        </w:rPr>
        <w:t>利高水电站橡胶坝</w:t>
      </w:r>
      <w:r>
        <w:rPr>
          <w:szCs w:val="24"/>
        </w:rPr>
        <w:t>，地表水评价范围共</w:t>
      </w:r>
      <w:r>
        <w:rPr>
          <w:rFonts w:hint="eastAsia"/>
          <w:szCs w:val="24"/>
        </w:rPr>
        <w:t>28.8k</w:t>
      </w:r>
      <w:r>
        <w:rPr>
          <w:szCs w:val="24"/>
        </w:rPr>
        <w:t>m</w:t>
      </w:r>
      <w:r>
        <w:rPr>
          <w:rFonts w:hint="eastAsia"/>
          <w:szCs w:val="24"/>
        </w:rPr>
        <w:t>的锦河</w:t>
      </w:r>
      <w:r>
        <w:rPr>
          <w:szCs w:val="24"/>
        </w:rPr>
        <w:t>河段。</w:t>
      </w:r>
    </w:p>
    <w:p>
      <w:pPr>
        <w:ind w:firstLine="480"/>
        <w:rPr>
          <w:szCs w:val="24"/>
        </w:rPr>
      </w:pPr>
      <w:r>
        <w:rPr>
          <w:rFonts w:hint="eastAsia" w:ascii="宋体" w:hAnsi="宋体" w:cs="宋体"/>
          <w:szCs w:val="24"/>
        </w:rPr>
        <w:t>⑷</w:t>
      </w:r>
      <w:r>
        <w:rPr>
          <w:szCs w:val="24"/>
        </w:rPr>
        <w:t>地下水环境：根据本项目地下水评价工作等级，按照《环境影响评价技术导则地下水环境》（HJ610-2016）查表法确定本项目地下水评价范围为拟建坝址上下游各1.5km，两岸各1km，总面积约6.0km</w:t>
      </w:r>
      <w:r>
        <w:rPr>
          <w:szCs w:val="24"/>
          <w:vertAlign w:val="superscript"/>
        </w:rPr>
        <w:t>2</w:t>
      </w:r>
      <w:r>
        <w:rPr>
          <w:szCs w:val="24"/>
        </w:rPr>
        <w:t>。</w:t>
      </w:r>
    </w:p>
    <w:p>
      <w:pPr>
        <w:ind w:firstLine="480"/>
      </w:pPr>
      <w:r>
        <w:rPr>
          <w:rFonts w:hint="eastAsia" w:ascii="宋体" w:hAnsi="宋体" w:cs="宋体"/>
          <w:szCs w:val="24"/>
        </w:rPr>
        <w:t>⑸</w:t>
      </w:r>
      <w:r>
        <w:t>生态环境</w:t>
      </w:r>
    </w:p>
    <w:p>
      <w:pPr>
        <w:pStyle w:val="573"/>
        <w:spacing w:line="360" w:lineRule="auto"/>
        <w:ind w:firstLine="480" w:firstLineChars="200"/>
        <w:jc w:val="both"/>
        <w:rPr>
          <w:rFonts w:ascii="Times New Roman" w:cs="Times New Roman"/>
          <w:color w:val="0000FF"/>
        </w:rPr>
      </w:pPr>
      <w:r>
        <w:rPr>
          <w:rFonts w:ascii="Times New Roman" w:cs="Times New Roman"/>
          <w:color w:val="0000FF"/>
        </w:rPr>
        <w:t>根据《环境影响评价技术导则 生态影响》（HJ19-2022），生态评价范围应能够充分体现生态完整性，涵盖评价项目全部活动的直接影响区域和间接影响区域。项目位于上高县城锦河大桥下游约1.8km处，</w:t>
      </w:r>
      <w:r>
        <w:rPr>
          <w:rFonts w:hint="eastAsia" w:ascii="Times New Roman" w:cs="Times New Roman"/>
          <w:color w:val="0000FF"/>
        </w:rPr>
        <w:t>回水涉及江西上高锦河</w:t>
      </w:r>
      <w:r>
        <w:rPr>
          <w:rFonts w:ascii="Times New Roman" w:cs="Times New Roman"/>
          <w:color w:val="0000FF"/>
        </w:rPr>
        <w:t>省</w:t>
      </w:r>
      <w:r>
        <w:rPr>
          <w:rFonts w:hint="eastAsia" w:ascii="Times New Roman" w:cs="Times New Roman"/>
          <w:color w:val="0000FF"/>
        </w:rPr>
        <w:t>级</w:t>
      </w:r>
      <w:r>
        <w:rPr>
          <w:rFonts w:ascii="Times New Roman" w:cs="Times New Roman"/>
          <w:color w:val="0000FF"/>
        </w:rPr>
        <w:t>湿地公园</w:t>
      </w:r>
      <w:r>
        <w:rPr>
          <w:rFonts w:hint="eastAsia" w:ascii="Times New Roman" w:cs="Times New Roman"/>
          <w:color w:val="0000FF"/>
        </w:rPr>
        <w:t>内宣教展示区、合理利用区。生态评价范围中水域评价范围主要对江西上高锦河</w:t>
      </w:r>
      <w:r>
        <w:rPr>
          <w:rFonts w:ascii="Times New Roman" w:cs="Times New Roman"/>
          <w:color w:val="0000FF"/>
        </w:rPr>
        <w:t>省</w:t>
      </w:r>
      <w:r>
        <w:rPr>
          <w:rFonts w:hint="eastAsia" w:ascii="Times New Roman" w:cs="Times New Roman"/>
          <w:color w:val="0000FF"/>
        </w:rPr>
        <w:t>级</w:t>
      </w:r>
      <w:r>
        <w:rPr>
          <w:rFonts w:ascii="Times New Roman" w:cs="Times New Roman"/>
          <w:color w:val="0000FF"/>
        </w:rPr>
        <w:t>湿地公园</w:t>
      </w:r>
      <w:r>
        <w:rPr>
          <w:rFonts w:hint="eastAsia" w:ascii="Times New Roman" w:cs="Times New Roman"/>
          <w:color w:val="0000FF"/>
        </w:rPr>
        <w:t>的影响区域，即坝址及坝址至上游团结水电站坝址处；陆域评价范围主要以项目施工场地、取土场、弃渣场等施工临时占地为主，项目施工占地及施工场界外 300m范围、取土场界外 300m范围和弃渣场界外 300m范围。</w:t>
      </w:r>
    </w:p>
    <w:p>
      <w:pPr>
        <w:ind w:firstLine="480"/>
        <w:rPr>
          <w:rFonts w:ascii="宋体" w:hAnsi="宋体" w:cs="宋体"/>
          <w:szCs w:val="24"/>
        </w:rPr>
      </w:pPr>
      <w:r>
        <w:rPr>
          <w:rFonts w:ascii="宋体" w:hAnsi="宋体" w:cs="宋体"/>
          <w:szCs w:val="24"/>
        </w:rPr>
        <w:fldChar w:fldCharType="begin"/>
      </w:r>
      <w:r>
        <w:rPr>
          <w:rFonts w:ascii="宋体" w:hAnsi="宋体" w:cs="宋体"/>
          <w:szCs w:val="24"/>
        </w:rPr>
        <w:instrText xml:space="preserve"> </w:instrText>
      </w:r>
      <w:r>
        <w:rPr>
          <w:rFonts w:hint="eastAsia" w:ascii="宋体" w:hAnsi="宋体" w:cs="宋体"/>
          <w:szCs w:val="24"/>
        </w:rPr>
        <w:instrText xml:space="preserve">= 6 \* GB2</w:instrText>
      </w:r>
      <w:r>
        <w:rPr>
          <w:rFonts w:ascii="宋体" w:hAnsi="宋体" w:cs="宋体"/>
          <w:szCs w:val="24"/>
        </w:rPr>
        <w:instrText xml:space="preserve"> </w:instrText>
      </w:r>
      <w:r>
        <w:rPr>
          <w:rFonts w:ascii="宋体" w:hAnsi="宋体" w:cs="宋体"/>
          <w:szCs w:val="24"/>
        </w:rPr>
        <w:fldChar w:fldCharType="separate"/>
      </w:r>
      <w:r>
        <w:rPr>
          <w:rFonts w:hint="eastAsia" w:ascii="宋体" w:hAnsi="宋体" w:cs="宋体"/>
          <w:szCs w:val="24"/>
        </w:rPr>
        <w:t>⑹</w:t>
      </w:r>
      <w:r>
        <w:rPr>
          <w:rFonts w:ascii="宋体" w:hAnsi="宋体" w:cs="宋体"/>
          <w:szCs w:val="24"/>
        </w:rPr>
        <w:fldChar w:fldCharType="end"/>
      </w:r>
      <w:r>
        <w:rPr>
          <w:rFonts w:hint="eastAsia" w:ascii="宋体" w:hAnsi="宋体" w:cs="宋体"/>
          <w:szCs w:val="24"/>
        </w:rPr>
        <w:t>环境风险</w:t>
      </w:r>
    </w:p>
    <w:p>
      <w:pPr>
        <w:ind w:firstLine="480"/>
        <w:rPr>
          <w:szCs w:val="24"/>
        </w:rPr>
      </w:pPr>
      <w:r>
        <w:rPr>
          <w:rFonts w:hint="eastAsia"/>
          <w:szCs w:val="24"/>
        </w:rPr>
        <w:t>地表水</w:t>
      </w:r>
      <w:r>
        <w:rPr>
          <w:szCs w:val="24"/>
        </w:rPr>
        <w:t>风险评价范围为坝址上游</w:t>
      </w:r>
      <w:r>
        <w:rPr>
          <w:rFonts w:hint="eastAsia"/>
          <w:szCs w:val="24"/>
        </w:rPr>
        <w:t>14km处的团结水电站溢流坝</w:t>
      </w:r>
      <w:r>
        <w:rPr>
          <w:szCs w:val="24"/>
        </w:rPr>
        <w:t>至坝址下游约</w:t>
      </w:r>
      <w:r>
        <w:rPr>
          <w:rFonts w:hint="eastAsia"/>
          <w:snapToGrid w:val="0"/>
        </w:rPr>
        <w:t>14.8</w:t>
      </w:r>
      <w:r>
        <w:rPr>
          <w:snapToGrid w:val="0"/>
        </w:rPr>
        <w:t>km处有</w:t>
      </w:r>
      <w:r>
        <w:rPr>
          <w:rFonts w:hint="eastAsia"/>
          <w:snapToGrid w:val="0"/>
        </w:rPr>
        <w:t>利高水电站橡胶坝</w:t>
      </w:r>
      <w:r>
        <w:rPr>
          <w:rFonts w:hint="eastAsia"/>
          <w:szCs w:val="24"/>
        </w:rPr>
        <w:t>；地下水</w:t>
      </w:r>
      <w:r>
        <w:rPr>
          <w:szCs w:val="24"/>
        </w:rPr>
        <w:t>风险评价范围</w:t>
      </w:r>
      <w:r>
        <w:rPr>
          <w:rFonts w:hint="eastAsia"/>
          <w:szCs w:val="24"/>
        </w:rPr>
        <w:t>为</w:t>
      </w:r>
      <w:r>
        <w:rPr>
          <w:szCs w:val="24"/>
        </w:rPr>
        <w:t>拟建坝址上下游各1.5km，两岸各1km</w:t>
      </w:r>
      <w:r>
        <w:rPr>
          <w:rFonts w:hint="eastAsia"/>
          <w:szCs w:val="24"/>
        </w:rPr>
        <w:t>范围，坝</w:t>
      </w:r>
      <w:r>
        <w:rPr>
          <w:szCs w:val="24"/>
        </w:rPr>
        <w:t>址周边</w:t>
      </w:r>
      <w:r>
        <w:rPr>
          <w:rFonts w:hint="eastAsia"/>
          <w:szCs w:val="24"/>
        </w:rPr>
        <w:t>6.0</w:t>
      </w:r>
      <w:r>
        <w:rPr>
          <w:szCs w:val="24"/>
        </w:rPr>
        <w:t>km</w:t>
      </w:r>
      <w:r>
        <w:rPr>
          <w:szCs w:val="24"/>
          <w:vertAlign w:val="superscript"/>
        </w:rPr>
        <w:t>2</w:t>
      </w:r>
      <w:r>
        <w:rPr>
          <w:szCs w:val="24"/>
        </w:rPr>
        <w:t>的区域</w:t>
      </w:r>
      <w:r>
        <w:rPr>
          <w:rFonts w:hint="eastAsia"/>
          <w:szCs w:val="24"/>
        </w:rPr>
        <w:t>。</w:t>
      </w:r>
    </w:p>
    <w:p>
      <w:pPr>
        <w:ind w:firstLine="480"/>
        <w:rPr>
          <w:szCs w:val="24"/>
        </w:rPr>
      </w:pPr>
      <w:r>
        <w:rPr>
          <w:rFonts w:hint="eastAsia"/>
          <w:szCs w:val="24"/>
        </w:rPr>
        <w:t>本项目各环境要素环境影响评价范围汇总见表 1.6-6。</w:t>
      </w:r>
    </w:p>
    <w:p>
      <w:pPr>
        <w:spacing w:before="120" w:beforeLines="50" w:line="240" w:lineRule="auto"/>
        <w:ind w:firstLine="480"/>
        <w:jc w:val="center"/>
        <w:rPr>
          <w:rFonts w:ascii="黑体" w:hAnsi="黑体" w:eastAsia="黑体" w:cs="黑体"/>
        </w:rPr>
      </w:pPr>
      <w:r>
        <w:rPr>
          <w:rFonts w:hint="eastAsia" w:ascii="黑体" w:hAnsi="黑体" w:eastAsia="黑体" w:cs="黑体"/>
        </w:rPr>
        <w:t>表1.6-6   各环境要素评价范围</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8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12" w:space="0"/>
              <w:left w:val="nil"/>
              <w:bottom w:val="single" w:color="auto" w:sz="4" w:space="0"/>
              <w:right w:val="single" w:color="auto" w:sz="4" w:space="0"/>
            </w:tcBorders>
            <w:vAlign w:val="center"/>
          </w:tcPr>
          <w:p>
            <w:pPr>
              <w:pStyle w:val="159"/>
              <w:rPr>
                <w:kern w:val="2"/>
                <w:szCs w:val="21"/>
              </w:rPr>
            </w:pPr>
            <w:r>
              <w:rPr>
                <w:kern w:val="2"/>
                <w:szCs w:val="21"/>
              </w:rPr>
              <w:t>环境要素</w:t>
            </w:r>
          </w:p>
        </w:tc>
        <w:tc>
          <w:tcPr>
            <w:tcW w:w="4276" w:type="pct"/>
            <w:tcBorders>
              <w:top w:val="single" w:color="auto" w:sz="12" w:space="0"/>
              <w:left w:val="single" w:color="auto" w:sz="4" w:space="0"/>
              <w:bottom w:val="single" w:color="auto" w:sz="4" w:space="0"/>
              <w:right w:val="nil"/>
            </w:tcBorders>
            <w:vAlign w:val="center"/>
          </w:tcPr>
          <w:p>
            <w:pPr>
              <w:pStyle w:val="159"/>
              <w:ind w:firstLine="420"/>
              <w:rPr>
                <w:kern w:val="2"/>
                <w:szCs w:val="21"/>
              </w:rPr>
            </w:pPr>
            <w:r>
              <w:rPr>
                <w:kern w:val="2"/>
                <w:szCs w:val="21"/>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4" w:space="0"/>
              <w:right w:val="single" w:color="auto" w:sz="4" w:space="0"/>
            </w:tcBorders>
            <w:vAlign w:val="center"/>
          </w:tcPr>
          <w:p>
            <w:pPr>
              <w:pStyle w:val="159"/>
              <w:rPr>
                <w:kern w:val="2"/>
                <w:szCs w:val="21"/>
              </w:rPr>
            </w:pPr>
            <w:r>
              <w:rPr>
                <w:kern w:val="2"/>
                <w:szCs w:val="21"/>
              </w:rPr>
              <w:t>大气环境</w:t>
            </w:r>
          </w:p>
        </w:tc>
        <w:tc>
          <w:tcPr>
            <w:tcW w:w="4276" w:type="pct"/>
            <w:tcBorders>
              <w:top w:val="single" w:color="auto" w:sz="4" w:space="0"/>
              <w:left w:val="single" w:color="auto" w:sz="4" w:space="0"/>
              <w:bottom w:val="single" w:color="auto" w:sz="4" w:space="0"/>
              <w:right w:val="nil"/>
            </w:tcBorders>
            <w:vAlign w:val="center"/>
          </w:tcPr>
          <w:p>
            <w:pPr>
              <w:autoSpaceDE w:val="0"/>
              <w:autoSpaceDN w:val="0"/>
              <w:adjustRightInd w:val="0"/>
              <w:spacing w:line="340" w:lineRule="exact"/>
              <w:ind w:firstLine="0" w:firstLineChars="0"/>
              <w:jc w:val="center"/>
              <w:rPr>
                <w:sz w:val="21"/>
                <w:szCs w:val="21"/>
              </w:rPr>
            </w:pPr>
            <w:r>
              <w:rPr>
                <w:sz w:val="21"/>
                <w:szCs w:val="21"/>
              </w:rPr>
              <w:t>各施工区周边200m范围。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4" w:space="0"/>
              <w:right w:val="single" w:color="auto" w:sz="4" w:space="0"/>
            </w:tcBorders>
            <w:vAlign w:val="center"/>
          </w:tcPr>
          <w:p>
            <w:pPr>
              <w:pStyle w:val="159"/>
              <w:rPr>
                <w:kern w:val="2"/>
                <w:szCs w:val="21"/>
              </w:rPr>
            </w:pPr>
            <w:r>
              <w:rPr>
                <w:kern w:val="2"/>
                <w:szCs w:val="21"/>
              </w:rPr>
              <w:t>声环境</w:t>
            </w:r>
          </w:p>
        </w:tc>
        <w:tc>
          <w:tcPr>
            <w:tcW w:w="4276" w:type="pct"/>
            <w:tcBorders>
              <w:top w:val="single" w:color="auto" w:sz="4" w:space="0"/>
              <w:left w:val="single" w:color="auto" w:sz="4" w:space="0"/>
              <w:bottom w:val="single" w:color="auto" w:sz="4" w:space="0"/>
              <w:right w:val="nil"/>
            </w:tcBorders>
            <w:vAlign w:val="center"/>
          </w:tcPr>
          <w:p>
            <w:pPr>
              <w:pStyle w:val="159"/>
              <w:jc w:val="both"/>
              <w:rPr>
                <w:kern w:val="2"/>
                <w:szCs w:val="21"/>
              </w:rPr>
            </w:pPr>
            <w:r>
              <w:rPr>
                <w:kern w:val="2"/>
                <w:szCs w:val="21"/>
              </w:rPr>
              <w:t>永久及临时占地边界外200m范围，在靠近居民区的地方，评价范围适当调整放宽到敏感点附近。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4" w:space="0"/>
              <w:right w:val="single" w:color="auto" w:sz="4" w:space="0"/>
            </w:tcBorders>
            <w:vAlign w:val="center"/>
          </w:tcPr>
          <w:p>
            <w:pPr>
              <w:pStyle w:val="159"/>
              <w:rPr>
                <w:kern w:val="2"/>
                <w:szCs w:val="21"/>
              </w:rPr>
            </w:pPr>
            <w:r>
              <w:rPr>
                <w:kern w:val="2"/>
                <w:szCs w:val="21"/>
              </w:rPr>
              <w:t>地表水环境</w:t>
            </w:r>
          </w:p>
        </w:tc>
        <w:tc>
          <w:tcPr>
            <w:tcW w:w="4276" w:type="pct"/>
            <w:tcBorders>
              <w:top w:val="single" w:color="auto" w:sz="4" w:space="0"/>
              <w:left w:val="single" w:color="auto" w:sz="4" w:space="0"/>
              <w:bottom w:val="single" w:color="auto" w:sz="4" w:space="0"/>
              <w:right w:val="nil"/>
            </w:tcBorders>
            <w:vAlign w:val="center"/>
          </w:tcPr>
          <w:p>
            <w:pPr>
              <w:pStyle w:val="159"/>
              <w:jc w:val="both"/>
              <w:rPr>
                <w:kern w:val="2"/>
                <w:szCs w:val="21"/>
              </w:rPr>
            </w:pPr>
            <w:r>
              <w:rPr>
                <w:szCs w:val="24"/>
              </w:rPr>
              <w:t>坝址上游</w:t>
            </w:r>
            <w:r>
              <w:rPr>
                <w:rFonts w:hint="eastAsia"/>
                <w:szCs w:val="24"/>
              </w:rPr>
              <w:t>14</w:t>
            </w:r>
            <w:r>
              <w:rPr>
                <w:szCs w:val="24"/>
              </w:rPr>
              <w:t>km处的团结水电站溢流坝至坝址下游约</w:t>
            </w:r>
            <w:r>
              <w:rPr>
                <w:rFonts w:hint="eastAsia"/>
                <w:snapToGrid w:val="0"/>
              </w:rPr>
              <w:t>14.8</w:t>
            </w:r>
            <w:r>
              <w:rPr>
                <w:snapToGrid w:val="0"/>
              </w:rPr>
              <w:t>km处有利高水电站橡胶坝</w:t>
            </w:r>
            <w:r>
              <w:rPr>
                <w:szCs w:val="21"/>
              </w:rPr>
              <w:t>，约</w:t>
            </w:r>
            <w:r>
              <w:rPr>
                <w:rFonts w:hint="eastAsia"/>
                <w:szCs w:val="21"/>
              </w:rPr>
              <w:t>28.8</w:t>
            </w:r>
            <w:r>
              <w:rPr>
                <w:szCs w:val="21"/>
              </w:rPr>
              <w:t>km的锦河河段。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4" w:space="0"/>
              <w:right w:val="single" w:color="auto" w:sz="4" w:space="0"/>
            </w:tcBorders>
            <w:vAlign w:val="center"/>
          </w:tcPr>
          <w:p>
            <w:pPr>
              <w:pStyle w:val="159"/>
              <w:rPr>
                <w:kern w:val="2"/>
                <w:szCs w:val="21"/>
              </w:rPr>
            </w:pPr>
            <w:r>
              <w:rPr>
                <w:kern w:val="2"/>
                <w:szCs w:val="21"/>
              </w:rPr>
              <w:t>地下水环境</w:t>
            </w:r>
          </w:p>
        </w:tc>
        <w:tc>
          <w:tcPr>
            <w:tcW w:w="4276" w:type="pct"/>
            <w:tcBorders>
              <w:top w:val="single" w:color="auto" w:sz="4" w:space="0"/>
              <w:left w:val="single" w:color="auto" w:sz="4" w:space="0"/>
              <w:bottom w:val="single" w:color="auto" w:sz="4" w:space="0"/>
              <w:right w:val="nil"/>
            </w:tcBorders>
            <w:vAlign w:val="center"/>
          </w:tcPr>
          <w:p>
            <w:pPr>
              <w:spacing w:line="340" w:lineRule="exact"/>
              <w:ind w:firstLine="0" w:firstLineChars="0"/>
              <w:jc w:val="center"/>
              <w:rPr>
                <w:sz w:val="21"/>
                <w:szCs w:val="21"/>
              </w:rPr>
            </w:pPr>
            <w:r>
              <w:rPr>
                <w:sz w:val="21"/>
                <w:szCs w:val="21"/>
              </w:rPr>
              <w:t>拟建坝址上下游各1.5km，两岸各1km，总面积约6.0km</w:t>
            </w:r>
            <w:r>
              <w:rPr>
                <w:sz w:val="21"/>
                <w:szCs w:val="21"/>
                <w:vertAlign w:val="superscript"/>
              </w:rPr>
              <w:t>2</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4" w:space="0"/>
              <w:right w:val="single" w:color="auto" w:sz="4" w:space="0"/>
            </w:tcBorders>
            <w:vAlign w:val="center"/>
          </w:tcPr>
          <w:p>
            <w:pPr>
              <w:pStyle w:val="159"/>
              <w:rPr>
                <w:kern w:val="2"/>
                <w:szCs w:val="21"/>
              </w:rPr>
            </w:pPr>
            <w:r>
              <w:rPr>
                <w:kern w:val="2"/>
                <w:szCs w:val="21"/>
              </w:rPr>
              <w:t>生态环境</w:t>
            </w:r>
          </w:p>
        </w:tc>
        <w:tc>
          <w:tcPr>
            <w:tcW w:w="4276" w:type="pct"/>
            <w:tcBorders>
              <w:top w:val="single" w:color="auto" w:sz="4" w:space="0"/>
              <w:left w:val="single" w:color="auto" w:sz="4" w:space="0"/>
              <w:bottom w:val="single" w:color="auto" w:sz="4" w:space="0"/>
              <w:right w:val="nil"/>
            </w:tcBorders>
            <w:vAlign w:val="center"/>
          </w:tcPr>
          <w:p>
            <w:pPr>
              <w:pStyle w:val="159"/>
              <w:jc w:val="both"/>
              <w:rPr>
                <w:kern w:val="2"/>
                <w:szCs w:val="21"/>
              </w:rPr>
            </w:pPr>
            <w:r>
              <w:rPr>
                <w:rFonts w:hint="eastAsia"/>
                <w:color w:val="0000FF"/>
              </w:rPr>
              <w:t>水域评价范围主要对江西上高锦河</w:t>
            </w:r>
            <w:r>
              <w:rPr>
                <w:color w:val="0000FF"/>
              </w:rPr>
              <w:t>省</w:t>
            </w:r>
            <w:r>
              <w:rPr>
                <w:rFonts w:hint="eastAsia"/>
                <w:color w:val="0000FF"/>
              </w:rPr>
              <w:t>级</w:t>
            </w:r>
            <w:r>
              <w:rPr>
                <w:color w:val="0000FF"/>
              </w:rPr>
              <w:t>湿地公园</w:t>
            </w:r>
            <w:r>
              <w:rPr>
                <w:rFonts w:hint="eastAsia"/>
                <w:color w:val="0000FF"/>
              </w:rPr>
              <w:t>的影响区域，即坝址及坝址至上游团结水电站坝址处；陆域评价范围主要以项目施工场地、取土场、弃渣场等施工临时占地为主，项目施工占地及施工场界外 300m范围、取土场界外 300m范围和弃渣场界外 300m范围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3" w:type="pct"/>
            <w:tcBorders>
              <w:top w:val="single" w:color="auto" w:sz="4" w:space="0"/>
              <w:left w:val="nil"/>
              <w:bottom w:val="single" w:color="auto" w:sz="12" w:space="0"/>
              <w:right w:val="single" w:color="auto" w:sz="4" w:space="0"/>
            </w:tcBorders>
            <w:vAlign w:val="center"/>
          </w:tcPr>
          <w:p>
            <w:pPr>
              <w:pStyle w:val="159"/>
              <w:rPr>
                <w:kern w:val="2"/>
                <w:szCs w:val="21"/>
              </w:rPr>
            </w:pPr>
            <w:r>
              <w:rPr>
                <w:kern w:val="2"/>
                <w:szCs w:val="21"/>
              </w:rPr>
              <w:t>环境风险</w:t>
            </w:r>
          </w:p>
        </w:tc>
        <w:tc>
          <w:tcPr>
            <w:tcW w:w="4276" w:type="pct"/>
            <w:tcBorders>
              <w:top w:val="single" w:color="auto" w:sz="4" w:space="0"/>
              <w:left w:val="single" w:color="auto" w:sz="4" w:space="0"/>
              <w:bottom w:val="single" w:color="auto" w:sz="12" w:space="0"/>
              <w:right w:val="nil"/>
            </w:tcBorders>
            <w:vAlign w:val="center"/>
          </w:tcPr>
          <w:p>
            <w:pPr>
              <w:autoSpaceDE w:val="0"/>
              <w:autoSpaceDN w:val="0"/>
              <w:adjustRightInd w:val="0"/>
              <w:spacing w:line="340" w:lineRule="exact"/>
              <w:ind w:firstLine="0" w:firstLineChars="0"/>
              <w:jc w:val="left"/>
              <w:rPr>
                <w:sz w:val="21"/>
                <w:szCs w:val="21"/>
              </w:rPr>
            </w:pPr>
            <w:r>
              <w:rPr>
                <w:sz w:val="21"/>
                <w:szCs w:val="21"/>
              </w:rPr>
              <w:t>坝址上游</w:t>
            </w:r>
            <w:r>
              <w:rPr>
                <w:rFonts w:hint="eastAsia"/>
                <w:sz w:val="21"/>
                <w:szCs w:val="21"/>
              </w:rPr>
              <w:t>14</w:t>
            </w:r>
            <w:r>
              <w:rPr>
                <w:sz w:val="21"/>
                <w:szCs w:val="21"/>
              </w:rPr>
              <w:t>km处的团结水电站溢流坝至坝址下游约</w:t>
            </w:r>
            <w:r>
              <w:rPr>
                <w:rFonts w:hint="eastAsia"/>
                <w:snapToGrid w:val="0"/>
                <w:sz w:val="21"/>
                <w:szCs w:val="21"/>
              </w:rPr>
              <w:t>14.8</w:t>
            </w:r>
            <w:r>
              <w:rPr>
                <w:snapToGrid w:val="0"/>
                <w:sz w:val="21"/>
                <w:szCs w:val="21"/>
              </w:rPr>
              <w:t>km处有利高水电站橡胶坝</w:t>
            </w:r>
            <w:r>
              <w:rPr>
                <w:sz w:val="21"/>
                <w:szCs w:val="21"/>
              </w:rPr>
              <w:t>锦河河段；地下水风险评价范围为拟建坝址上下游各1.5km，两岸各1km范围，坝址周边6.0km</w:t>
            </w:r>
            <w:r>
              <w:rPr>
                <w:sz w:val="21"/>
                <w:szCs w:val="21"/>
                <w:vertAlign w:val="superscript"/>
              </w:rPr>
              <w:t>2</w:t>
            </w:r>
            <w:r>
              <w:rPr>
                <w:sz w:val="21"/>
                <w:szCs w:val="21"/>
              </w:rPr>
              <w:t>的区域。</w:t>
            </w:r>
          </w:p>
        </w:tc>
      </w:tr>
    </w:tbl>
    <w:p>
      <w:pPr>
        <w:pStyle w:val="6"/>
        <w:spacing w:beforeLines="50" w:afterLines="50"/>
        <w:rPr>
          <w:bCs/>
          <w:szCs w:val="28"/>
        </w:rPr>
      </w:pPr>
      <w:bookmarkStart w:id="219" w:name="_Toc10921"/>
      <w:bookmarkStart w:id="220" w:name="_Toc19083243"/>
      <w:bookmarkStart w:id="221" w:name="_Toc500799694"/>
      <w:bookmarkStart w:id="222" w:name="_Toc468703476"/>
      <w:bookmarkStart w:id="223" w:name="_Toc469580685"/>
      <w:r>
        <w:rPr>
          <w:szCs w:val="28"/>
        </w:rPr>
        <w:t>1.</w:t>
      </w:r>
      <w:r>
        <w:rPr>
          <w:rFonts w:hint="eastAsia"/>
          <w:szCs w:val="28"/>
        </w:rPr>
        <w:t>7</w:t>
      </w:r>
      <w:r>
        <w:rPr>
          <w:szCs w:val="28"/>
        </w:rPr>
        <w:t>评价内容和评价重点</w:t>
      </w:r>
      <w:bookmarkEnd w:id="219"/>
      <w:bookmarkEnd w:id="220"/>
      <w:bookmarkEnd w:id="221"/>
      <w:bookmarkEnd w:id="222"/>
      <w:bookmarkEnd w:id="223"/>
    </w:p>
    <w:p>
      <w:pPr>
        <w:pStyle w:val="7"/>
        <w:spacing w:before="120" w:beforeLines="50"/>
        <w:rPr>
          <w:szCs w:val="24"/>
        </w:rPr>
      </w:pPr>
      <w:r>
        <w:rPr>
          <w:rFonts w:hint="eastAsia"/>
          <w:szCs w:val="24"/>
        </w:rPr>
        <w:t>1.7.1评价内容</w:t>
      </w:r>
    </w:p>
    <w:p>
      <w:pPr>
        <w:autoSpaceDE w:val="0"/>
        <w:autoSpaceDN w:val="0"/>
        <w:adjustRightInd w:val="0"/>
        <w:ind w:firstLine="480"/>
        <w:rPr>
          <w:szCs w:val="24"/>
        </w:rPr>
      </w:pPr>
      <w:r>
        <w:rPr>
          <w:rFonts w:hint="eastAsia"/>
          <w:szCs w:val="24"/>
        </w:rPr>
        <w:t>根据工程污染物排放特征和周围环境特点，评价内容包括总则、工程分析、环境现状调查与评价、环境影响预测与评价、环境保护措施、环境管理与监测计划、环境保护投资与环境经济损益分析等。</w:t>
      </w:r>
    </w:p>
    <w:p>
      <w:pPr>
        <w:pStyle w:val="7"/>
        <w:spacing w:before="120" w:beforeLines="50"/>
        <w:rPr>
          <w:szCs w:val="24"/>
        </w:rPr>
      </w:pPr>
      <w:r>
        <w:rPr>
          <w:szCs w:val="24"/>
        </w:rPr>
        <w:t>1.</w:t>
      </w:r>
      <w:r>
        <w:rPr>
          <w:rFonts w:hint="eastAsia"/>
          <w:szCs w:val="24"/>
        </w:rPr>
        <w:t>7</w:t>
      </w:r>
      <w:r>
        <w:rPr>
          <w:szCs w:val="24"/>
        </w:rPr>
        <w:t>.2评价重点</w:t>
      </w:r>
      <w:bookmarkEnd w:id="213"/>
      <w:bookmarkEnd w:id="214"/>
      <w:bookmarkEnd w:id="215"/>
      <w:bookmarkEnd w:id="216"/>
      <w:bookmarkEnd w:id="217"/>
      <w:bookmarkEnd w:id="218"/>
    </w:p>
    <w:p>
      <w:pPr>
        <w:pStyle w:val="894"/>
        <w:spacing w:line="360" w:lineRule="auto"/>
        <w:rPr>
          <w:rFonts w:ascii="Times New Roman" w:hAnsi="Times New Roman" w:cs="Times New Roman"/>
          <w:szCs w:val="24"/>
        </w:rPr>
      </w:pPr>
      <w:r>
        <w:rPr>
          <w:rFonts w:ascii="Times New Roman" w:hAnsi="Times New Roman" w:cs="Times New Roman"/>
          <w:szCs w:val="24"/>
        </w:rPr>
        <w:t>通过对工程环境影响识别和评价因子筛选，确定本项目评价重点为以下几个方面：</w:t>
      </w:r>
    </w:p>
    <w:p>
      <w:pPr>
        <w:pStyle w:val="894"/>
        <w:spacing w:line="360" w:lineRule="auto"/>
        <w:rPr>
          <w:rFonts w:ascii="Times New Roman" w:hAnsi="Times New Roman" w:cs="Times New Roman"/>
          <w:szCs w:val="24"/>
        </w:rPr>
      </w:pPr>
      <w:r>
        <w:rPr>
          <w:rFonts w:hint="eastAsia"/>
          <w:szCs w:val="24"/>
        </w:rPr>
        <w:t>⑴</w:t>
      </w:r>
      <w:r>
        <w:rPr>
          <w:rFonts w:ascii="Times New Roman" w:hAnsi="Times New Roman" w:cs="Times New Roman"/>
          <w:szCs w:val="24"/>
        </w:rPr>
        <w:t>工程对生态环境的影响评价</w:t>
      </w:r>
    </w:p>
    <w:p>
      <w:pPr>
        <w:pStyle w:val="894"/>
        <w:spacing w:line="360" w:lineRule="auto"/>
        <w:rPr>
          <w:rFonts w:ascii="Times New Roman" w:hAnsi="Times New Roman" w:cs="Times New Roman"/>
          <w:szCs w:val="24"/>
        </w:rPr>
      </w:pPr>
      <w:r>
        <w:rPr>
          <w:rFonts w:ascii="Times New Roman" w:hAnsi="Times New Roman" w:cs="Times New Roman"/>
          <w:szCs w:val="24"/>
        </w:rPr>
        <w:t>工程建设对陆生、水生生态系统完整性和生物多样性的影响，以及对土壤植被等方面的影响，预测评价其影响程度，提出保护和恢复的对策措施。评价重点时段为施工期。</w:t>
      </w:r>
    </w:p>
    <w:p>
      <w:pPr>
        <w:pStyle w:val="894"/>
        <w:spacing w:line="360" w:lineRule="auto"/>
        <w:rPr>
          <w:rFonts w:ascii="Times New Roman" w:hAnsi="Times New Roman" w:cs="Times New Roman"/>
          <w:szCs w:val="24"/>
        </w:rPr>
      </w:pPr>
      <w:r>
        <w:rPr>
          <w:rFonts w:hint="eastAsia"/>
          <w:szCs w:val="24"/>
        </w:rPr>
        <w:t>⑵</w:t>
      </w:r>
      <w:r>
        <w:rPr>
          <w:rFonts w:ascii="Times New Roman" w:hAnsi="Times New Roman" w:cs="Times New Roman"/>
          <w:szCs w:val="24"/>
        </w:rPr>
        <w:t>工程对水环境的影响</w:t>
      </w:r>
    </w:p>
    <w:p>
      <w:pPr>
        <w:pStyle w:val="894"/>
        <w:spacing w:line="360" w:lineRule="auto"/>
        <w:rPr>
          <w:rFonts w:ascii="Times New Roman" w:hAnsi="Times New Roman" w:cs="Times New Roman"/>
          <w:szCs w:val="24"/>
        </w:rPr>
      </w:pPr>
      <w:r>
        <w:rPr>
          <w:rFonts w:ascii="Times New Roman" w:hAnsi="Times New Roman" w:cs="Times New Roman"/>
          <w:szCs w:val="24"/>
        </w:rPr>
        <w:t>主要分析评价施工期施工作业对下游河段水质、水文情势的影响，并提出要求与建议。对运营期</w:t>
      </w:r>
      <w:r>
        <w:rPr>
          <w:rFonts w:hint="eastAsia" w:ascii="Times New Roman" w:hAnsi="Times New Roman" w:cs="Times New Roman"/>
          <w:szCs w:val="24"/>
        </w:rPr>
        <w:t>抬水坝运行</w:t>
      </w:r>
      <w:r>
        <w:rPr>
          <w:rFonts w:ascii="Times New Roman" w:hAnsi="Times New Roman" w:cs="Times New Roman"/>
          <w:szCs w:val="24"/>
        </w:rPr>
        <w:t>方案的合理性进行分析。评价重点为运营期。</w:t>
      </w:r>
    </w:p>
    <w:p>
      <w:pPr>
        <w:pStyle w:val="894"/>
        <w:spacing w:line="360" w:lineRule="auto"/>
        <w:rPr>
          <w:rFonts w:ascii="Times New Roman" w:hAnsi="Times New Roman" w:cs="Times New Roman"/>
          <w:szCs w:val="24"/>
        </w:rPr>
      </w:pPr>
      <w:r>
        <w:rPr>
          <w:rFonts w:hint="eastAsia"/>
          <w:szCs w:val="24"/>
        </w:rPr>
        <w:t>⑶</w:t>
      </w:r>
      <w:r>
        <w:rPr>
          <w:rFonts w:ascii="Times New Roman" w:hAnsi="Times New Roman" w:cs="Times New Roman"/>
          <w:szCs w:val="24"/>
        </w:rPr>
        <w:t>工程对声环境的影响</w:t>
      </w:r>
    </w:p>
    <w:p>
      <w:pPr>
        <w:pStyle w:val="894"/>
        <w:spacing w:line="360" w:lineRule="auto"/>
        <w:rPr>
          <w:rFonts w:ascii="Times New Roman" w:hAnsi="Times New Roman" w:cs="Times New Roman"/>
          <w:szCs w:val="24"/>
        </w:rPr>
      </w:pPr>
      <w:r>
        <w:rPr>
          <w:rFonts w:ascii="Times New Roman" w:hAnsi="Times New Roman" w:cs="Times New Roman"/>
          <w:szCs w:val="24"/>
        </w:rPr>
        <w:t>主要分析评价施工期机械设备施工对周边敏感目标的影响，并提出预防减轻噪声影响的措施。评价重点为施工期。</w:t>
      </w:r>
    </w:p>
    <w:p>
      <w:pPr>
        <w:pStyle w:val="6"/>
        <w:spacing w:beforeLines="50" w:afterLines="50"/>
        <w:rPr>
          <w:szCs w:val="28"/>
        </w:rPr>
      </w:pPr>
      <w:bookmarkStart w:id="224" w:name="_Toc3903199"/>
      <w:bookmarkStart w:id="225" w:name="_Toc529278982"/>
      <w:bookmarkStart w:id="226" w:name="_Toc534386220"/>
      <w:bookmarkStart w:id="227" w:name="_Toc534895197"/>
      <w:bookmarkStart w:id="228" w:name="_Toc534806979"/>
      <w:bookmarkStart w:id="229" w:name="_Toc536265062"/>
      <w:bookmarkStart w:id="230" w:name="_Toc15295"/>
      <w:r>
        <w:rPr>
          <w:szCs w:val="28"/>
        </w:rPr>
        <w:t>1.</w:t>
      </w:r>
      <w:bookmarkEnd w:id="204"/>
      <w:bookmarkEnd w:id="205"/>
      <w:bookmarkEnd w:id="206"/>
      <w:bookmarkEnd w:id="207"/>
      <w:bookmarkEnd w:id="208"/>
      <w:bookmarkEnd w:id="209"/>
      <w:bookmarkEnd w:id="210"/>
      <w:bookmarkEnd w:id="211"/>
      <w:bookmarkEnd w:id="212"/>
      <w:r>
        <w:rPr>
          <w:rFonts w:hint="eastAsia"/>
          <w:szCs w:val="28"/>
        </w:rPr>
        <w:t>8</w:t>
      </w:r>
      <w:r>
        <w:rPr>
          <w:szCs w:val="28"/>
        </w:rPr>
        <w:t>评价时段及评价方法</w:t>
      </w:r>
      <w:bookmarkEnd w:id="224"/>
      <w:bookmarkEnd w:id="225"/>
      <w:bookmarkEnd w:id="226"/>
      <w:bookmarkEnd w:id="227"/>
      <w:bookmarkEnd w:id="228"/>
      <w:bookmarkEnd w:id="229"/>
      <w:bookmarkEnd w:id="230"/>
    </w:p>
    <w:p>
      <w:pPr>
        <w:pStyle w:val="7"/>
        <w:rPr>
          <w:szCs w:val="24"/>
        </w:rPr>
      </w:pPr>
      <w:bookmarkStart w:id="231" w:name="_Toc534806981"/>
      <w:bookmarkStart w:id="232" w:name="_Toc223843214"/>
      <w:bookmarkStart w:id="233" w:name="_Toc536265064"/>
      <w:bookmarkStart w:id="234" w:name="_Toc529278984"/>
      <w:bookmarkStart w:id="235" w:name="_Toc224879269"/>
      <w:bookmarkStart w:id="236" w:name="_Toc3903201"/>
      <w:bookmarkStart w:id="237" w:name="_Toc201932539"/>
      <w:bookmarkStart w:id="238" w:name="_Toc534386222"/>
      <w:bookmarkStart w:id="239" w:name="_Toc534895199"/>
      <w:bookmarkStart w:id="240" w:name="_Toc252288905"/>
      <w:bookmarkStart w:id="241" w:name="_Toc334643153"/>
      <w:bookmarkStart w:id="242" w:name="_Toc170981426"/>
      <w:bookmarkStart w:id="243" w:name="_Toc224878975"/>
      <w:r>
        <w:rPr>
          <w:szCs w:val="24"/>
        </w:rPr>
        <w:t>1.</w:t>
      </w:r>
      <w:r>
        <w:rPr>
          <w:rFonts w:hint="eastAsia"/>
          <w:szCs w:val="24"/>
        </w:rPr>
        <w:t>8</w:t>
      </w:r>
      <w:r>
        <w:rPr>
          <w:szCs w:val="24"/>
        </w:rPr>
        <w:t>.</w:t>
      </w:r>
      <w:r>
        <w:rPr>
          <w:rFonts w:hint="eastAsia"/>
          <w:szCs w:val="24"/>
        </w:rPr>
        <w:t>1</w:t>
      </w:r>
      <w:r>
        <w:rPr>
          <w:szCs w:val="24"/>
        </w:rPr>
        <w:t>评价预测时段</w:t>
      </w:r>
      <w:bookmarkEnd w:id="231"/>
      <w:bookmarkEnd w:id="232"/>
      <w:bookmarkEnd w:id="233"/>
      <w:bookmarkEnd w:id="234"/>
      <w:bookmarkEnd w:id="235"/>
      <w:bookmarkEnd w:id="236"/>
      <w:bookmarkEnd w:id="237"/>
      <w:bookmarkEnd w:id="238"/>
      <w:bookmarkEnd w:id="239"/>
      <w:bookmarkEnd w:id="240"/>
      <w:bookmarkEnd w:id="241"/>
      <w:bookmarkEnd w:id="242"/>
      <w:bookmarkEnd w:id="243"/>
    </w:p>
    <w:p>
      <w:pPr>
        <w:ind w:firstLine="480"/>
        <w:rPr>
          <w:snapToGrid w:val="0"/>
          <w:kern w:val="0"/>
        </w:rPr>
      </w:pPr>
      <w:r>
        <w:rPr>
          <w:snapToGrid w:val="0"/>
          <w:kern w:val="0"/>
        </w:rPr>
        <w:t>分施工期和运行期两个时段对环境进行预测评价。根据施工进度计划安排，施工期预测水平年定为施工高峰年202</w:t>
      </w:r>
      <w:r>
        <w:rPr>
          <w:rFonts w:hint="eastAsia"/>
          <w:snapToGrid w:val="0"/>
          <w:kern w:val="0"/>
        </w:rPr>
        <w:t>3</w:t>
      </w:r>
      <w:r>
        <w:rPr>
          <w:snapToGrid w:val="0"/>
          <w:kern w:val="0"/>
        </w:rPr>
        <w:t>年，运行期预测水平年为竣工验收后第1年即202</w:t>
      </w:r>
      <w:r>
        <w:rPr>
          <w:rFonts w:hint="eastAsia"/>
          <w:snapToGrid w:val="0"/>
          <w:kern w:val="0"/>
        </w:rPr>
        <w:t>4</w:t>
      </w:r>
      <w:r>
        <w:rPr>
          <w:snapToGrid w:val="0"/>
          <w:kern w:val="0"/>
        </w:rPr>
        <w:t>年。</w:t>
      </w:r>
    </w:p>
    <w:p>
      <w:pPr>
        <w:pStyle w:val="7"/>
        <w:rPr>
          <w:szCs w:val="24"/>
        </w:rPr>
      </w:pPr>
      <w:bookmarkStart w:id="244" w:name="_Toc534806982"/>
      <w:bookmarkStart w:id="245" w:name="_Toc534386223"/>
      <w:bookmarkStart w:id="246" w:name="_Toc536265065"/>
      <w:bookmarkStart w:id="247" w:name="_Toc529278985"/>
      <w:bookmarkStart w:id="248" w:name="_Toc3903202"/>
      <w:bookmarkStart w:id="249" w:name="_Toc404606795"/>
      <w:bookmarkStart w:id="250" w:name="_Toc534895200"/>
      <w:r>
        <w:rPr>
          <w:szCs w:val="24"/>
        </w:rPr>
        <w:t>1.</w:t>
      </w:r>
      <w:r>
        <w:rPr>
          <w:rFonts w:hint="eastAsia"/>
          <w:szCs w:val="24"/>
        </w:rPr>
        <w:t>8</w:t>
      </w:r>
      <w:r>
        <w:rPr>
          <w:szCs w:val="24"/>
        </w:rPr>
        <w:t>.</w:t>
      </w:r>
      <w:r>
        <w:rPr>
          <w:rFonts w:hint="eastAsia"/>
          <w:szCs w:val="24"/>
        </w:rPr>
        <w:t>2</w:t>
      </w:r>
      <w:r>
        <w:rPr>
          <w:szCs w:val="24"/>
        </w:rPr>
        <w:t>评价方法</w:t>
      </w:r>
      <w:bookmarkEnd w:id="244"/>
      <w:bookmarkEnd w:id="245"/>
      <w:bookmarkEnd w:id="246"/>
      <w:bookmarkEnd w:id="247"/>
      <w:bookmarkEnd w:id="248"/>
      <w:bookmarkEnd w:id="249"/>
      <w:bookmarkEnd w:id="250"/>
    </w:p>
    <w:p>
      <w:pPr>
        <w:pStyle w:val="1078"/>
        <w:spacing w:before="0" w:beforeLines="0" w:line="360" w:lineRule="auto"/>
        <w:ind w:firstLine="480" w:firstLineChars="200"/>
        <w:jc w:val="both"/>
        <w:rPr>
          <w:rFonts w:ascii="Times New Roman" w:hAnsi="Times New Roman" w:eastAsia="宋体"/>
        </w:rPr>
      </w:pPr>
      <w:bookmarkStart w:id="251" w:name="_Toc201932536"/>
      <w:bookmarkStart w:id="252" w:name="_Toc334643152"/>
      <w:bookmarkStart w:id="253" w:name="_Toc223843211"/>
      <w:bookmarkStart w:id="254" w:name="_Toc170981423"/>
      <w:bookmarkStart w:id="255" w:name="_Toc224879266"/>
      <w:bookmarkStart w:id="256" w:name="_Toc224878972"/>
      <w:bookmarkStart w:id="257" w:name="_Toc157479021"/>
      <w:bookmarkStart w:id="258" w:name="_Toc209351704"/>
      <w:bookmarkStart w:id="259" w:name="_Toc252288902"/>
      <w:bookmarkStart w:id="260" w:name="_Toc183011705"/>
      <w:r>
        <w:rPr>
          <w:rFonts w:ascii="Times New Roman" w:hAnsi="Times New Roman" w:eastAsia="宋体"/>
        </w:rPr>
        <w:t>本项目各环境要素评价方法见表1.</w:t>
      </w:r>
      <w:r>
        <w:rPr>
          <w:rFonts w:hint="eastAsia" w:ascii="Times New Roman" w:hAnsi="Times New Roman" w:eastAsia="宋体"/>
        </w:rPr>
        <w:t>8</w:t>
      </w:r>
      <w:r>
        <w:rPr>
          <w:rFonts w:ascii="Times New Roman" w:hAnsi="Times New Roman" w:eastAsia="宋体"/>
        </w:rPr>
        <w:t>-1。</w:t>
      </w:r>
    </w:p>
    <w:p>
      <w:pPr>
        <w:pStyle w:val="1078"/>
        <w:spacing w:before="120" w:beforeLines="50" w:line="240" w:lineRule="auto"/>
        <w:rPr>
          <w:rFonts w:hAnsi="黑体" w:cs="黑体"/>
        </w:rPr>
      </w:pPr>
      <w:r>
        <w:rPr>
          <w:rFonts w:hint="eastAsia" w:hAnsi="黑体" w:cs="黑体"/>
        </w:rPr>
        <w:t>表1.8-1  本项目环境要素评价方法</w:t>
      </w:r>
    </w:p>
    <w:tbl>
      <w:tblPr>
        <w:tblStyle w:val="82"/>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405"/>
        <w:gridCol w:w="2605"/>
        <w:gridCol w:w="2893"/>
        <w:gridCol w:w="266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734" w:type="pct"/>
            <w:tcBorders>
              <w:top w:val="single" w:color="000000" w:sz="12" w:space="0"/>
              <w:bottom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环境要素</w:t>
            </w:r>
          </w:p>
        </w:tc>
        <w:tc>
          <w:tcPr>
            <w:tcW w:w="1361" w:type="pct"/>
            <w:tcBorders>
              <w:top w:val="single" w:color="000000" w:sz="12" w:space="0"/>
              <w:left w:val="single" w:color="auto" w:sz="4" w:space="0"/>
              <w:bottom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现状调查方法</w:t>
            </w:r>
          </w:p>
        </w:tc>
        <w:tc>
          <w:tcPr>
            <w:tcW w:w="1511" w:type="pct"/>
            <w:tcBorders>
              <w:top w:val="single" w:color="000000" w:sz="12" w:space="0"/>
              <w:bottom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现状评价方法</w:t>
            </w:r>
          </w:p>
        </w:tc>
        <w:tc>
          <w:tcPr>
            <w:tcW w:w="1392" w:type="pct"/>
            <w:tcBorders>
              <w:top w:val="single" w:color="000000" w:sz="12" w:space="0"/>
              <w:bottom w:val="single" w:color="000000" w:sz="6" w:space="0"/>
            </w:tcBorders>
            <w:vAlign w:val="center"/>
          </w:tcPr>
          <w:p>
            <w:pPr>
              <w:pStyle w:val="1211"/>
              <w:spacing w:line="340" w:lineRule="exact"/>
              <w:ind w:firstLine="420"/>
              <w:rPr>
                <w:rFonts w:ascii="Times New Roman"/>
                <w:sz w:val="21"/>
                <w:szCs w:val="21"/>
              </w:rPr>
            </w:pPr>
            <w:r>
              <w:rPr>
                <w:rFonts w:ascii="Times New Roman"/>
                <w:sz w:val="21"/>
                <w:szCs w:val="21"/>
              </w:rPr>
              <w:t>预测或影响评价方法</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34" w:type="pct"/>
            <w:tcBorders>
              <w:top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环境空气</w:t>
            </w:r>
          </w:p>
        </w:tc>
        <w:tc>
          <w:tcPr>
            <w:tcW w:w="1361" w:type="pct"/>
            <w:tcBorders>
              <w:top w:val="single" w:color="000000" w:sz="6" w:space="0"/>
              <w:left w:val="single" w:color="auto" w:sz="4" w:space="0"/>
            </w:tcBorders>
            <w:vAlign w:val="center"/>
          </w:tcPr>
          <w:p>
            <w:pPr>
              <w:pStyle w:val="1211"/>
              <w:spacing w:line="340" w:lineRule="exact"/>
              <w:ind w:firstLine="0" w:firstLineChars="0"/>
              <w:rPr>
                <w:rFonts w:ascii="Times New Roman"/>
                <w:sz w:val="21"/>
                <w:szCs w:val="21"/>
              </w:rPr>
            </w:pPr>
            <w:r>
              <w:rPr>
                <w:rFonts w:ascii="Times New Roman"/>
                <w:sz w:val="21"/>
                <w:szCs w:val="21"/>
              </w:rPr>
              <w:t>现场调查法</w:t>
            </w:r>
          </w:p>
        </w:tc>
        <w:tc>
          <w:tcPr>
            <w:tcW w:w="1511" w:type="pct"/>
            <w:tcBorders>
              <w:top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占标比分析法</w:t>
            </w:r>
          </w:p>
        </w:tc>
        <w:tc>
          <w:tcPr>
            <w:tcW w:w="1392" w:type="pct"/>
            <w:tcBorders>
              <w:top w:val="single" w:color="000000" w:sz="6" w:space="0"/>
            </w:tcBorders>
            <w:vAlign w:val="center"/>
          </w:tcPr>
          <w:p>
            <w:pPr>
              <w:pStyle w:val="1211"/>
              <w:spacing w:line="340" w:lineRule="exact"/>
              <w:ind w:firstLine="0" w:firstLineChars="0"/>
              <w:rPr>
                <w:rFonts w:ascii="Times New Roman"/>
                <w:sz w:val="21"/>
                <w:szCs w:val="21"/>
              </w:rPr>
            </w:pPr>
            <w:r>
              <w:rPr>
                <w:rFonts w:ascii="Times New Roman"/>
                <w:sz w:val="21"/>
                <w:szCs w:val="21"/>
              </w:rPr>
              <w:t>类比分析法</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34" w:type="pct"/>
            <w:vAlign w:val="center"/>
          </w:tcPr>
          <w:p>
            <w:pPr>
              <w:pStyle w:val="1211"/>
              <w:spacing w:line="340" w:lineRule="exact"/>
              <w:ind w:firstLine="0" w:firstLineChars="0"/>
              <w:rPr>
                <w:rFonts w:ascii="Times New Roman"/>
                <w:sz w:val="21"/>
                <w:szCs w:val="21"/>
              </w:rPr>
            </w:pPr>
            <w:r>
              <w:rPr>
                <w:rFonts w:ascii="Times New Roman"/>
                <w:sz w:val="21"/>
                <w:szCs w:val="21"/>
              </w:rPr>
              <w:t>地表水环境</w:t>
            </w:r>
          </w:p>
        </w:tc>
        <w:tc>
          <w:tcPr>
            <w:tcW w:w="1361" w:type="pct"/>
            <w:tcBorders>
              <w:left w:val="single" w:color="auto" w:sz="4" w:space="0"/>
            </w:tcBorders>
            <w:vAlign w:val="center"/>
          </w:tcPr>
          <w:p>
            <w:pPr>
              <w:pStyle w:val="1211"/>
              <w:spacing w:line="340" w:lineRule="exact"/>
              <w:ind w:firstLine="0" w:firstLineChars="0"/>
              <w:rPr>
                <w:rFonts w:ascii="Times New Roman"/>
                <w:sz w:val="21"/>
                <w:szCs w:val="21"/>
              </w:rPr>
            </w:pPr>
            <w:r>
              <w:rPr>
                <w:rFonts w:ascii="Times New Roman"/>
                <w:sz w:val="21"/>
                <w:szCs w:val="21"/>
              </w:rPr>
              <w:t>现场调查法</w:t>
            </w:r>
          </w:p>
        </w:tc>
        <w:tc>
          <w:tcPr>
            <w:tcW w:w="1511" w:type="pct"/>
            <w:vAlign w:val="center"/>
          </w:tcPr>
          <w:p>
            <w:pPr>
              <w:pStyle w:val="1211"/>
              <w:spacing w:line="340" w:lineRule="exact"/>
              <w:ind w:firstLine="0" w:firstLineChars="0"/>
              <w:rPr>
                <w:rFonts w:ascii="Times New Roman"/>
                <w:sz w:val="21"/>
                <w:szCs w:val="21"/>
              </w:rPr>
            </w:pPr>
            <w:r>
              <w:rPr>
                <w:rFonts w:ascii="Times New Roman"/>
                <w:sz w:val="21"/>
                <w:szCs w:val="21"/>
              </w:rPr>
              <w:t>单因子指数法</w:t>
            </w:r>
          </w:p>
        </w:tc>
        <w:tc>
          <w:tcPr>
            <w:tcW w:w="1392" w:type="pct"/>
            <w:vAlign w:val="center"/>
          </w:tcPr>
          <w:p>
            <w:pPr>
              <w:pStyle w:val="1211"/>
              <w:spacing w:line="340" w:lineRule="exact"/>
              <w:ind w:firstLine="0" w:firstLineChars="0"/>
              <w:rPr>
                <w:rFonts w:ascii="Times New Roman"/>
                <w:sz w:val="21"/>
                <w:szCs w:val="21"/>
              </w:rPr>
            </w:pPr>
            <w:r>
              <w:rPr>
                <w:rFonts w:ascii="Times New Roman"/>
                <w:sz w:val="21"/>
                <w:szCs w:val="21"/>
              </w:rPr>
              <w:t>定性与定量分析结合</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34" w:type="pct"/>
            <w:vAlign w:val="center"/>
          </w:tcPr>
          <w:p>
            <w:pPr>
              <w:pStyle w:val="1211"/>
              <w:spacing w:line="340" w:lineRule="exact"/>
              <w:ind w:firstLine="0" w:firstLineChars="0"/>
              <w:rPr>
                <w:rFonts w:ascii="Times New Roman"/>
                <w:sz w:val="21"/>
                <w:szCs w:val="21"/>
              </w:rPr>
            </w:pPr>
            <w:r>
              <w:rPr>
                <w:rFonts w:ascii="Times New Roman"/>
                <w:sz w:val="21"/>
                <w:szCs w:val="21"/>
              </w:rPr>
              <w:t>声环境</w:t>
            </w:r>
          </w:p>
        </w:tc>
        <w:tc>
          <w:tcPr>
            <w:tcW w:w="1361" w:type="pct"/>
            <w:tcBorders>
              <w:left w:val="single" w:color="auto" w:sz="4" w:space="0"/>
            </w:tcBorders>
            <w:vAlign w:val="center"/>
          </w:tcPr>
          <w:p>
            <w:pPr>
              <w:pStyle w:val="1211"/>
              <w:spacing w:line="340" w:lineRule="exact"/>
              <w:ind w:firstLine="0" w:firstLineChars="0"/>
              <w:rPr>
                <w:rFonts w:ascii="Times New Roman"/>
                <w:sz w:val="21"/>
                <w:szCs w:val="21"/>
              </w:rPr>
            </w:pPr>
            <w:r>
              <w:rPr>
                <w:rFonts w:ascii="Times New Roman"/>
                <w:sz w:val="21"/>
                <w:szCs w:val="21"/>
              </w:rPr>
              <w:t>现场调查法</w:t>
            </w:r>
          </w:p>
        </w:tc>
        <w:tc>
          <w:tcPr>
            <w:tcW w:w="1511" w:type="pct"/>
            <w:vAlign w:val="center"/>
          </w:tcPr>
          <w:p>
            <w:pPr>
              <w:pStyle w:val="1211"/>
              <w:spacing w:line="340" w:lineRule="exact"/>
              <w:ind w:firstLine="0" w:firstLineChars="0"/>
              <w:rPr>
                <w:rFonts w:ascii="Times New Roman"/>
                <w:sz w:val="21"/>
                <w:szCs w:val="21"/>
              </w:rPr>
            </w:pPr>
            <w:r>
              <w:rPr>
                <w:rFonts w:ascii="Times New Roman"/>
                <w:sz w:val="21"/>
                <w:szCs w:val="21"/>
              </w:rPr>
              <w:t>标准值对比分析方法</w:t>
            </w:r>
          </w:p>
        </w:tc>
        <w:tc>
          <w:tcPr>
            <w:tcW w:w="1392" w:type="pct"/>
            <w:vAlign w:val="center"/>
          </w:tcPr>
          <w:p>
            <w:pPr>
              <w:pStyle w:val="1211"/>
              <w:spacing w:line="340" w:lineRule="exact"/>
              <w:ind w:firstLine="0" w:firstLineChars="0"/>
              <w:rPr>
                <w:rFonts w:ascii="Times New Roman"/>
                <w:sz w:val="21"/>
                <w:szCs w:val="21"/>
              </w:rPr>
            </w:pPr>
            <w:r>
              <w:rPr>
                <w:rFonts w:ascii="Times New Roman"/>
                <w:sz w:val="21"/>
                <w:szCs w:val="21"/>
              </w:rPr>
              <w:t>数学模式法</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34" w:type="pct"/>
            <w:vAlign w:val="center"/>
          </w:tcPr>
          <w:p>
            <w:pPr>
              <w:pStyle w:val="1211"/>
              <w:spacing w:line="340" w:lineRule="exact"/>
              <w:ind w:firstLine="0" w:firstLineChars="0"/>
              <w:rPr>
                <w:rFonts w:ascii="Times New Roman"/>
                <w:sz w:val="21"/>
                <w:szCs w:val="21"/>
              </w:rPr>
            </w:pPr>
            <w:r>
              <w:rPr>
                <w:rFonts w:hint="eastAsia" w:ascii="Times New Roman"/>
                <w:sz w:val="21"/>
                <w:szCs w:val="21"/>
              </w:rPr>
              <w:t>土壤环境</w:t>
            </w:r>
          </w:p>
        </w:tc>
        <w:tc>
          <w:tcPr>
            <w:tcW w:w="1361" w:type="pct"/>
            <w:tcBorders>
              <w:left w:val="single" w:color="auto" w:sz="4" w:space="0"/>
            </w:tcBorders>
            <w:vAlign w:val="center"/>
          </w:tcPr>
          <w:p>
            <w:pPr>
              <w:pStyle w:val="1211"/>
              <w:spacing w:line="340" w:lineRule="exact"/>
              <w:ind w:firstLine="0" w:firstLineChars="0"/>
              <w:rPr>
                <w:rFonts w:ascii="Times New Roman"/>
                <w:sz w:val="21"/>
                <w:szCs w:val="21"/>
              </w:rPr>
            </w:pPr>
            <w:r>
              <w:rPr>
                <w:rFonts w:ascii="Times New Roman"/>
                <w:sz w:val="21"/>
                <w:szCs w:val="21"/>
              </w:rPr>
              <w:t>现场调查法</w:t>
            </w:r>
          </w:p>
        </w:tc>
        <w:tc>
          <w:tcPr>
            <w:tcW w:w="1511" w:type="pct"/>
            <w:vAlign w:val="center"/>
          </w:tcPr>
          <w:p>
            <w:pPr>
              <w:pStyle w:val="1211"/>
              <w:spacing w:line="340" w:lineRule="exact"/>
              <w:ind w:firstLine="0" w:firstLineChars="0"/>
              <w:rPr>
                <w:rFonts w:ascii="Times New Roman"/>
                <w:sz w:val="21"/>
                <w:szCs w:val="21"/>
              </w:rPr>
            </w:pPr>
            <w:r>
              <w:rPr>
                <w:rFonts w:ascii="Times New Roman"/>
                <w:sz w:val="21"/>
                <w:szCs w:val="21"/>
              </w:rPr>
              <w:t>单因子指数法</w:t>
            </w:r>
          </w:p>
        </w:tc>
        <w:tc>
          <w:tcPr>
            <w:tcW w:w="1392" w:type="pct"/>
            <w:vAlign w:val="center"/>
          </w:tcPr>
          <w:p>
            <w:pPr>
              <w:pStyle w:val="1211"/>
              <w:spacing w:line="340" w:lineRule="exact"/>
              <w:ind w:firstLine="0" w:firstLineChars="0"/>
              <w:rPr>
                <w:rFonts w:ascii="Times New Roman"/>
                <w:sz w:val="21"/>
                <w:szCs w:val="21"/>
              </w:rPr>
            </w:pPr>
            <w:r>
              <w:rPr>
                <w:rFonts w:hint="eastAsia" w:ascii="Times New Roman"/>
                <w:sz w:val="21"/>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734" w:type="pct"/>
            <w:vAlign w:val="center"/>
          </w:tcPr>
          <w:p>
            <w:pPr>
              <w:pStyle w:val="1211"/>
              <w:spacing w:line="340" w:lineRule="exact"/>
              <w:ind w:firstLine="0" w:firstLineChars="0"/>
              <w:rPr>
                <w:rFonts w:ascii="Times New Roman"/>
                <w:sz w:val="21"/>
                <w:szCs w:val="21"/>
              </w:rPr>
            </w:pPr>
            <w:r>
              <w:rPr>
                <w:rFonts w:ascii="Times New Roman"/>
                <w:sz w:val="21"/>
                <w:szCs w:val="21"/>
              </w:rPr>
              <w:t>生态环境</w:t>
            </w:r>
          </w:p>
        </w:tc>
        <w:tc>
          <w:tcPr>
            <w:tcW w:w="1361" w:type="pct"/>
            <w:tcBorders>
              <w:left w:val="single" w:color="auto" w:sz="4" w:space="0"/>
            </w:tcBorders>
            <w:vAlign w:val="center"/>
          </w:tcPr>
          <w:p>
            <w:pPr>
              <w:pStyle w:val="1211"/>
              <w:spacing w:line="340" w:lineRule="exact"/>
              <w:ind w:firstLine="0" w:firstLineChars="0"/>
              <w:rPr>
                <w:rFonts w:ascii="Times New Roman"/>
                <w:sz w:val="21"/>
                <w:szCs w:val="21"/>
              </w:rPr>
            </w:pPr>
            <w:r>
              <w:rPr>
                <w:rFonts w:ascii="Times New Roman"/>
                <w:sz w:val="21"/>
                <w:szCs w:val="21"/>
              </w:rPr>
              <w:t>现场调查法</w:t>
            </w:r>
          </w:p>
        </w:tc>
        <w:tc>
          <w:tcPr>
            <w:tcW w:w="1511" w:type="pct"/>
            <w:vAlign w:val="center"/>
          </w:tcPr>
          <w:p>
            <w:pPr>
              <w:pStyle w:val="1211"/>
              <w:spacing w:line="340" w:lineRule="exact"/>
              <w:ind w:firstLine="0" w:firstLineChars="0"/>
              <w:rPr>
                <w:rFonts w:ascii="Times New Roman"/>
                <w:sz w:val="21"/>
                <w:szCs w:val="21"/>
              </w:rPr>
            </w:pPr>
            <w:r>
              <w:rPr>
                <w:rFonts w:ascii="Times New Roman"/>
                <w:sz w:val="21"/>
                <w:szCs w:val="21"/>
              </w:rPr>
              <w:t>样地调查法</w:t>
            </w:r>
          </w:p>
        </w:tc>
        <w:tc>
          <w:tcPr>
            <w:tcW w:w="1392" w:type="pct"/>
            <w:vAlign w:val="center"/>
          </w:tcPr>
          <w:p>
            <w:pPr>
              <w:pStyle w:val="1211"/>
              <w:spacing w:line="340" w:lineRule="exact"/>
              <w:ind w:firstLine="0" w:firstLineChars="0"/>
              <w:rPr>
                <w:rFonts w:ascii="Times New Roman"/>
                <w:sz w:val="21"/>
                <w:szCs w:val="21"/>
              </w:rPr>
            </w:pPr>
            <w:r>
              <w:rPr>
                <w:rFonts w:ascii="Times New Roman"/>
                <w:sz w:val="21"/>
                <w:szCs w:val="21"/>
              </w:rPr>
              <w:t>调查分析方法</w:t>
            </w:r>
          </w:p>
        </w:tc>
      </w:tr>
    </w:tbl>
    <w:p>
      <w:pPr>
        <w:pStyle w:val="6"/>
        <w:spacing w:beforeLines="50" w:afterLines="50"/>
        <w:rPr>
          <w:bCs/>
          <w:szCs w:val="28"/>
        </w:rPr>
      </w:pPr>
      <w:bookmarkStart w:id="261" w:name="_Toc536265066"/>
      <w:bookmarkStart w:id="262" w:name="_Toc3903203"/>
      <w:bookmarkStart w:id="263" w:name="_Toc534386224"/>
      <w:bookmarkStart w:id="264" w:name="_Toc534895201"/>
      <w:bookmarkStart w:id="265" w:name="_Toc534806983"/>
      <w:bookmarkStart w:id="266" w:name="_Toc529278986"/>
      <w:bookmarkStart w:id="267" w:name="_Toc220"/>
      <w:r>
        <w:rPr>
          <w:szCs w:val="28"/>
        </w:rPr>
        <w:t>1.</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Pr>
          <w:rFonts w:hint="eastAsia"/>
          <w:szCs w:val="28"/>
        </w:rPr>
        <w:t>9污染</w:t>
      </w:r>
      <w:r>
        <w:rPr>
          <w:szCs w:val="28"/>
        </w:rPr>
        <w:t>控制污染和环境保护目标</w:t>
      </w:r>
      <w:bookmarkEnd w:id="267"/>
    </w:p>
    <w:p>
      <w:pPr>
        <w:pStyle w:val="7"/>
      </w:pPr>
      <w:r>
        <w:t>1.</w:t>
      </w:r>
      <w:r>
        <w:rPr>
          <w:rFonts w:hint="eastAsia"/>
        </w:rPr>
        <w:t>9</w:t>
      </w:r>
      <w:r>
        <w:t>.1污染控制目标</w:t>
      </w:r>
    </w:p>
    <w:p>
      <w:pPr>
        <w:pStyle w:val="1337"/>
        <w:jc w:val="both"/>
        <w:rPr>
          <w:rFonts w:ascii="Times New Roman" w:hAnsi="Times New Roman"/>
          <w:snapToGrid w:val="0"/>
        </w:rPr>
      </w:pPr>
      <w:r>
        <w:rPr>
          <w:rFonts w:hint="eastAsia"/>
          <w:snapToGrid w:val="0"/>
        </w:rPr>
        <w:t>①</w:t>
      </w:r>
      <w:r>
        <w:rPr>
          <w:rFonts w:ascii="Times New Roman" w:hAnsi="Times New Roman"/>
          <w:snapToGrid w:val="0"/>
        </w:rPr>
        <w:t>环境空气：</w:t>
      </w:r>
      <w:r>
        <w:rPr>
          <w:rFonts w:hint="eastAsia" w:ascii="Times New Roman" w:hAnsi="Times New Roman"/>
          <w:snapToGrid w:val="0"/>
        </w:rPr>
        <w:t>工程</w:t>
      </w:r>
      <w:r>
        <w:rPr>
          <w:rFonts w:ascii="Times New Roman" w:hAnsi="Times New Roman"/>
          <w:snapToGrid w:val="0"/>
        </w:rPr>
        <w:t>实施后，要确保区域内的环境空气质量应达到《环境空气质量标准》（GB3095-2012）二级标准。</w:t>
      </w:r>
    </w:p>
    <w:p>
      <w:pPr>
        <w:pStyle w:val="1337"/>
        <w:jc w:val="both"/>
        <w:rPr>
          <w:rFonts w:ascii="Times New Roman" w:hAnsi="Times New Roman"/>
          <w:snapToGrid w:val="0"/>
        </w:rPr>
      </w:pPr>
      <w:r>
        <w:rPr>
          <w:rFonts w:hint="eastAsia"/>
          <w:snapToGrid w:val="0"/>
        </w:rPr>
        <w:t>②</w:t>
      </w:r>
      <w:r>
        <w:rPr>
          <w:rFonts w:ascii="Times New Roman" w:hAnsi="Times New Roman"/>
          <w:snapToGrid w:val="0"/>
        </w:rPr>
        <w:t>地表水：</w:t>
      </w:r>
      <w:r>
        <w:rPr>
          <w:rFonts w:hint="eastAsia" w:ascii="Times New Roman" w:hAnsi="Times New Roman"/>
          <w:snapToGrid w:val="0"/>
        </w:rPr>
        <w:t>控制</w:t>
      </w:r>
      <w:r>
        <w:rPr>
          <w:rFonts w:hint="eastAsia" w:ascii="Times New Roman" w:hAnsi="Times New Roman" w:cs="宋体"/>
          <w:snapToGrid w:val="0"/>
        </w:rPr>
        <w:t>施工废水和生活污水</w:t>
      </w:r>
      <w:r>
        <w:rPr>
          <w:rFonts w:hint="eastAsia" w:ascii="Times New Roman" w:hAnsi="Times New Roman"/>
          <w:snapToGrid w:val="0"/>
        </w:rPr>
        <w:t>排放，</w:t>
      </w:r>
      <w:r>
        <w:rPr>
          <w:rFonts w:ascii="Times New Roman" w:hAnsi="Times New Roman"/>
          <w:snapToGrid w:val="0"/>
        </w:rPr>
        <w:t>要确保评价区地表水</w:t>
      </w:r>
      <w:r>
        <w:rPr>
          <w:rFonts w:hint="eastAsia" w:ascii="Times New Roman" w:hAnsi="Times New Roman"/>
          <w:snapToGrid w:val="0"/>
        </w:rPr>
        <w:t>锦河</w:t>
      </w:r>
      <w:r>
        <w:rPr>
          <w:rFonts w:ascii="Times New Roman" w:hAnsi="Times New Roman"/>
          <w:snapToGrid w:val="0"/>
        </w:rPr>
        <w:t>水环境质量达到《地表水环境质量标准》（GB3838-2002）Ⅲ类标准。</w:t>
      </w:r>
    </w:p>
    <w:p>
      <w:pPr>
        <w:pStyle w:val="1337"/>
        <w:jc w:val="both"/>
        <w:rPr>
          <w:rFonts w:ascii="Times New Roman" w:hAnsi="Times New Roman"/>
          <w:snapToGrid w:val="0"/>
        </w:rPr>
      </w:pPr>
      <w:r>
        <w:rPr>
          <w:rFonts w:hint="eastAsia"/>
          <w:snapToGrid w:val="0"/>
        </w:rPr>
        <w:t>③</w:t>
      </w:r>
      <w:r>
        <w:rPr>
          <w:rFonts w:ascii="Times New Roman" w:hAnsi="Times New Roman"/>
          <w:snapToGrid w:val="0"/>
        </w:rPr>
        <w:t>声环境：</w:t>
      </w:r>
      <w:r>
        <w:rPr>
          <w:rFonts w:hint="eastAsia" w:ascii="Times New Roman" w:hAnsi="Times New Roman"/>
          <w:snapToGrid w:val="0"/>
        </w:rPr>
        <w:t>工程</w:t>
      </w:r>
      <w:r>
        <w:rPr>
          <w:rFonts w:ascii="Times New Roman" w:hAnsi="Times New Roman"/>
          <w:snapToGrid w:val="0"/>
        </w:rPr>
        <w:t>实施后</w:t>
      </w:r>
      <w:r>
        <w:rPr>
          <w:rFonts w:hint="eastAsia" w:ascii="Times New Roman" w:hAnsi="Times New Roman"/>
          <w:snapToGrid w:val="0"/>
        </w:rPr>
        <w:t>，</w:t>
      </w:r>
      <w:r>
        <w:rPr>
          <w:rFonts w:ascii="Times New Roman" w:hAnsi="Times New Roman"/>
          <w:snapToGrid w:val="0"/>
        </w:rPr>
        <w:t>确保</w:t>
      </w:r>
      <w:r>
        <w:rPr>
          <w:rFonts w:hint="eastAsia" w:ascii="Times New Roman" w:hAnsi="Times New Roman"/>
          <w:snapToGrid w:val="0"/>
        </w:rPr>
        <w:t>工程边界</w:t>
      </w:r>
      <w:r>
        <w:rPr>
          <w:rFonts w:ascii="Times New Roman" w:hAnsi="Times New Roman"/>
          <w:snapToGrid w:val="0"/>
        </w:rPr>
        <w:t>噪声达到《工业企业厂界环境噪声排放标准》（GB12348-2008）</w:t>
      </w:r>
      <w:r>
        <w:rPr>
          <w:rFonts w:hint="eastAsia" w:ascii="Times New Roman" w:hAnsi="Times New Roman"/>
          <w:snapToGrid w:val="0"/>
        </w:rPr>
        <w:t>2</w:t>
      </w:r>
      <w:r>
        <w:rPr>
          <w:rFonts w:ascii="Times New Roman" w:hAnsi="Times New Roman"/>
          <w:snapToGrid w:val="0"/>
        </w:rPr>
        <w:t>类标准。</w:t>
      </w:r>
    </w:p>
    <w:p>
      <w:pPr>
        <w:autoSpaceDE w:val="0"/>
        <w:autoSpaceDN w:val="0"/>
        <w:adjustRightInd w:val="0"/>
        <w:ind w:firstLine="480"/>
        <w:rPr>
          <w:rFonts w:hAnsi="宋体"/>
          <w:kern w:val="0"/>
          <w:szCs w:val="24"/>
        </w:rPr>
      </w:pPr>
      <w:r>
        <w:rPr>
          <w:rFonts w:hAnsi="宋体"/>
          <w:kern w:val="0"/>
          <w:szCs w:val="24"/>
        </w:rPr>
        <w:t>④生态环境：保护评价区生态系统功能，维护生态系统平衡和生物多样性；防止评价区流域生态环境退化，保证其功能不因本工程实施而丧失。采取严格的水土保持措施，控制水土流失影响。工程布置尽量与当地土地利用规划以及环境功能分区相协调；优化施工布置，严格控制施工占地和施工工艺，尽量减少工程建设对工程地区现有林地、耕地、草地等的占压、破坏，施工占地应严格控制在征地范围以内，以减免工程建设对区域水土流失的影响；加强工程环境监测、监理及管理工作，及时掌握环境污染及环境质量状况，以便采取相应的环境保护措施。</w:t>
      </w:r>
    </w:p>
    <w:p>
      <w:pPr>
        <w:autoSpaceDE w:val="0"/>
        <w:autoSpaceDN w:val="0"/>
        <w:adjustRightInd w:val="0"/>
        <w:ind w:firstLine="480"/>
        <w:rPr>
          <w:rFonts w:hAnsi="宋体"/>
          <w:kern w:val="0"/>
          <w:szCs w:val="24"/>
        </w:rPr>
      </w:pPr>
      <w:r>
        <w:rPr>
          <w:rFonts w:hAnsi="宋体"/>
          <w:kern w:val="0"/>
          <w:szCs w:val="24"/>
        </w:rPr>
        <w:fldChar w:fldCharType="begin"/>
      </w:r>
      <w:r>
        <w:rPr>
          <w:rFonts w:hAnsi="宋体"/>
          <w:kern w:val="0"/>
          <w:szCs w:val="24"/>
        </w:rPr>
        <w:instrText xml:space="preserve"> </w:instrText>
      </w:r>
      <w:r>
        <w:rPr>
          <w:rFonts w:hint="eastAsia" w:hAnsi="宋体"/>
          <w:kern w:val="0"/>
          <w:szCs w:val="24"/>
        </w:rPr>
        <w:instrText xml:space="preserve">= 5 \* GB3</w:instrText>
      </w:r>
      <w:r>
        <w:rPr>
          <w:rFonts w:hAnsi="宋体"/>
          <w:kern w:val="0"/>
          <w:szCs w:val="24"/>
        </w:rPr>
        <w:instrText xml:space="preserve"> </w:instrText>
      </w:r>
      <w:r>
        <w:rPr>
          <w:rFonts w:hAnsi="宋体"/>
          <w:kern w:val="0"/>
          <w:szCs w:val="24"/>
        </w:rPr>
        <w:fldChar w:fldCharType="separate"/>
      </w:r>
      <w:r>
        <w:rPr>
          <w:rFonts w:hint="eastAsia" w:hAnsi="宋体"/>
          <w:kern w:val="0"/>
          <w:szCs w:val="24"/>
        </w:rPr>
        <w:t>⑤</w:t>
      </w:r>
      <w:r>
        <w:rPr>
          <w:rFonts w:hAnsi="宋体"/>
          <w:kern w:val="0"/>
          <w:szCs w:val="24"/>
        </w:rPr>
        <w:fldChar w:fldCharType="end"/>
      </w:r>
      <w:r>
        <w:rPr>
          <w:rFonts w:hint="eastAsia" w:hAnsi="宋体"/>
          <w:kern w:val="0"/>
          <w:szCs w:val="24"/>
        </w:rPr>
        <w:t>土壤</w:t>
      </w:r>
      <w:r>
        <w:rPr>
          <w:rFonts w:hAnsi="宋体"/>
          <w:kern w:val="0"/>
          <w:szCs w:val="24"/>
        </w:rPr>
        <w:t>环境</w:t>
      </w:r>
      <w:r>
        <w:rPr>
          <w:rFonts w:hint="eastAsia" w:hAnsi="宋体"/>
          <w:kern w:val="0"/>
          <w:szCs w:val="24"/>
        </w:rPr>
        <w:t>：保护表层土壤，利于植被恢复；防控坝区周边土壤发生沼泽化、盐渍化。</w:t>
      </w:r>
    </w:p>
    <w:p>
      <w:pPr>
        <w:pStyle w:val="7"/>
        <w:rPr>
          <w:szCs w:val="24"/>
        </w:rPr>
      </w:pPr>
      <w:bookmarkStart w:id="268" w:name="_Toc529278988"/>
      <w:bookmarkStart w:id="269" w:name="_Toc534806984"/>
      <w:bookmarkStart w:id="270" w:name="_Toc157479023"/>
      <w:bookmarkStart w:id="271" w:name="_Toc201932538"/>
      <w:bookmarkStart w:id="272" w:name="_Toc223843213"/>
      <w:bookmarkStart w:id="273" w:name="_Toc536265067"/>
      <w:bookmarkStart w:id="274" w:name="_Toc224879268"/>
      <w:bookmarkStart w:id="275" w:name="_Toc3903204"/>
      <w:bookmarkStart w:id="276" w:name="_Toc209351706"/>
      <w:bookmarkStart w:id="277" w:name="_Toc534386225"/>
      <w:bookmarkStart w:id="278" w:name="_Toc252288904"/>
      <w:bookmarkStart w:id="279" w:name="_Toc534895202"/>
      <w:bookmarkStart w:id="280" w:name="_Toc170981425"/>
      <w:bookmarkStart w:id="281" w:name="_Toc183011707"/>
      <w:bookmarkStart w:id="282" w:name="_Toc224878974"/>
      <w:r>
        <w:rPr>
          <w:szCs w:val="24"/>
        </w:rPr>
        <w:t>1.</w:t>
      </w:r>
      <w:r>
        <w:rPr>
          <w:rFonts w:hint="eastAsia"/>
          <w:szCs w:val="24"/>
        </w:rPr>
        <w:t>9</w:t>
      </w:r>
      <w:r>
        <w:rPr>
          <w:szCs w:val="24"/>
        </w:rPr>
        <w:t>.1环境保护目标</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pPr>
        <w:ind w:firstLine="480"/>
        <w:rPr>
          <w:lang w:val="zh-CN"/>
        </w:rPr>
      </w:pPr>
      <w:bookmarkStart w:id="283" w:name="_Toc536265068"/>
      <w:bookmarkStart w:id="284" w:name="_Toc534806985"/>
      <w:bookmarkStart w:id="285" w:name="_Toc534895203"/>
      <w:bookmarkStart w:id="286" w:name="_Toc534386226"/>
      <w:bookmarkStart w:id="287" w:name="_Toc3903205"/>
      <w:r>
        <w:rPr>
          <w:rFonts w:hint="eastAsia"/>
          <w:lang w:val="zh-CN"/>
        </w:rPr>
        <w:t>(1)生态环境保护目标</w:t>
      </w:r>
    </w:p>
    <w:p>
      <w:pPr>
        <w:ind w:firstLine="480"/>
        <w:rPr>
          <w:lang w:val="zh-CN"/>
        </w:rPr>
      </w:pPr>
      <w:r>
        <w:rPr>
          <w:rFonts w:hint="eastAsia"/>
          <w:lang w:val="zh-CN"/>
        </w:rPr>
        <w:t>项目生态环境保护目标详见表1.9-1。</w:t>
      </w:r>
    </w:p>
    <w:p>
      <w:pPr>
        <w:spacing w:before="120" w:beforeLines="50" w:line="240" w:lineRule="auto"/>
        <w:ind w:firstLine="480"/>
        <w:jc w:val="center"/>
        <w:rPr>
          <w:rFonts w:eastAsia="黑体"/>
        </w:rPr>
      </w:pPr>
      <w:r>
        <w:rPr>
          <w:rStyle w:val="483"/>
        </w:rPr>
        <w:t>表</w:t>
      </w:r>
      <w:r>
        <w:rPr>
          <w:rStyle w:val="483"/>
          <w:rFonts w:hint="eastAsia"/>
        </w:rPr>
        <w:t>1.9-1</w:t>
      </w:r>
      <w:r>
        <w:rPr>
          <w:rStyle w:val="483"/>
        </w:rPr>
        <w:t xml:space="preserve"> </w:t>
      </w:r>
      <w:r>
        <w:rPr>
          <w:rStyle w:val="483"/>
          <w:rFonts w:hint="eastAsia"/>
        </w:rPr>
        <w:t>项目生态环境保护目标一览表</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84"/>
        <w:gridCol w:w="1201"/>
        <w:gridCol w:w="2856"/>
        <w:gridCol w:w="3457"/>
        <w:gridCol w:w="1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环境</w:t>
            </w:r>
          </w:p>
        </w:tc>
        <w:tc>
          <w:tcPr>
            <w:tcW w:w="634"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保护目标</w:t>
            </w:r>
          </w:p>
        </w:tc>
        <w:tc>
          <w:tcPr>
            <w:tcW w:w="3333" w:type="pct"/>
            <w:gridSpan w:val="2"/>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环境特征及概况</w:t>
            </w:r>
          </w:p>
        </w:tc>
        <w:tc>
          <w:tcPr>
            <w:tcW w:w="618"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Merge w:val="restar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生态环境</w:t>
            </w:r>
          </w:p>
        </w:tc>
        <w:tc>
          <w:tcPr>
            <w:tcW w:w="634" w:type="pct"/>
            <w:vAlign w:val="center"/>
          </w:tcPr>
          <w:p>
            <w:pPr>
              <w:spacing w:line="340" w:lineRule="exact"/>
              <w:ind w:firstLine="0" w:firstLineChars="0"/>
              <w:jc w:val="center"/>
              <w:rPr>
                <w:sz w:val="21"/>
                <w:szCs w:val="21"/>
              </w:rPr>
            </w:pPr>
            <w:r>
              <w:rPr>
                <w:sz w:val="21"/>
                <w:szCs w:val="21"/>
              </w:rPr>
              <w:t>陆生植物</w:t>
            </w:r>
          </w:p>
        </w:tc>
        <w:tc>
          <w:tcPr>
            <w:tcW w:w="3333" w:type="pct"/>
            <w:gridSpan w:val="2"/>
            <w:vAlign w:val="center"/>
          </w:tcPr>
          <w:p>
            <w:pPr>
              <w:spacing w:line="340" w:lineRule="exact"/>
              <w:ind w:firstLine="0" w:firstLineChars="0"/>
              <w:jc w:val="center"/>
              <w:rPr>
                <w:sz w:val="21"/>
                <w:szCs w:val="21"/>
              </w:rPr>
            </w:pPr>
            <w:r>
              <w:rPr>
                <w:sz w:val="21"/>
                <w:szCs w:val="21"/>
              </w:rPr>
              <w:t>评价区植被类型以</w:t>
            </w:r>
            <w:r>
              <w:rPr>
                <w:rFonts w:hint="eastAsia"/>
                <w:sz w:val="21"/>
                <w:szCs w:val="21"/>
              </w:rPr>
              <w:t>马尾松林、杉木林、</w:t>
            </w:r>
            <w:r>
              <w:rPr>
                <w:sz w:val="21"/>
                <w:szCs w:val="21"/>
              </w:rPr>
              <w:t>樟树林、</w:t>
            </w:r>
            <w:r>
              <w:rPr>
                <w:rFonts w:hint="eastAsia"/>
                <w:sz w:val="21"/>
                <w:szCs w:val="21"/>
              </w:rPr>
              <w:t>毛竹林</w:t>
            </w:r>
            <w:r>
              <w:rPr>
                <w:sz w:val="21"/>
                <w:szCs w:val="21"/>
              </w:rPr>
              <w:t>、次生灌丛及灌草丛为主。</w:t>
            </w:r>
          </w:p>
        </w:tc>
        <w:tc>
          <w:tcPr>
            <w:tcW w:w="618"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见生态现状调查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Merge w:val="continue"/>
            <w:vAlign w:val="center"/>
          </w:tcPr>
          <w:p>
            <w:pPr>
              <w:spacing w:line="340" w:lineRule="exact"/>
              <w:ind w:firstLine="0" w:firstLineChars="0"/>
              <w:jc w:val="center"/>
              <w:rPr>
                <w:rFonts w:ascii="宋体" w:hAnsi="宋体" w:cs="宋体"/>
                <w:sz w:val="21"/>
                <w:szCs w:val="21"/>
              </w:rPr>
            </w:pPr>
          </w:p>
        </w:tc>
        <w:tc>
          <w:tcPr>
            <w:tcW w:w="634" w:type="pct"/>
            <w:vAlign w:val="center"/>
          </w:tcPr>
          <w:p>
            <w:pPr>
              <w:spacing w:line="340" w:lineRule="exact"/>
              <w:ind w:firstLine="0" w:firstLineChars="0"/>
              <w:jc w:val="center"/>
              <w:rPr>
                <w:sz w:val="21"/>
                <w:szCs w:val="21"/>
              </w:rPr>
            </w:pPr>
            <w:r>
              <w:rPr>
                <w:sz w:val="21"/>
                <w:szCs w:val="21"/>
              </w:rPr>
              <w:t>陆生动物</w:t>
            </w:r>
          </w:p>
        </w:tc>
        <w:tc>
          <w:tcPr>
            <w:tcW w:w="3333" w:type="pct"/>
            <w:gridSpan w:val="2"/>
            <w:vAlign w:val="center"/>
          </w:tcPr>
          <w:p>
            <w:pPr>
              <w:spacing w:line="340" w:lineRule="exact"/>
              <w:ind w:firstLine="0" w:firstLineChars="0"/>
              <w:jc w:val="left"/>
              <w:rPr>
                <w:sz w:val="21"/>
                <w:szCs w:val="21"/>
              </w:rPr>
            </w:pPr>
            <w:r>
              <w:rPr>
                <w:sz w:val="21"/>
                <w:szCs w:val="21"/>
              </w:rPr>
              <w:t>整个调查区域内以鸟类为优势种，其中以雀形目种类及数量最多。在项目评价范围内没有国家重点保护野生动物；省级重点保护动物有</w:t>
            </w:r>
            <w:r>
              <w:rPr>
                <w:rFonts w:hint="eastAsia"/>
                <w:sz w:val="21"/>
                <w:szCs w:val="21"/>
              </w:rPr>
              <w:t>4</w:t>
            </w:r>
            <w:r>
              <w:rPr>
                <w:sz w:val="21"/>
                <w:szCs w:val="21"/>
              </w:rPr>
              <w:t>种，包括</w:t>
            </w:r>
            <w:r>
              <w:rPr>
                <w:rFonts w:hint="eastAsia"/>
                <w:sz w:val="21"/>
                <w:szCs w:val="21"/>
              </w:rPr>
              <w:t>黄鼬</w:t>
            </w:r>
            <w:r>
              <w:rPr>
                <w:sz w:val="21"/>
                <w:szCs w:val="21"/>
              </w:rPr>
              <w:t>、</w:t>
            </w:r>
            <w:r>
              <w:rPr>
                <w:rFonts w:hint="eastAsia"/>
                <w:sz w:val="21"/>
                <w:szCs w:val="21"/>
              </w:rPr>
              <w:t>鼬獾</w:t>
            </w:r>
            <w:r>
              <w:rPr>
                <w:sz w:val="21"/>
                <w:szCs w:val="21"/>
              </w:rPr>
              <w:t>、</w:t>
            </w:r>
            <w:r>
              <w:rPr>
                <w:rFonts w:hint="eastAsia"/>
                <w:sz w:val="21"/>
                <w:szCs w:val="21"/>
              </w:rPr>
              <w:t>豹猫</w:t>
            </w:r>
            <w:r>
              <w:rPr>
                <w:sz w:val="21"/>
                <w:szCs w:val="21"/>
              </w:rPr>
              <w:t>、</w:t>
            </w:r>
            <w:r>
              <w:rPr>
                <w:rFonts w:hint="eastAsia"/>
                <w:sz w:val="21"/>
                <w:szCs w:val="21"/>
              </w:rPr>
              <w:t>赤狐</w:t>
            </w:r>
            <w:r>
              <w:rPr>
                <w:sz w:val="21"/>
                <w:szCs w:val="21"/>
              </w:rPr>
              <w:t>等。项目区生态影响评价范围内没有以上保护动物集中分布地或时段聚集场所。</w:t>
            </w:r>
          </w:p>
        </w:tc>
        <w:tc>
          <w:tcPr>
            <w:tcW w:w="618" w:type="pct"/>
            <w:vMerge w:val="restar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见生态现状调查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Merge w:val="continue"/>
            <w:vAlign w:val="center"/>
          </w:tcPr>
          <w:p>
            <w:pPr>
              <w:spacing w:line="340" w:lineRule="exact"/>
              <w:ind w:firstLine="0" w:firstLineChars="0"/>
              <w:jc w:val="center"/>
              <w:rPr>
                <w:rFonts w:ascii="宋体" w:hAnsi="宋体" w:cs="宋体"/>
                <w:sz w:val="21"/>
                <w:szCs w:val="21"/>
              </w:rPr>
            </w:pPr>
          </w:p>
        </w:tc>
        <w:tc>
          <w:tcPr>
            <w:tcW w:w="634" w:type="pct"/>
            <w:vAlign w:val="center"/>
          </w:tcPr>
          <w:p>
            <w:pPr>
              <w:spacing w:line="340" w:lineRule="exact"/>
              <w:ind w:firstLine="0" w:firstLineChars="0"/>
              <w:jc w:val="center"/>
              <w:rPr>
                <w:sz w:val="21"/>
                <w:szCs w:val="21"/>
              </w:rPr>
            </w:pPr>
            <w:r>
              <w:rPr>
                <w:sz w:val="21"/>
                <w:szCs w:val="21"/>
              </w:rPr>
              <w:t>水生生物</w:t>
            </w:r>
          </w:p>
        </w:tc>
        <w:tc>
          <w:tcPr>
            <w:tcW w:w="3333" w:type="pct"/>
            <w:gridSpan w:val="2"/>
            <w:vAlign w:val="center"/>
          </w:tcPr>
          <w:p>
            <w:pPr>
              <w:spacing w:line="340" w:lineRule="exact"/>
              <w:ind w:firstLine="0" w:firstLineChars="0"/>
              <w:jc w:val="left"/>
              <w:rPr>
                <w:sz w:val="21"/>
                <w:szCs w:val="21"/>
              </w:rPr>
            </w:pPr>
            <w:r>
              <w:rPr>
                <w:sz w:val="21"/>
                <w:szCs w:val="21"/>
              </w:rPr>
              <w:t>浮游藻类计10种，以绿藻为主，其次是硅藻，优势种是</w:t>
            </w:r>
            <w:r>
              <w:rPr>
                <w:rFonts w:hint="eastAsia"/>
                <w:sz w:val="21"/>
                <w:szCs w:val="21"/>
              </w:rPr>
              <w:t>刚毛藻、羽纹藻及丝藻</w:t>
            </w:r>
            <w:r>
              <w:rPr>
                <w:sz w:val="21"/>
                <w:szCs w:val="21"/>
              </w:rPr>
              <w:t>；浮游动物13种，常见的原生动物有沙壳虫、表壳虫等；常见的轮虫有晶囊轮虫等；桡足类主要有剑水蚤；枝角类有盘肠溞；底栖动物9种，</w:t>
            </w:r>
            <w:r>
              <w:rPr>
                <w:rFonts w:hint="eastAsia"/>
                <w:sz w:val="21"/>
                <w:szCs w:val="21"/>
              </w:rPr>
              <w:t>以软体动物扁蝣为优势种类，</w:t>
            </w:r>
            <w:r>
              <w:rPr>
                <w:sz w:val="21"/>
                <w:szCs w:val="21"/>
              </w:rPr>
              <w:t>常见的有中国圆田螺、方形环棱螺、湖沼股蛤、三角帆蚌、圆顶珠蚌和摇蚊幼虫、水蚯蚓等。</w:t>
            </w:r>
          </w:p>
        </w:tc>
        <w:tc>
          <w:tcPr>
            <w:tcW w:w="618" w:type="pct"/>
            <w:vMerge w:val="continue"/>
            <w:vAlign w:val="center"/>
          </w:tcPr>
          <w:p>
            <w:pPr>
              <w:spacing w:line="340" w:lineRule="exact"/>
              <w:ind w:firstLine="0" w:firstLineChars="0"/>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Merge w:val="continue"/>
            <w:vAlign w:val="center"/>
          </w:tcPr>
          <w:p>
            <w:pPr>
              <w:spacing w:line="340" w:lineRule="exact"/>
              <w:ind w:firstLine="0" w:firstLineChars="0"/>
              <w:jc w:val="center"/>
              <w:rPr>
                <w:rFonts w:ascii="宋体" w:hAnsi="宋体" w:cs="宋体"/>
                <w:sz w:val="21"/>
                <w:szCs w:val="21"/>
              </w:rPr>
            </w:pPr>
          </w:p>
        </w:tc>
        <w:tc>
          <w:tcPr>
            <w:tcW w:w="634" w:type="pct"/>
            <w:vAlign w:val="center"/>
          </w:tcPr>
          <w:p>
            <w:pPr>
              <w:spacing w:line="340" w:lineRule="exact"/>
              <w:ind w:firstLine="0" w:firstLineChars="0"/>
              <w:jc w:val="center"/>
              <w:rPr>
                <w:sz w:val="21"/>
                <w:szCs w:val="21"/>
              </w:rPr>
            </w:pPr>
            <w:r>
              <w:rPr>
                <w:sz w:val="21"/>
                <w:szCs w:val="21"/>
              </w:rPr>
              <w:t>鱼类</w:t>
            </w:r>
          </w:p>
        </w:tc>
        <w:tc>
          <w:tcPr>
            <w:tcW w:w="3333" w:type="pct"/>
            <w:gridSpan w:val="2"/>
            <w:vAlign w:val="center"/>
          </w:tcPr>
          <w:p>
            <w:pPr>
              <w:spacing w:line="340" w:lineRule="exact"/>
              <w:ind w:firstLine="0" w:firstLineChars="0"/>
              <w:jc w:val="left"/>
              <w:rPr>
                <w:sz w:val="21"/>
                <w:szCs w:val="21"/>
              </w:rPr>
            </w:pPr>
            <w:r>
              <w:rPr>
                <w:rFonts w:hint="eastAsia"/>
                <w:sz w:val="21"/>
                <w:szCs w:val="21"/>
              </w:rPr>
              <w:t>锦河</w:t>
            </w:r>
            <w:r>
              <w:rPr>
                <w:sz w:val="21"/>
                <w:szCs w:val="21"/>
              </w:rPr>
              <w:t>常见鱼类种群为主，</w:t>
            </w:r>
            <w:r>
              <w:rPr>
                <w:spacing w:val="-2"/>
                <w:sz w:val="21"/>
                <w:szCs w:val="21"/>
              </w:rPr>
              <w:t>如草鱼、青鱼、鲤</w:t>
            </w:r>
            <w:r>
              <w:rPr>
                <w:rFonts w:hint="eastAsia"/>
                <w:spacing w:val="-2"/>
                <w:sz w:val="21"/>
                <w:szCs w:val="21"/>
              </w:rPr>
              <w:t>鱼</w:t>
            </w:r>
            <w:r>
              <w:rPr>
                <w:spacing w:val="-2"/>
                <w:sz w:val="21"/>
                <w:szCs w:val="21"/>
              </w:rPr>
              <w:t>、鲫</w:t>
            </w:r>
            <w:r>
              <w:rPr>
                <w:rFonts w:hint="eastAsia"/>
                <w:spacing w:val="-2"/>
                <w:sz w:val="21"/>
                <w:szCs w:val="21"/>
              </w:rPr>
              <w:t>鱼</w:t>
            </w:r>
            <w:r>
              <w:rPr>
                <w:spacing w:val="-2"/>
                <w:sz w:val="21"/>
                <w:szCs w:val="21"/>
              </w:rPr>
              <w:t>、鲢</w:t>
            </w:r>
            <w:r>
              <w:rPr>
                <w:rFonts w:hint="eastAsia"/>
                <w:spacing w:val="-2"/>
                <w:sz w:val="21"/>
                <w:szCs w:val="21"/>
              </w:rPr>
              <w:t>鱼</w:t>
            </w:r>
            <w:r>
              <w:rPr>
                <w:spacing w:val="-2"/>
                <w:sz w:val="21"/>
                <w:szCs w:val="21"/>
              </w:rPr>
              <w:t>、</w:t>
            </w:r>
            <w:r>
              <w:rPr>
                <w:rFonts w:hint="eastAsia"/>
                <w:spacing w:val="-2"/>
                <w:sz w:val="21"/>
                <w:szCs w:val="21"/>
              </w:rPr>
              <w:t>鳊鱼</w:t>
            </w:r>
            <w:r>
              <w:rPr>
                <w:spacing w:val="-2"/>
                <w:sz w:val="21"/>
                <w:szCs w:val="21"/>
              </w:rPr>
              <w:t>、黄鳝、泥鳅等，</w:t>
            </w:r>
            <w:r>
              <w:rPr>
                <w:sz w:val="21"/>
                <w:szCs w:val="21"/>
              </w:rPr>
              <w:t>以鲤科常见鱼类为主。</w:t>
            </w:r>
          </w:p>
        </w:tc>
        <w:tc>
          <w:tcPr>
            <w:tcW w:w="618" w:type="pct"/>
            <w:vAlign w:val="center"/>
          </w:tcPr>
          <w:p>
            <w:pPr>
              <w:spacing w:line="340" w:lineRule="exact"/>
              <w:ind w:firstLine="0" w:firstLineChars="0"/>
              <w:jc w:val="center"/>
              <w:rPr>
                <w:rFonts w:ascii="宋体" w:hAnsi="宋体" w:cs="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00" w:hRule="atLeast"/>
        </w:trPr>
        <w:tc>
          <w:tcPr>
            <w:tcW w:w="414" w:type="pct"/>
            <w:vMerge w:val="continue"/>
            <w:vAlign w:val="center"/>
          </w:tcPr>
          <w:p>
            <w:pPr>
              <w:spacing w:line="340" w:lineRule="exact"/>
              <w:ind w:firstLine="0" w:firstLineChars="0"/>
              <w:jc w:val="center"/>
              <w:rPr>
                <w:rFonts w:ascii="宋体" w:hAnsi="宋体" w:cs="宋体"/>
                <w:sz w:val="21"/>
                <w:szCs w:val="21"/>
              </w:rPr>
            </w:pPr>
          </w:p>
        </w:tc>
        <w:tc>
          <w:tcPr>
            <w:tcW w:w="634"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自然保护区</w:t>
            </w:r>
          </w:p>
        </w:tc>
        <w:tc>
          <w:tcPr>
            <w:tcW w:w="1508" w:type="pct"/>
            <w:vAlign w:val="center"/>
          </w:tcPr>
          <w:p>
            <w:pPr>
              <w:spacing w:line="340" w:lineRule="exact"/>
              <w:ind w:firstLine="0" w:firstLineChars="0"/>
              <w:jc w:val="center"/>
              <w:rPr>
                <w:rFonts w:ascii="宋体" w:hAnsi="宋体" w:cs="宋体"/>
                <w:spacing w:val="-20"/>
                <w:sz w:val="21"/>
                <w:szCs w:val="21"/>
              </w:rPr>
            </w:pPr>
            <w:r>
              <w:rPr>
                <w:rFonts w:hint="eastAsia" w:ascii="宋体" w:hAnsi="宋体" w:cs="宋体"/>
                <w:spacing w:val="-20"/>
                <w:sz w:val="21"/>
                <w:szCs w:val="21"/>
              </w:rPr>
              <w:t>南港水源林</w:t>
            </w:r>
          </w:p>
        </w:tc>
        <w:tc>
          <w:tcPr>
            <w:tcW w:w="1824"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与本项目直线距离为约22公里</w:t>
            </w:r>
          </w:p>
        </w:tc>
        <w:tc>
          <w:tcPr>
            <w:tcW w:w="618"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见附图十六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14" w:type="pct"/>
            <w:vMerge w:val="continue"/>
            <w:vAlign w:val="center"/>
          </w:tcPr>
          <w:p>
            <w:pPr>
              <w:spacing w:line="340" w:lineRule="exact"/>
              <w:ind w:firstLine="0" w:firstLineChars="0"/>
              <w:jc w:val="center"/>
              <w:rPr>
                <w:rFonts w:ascii="宋体" w:hAnsi="宋体" w:cs="宋体"/>
                <w:sz w:val="21"/>
                <w:szCs w:val="21"/>
              </w:rPr>
            </w:pPr>
          </w:p>
        </w:tc>
        <w:tc>
          <w:tcPr>
            <w:tcW w:w="634"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湿地公园</w:t>
            </w:r>
          </w:p>
        </w:tc>
        <w:tc>
          <w:tcPr>
            <w:tcW w:w="1508" w:type="pct"/>
            <w:vAlign w:val="center"/>
          </w:tcPr>
          <w:p>
            <w:pPr>
              <w:spacing w:line="340" w:lineRule="exact"/>
              <w:ind w:firstLine="0" w:firstLineChars="0"/>
              <w:jc w:val="center"/>
              <w:rPr>
                <w:rFonts w:hAnsi="宋体"/>
                <w:sz w:val="21"/>
                <w:szCs w:val="21"/>
              </w:rPr>
            </w:pPr>
            <w:r>
              <w:rPr>
                <w:rFonts w:hAnsi="宋体"/>
                <w:sz w:val="21"/>
                <w:szCs w:val="21"/>
              </w:rPr>
              <w:t>江西</w:t>
            </w:r>
            <w:r>
              <w:rPr>
                <w:rFonts w:hint="eastAsia" w:hAnsi="宋体"/>
                <w:sz w:val="21"/>
                <w:szCs w:val="21"/>
              </w:rPr>
              <w:t>上高锦河</w:t>
            </w:r>
            <w:r>
              <w:rPr>
                <w:rFonts w:hAnsi="宋体"/>
                <w:sz w:val="21"/>
                <w:szCs w:val="21"/>
              </w:rPr>
              <w:t>省级湿地公园</w:t>
            </w:r>
          </w:p>
        </w:tc>
        <w:tc>
          <w:tcPr>
            <w:tcW w:w="1824" w:type="pct"/>
            <w:vAlign w:val="center"/>
          </w:tcPr>
          <w:p>
            <w:pPr>
              <w:spacing w:line="340" w:lineRule="exact"/>
              <w:ind w:firstLine="0" w:firstLineChars="0"/>
              <w:jc w:val="center"/>
              <w:rPr>
                <w:rFonts w:hAnsi="宋体"/>
                <w:sz w:val="21"/>
                <w:szCs w:val="21"/>
              </w:rPr>
            </w:pPr>
            <w:r>
              <w:rPr>
                <w:rFonts w:hint="eastAsia" w:hAnsi="宋体"/>
                <w:sz w:val="21"/>
                <w:szCs w:val="21"/>
              </w:rPr>
              <w:t>位于在湿地公园科普宣教区下游1.8km</w:t>
            </w:r>
          </w:p>
        </w:tc>
        <w:tc>
          <w:tcPr>
            <w:tcW w:w="618" w:type="pct"/>
            <w:vAlign w:val="center"/>
          </w:tcPr>
          <w:p>
            <w:pPr>
              <w:spacing w:line="340" w:lineRule="exact"/>
              <w:ind w:firstLine="0" w:firstLineChars="0"/>
              <w:jc w:val="center"/>
              <w:rPr>
                <w:rFonts w:ascii="宋体" w:hAnsi="宋体" w:cs="宋体"/>
                <w:sz w:val="21"/>
                <w:szCs w:val="21"/>
              </w:rPr>
            </w:pPr>
            <w:r>
              <w:rPr>
                <w:rFonts w:hint="eastAsia" w:ascii="宋体" w:hAnsi="宋体" w:cs="宋体"/>
                <w:sz w:val="21"/>
                <w:szCs w:val="21"/>
              </w:rPr>
              <w:t>见附图十一</w:t>
            </w:r>
          </w:p>
        </w:tc>
      </w:tr>
    </w:tbl>
    <w:p>
      <w:pPr>
        <w:autoSpaceDE w:val="0"/>
        <w:autoSpaceDN w:val="0"/>
        <w:adjustRightInd w:val="0"/>
        <w:spacing w:before="120" w:beforeLines="50"/>
        <w:ind w:firstLine="480"/>
        <w:rPr>
          <w:kern w:val="0"/>
          <w:szCs w:val="24"/>
        </w:rPr>
      </w:pPr>
      <w:r>
        <w:rPr>
          <w:kern w:val="0"/>
          <w:szCs w:val="24"/>
        </w:rPr>
        <w:t>评价范围内陆生脊椎动物中，</w:t>
      </w:r>
      <w:r>
        <w:rPr>
          <w:szCs w:val="24"/>
        </w:rPr>
        <w:t>省级重点保护的共8种，其中两栖类2种、爬行类1种、鸟类5种，详见表1.</w:t>
      </w:r>
      <w:r>
        <w:rPr>
          <w:rFonts w:hint="eastAsia"/>
          <w:szCs w:val="24"/>
        </w:rPr>
        <w:t>9</w:t>
      </w:r>
      <w:r>
        <w:rPr>
          <w:szCs w:val="24"/>
        </w:rPr>
        <w:t>-2。</w:t>
      </w:r>
    </w:p>
    <w:p>
      <w:pPr>
        <w:tabs>
          <w:tab w:val="left" w:pos="1380"/>
          <w:tab w:val="center" w:pos="4677"/>
        </w:tabs>
        <w:spacing w:before="120" w:beforeLines="50" w:line="240" w:lineRule="auto"/>
        <w:ind w:firstLine="0" w:firstLineChars="0"/>
        <w:jc w:val="center"/>
        <w:rPr>
          <w:rFonts w:ascii="黑体" w:hAnsi="黑体" w:eastAsia="黑体" w:cs="黑体"/>
          <w:kern w:val="0"/>
          <w:szCs w:val="24"/>
        </w:rPr>
      </w:pPr>
      <w:r>
        <w:rPr>
          <w:rFonts w:hint="eastAsia" w:ascii="黑体" w:hAnsi="黑体" w:eastAsia="黑体" w:cs="黑体"/>
          <w:kern w:val="0"/>
          <w:szCs w:val="24"/>
        </w:rPr>
        <w:t>表</w:t>
      </w:r>
      <w:r>
        <w:rPr>
          <w:rFonts w:hint="eastAsia" w:ascii="黑体" w:hAnsi="黑体" w:eastAsia="黑体" w:cs="黑体"/>
          <w:bCs/>
          <w:kern w:val="0"/>
          <w:szCs w:val="24"/>
        </w:rPr>
        <w:t xml:space="preserve">1.9-2  </w:t>
      </w:r>
      <w:r>
        <w:rPr>
          <w:rFonts w:hint="eastAsia" w:ascii="黑体" w:hAnsi="黑体" w:eastAsia="黑体" w:cs="黑体"/>
          <w:kern w:val="0"/>
          <w:szCs w:val="24"/>
        </w:rPr>
        <w:t>评价范围内国家和省重点保护陆生野生动物</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693"/>
        <w:gridCol w:w="2087"/>
        <w:gridCol w:w="678"/>
        <w:gridCol w:w="3746"/>
        <w:gridCol w:w="9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693" w:type="dxa"/>
            <w:vAlign w:val="center"/>
          </w:tcPr>
          <w:p>
            <w:pPr>
              <w:spacing w:line="340" w:lineRule="exact"/>
              <w:ind w:firstLine="0" w:firstLineChars="0"/>
              <w:jc w:val="center"/>
              <w:rPr>
                <w:spacing w:val="-2"/>
                <w:sz w:val="21"/>
                <w:szCs w:val="21"/>
              </w:rPr>
            </w:pPr>
            <w:r>
              <w:rPr>
                <w:spacing w:val="-2"/>
                <w:sz w:val="21"/>
                <w:szCs w:val="21"/>
              </w:rPr>
              <w:t>种名</w:t>
            </w:r>
          </w:p>
        </w:tc>
        <w:tc>
          <w:tcPr>
            <w:tcW w:w="2087" w:type="dxa"/>
            <w:vAlign w:val="center"/>
          </w:tcPr>
          <w:p>
            <w:pPr>
              <w:spacing w:line="340" w:lineRule="exact"/>
              <w:ind w:firstLine="0" w:firstLineChars="0"/>
              <w:jc w:val="center"/>
              <w:rPr>
                <w:spacing w:val="-2"/>
                <w:sz w:val="21"/>
                <w:szCs w:val="21"/>
              </w:rPr>
            </w:pPr>
            <w:r>
              <w:rPr>
                <w:spacing w:val="-2"/>
                <w:sz w:val="21"/>
                <w:szCs w:val="21"/>
              </w:rPr>
              <w:t>拉丁名</w:t>
            </w:r>
          </w:p>
        </w:tc>
        <w:tc>
          <w:tcPr>
            <w:tcW w:w="678" w:type="dxa"/>
            <w:vAlign w:val="center"/>
          </w:tcPr>
          <w:p>
            <w:pPr>
              <w:spacing w:line="340" w:lineRule="exact"/>
              <w:ind w:firstLine="0" w:firstLineChars="0"/>
              <w:jc w:val="center"/>
              <w:rPr>
                <w:spacing w:val="-2"/>
                <w:sz w:val="21"/>
                <w:szCs w:val="21"/>
              </w:rPr>
            </w:pPr>
            <w:r>
              <w:rPr>
                <w:spacing w:val="-2"/>
                <w:sz w:val="21"/>
                <w:szCs w:val="21"/>
              </w:rPr>
              <w:t>数量</w:t>
            </w:r>
          </w:p>
        </w:tc>
        <w:tc>
          <w:tcPr>
            <w:tcW w:w="3746" w:type="dxa"/>
            <w:vAlign w:val="center"/>
          </w:tcPr>
          <w:p>
            <w:pPr>
              <w:spacing w:line="340" w:lineRule="exact"/>
              <w:ind w:firstLine="0" w:firstLineChars="0"/>
              <w:jc w:val="center"/>
              <w:rPr>
                <w:spacing w:val="-2"/>
                <w:sz w:val="21"/>
                <w:szCs w:val="21"/>
              </w:rPr>
            </w:pPr>
            <w:r>
              <w:rPr>
                <w:spacing w:val="-2"/>
                <w:sz w:val="21"/>
                <w:szCs w:val="21"/>
              </w:rPr>
              <w:t>生境</w:t>
            </w:r>
          </w:p>
        </w:tc>
        <w:tc>
          <w:tcPr>
            <w:tcW w:w="981" w:type="dxa"/>
            <w:vAlign w:val="center"/>
          </w:tcPr>
          <w:p>
            <w:pPr>
              <w:spacing w:line="340" w:lineRule="exact"/>
              <w:ind w:firstLine="0" w:firstLineChars="0"/>
              <w:jc w:val="center"/>
              <w:rPr>
                <w:spacing w:val="-2"/>
                <w:sz w:val="21"/>
                <w:szCs w:val="21"/>
              </w:rPr>
            </w:pPr>
            <w:r>
              <w:rPr>
                <w:spacing w:val="-2"/>
                <w:sz w:val="21"/>
                <w:szCs w:val="21"/>
              </w:rPr>
              <w:t>保护等级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adjustRightInd w:val="0"/>
              <w:snapToGrid w:val="0"/>
              <w:spacing w:line="340" w:lineRule="exact"/>
              <w:ind w:firstLine="0" w:firstLineChars="0"/>
              <w:jc w:val="center"/>
              <w:rPr>
                <w:sz w:val="21"/>
                <w:szCs w:val="21"/>
              </w:rPr>
            </w:pPr>
            <w:r>
              <w:rPr>
                <w:sz w:val="21"/>
                <w:szCs w:val="21"/>
              </w:rPr>
              <w:t>1、中华蟾蜍</w:t>
            </w:r>
          </w:p>
        </w:tc>
        <w:tc>
          <w:tcPr>
            <w:tcW w:w="2087" w:type="dxa"/>
            <w:vAlign w:val="center"/>
          </w:tcPr>
          <w:p>
            <w:pPr>
              <w:adjustRightInd w:val="0"/>
              <w:snapToGrid w:val="0"/>
              <w:spacing w:line="340" w:lineRule="exact"/>
              <w:ind w:firstLine="0" w:firstLineChars="0"/>
              <w:jc w:val="center"/>
              <w:rPr>
                <w:sz w:val="21"/>
                <w:szCs w:val="21"/>
              </w:rPr>
            </w:pPr>
            <w:r>
              <w:rPr>
                <w:sz w:val="21"/>
                <w:szCs w:val="21"/>
              </w:rPr>
              <w:t>Bufogargarizans</w:t>
            </w:r>
          </w:p>
        </w:tc>
        <w:tc>
          <w:tcPr>
            <w:tcW w:w="678" w:type="dxa"/>
            <w:vAlign w:val="center"/>
          </w:tcPr>
          <w:p>
            <w:pPr>
              <w:adjustRightInd w:val="0"/>
              <w:snapToGrid w:val="0"/>
              <w:spacing w:line="340" w:lineRule="exact"/>
              <w:ind w:firstLine="0" w:firstLineChars="0"/>
              <w:jc w:val="center"/>
              <w:rPr>
                <w:sz w:val="21"/>
                <w:szCs w:val="21"/>
              </w:rPr>
            </w:pPr>
            <w:r>
              <w:rPr>
                <w:sz w:val="21"/>
                <w:szCs w:val="21"/>
              </w:rPr>
              <w:t>+++</w:t>
            </w:r>
          </w:p>
        </w:tc>
        <w:tc>
          <w:tcPr>
            <w:tcW w:w="3746" w:type="dxa"/>
            <w:vAlign w:val="center"/>
          </w:tcPr>
          <w:p>
            <w:pPr>
              <w:adjustRightInd w:val="0"/>
              <w:snapToGrid w:val="0"/>
              <w:spacing w:line="340" w:lineRule="exact"/>
              <w:ind w:firstLine="0" w:firstLineChars="0"/>
              <w:jc w:val="left"/>
              <w:rPr>
                <w:sz w:val="21"/>
                <w:szCs w:val="21"/>
              </w:rPr>
            </w:pPr>
            <w:r>
              <w:rPr>
                <w:spacing w:val="-2"/>
                <w:sz w:val="21"/>
                <w:szCs w:val="21"/>
              </w:rPr>
              <w:t>池塘、水沟或小河内，或附近的草丛中。</w:t>
            </w:r>
          </w:p>
        </w:tc>
        <w:tc>
          <w:tcPr>
            <w:tcW w:w="981" w:type="dxa"/>
            <w:vAlign w:val="center"/>
          </w:tcPr>
          <w:p>
            <w:pPr>
              <w:adjustRightInd w:val="0"/>
              <w:snapToGrid w:val="0"/>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adjustRightInd w:val="0"/>
              <w:snapToGrid w:val="0"/>
              <w:spacing w:line="340" w:lineRule="exact"/>
              <w:ind w:firstLine="0" w:firstLineChars="0"/>
              <w:jc w:val="center"/>
              <w:rPr>
                <w:sz w:val="21"/>
                <w:szCs w:val="21"/>
              </w:rPr>
            </w:pPr>
            <w:r>
              <w:rPr>
                <w:sz w:val="21"/>
                <w:szCs w:val="21"/>
              </w:rPr>
              <w:t>2、黑斑(侧褶)蛙</w:t>
            </w:r>
          </w:p>
        </w:tc>
        <w:tc>
          <w:tcPr>
            <w:tcW w:w="2087" w:type="dxa"/>
            <w:vAlign w:val="center"/>
          </w:tcPr>
          <w:p>
            <w:pPr>
              <w:adjustRightInd w:val="0"/>
              <w:snapToGrid w:val="0"/>
              <w:spacing w:line="340" w:lineRule="exact"/>
              <w:ind w:firstLine="0" w:firstLineChars="0"/>
              <w:jc w:val="center"/>
              <w:rPr>
                <w:sz w:val="21"/>
                <w:szCs w:val="21"/>
              </w:rPr>
            </w:pPr>
            <w:r>
              <w:rPr>
                <w:sz w:val="21"/>
                <w:szCs w:val="21"/>
              </w:rPr>
              <w:t>Rananigromaculata</w:t>
            </w:r>
          </w:p>
        </w:tc>
        <w:tc>
          <w:tcPr>
            <w:tcW w:w="678" w:type="dxa"/>
            <w:vAlign w:val="center"/>
          </w:tcPr>
          <w:p>
            <w:pPr>
              <w:adjustRightInd w:val="0"/>
              <w:snapToGrid w:val="0"/>
              <w:spacing w:line="340" w:lineRule="exact"/>
              <w:ind w:firstLine="0" w:firstLineChars="0"/>
              <w:jc w:val="center"/>
              <w:rPr>
                <w:sz w:val="21"/>
                <w:szCs w:val="21"/>
              </w:rPr>
            </w:pPr>
            <w:r>
              <w:rPr>
                <w:sz w:val="21"/>
                <w:szCs w:val="21"/>
              </w:rPr>
              <w:t>+++</w:t>
            </w:r>
          </w:p>
        </w:tc>
        <w:tc>
          <w:tcPr>
            <w:tcW w:w="3746" w:type="dxa"/>
            <w:vAlign w:val="center"/>
          </w:tcPr>
          <w:p>
            <w:pPr>
              <w:adjustRightInd w:val="0"/>
              <w:snapToGrid w:val="0"/>
              <w:spacing w:line="340" w:lineRule="exact"/>
              <w:ind w:firstLine="0" w:firstLineChars="0"/>
              <w:jc w:val="left"/>
              <w:rPr>
                <w:sz w:val="21"/>
                <w:szCs w:val="21"/>
              </w:rPr>
            </w:pPr>
            <w:r>
              <w:rPr>
                <w:sz w:val="21"/>
                <w:szCs w:val="21"/>
              </w:rPr>
              <w:t>常栖息于池塘、水沟或小河内，或附近的草丛中。3～6月产卵。</w:t>
            </w:r>
          </w:p>
        </w:tc>
        <w:tc>
          <w:tcPr>
            <w:tcW w:w="981" w:type="dxa"/>
            <w:vAlign w:val="center"/>
          </w:tcPr>
          <w:p>
            <w:pPr>
              <w:adjustRightInd w:val="0"/>
              <w:snapToGrid w:val="0"/>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adjustRightInd w:val="0"/>
              <w:snapToGrid w:val="0"/>
              <w:spacing w:line="340" w:lineRule="exact"/>
              <w:ind w:firstLine="0" w:firstLineChars="0"/>
              <w:jc w:val="center"/>
              <w:rPr>
                <w:sz w:val="21"/>
                <w:szCs w:val="21"/>
              </w:rPr>
            </w:pPr>
            <w:r>
              <w:rPr>
                <w:sz w:val="21"/>
                <w:szCs w:val="21"/>
              </w:rPr>
              <w:t>3、鳖</w:t>
            </w:r>
          </w:p>
        </w:tc>
        <w:tc>
          <w:tcPr>
            <w:tcW w:w="2087" w:type="dxa"/>
            <w:vAlign w:val="center"/>
          </w:tcPr>
          <w:p>
            <w:pPr>
              <w:adjustRightInd w:val="0"/>
              <w:snapToGrid w:val="0"/>
              <w:spacing w:line="340" w:lineRule="exact"/>
              <w:ind w:firstLine="0" w:firstLineChars="0"/>
              <w:jc w:val="center"/>
              <w:rPr>
                <w:sz w:val="21"/>
                <w:szCs w:val="21"/>
              </w:rPr>
            </w:pPr>
            <w:r>
              <w:rPr>
                <w:sz w:val="21"/>
                <w:szCs w:val="21"/>
              </w:rPr>
              <w:t>Trionyxsinensis</w:t>
            </w:r>
          </w:p>
        </w:tc>
        <w:tc>
          <w:tcPr>
            <w:tcW w:w="678" w:type="dxa"/>
            <w:vAlign w:val="center"/>
          </w:tcPr>
          <w:p>
            <w:pPr>
              <w:adjustRightInd w:val="0"/>
              <w:snapToGrid w:val="0"/>
              <w:spacing w:line="340" w:lineRule="exact"/>
              <w:ind w:firstLine="0" w:firstLineChars="0"/>
              <w:jc w:val="center"/>
              <w:rPr>
                <w:sz w:val="21"/>
                <w:szCs w:val="21"/>
              </w:rPr>
            </w:pPr>
            <w:r>
              <w:rPr>
                <w:sz w:val="21"/>
                <w:szCs w:val="21"/>
              </w:rPr>
              <w:t>+</w:t>
            </w:r>
          </w:p>
        </w:tc>
        <w:tc>
          <w:tcPr>
            <w:tcW w:w="3746" w:type="dxa"/>
            <w:vAlign w:val="center"/>
          </w:tcPr>
          <w:p>
            <w:pPr>
              <w:adjustRightInd w:val="0"/>
              <w:snapToGrid w:val="0"/>
              <w:spacing w:line="340" w:lineRule="exact"/>
              <w:ind w:firstLine="0" w:firstLineChars="0"/>
              <w:jc w:val="left"/>
              <w:rPr>
                <w:sz w:val="21"/>
                <w:szCs w:val="21"/>
              </w:rPr>
            </w:pPr>
            <w:r>
              <w:rPr>
                <w:sz w:val="21"/>
                <w:szCs w:val="21"/>
              </w:rPr>
              <w:t>生活在江河、湖沼、池塘、水库等。</w:t>
            </w:r>
          </w:p>
        </w:tc>
        <w:tc>
          <w:tcPr>
            <w:tcW w:w="981" w:type="dxa"/>
            <w:vAlign w:val="center"/>
          </w:tcPr>
          <w:p>
            <w:pPr>
              <w:adjustRightInd w:val="0"/>
              <w:snapToGrid w:val="0"/>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spacing w:line="340" w:lineRule="exact"/>
              <w:ind w:firstLine="0" w:firstLineChars="0"/>
              <w:jc w:val="center"/>
              <w:rPr>
                <w:i/>
                <w:spacing w:val="-2"/>
                <w:sz w:val="21"/>
                <w:szCs w:val="21"/>
              </w:rPr>
            </w:pPr>
            <w:r>
              <w:rPr>
                <w:spacing w:val="-2"/>
                <w:sz w:val="21"/>
                <w:szCs w:val="21"/>
              </w:rPr>
              <w:t>4、白鹭</w:t>
            </w:r>
          </w:p>
        </w:tc>
        <w:tc>
          <w:tcPr>
            <w:tcW w:w="2087" w:type="dxa"/>
            <w:vAlign w:val="center"/>
          </w:tcPr>
          <w:p>
            <w:pPr>
              <w:spacing w:line="340" w:lineRule="exact"/>
              <w:ind w:firstLine="0" w:firstLineChars="0"/>
              <w:jc w:val="center"/>
              <w:rPr>
                <w:i/>
                <w:spacing w:val="-2"/>
                <w:sz w:val="21"/>
                <w:szCs w:val="21"/>
              </w:rPr>
            </w:pPr>
            <w:r>
              <w:rPr>
                <w:i/>
                <w:spacing w:val="-2"/>
                <w:sz w:val="21"/>
                <w:szCs w:val="21"/>
              </w:rPr>
              <w:t>Egrettagarzetta</w:t>
            </w:r>
          </w:p>
        </w:tc>
        <w:tc>
          <w:tcPr>
            <w:tcW w:w="678" w:type="dxa"/>
            <w:vAlign w:val="center"/>
          </w:tcPr>
          <w:p>
            <w:pPr>
              <w:spacing w:line="340" w:lineRule="exact"/>
              <w:ind w:firstLine="0" w:firstLineChars="0"/>
              <w:jc w:val="center"/>
              <w:rPr>
                <w:b/>
                <w:spacing w:val="-2"/>
                <w:w w:val="66"/>
                <w:sz w:val="21"/>
                <w:szCs w:val="21"/>
              </w:rPr>
            </w:pPr>
            <w:r>
              <w:rPr>
                <w:sz w:val="21"/>
                <w:szCs w:val="21"/>
              </w:rPr>
              <w:t>+++</w:t>
            </w:r>
          </w:p>
        </w:tc>
        <w:tc>
          <w:tcPr>
            <w:tcW w:w="3746" w:type="dxa"/>
            <w:vAlign w:val="center"/>
          </w:tcPr>
          <w:p>
            <w:pPr>
              <w:spacing w:line="340" w:lineRule="exact"/>
              <w:ind w:firstLine="0" w:firstLineChars="0"/>
              <w:jc w:val="left"/>
              <w:rPr>
                <w:spacing w:val="-2"/>
                <w:sz w:val="21"/>
                <w:szCs w:val="21"/>
              </w:rPr>
            </w:pPr>
            <w:r>
              <w:rPr>
                <w:spacing w:val="-2"/>
                <w:sz w:val="21"/>
                <w:szCs w:val="21"/>
              </w:rPr>
              <w:t>栖</w:t>
            </w:r>
            <w:r>
              <w:rPr>
                <w:sz w:val="21"/>
                <w:szCs w:val="21"/>
              </w:rPr>
              <w:t>于</w:t>
            </w:r>
            <w:r>
              <w:rPr>
                <w:spacing w:val="-2"/>
                <w:sz w:val="21"/>
                <w:szCs w:val="21"/>
              </w:rPr>
              <w:t>稻田、河岸、泥滩地。常与池鹭、夜鹭混群营巢于杉林树冠层。</w:t>
            </w:r>
          </w:p>
        </w:tc>
        <w:tc>
          <w:tcPr>
            <w:tcW w:w="981" w:type="dxa"/>
            <w:vAlign w:val="center"/>
          </w:tcPr>
          <w:p>
            <w:pPr>
              <w:spacing w:line="340" w:lineRule="exact"/>
              <w:ind w:firstLine="0" w:firstLineChars="0"/>
              <w:jc w:val="center"/>
              <w:rPr>
                <w:spacing w:val="-2"/>
                <w:sz w:val="21"/>
                <w:szCs w:val="21"/>
              </w:rPr>
            </w:pPr>
            <w:r>
              <w:rPr>
                <w:spacing w:val="-2"/>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spacing w:line="340" w:lineRule="exact"/>
              <w:ind w:firstLine="0" w:firstLineChars="0"/>
              <w:jc w:val="center"/>
              <w:rPr>
                <w:sz w:val="21"/>
                <w:szCs w:val="21"/>
              </w:rPr>
            </w:pPr>
            <w:r>
              <w:rPr>
                <w:spacing w:val="-2"/>
                <w:sz w:val="21"/>
                <w:szCs w:val="21"/>
              </w:rPr>
              <w:t>5、灰胸竹鸡</w:t>
            </w:r>
          </w:p>
        </w:tc>
        <w:tc>
          <w:tcPr>
            <w:tcW w:w="2087" w:type="dxa"/>
            <w:vAlign w:val="center"/>
          </w:tcPr>
          <w:p>
            <w:pPr>
              <w:spacing w:line="340" w:lineRule="exact"/>
              <w:ind w:firstLine="0" w:firstLineChars="0"/>
              <w:jc w:val="center"/>
              <w:rPr>
                <w:sz w:val="21"/>
                <w:szCs w:val="21"/>
              </w:rPr>
            </w:pPr>
            <w:r>
              <w:rPr>
                <w:i/>
                <w:spacing w:val="-2"/>
                <w:sz w:val="21"/>
                <w:szCs w:val="21"/>
              </w:rPr>
              <w:t>Bambusicolathoracica</w:t>
            </w:r>
          </w:p>
        </w:tc>
        <w:tc>
          <w:tcPr>
            <w:tcW w:w="678" w:type="dxa"/>
            <w:vAlign w:val="center"/>
          </w:tcPr>
          <w:p>
            <w:pPr>
              <w:spacing w:line="340" w:lineRule="exact"/>
              <w:ind w:firstLine="0" w:firstLineChars="0"/>
              <w:jc w:val="center"/>
              <w:rPr>
                <w:b/>
                <w:spacing w:val="-2"/>
                <w:w w:val="66"/>
                <w:sz w:val="21"/>
                <w:szCs w:val="21"/>
              </w:rPr>
            </w:pPr>
            <w:r>
              <w:rPr>
                <w:sz w:val="21"/>
                <w:szCs w:val="21"/>
              </w:rPr>
              <w:t>++</w:t>
            </w:r>
          </w:p>
        </w:tc>
        <w:tc>
          <w:tcPr>
            <w:tcW w:w="3746" w:type="dxa"/>
            <w:vAlign w:val="center"/>
          </w:tcPr>
          <w:p>
            <w:pPr>
              <w:spacing w:line="340" w:lineRule="exact"/>
              <w:ind w:firstLine="0" w:firstLineChars="0"/>
              <w:jc w:val="left"/>
              <w:rPr>
                <w:spacing w:val="-2"/>
                <w:sz w:val="21"/>
                <w:szCs w:val="21"/>
              </w:rPr>
            </w:pPr>
            <w:r>
              <w:rPr>
                <w:spacing w:val="-2"/>
                <w:sz w:val="21"/>
                <w:szCs w:val="21"/>
              </w:rPr>
              <w:t>活动于矮树丛、竹林灌丛或林缘灌草丛，群栖。</w:t>
            </w:r>
          </w:p>
        </w:tc>
        <w:tc>
          <w:tcPr>
            <w:tcW w:w="981" w:type="dxa"/>
            <w:vAlign w:val="center"/>
          </w:tcPr>
          <w:p>
            <w:pPr>
              <w:spacing w:line="340" w:lineRule="exact"/>
              <w:ind w:firstLine="0" w:firstLineChars="0"/>
              <w:jc w:val="center"/>
              <w:rPr>
                <w:spacing w:val="-2"/>
                <w:sz w:val="21"/>
                <w:szCs w:val="21"/>
              </w:rPr>
            </w:pPr>
            <w:r>
              <w:rPr>
                <w:spacing w:val="-2"/>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spacing w:line="340" w:lineRule="exact"/>
              <w:ind w:firstLine="0" w:firstLineChars="0"/>
              <w:jc w:val="center"/>
              <w:rPr>
                <w:spacing w:val="-2"/>
                <w:sz w:val="21"/>
                <w:szCs w:val="21"/>
              </w:rPr>
            </w:pPr>
            <w:r>
              <w:rPr>
                <w:sz w:val="21"/>
                <w:szCs w:val="21"/>
              </w:rPr>
              <w:t>6、家燕</w:t>
            </w:r>
          </w:p>
        </w:tc>
        <w:tc>
          <w:tcPr>
            <w:tcW w:w="2087" w:type="dxa"/>
            <w:vAlign w:val="center"/>
          </w:tcPr>
          <w:p>
            <w:pPr>
              <w:spacing w:line="340" w:lineRule="exact"/>
              <w:ind w:firstLine="0" w:firstLineChars="0"/>
              <w:jc w:val="center"/>
              <w:rPr>
                <w:spacing w:val="-2"/>
                <w:sz w:val="21"/>
                <w:szCs w:val="21"/>
              </w:rPr>
            </w:pPr>
            <w:r>
              <w:rPr>
                <w:sz w:val="21"/>
                <w:szCs w:val="21"/>
              </w:rPr>
              <w:t>Hirundorustica</w:t>
            </w:r>
          </w:p>
        </w:tc>
        <w:tc>
          <w:tcPr>
            <w:tcW w:w="678" w:type="dxa"/>
            <w:vAlign w:val="center"/>
          </w:tcPr>
          <w:p>
            <w:pPr>
              <w:spacing w:line="340" w:lineRule="exact"/>
              <w:ind w:firstLine="0" w:firstLineChars="0"/>
              <w:jc w:val="center"/>
              <w:rPr>
                <w:sz w:val="21"/>
                <w:szCs w:val="21"/>
              </w:rPr>
            </w:pPr>
            <w:r>
              <w:rPr>
                <w:sz w:val="21"/>
                <w:szCs w:val="21"/>
              </w:rPr>
              <w:t>+++</w:t>
            </w:r>
          </w:p>
        </w:tc>
        <w:tc>
          <w:tcPr>
            <w:tcW w:w="3746" w:type="dxa"/>
            <w:vAlign w:val="center"/>
          </w:tcPr>
          <w:p>
            <w:pPr>
              <w:spacing w:line="340" w:lineRule="exact"/>
              <w:ind w:firstLine="0" w:firstLineChars="0"/>
              <w:jc w:val="left"/>
              <w:rPr>
                <w:sz w:val="21"/>
                <w:szCs w:val="21"/>
              </w:rPr>
            </w:pPr>
            <w:r>
              <w:rPr>
                <w:sz w:val="21"/>
                <w:szCs w:val="21"/>
              </w:rPr>
              <w:t>成群在空中觅食，常停于电线.枯枝.营巢于房檐下。</w:t>
            </w:r>
          </w:p>
        </w:tc>
        <w:tc>
          <w:tcPr>
            <w:tcW w:w="981" w:type="dxa"/>
            <w:vAlign w:val="center"/>
          </w:tcPr>
          <w:p>
            <w:pPr>
              <w:spacing w:line="340" w:lineRule="exact"/>
              <w:ind w:firstLine="0" w:firstLineChars="0"/>
              <w:jc w:val="center"/>
            </w:pPr>
            <w:r>
              <w:rPr>
                <w:spacing w:val="-2"/>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spacing w:line="340" w:lineRule="exact"/>
              <w:ind w:firstLine="0" w:firstLineChars="0"/>
              <w:jc w:val="center"/>
              <w:rPr>
                <w:i/>
                <w:sz w:val="21"/>
                <w:szCs w:val="21"/>
              </w:rPr>
            </w:pPr>
            <w:r>
              <w:rPr>
                <w:sz w:val="21"/>
                <w:szCs w:val="21"/>
              </w:rPr>
              <w:t>7、</w:t>
            </w:r>
            <w:r>
              <w:rPr>
                <w:spacing w:val="-2"/>
                <w:sz w:val="21"/>
                <w:szCs w:val="21"/>
              </w:rPr>
              <w:t>画眉</w:t>
            </w:r>
          </w:p>
        </w:tc>
        <w:tc>
          <w:tcPr>
            <w:tcW w:w="2087" w:type="dxa"/>
            <w:vAlign w:val="center"/>
          </w:tcPr>
          <w:p>
            <w:pPr>
              <w:spacing w:line="340" w:lineRule="exact"/>
              <w:ind w:firstLine="0" w:firstLineChars="0"/>
              <w:jc w:val="center"/>
              <w:rPr>
                <w:i/>
                <w:sz w:val="21"/>
                <w:szCs w:val="21"/>
              </w:rPr>
            </w:pPr>
            <w:r>
              <w:rPr>
                <w:i/>
                <w:spacing w:val="-2"/>
                <w:sz w:val="21"/>
                <w:szCs w:val="21"/>
              </w:rPr>
              <w:t>Garrulaxcanorus</w:t>
            </w:r>
          </w:p>
        </w:tc>
        <w:tc>
          <w:tcPr>
            <w:tcW w:w="678" w:type="dxa"/>
            <w:vAlign w:val="center"/>
          </w:tcPr>
          <w:p>
            <w:pPr>
              <w:spacing w:line="340" w:lineRule="exact"/>
              <w:ind w:firstLine="0" w:firstLineChars="0"/>
              <w:jc w:val="center"/>
              <w:rPr>
                <w:b/>
                <w:spacing w:val="-2"/>
                <w:w w:val="66"/>
                <w:sz w:val="21"/>
                <w:szCs w:val="21"/>
              </w:rPr>
            </w:pPr>
            <w:r>
              <w:rPr>
                <w:sz w:val="21"/>
                <w:szCs w:val="21"/>
              </w:rPr>
              <w:t>+++</w:t>
            </w:r>
          </w:p>
        </w:tc>
        <w:tc>
          <w:tcPr>
            <w:tcW w:w="3746" w:type="dxa"/>
            <w:vAlign w:val="center"/>
          </w:tcPr>
          <w:p>
            <w:pPr>
              <w:spacing w:line="340" w:lineRule="exact"/>
              <w:ind w:firstLine="0" w:firstLineChars="0"/>
              <w:jc w:val="left"/>
              <w:rPr>
                <w:spacing w:val="-2"/>
                <w:sz w:val="21"/>
                <w:szCs w:val="21"/>
              </w:rPr>
            </w:pPr>
            <w:r>
              <w:rPr>
                <w:spacing w:val="-2"/>
                <w:sz w:val="21"/>
                <w:szCs w:val="21"/>
              </w:rPr>
              <w:t>成对栖于次生林及灌丛间。</w:t>
            </w:r>
          </w:p>
        </w:tc>
        <w:tc>
          <w:tcPr>
            <w:tcW w:w="981" w:type="dxa"/>
            <w:vAlign w:val="center"/>
          </w:tcPr>
          <w:p>
            <w:pPr>
              <w:spacing w:line="340" w:lineRule="exact"/>
              <w:ind w:firstLine="0" w:firstLineChars="0"/>
              <w:jc w:val="center"/>
              <w:rPr>
                <w:spacing w:val="-2"/>
                <w:sz w:val="21"/>
                <w:szCs w:val="21"/>
              </w:rPr>
            </w:pPr>
            <w:r>
              <w:rPr>
                <w:spacing w:val="-2"/>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93" w:type="dxa"/>
            <w:vAlign w:val="center"/>
          </w:tcPr>
          <w:p>
            <w:pPr>
              <w:spacing w:line="340" w:lineRule="exact"/>
              <w:ind w:firstLine="0" w:firstLineChars="0"/>
              <w:jc w:val="center"/>
              <w:rPr>
                <w:i/>
                <w:spacing w:val="-2"/>
                <w:sz w:val="21"/>
                <w:szCs w:val="21"/>
              </w:rPr>
            </w:pPr>
            <w:r>
              <w:rPr>
                <w:spacing w:val="-2"/>
                <w:sz w:val="21"/>
                <w:szCs w:val="21"/>
              </w:rPr>
              <w:t>8、</w:t>
            </w:r>
            <w:r>
              <w:rPr>
                <w:sz w:val="21"/>
                <w:szCs w:val="21"/>
              </w:rPr>
              <w:t>普通翠鸟</w:t>
            </w:r>
          </w:p>
        </w:tc>
        <w:tc>
          <w:tcPr>
            <w:tcW w:w="2087" w:type="dxa"/>
            <w:vAlign w:val="center"/>
          </w:tcPr>
          <w:p>
            <w:pPr>
              <w:spacing w:line="340" w:lineRule="exact"/>
              <w:ind w:firstLine="0" w:firstLineChars="0"/>
              <w:jc w:val="center"/>
              <w:rPr>
                <w:i/>
                <w:spacing w:val="-2"/>
                <w:sz w:val="21"/>
                <w:szCs w:val="21"/>
              </w:rPr>
            </w:pPr>
            <w:r>
              <w:rPr>
                <w:sz w:val="21"/>
                <w:szCs w:val="21"/>
              </w:rPr>
              <w:t>Alcedoatthis</w:t>
            </w:r>
          </w:p>
        </w:tc>
        <w:tc>
          <w:tcPr>
            <w:tcW w:w="678" w:type="dxa"/>
            <w:vAlign w:val="center"/>
          </w:tcPr>
          <w:p>
            <w:pPr>
              <w:spacing w:line="340" w:lineRule="exact"/>
              <w:ind w:firstLine="0" w:firstLineChars="0"/>
              <w:jc w:val="center"/>
              <w:rPr>
                <w:sz w:val="21"/>
                <w:szCs w:val="21"/>
              </w:rPr>
            </w:pPr>
            <w:r>
              <w:rPr>
                <w:sz w:val="21"/>
                <w:szCs w:val="21"/>
              </w:rPr>
              <w:t>++</w:t>
            </w:r>
          </w:p>
        </w:tc>
        <w:tc>
          <w:tcPr>
            <w:tcW w:w="3746" w:type="dxa"/>
            <w:vAlign w:val="center"/>
          </w:tcPr>
          <w:p>
            <w:pPr>
              <w:spacing w:line="340" w:lineRule="exact"/>
              <w:ind w:firstLine="0" w:firstLineChars="0"/>
              <w:jc w:val="left"/>
              <w:rPr>
                <w:sz w:val="21"/>
                <w:szCs w:val="21"/>
              </w:rPr>
            </w:pPr>
            <w:r>
              <w:rPr>
                <w:sz w:val="21"/>
                <w:szCs w:val="21"/>
              </w:rPr>
              <w:t>出沿于湖泊、溪流、鱼塘。栖于突兀的岩石或枝头，俯冲入水捕鱼。</w:t>
            </w:r>
          </w:p>
        </w:tc>
        <w:tc>
          <w:tcPr>
            <w:tcW w:w="981" w:type="dxa"/>
            <w:vAlign w:val="center"/>
          </w:tcPr>
          <w:p>
            <w:pPr>
              <w:spacing w:line="340" w:lineRule="exact"/>
              <w:ind w:firstLine="0" w:firstLineChars="0"/>
              <w:jc w:val="center"/>
              <w:rPr>
                <w:spacing w:val="-2"/>
                <w:sz w:val="21"/>
                <w:szCs w:val="21"/>
              </w:rPr>
            </w:pPr>
            <w:r>
              <w:rPr>
                <w:spacing w:val="-2"/>
                <w:sz w:val="21"/>
                <w:szCs w:val="21"/>
              </w:rPr>
              <w:t>省重点</w:t>
            </w:r>
          </w:p>
        </w:tc>
      </w:tr>
    </w:tbl>
    <w:p>
      <w:pPr>
        <w:ind w:firstLine="480"/>
        <w:rPr>
          <w:rFonts w:ascii="黑体" w:hAnsi="宋体" w:eastAsia="黑体"/>
        </w:rPr>
      </w:pPr>
      <w:r>
        <w:rPr>
          <w:rFonts w:hint="eastAsia" w:ascii="黑体" w:hAnsi="宋体" w:eastAsia="黑体"/>
        </w:rPr>
        <w:t>⑵水环境保护目标</w:t>
      </w:r>
    </w:p>
    <w:p>
      <w:pPr>
        <w:pStyle w:val="33"/>
        <w:kinsoku w:val="0"/>
        <w:overflowPunct w:val="0"/>
        <w:spacing w:after="0"/>
        <w:ind w:firstLine="448"/>
        <w:rPr>
          <w:rFonts w:hAnsi="宋体"/>
          <w:spacing w:val="-8"/>
        </w:rPr>
      </w:pPr>
      <w:r>
        <w:rPr>
          <w:rFonts w:hAnsi="宋体"/>
          <w:spacing w:val="-8"/>
        </w:rPr>
        <w:t>水环境保护目标见表</w:t>
      </w:r>
      <w:r>
        <w:rPr>
          <w:spacing w:val="-8"/>
        </w:rPr>
        <w:t>1.</w:t>
      </w:r>
      <w:r>
        <w:rPr>
          <w:rFonts w:hint="eastAsia"/>
          <w:spacing w:val="-8"/>
        </w:rPr>
        <w:t>9</w:t>
      </w:r>
      <w:r>
        <w:rPr>
          <w:spacing w:val="-8"/>
        </w:rPr>
        <w:t>-</w:t>
      </w:r>
      <w:r>
        <w:rPr>
          <w:rFonts w:hint="eastAsia"/>
          <w:spacing w:val="-8"/>
        </w:rPr>
        <w:t>3</w:t>
      </w:r>
      <w:r>
        <w:rPr>
          <w:rFonts w:hAnsi="宋体"/>
          <w:spacing w:val="-8"/>
        </w:rPr>
        <w:t>，</w:t>
      </w:r>
      <w:r>
        <w:rPr>
          <w:rFonts w:hint="eastAsia" w:hAnsi="宋体"/>
          <w:spacing w:val="-8"/>
        </w:rPr>
        <w:t>工程</w:t>
      </w:r>
      <w:r>
        <w:rPr>
          <w:rFonts w:hAnsi="宋体"/>
          <w:spacing w:val="-8"/>
        </w:rPr>
        <w:t>与</w:t>
      </w:r>
      <w:r>
        <w:rPr>
          <w:rFonts w:hint="eastAsia" w:hAnsi="宋体"/>
          <w:spacing w:val="-8"/>
        </w:rPr>
        <w:t>上高县城镇</w:t>
      </w:r>
      <w:r>
        <w:rPr>
          <w:rFonts w:hAnsi="宋体"/>
          <w:spacing w:val="-8"/>
        </w:rPr>
        <w:t>饮用水水源地位置关系见附图</w:t>
      </w:r>
      <w:r>
        <w:rPr>
          <w:rFonts w:hint="eastAsia" w:hAnsi="宋体"/>
          <w:spacing w:val="-8"/>
        </w:rPr>
        <w:t>七</w:t>
      </w:r>
      <w:r>
        <w:rPr>
          <w:rFonts w:hAnsi="宋体"/>
          <w:spacing w:val="-8"/>
        </w:rPr>
        <w:t>。</w:t>
      </w:r>
    </w:p>
    <w:p>
      <w:pPr>
        <w:spacing w:before="120" w:beforeLines="50" w:line="240" w:lineRule="auto"/>
        <w:ind w:firstLine="480"/>
        <w:jc w:val="center"/>
        <w:rPr>
          <w:rFonts w:ascii="黑体" w:hAnsi="宋体" w:eastAsia="黑体"/>
        </w:rPr>
      </w:pPr>
      <w:r>
        <w:rPr>
          <w:rFonts w:hint="eastAsia" w:ascii="黑体" w:hAnsi="宋体" w:eastAsia="黑体"/>
        </w:rPr>
        <w:t>表1.9-3  水环境保护目标一览表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15"/>
        <w:gridCol w:w="2405"/>
        <w:gridCol w:w="599"/>
        <w:gridCol w:w="1100"/>
        <w:gridCol w:w="1260"/>
        <w:gridCol w:w="30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536" w:type="pct"/>
            <w:tcBorders>
              <w:tl2br w:val="nil"/>
              <w:tr2bl w:val="nil"/>
            </w:tcBorders>
            <w:vAlign w:val="center"/>
          </w:tcPr>
          <w:p>
            <w:pPr>
              <w:pStyle w:val="1339"/>
              <w:spacing w:line="340" w:lineRule="exact"/>
              <w:rPr>
                <w:sz w:val="21"/>
              </w:rPr>
            </w:pPr>
            <w:r>
              <w:rPr>
                <w:sz w:val="21"/>
              </w:rPr>
              <w:t>环境要素</w:t>
            </w:r>
          </w:p>
        </w:tc>
        <w:tc>
          <w:tcPr>
            <w:tcW w:w="1270" w:type="pct"/>
            <w:tcBorders>
              <w:tl2br w:val="nil"/>
              <w:tr2bl w:val="nil"/>
            </w:tcBorders>
            <w:vAlign w:val="center"/>
          </w:tcPr>
          <w:p>
            <w:pPr>
              <w:pStyle w:val="1339"/>
              <w:spacing w:line="340" w:lineRule="exact"/>
              <w:rPr>
                <w:sz w:val="21"/>
              </w:rPr>
            </w:pPr>
            <w:r>
              <w:rPr>
                <w:sz w:val="21"/>
              </w:rPr>
              <w:t>环境保护对象名称</w:t>
            </w:r>
          </w:p>
        </w:tc>
        <w:tc>
          <w:tcPr>
            <w:tcW w:w="316" w:type="pct"/>
            <w:tcBorders>
              <w:tl2br w:val="nil"/>
              <w:tr2bl w:val="nil"/>
            </w:tcBorders>
            <w:vAlign w:val="center"/>
          </w:tcPr>
          <w:p>
            <w:pPr>
              <w:pStyle w:val="1339"/>
              <w:spacing w:line="340" w:lineRule="exact"/>
              <w:rPr>
                <w:sz w:val="21"/>
              </w:rPr>
            </w:pPr>
            <w:r>
              <w:rPr>
                <w:sz w:val="21"/>
              </w:rPr>
              <w:t>方位</w:t>
            </w:r>
          </w:p>
        </w:tc>
        <w:tc>
          <w:tcPr>
            <w:tcW w:w="580" w:type="pct"/>
            <w:tcBorders>
              <w:tl2br w:val="nil"/>
              <w:tr2bl w:val="nil"/>
            </w:tcBorders>
            <w:vAlign w:val="center"/>
          </w:tcPr>
          <w:p>
            <w:pPr>
              <w:pStyle w:val="1339"/>
              <w:spacing w:line="340" w:lineRule="exact"/>
              <w:rPr>
                <w:sz w:val="21"/>
              </w:rPr>
            </w:pPr>
            <w:r>
              <w:rPr>
                <w:sz w:val="21"/>
              </w:rPr>
              <w:t>距离（m）</w:t>
            </w:r>
          </w:p>
        </w:tc>
        <w:tc>
          <w:tcPr>
            <w:tcW w:w="665" w:type="pct"/>
            <w:tcBorders>
              <w:tl2br w:val="nil"/>
              <w:tr2bl w:val="nil"/>
            </w:tcBorders>
            <w:vAlign w:val="center"/>
          </w:tcPr>
          <w:p>
            <w:pPr>
              <w:pStyle w:val="1339"/>
              <w:spacing w:line="340" w:lineRule="exact"/>
              <w:rPr>
                <w:sz w:val="21"/>
              </w:rPr>
            </w:pPr>
            <w:r>
              <w:rPr>
                <w:sz w:val="21"/>
              </w:rPr>
              <w:t>规模</w:t>
            </w:r>
          </w:p>
        </w:tc>
        <w:tc>
          <w:tcPr>
            <w:tcW w:w="1631" w:type="pct"/>
            <w:tcBorders>
              <w:tl2br w:val="nil"/>
              <w:tr2bl w:val="nil"/>
            </w:tcBorders>
            <w:vAlign w:val="center"/>
          </w:tcPr>
          <w:p>
            <w:pPr>
              <w:pStyle w:val="1339"/>
              <w:spacing w:line="340" w:lineRule="exact"/>
              <w:rPr>
                <w:sz w:val="21"/>
              </w:rPr>
            </w:pPr>
            <w:r>
              <w:rPr>
                <w:sz w:val="21"/>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36" w:type="pct"/>
            <w:vMerge w:val="restart"/>
            <w:tcBorders>
              <w:tl2br w:val="nil"/>
              <w:tr2bl w:val="nil"/>
            </w:tcBorders>
            <w:vAlign w:val="center"/>
          </w:tcPr>
          <w:p>
            <w:pPr>
              <w:pStyle w:val="1339"/>
              <w:spacing w:line="340" w:lineRule="exact"/>
              <w:rPr>
                <w:sz w:val="21"/>
              </w:rPr>
            </w:pPr>
            <w:r>
              <w:rPr>
                <w:sz w:val="21"/>
              </w:rPr>
              <w:t>水环境</w:t>
            </w:r>
          </w:p>
        </w:tc>
        <w:tc>
          <w:tcPr>
            <w:tcW w:w="1270" w:type="pct"/>
            <w:tcBorders>
              <w:tl2br w:val="nil"/>
              <w:tr2bl w:val="nil"/>
            </w:tcBorders>
            <w:vAlign w:val="center"/>
          </w:tcPr>
          <w:p>
            <w:pPr>
              <w:pStyle w:val="1211"/>
              <w:spacing w:line="340" w:lineRule="exact"/>
              <w:ind w:firstLine="0" w:firstLineChars="0"/>
              <w:rPr>
                <w:rFonts w:ascii="Times New Roman"/>
                <w:sz w:val="21"/>
                <w:szCs w:val="21"/>
              </w:rPr>
            </w:pPr>
            <w:r>
              <w:rPr>
                <w:rFonts w:hint="eastAsia" w:ascii="Times New Roman"/>
                <w:sz w:val="21"/>
                <w:szCs w:val="21"/>
              </w:rPr>
              <w:t>锦河</w:t>
            </w:r>
          </w:p>
        </w:tc>
        <w:tc>
          <w:tcPr>
            <w:tcW w:w="897" w:type="pct"/>
            <w:gridSpan w:val="2"/>
            <w:tcBorders>
              <w:tl2br w:val="nil"/>
              <w:tr2bl w:val="nil"/>
            </w:tcBorders>
            <w:vAlign w:val="center"/>
          </w:tcPr>
          <w:p>
            <w:pPr>
              <w:pStyle w:val="1339"/>
              <w:spacing w:line="340" w:lineRule="exact"/>
              <w:rPr>
                <w:sz w:val="21"/>
              </w:rPr>
            </w:pPr>
            <w:r>
              <w:rPr>
                <w:rFonts w:hint="eastAsia"/>
                <w:sz w:val="21"/>
              </w:rPr>
              <w:t>坝区及坝址上下游</w:t>
            </w:r>
          </w:p>
        </w:tc>
        <w:tc>
          <w:tcPr>
            <w:tcW w:w="665" w:type="pct"/>
            <w:tcBorders>
              <w:tl2br w:val="nil"/>
              <w:tr2bl w:val="nil"/>
            </w:tcBorders>
            <w:vAlign w:val="center"/>
          </w:tcPr>
          <w:p>
            <w:pPr>
              <w:pStyle w:val="1339"/>
              <w:spacing w:line="340" w:lineRule="exact"/>
              <w:rPr>
                <w:sz w:val="21"/>
              </w:rPr>
            </w:pPr>
            <w:r>
              <w:rPr>
                <w:rFonts w:hint="eastAsia"/>
                <w:sz w:val="21"/>
              </w:rPr>
              <w:t>中河</w:t>
            </w:r>
          </w:p>
        </w:tc>
        <w:tc>
          <w:tcPr>
            <w:tcW w:w="1631"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地表水环境GB3838-2002)中</w:t>
            </w:r>
            <w:r>
              <w:rPr>
                <w:rFonts w:hAnsi="宋体"/>
                <w:kern w:val="18"/>
                <w:sz w:val="21"/>
                <w:szCs w:val="21"/>
              </w:rPr>
              <w:t>Ⅲ</w:t>
            </w:r>
            <w:r>
              <w:rPr>
                <w:kern w:val="18"/>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5" w:hRule="atLeast"/>
          <w:jc w:val="center"/>
        </w:trPr>
        <w:tc>
          <w:tcPr>
            <w:tcW w:w="536" w:type="pct"/>
            <w:vMerge w:val="continue"/>
            <w:tcBorders>
              <w:tl2br w:val="nil"/>
              <w:tr2bl w:val="nil"/>
            </w:tcBorders>
            <w:vAlign w:val="center"/>
          </w:tcPr>
          <w:p>
            <w:pPr>
              <w:pStyle w:val="1339"/>
              <w:spacing w:line="340" w:lineRule="exact"/>
              <w:rPr>
                <w:sz w:val="21"/>
              </w:rPr>
            </w:pPr>
          </w:p>
        </w:tc>
        <w:tc>
          <w:tcPr>
            <w:tcW w:w="1270" w:type="pct"/>
            <w:tcBorders>
              <w:tl2br w:val="nil"/>
              <w:tr2bl w:val="nil"/>
            </w:tcBorders>
            <w:vAlign w:val="center"/>
          </w:tcPr>
          <w:p>
            <w:pPr>
              <w:pStyle w:val="694"/>
              <w:kinsoku w:val="0"/>
              <w:overflowPunct w:val="0"/>
              <w:spacing w:line="340" w:lineRule="exact"/>
              <w:jc w:val="center"/>
              <w:rPr>
                <w:szCs w:val="21"/>
              </w:rPr>
            </w:pPr>
            <w:r>
              <w:rPr>
                <w:rFonts w:hint="eastAsia"/>
                <w:szCs w:val="21"/>
              </w:rPr>
              <w:t>上高</w:t>
            </w:r>
            <w:r>
              <w:rPr>
                <w:szCs w:val="21"/>
              </w:rPr>
              <w:t>县</w:t>
            </w:r>
            <w:r>
              <w:rPr>
                <w:rFonts w:hint="eastAsia"/>
                <w:szCs w:val="21"/>
              </w:rPr>
              <w:t>第二</w:t>
            </w:r>
            <w:r>
              <w:rPr>
                <w:szCs w:val="21"/>
              </w:rPr>
              <w:t>自来水厂取水口</w:t>
            </w:r>
            <w:r>
              <w:rPr>
                <w:rFonts w:hint="eastAsia"/>
                <w:szCs w:val="21"/>
              </w:rPr>
              <w:t>（地表水）</w:t>
            </w:r>
          </w:p>
        </w:tc>
        <w:tc>
          <w:tcPr>
            <w:tcW w:w="897" w:type="pct"/>
            <w:gridSpan w:val="2"/>
            <w:tcBorders>
              <w:tl2br w:val="nil"/>
              <w:tr2bl w:val="nil"/>
            </w:tcBorders>
            <w:vAlign w:val="center"/>
          </w:tcPr>
          <w:p>
            <w:pPr>
              <w:pStyle w:val="1339"/>
              <w:spacing w:line="340" w:lineRule="exact"/>
              <w:rPr>
                <w:sz w:val="21"/>
              </w:rPr>
            </w:pPr>
            <w:r>
              <w:rPr>
                <w:rFonts w:hint="eastAsia"/>
                <w:sz w:val="21"/>
              </w:rPr>
              <w:t>坝址上</w:t>
            </w:r>
            <w:r>
              <w:rPr>
                <w:sz w:val="21"/>
              </w:rPr>
              <w:t>游</w:t>
            </w:r>
            <w:r>
              <w:rPr>
                <w:rFonts w:hint="eastAsia"/>
                <w:sz w:val="21"/>
              </w:rPr>
              <w:t>22</w:t>
            </w:r>
            <w:r>
              <w:rPr>
                <w:sz w:val="21"/>
              </w:rPr>
              <w:t>km</w:t>
            </w:r>
          </w:p>
        </w:tc>
        <w:tc>
          <w:tcPr>
            <w:tcW w:w="665"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取水规模</w:t>
            </w:r>
          </w:p>
          <w:p>
            <w:pPr>
              <w:pStyle w:val="1339"/>
              <w:spacing w:line="340" w:lineRule="exact"/>
              <w:rPr>
                <w:sz w:val="21"/>
              </w:rPr>
            </w:pPr>
            <w:r>
              <w:rPr>
                <w:rFonts w:hint="eastAsia"/>
                <w:sz w:val="21"/>
              </w:rPr>
              <w:t>9.0万</w:t>
            </w:r>
            <w:r>
              <w:rPr>
                <w:sz w:val="21"/>
              </w:rPr>
              <w:t>m</w:t>
            </w:r>
            <w:r>
              <w:rPr>
                <w:sz w:val="21"/>
                <w:vertAlign w:val="superscript"/>
              </w:rPr>
              <w:t>3</w:t>
            </w:r>
            <w:r>
              <w:rPr>
                <w:sz w:val="21"/>
              </w:rPr>
              <w:t>/d</w:t>
            </w:r>
          </w:p>
        </w:tc>
        <w:tc>
          <w:tcPr>
            <w:tcW w:w="1631"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地表水环境GB3838-2002)中</w:t>
            </w:r>
            <w:r>
              <w:rPr>
                <w:sz w:val="21"/>
                <w:szCs w:val="21"/>
              </w:rPr>
              <w:t>Ⅱ～Ⅲ类水体</w:t>
            </w:r>
            <w:r>
              <w:rPr>
                <w:kern w:val="18"/>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36" w:type="pct"/>
            <w:vMerge w:val="continue"/>
            <w:tcBorders>
              <w:tl2br w:val="nil"/>
              <w:tr2bl w:val="nil"/>
            </w:tcBorders>
            <w:vAlign w:val="center"/>
          </w:tcPr>
          <w:p>
            <w:pPr>
              <w:pStyle w:val="1339"/>
              <w:spacing w:line="340" w:lineRule="exact"/>
              <w:rPr>
                <w:sz w:val="21"/>
              </w:rPr>
            </w:pPr>
          </w:p>
        </w:tc>
        <w:tc>
          <w:tcPr>
            <w:tcW w:w="1270" w:type="pct"/>
            <w:tcBorders>
              <w:tl2br w:val="nil"/>
              <w:tr2bl w:val="nil"/>
            </w:tcBorders>
            <w:vAlign w:val="center"/>
          </w:tcPr>
          <w:p>
            <w:pPr>
              <w:pStyle w:val="694"/>
              <w:kinsoku w:val="0"/>
              <w:overflowPunct w:val="0"/>
              <w:spacing w:line="340" w:lineRule="exact"/>
              <w:jc w:val="center"/>
              <w:rPr>
                <w:szCs w:val="21"/>
              </w:rPr>
            </w:pPr>
            <w:r>
              <w:rPr>
                <w:rFonts w:hint="eastAsia"/>
                <w:szCs w:val="21"/>
              </w:rPr>
              <w:t>地下水</w:t>
            </w:r>
          </w:p>
        </w:tc>
        <w:tc>
          <w:tcPr>
            <w:tcW w:w="1562" w:type="pct"/>
            <w:gridSpan w:val="3"/>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坝址周边</w:t>
            </w:r>
            <w:r>
              <w:rPr>
                <w:rFonts w:hint="eastAsia"/>
                <w:kern w:val="18"/>
                <w:sz w:val="21"/>
                <w:szCs w:val="21"/>
              </w:rPr>
              <w:t>6.0</w:t>
            </w:r>
            <w:r>
              <w:rPr>
                <w:kern w:val="18"/>
                <w:sz w:val="21"/>
                <w:szCs w:val="21"/>
              </w:rPr>
              <w:t>km</w:t>
            </w:r>
            <w:r>
              <w:rPr>
                <w:kern w:val="18"/>
                <w:sz w:val="21"/>
                <w:szCs w:val="21"/>
                <w:vertAlign w:val="superscript"/>
              </w:rPr>
              <w:t>2</w:t>
            </w:r>
            <w:r>
              <w:rPr>
                <w:kern w:val="18"/>
                <w:sz w:val="21"/>
                <w:szCs w:val="21"/>
              </w:rPr>
              <w:t>区域</w:t>
            </w:r>
          </w:p>
        </w:tc>
        <w:tc>
          <w:tcPr>
            <w:tcW w:w="1631"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保护地下水水位，地下水水质满足(GB14848-2017）中Ⅲ类标准。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36" w:type="pct"/>
            <w:vMerge w:val="continue"/>
            <w:tcBorders>
              <w:tl2br w:val="nil"/>
              <w:tr2bl w:val="nil"/>
            </w:tcBorders>
            <w:vAlign w:val="center"/>
          </w:tcPr>
          <w:p>
            <w:pPr>
              <w:pStyle w:val="1339"/>
              <w:spacing w:line="340" w:lineRule="exact"/>
              <w:rPr>
                <w:sz w:val="21"/>
              </w:rPr>
            </w:pPr>
            <w:bookmarkStart w:id="288" w:name="_Toc534806986"/>
            <w:bookmarkStart w:id="289" w:name="_Toc534386227"/>
            <w:bookmarkStart w:id="290" w:name="_Toc3903206"/>
            <w:bookmarkStart w:id="291" w:name="_Toc534895204"/>
            <w:bookmarkStart w:id="292" w:name="_Toc536265069"/>
          </w:p>
        </w:tc>
        <w:tc>
          <w:tcPr>
            <w:tcW w:w="1270" w:type="pct"/>
            <w:tcBorders>
              <w:tl2br w:val="nil"/>
              <w:tr2bl w:val="nil"/>
            </w:tcBorders>
            <w:vAlign w:val="center"/>
          </w:tcPr>
          <w:p>
            <w:pPr>
              <w:pStyle w:val="694"/>
              <w:kinsoku w:val="0"/>
              <w:overflowPunct w:val="0"/>
              <w:spacing w:line="340" w:lineRule="exact"/>
              <w:jc w:val="center"/>
              <w:rPr>
                <w:szCs w:val="21"/>
              </w:rPr>
            </w:pPr>
            <w:r>
              <w:rPr>
                <w:rFonts w:hint="eastAsia"/>
                <w:szCs w:val="21"/>
              </w:rPr>
              <w:t>良田村（国考、县界断面</w:t>
            </w:r>
          </w:p>
        </w:tc>
        <w:tc>
          <w:tcPr>
            <w:tcW w:w="1562" w:type="pct"/>
            <w:gridSpan w:val="3"/>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rFonts w:hint="eastAsia"/>
                <w:kern w:val="18"/>
                <w:sz w:val="21"/>
                <w:szCs w:val="21"/>
              </w:rPr>
              <w:t>坝址下游27km</w:t>
            </w:r>
          </w:p>
        </w:tc>
        <w:tc>
          <w:tcPr>
            <w:tcW w:w="1631"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地表水环境GB3838-2002)中</w:t>
            </w:r>
            <w:r>
              <w:rPr>
                <w:rFonts w:hAnsi="宋体"/>
                <w:kern w:val="18"/>
                <w:sz w:val="21"/>
                <w:szCs w:val="21"/>
              </w:rPr>
              <w:t>Ⅲ</w:t>
            </w:r>
            <w:r>
              <w:rPr>
                <w:kern w:val="18"/>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36" w:type="pct"/>
            <w:vMerge w:val="continue"/>
            <w:tcBorders>
              <w:tl2br w:val="nil"/>
              <w:tr2bl w:val="nil"/>
            </w:tcBorders>
            <w:vAlign w:val="center"/>
          </w:tcPr>
          <w:p>
            <w:pPr>
              <w:pStyle w:val="1339"/>
              <w:spacing w:line="340" w:lineRule="exact"/>
              <w:rPr>
                <w:sz w:val="21"/>
              </w:rPr>
            </w:pPr>
          </w:p>
        </w:tc>
        <w:tc>
          <w:tcPr>
            <w:tcW w:w="1270" w:type="pct"/>
            <w:tcBorders>
              <w:tl2br w:val="nil"/>
              <w:tr2bl w:val="nil"/>
            </w:tcBorders>
            <w:vAlign w:val="center"/>
          </w:tcPr>
          <w:p>
            <w:pPr>
              <w:pStyle w:val="694"/>
              <w:kinsoku w:val="0"/>
              <w:overflowPunct w:val="0"/>
              <w:spacing w:line="340" w:lineRule="exact"/>
              <w:jc w:val="center"/>
              <w:rPr>
                <w:szCs w:val="21"/>
              </w:rPr>
            </w:pPr>
            <w:r>
              <w:rPr>
                <w:rFonts w:hint="eastAsia"/>
                <w:szCs w:val="21"/>
              </w:rPr>
              <w:t>徐家渡谭上村（省控、县界、长江经济带）断面</w:t>
            </w:r>
          </w:p>
        </w:tc>
        <w:tc>
          <w:tcPr>
            <w:tcW w:w="1562" w:type="pct"/>
            <w:gridSpan w:val="3"/>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rFonts w:hint="eastAsia"/>
                <w:kern w:val="18"/>
                <w:sz w:val="21"/>
                <w:szCs w:val="21"/>
              </w:rPr>
              <w:t>坝址上游22km</w:t>
            </w:r>
          </w:p>
        </w:tc>
        <w:tc>
          <w:tcPr>
            <w:tcW w:w="1631" w:type="pct"/>
            <w:tcBorders>
              <w:tl2br w:val="nil"/>
              <w:tr2bl w:val="nil"/>
            </w:tcBorders>
            <w:vAlign w:val="center"/>
          </w:tcPr>
          <w:p>
            <w:pPr>
              <w:autoSpaceDE w:val="0"/>
              <w:autoSpaceDN w:val="0"/>
              <w:adjustRightInd w:val="0"/>
              <w:spacing w:line="340" w:lineRule="exact"/>
              <w:ind w:firstLine="0" w:firstLineChars="0"/>
              <w:jc w:val="center"/>
              <w:rPr>
                <w:kern w:val="18"/>
                <w:sz w:val="21"/>
                <w:szCs w:val="21"/>
              </w:rPr>
            </w:pPr>
            <w:r>
              <w:rPr>
                <w:kern w:val="18"/>
                <w:sz w:val="21"/>
                <w:szCs w:val="21"/>
              </w:rPr>
              <w:t>地表水环境GB3838-2002)中</w:t>
            </w:r>
            <w:r>
              <w:rPr>
                <w:rFonts w:hint="eastAsia" w:ascii="宋体" w:hAnsi="宋体" w:cs="宋体"/>
                <w:kern w:val="18"/>
                <w:sz w:val="21"/>
                <w:szCs w:val="21"/>
              </w:rPr>
              <w:t>Ⅱ</w:t>
            </w:r>
            <w:r>
              <w:rPr>
                <w:kern w:val="18"/>
                <w:sz w:val="21"/>
                <w:szCs w:val="21"/>
              </w:rPr>
              <w:t>类标准。</w:t>
            </w:r>
          </w:p>
        </w:tc>
      </w:tr>
      <w:bookmarkEnd w:id="283"/>
      <w:bookmarkEnd w:id="284"/>
      <w:bookmarkEnd w:id="285"/>
      <w:bookmarkEnd w:id="286"/>
      <w:bookmarkEnd w:id="287"/>
    </w:tbl>
    <w:p>
      <w:pPr>
        <w:spacing w:before="120" w:beforeLines="50"/>
        <w:ind w:firstLine="480"/>
        <w:rPr>
          <w:rFonts w:ascii="黑体" w:hAnsi="宋体" w:eastAsia="黑体"/>
        </w:rPr>
      </w:pPr>
      <w:r>
        <w:rPr>
          <w:rFonts w:ascii="黑体" w:hAnsi="宋体" w:eastAsia="黑体"/>
        </w:rPr>
        <w:fldChar w:fldCharType="begin"/>
      </w:r>
      <w:r>
        <w:rPr>
          <w:rFonts w:ascii="黑体" w:hAnsi="宋体" w:eastAsia="黑体"/>
        </w:rPr>
        <w:instrText xml:space="preserve"> </w:instrText>
      </w:r>
      <w:r>
        <w:rPr>
          <w:rFonts w:hint="eastAsia" w:ascii="黑体" w:hAnsi="宋体" w:eastAsia="黑体"/>
        </w:rPr>
        <w:instrText xml:space="preserve">= 3 \* GB2</w:instrText>
      </w:r>
      <w:r>
        <w:rPr>
          <w:rFonts w:ascii="黑体" w:hAnsi="宋体" w:eastAsia="黑体"/>
        </w:rPr>
        <w:instrText xml:space="preserve"> </w:instrText>
      </w:r>
      <w:r>
        <w:rPr>
          <w:rFonts w:ascii="黑体" w:hAnsi="宋体" w:eastAsia="黑体"/>
        </w:rPr>
        <w:fldChar w:fldCharType="separate"/>
      </w:r>
      <w:r>
        <w:rPr>
          <w:rFonts w:hint="eastAsia" w:ascii="黑体" w:hAnsi="宋体" w:eastAsia="黑体"/>
        </w:rPr>
        <w:t>⑶</w:t>
      </w:r>
      <w:r>
        <w:rPr>
          <w:rFonts w:ascii="黑体" w:hAnsi="宋体" w:eastAsia="黑体"/>
        </w:rPr>
        <w:fldChar w:fldCharType="end"/>
      </w:r>
      <w:r>
        <w:rPr>
          <w:rFonts w:ascii="黑体" w:hAnsi="宋体" w:eastAsia="黑体"/>
        </w:rPr>
        <w:t>环境空气保护目标</w:t>
      </w:r>
      <w:bookmarkEnd w:id="288"/>
      <w:bookmarkEnd w:id="289"/>
      <w:bookmarkEnd w:id="290"/>
      <w:bookmarkEnd w:id="291"/>
      <w:bookmarkEnd w:id="292"/>
    </w:p>
    <w:p>
      <w:pPr>
        <w:ind w:firstLine="480"/>
      </w:pPr>
      <w:r>
        <w:t>施工期大气环境保护目标为各施工区周边200m范围村庄等敏感点。运行期无废气排放，无大气环境保护目标。大气环境保护目标汇总见表1.</w:t>
      </w:r>
      <w:r>
        <w:rPr>
          <w:rFonts w:hint="eastAsia"/>
        </w:rPr>
        <w:t>9</w:t>
      </w:r>
      <w:r>
        <w:t>-</w:t>
      </w:r>
      <w:r>
        <w:rPr>
          <w:rFonts w:hint="eastAsia"/>
        </w:rPr>
        <w:t>4</w:t>
      </w:r>
      <w:r>
        <w:t>。</w:t>
      </w:r>
    </w:p>
    <w:p>
      <w:pPr>
        <w:ind w:firstLine="480"/>
        <w:rPr>
          <w:rFonts w:ascii="黑体" w:hAnsi="宋体" w:eastAsia="黑体"/>
        </w:rPr>
      </w:pPr>
      <w:bookmarkStart w:id="293" w:name="_Toc534386228"/>
      <w:bookmarkStart w:id="294" w:name="_Toc3903207"/>
      <w:bookmarkStart w:id="295" w:name="_Toc534895205"/>
      <w:bookmarkStart w:id="296" w:name="_Toc536265070"/>
      <w:bookmarkStart w:id="297" w:name="_Toc534806987"/>
      <w:r>
        <w:rPr>
          <w:rFonts w:ascii="黑体" w:hAnsi="宋体" w:eastAsia="黑体"/>
        </w:rPr>
        <w:fldChar w:fldCharType="begin"/>
      </w:r>
      <w:r>
        <w:rPr>
          <w:rFonts w:ascii="黑体" w:hAnsi="宋体" w:eastAsia="黑体"/>
        </w:rPr>
        <w:instrText xml:space="preserve"> </w:instrText>
      </w:r>
      <w:r>
        <w:rPr>
          <w:rFonts w:hint="eastAsia" w:ascii="黑体" w:hAnsi="宋体" w:eastAsia="黑体"/>
        </w:rPr>
        <w:instrText xml:space="preserve">= 4 \* GB2</w:instrText>
      </w:r>
      <w:r>
        <w:rPr>
          <w:rFonts w:ascii="黑体" w:hAnsi="宋体" w:eastAsia="黑体"/>
        </w:rPr>
        <w:instrText xml:space="preserve"> </w:instrText>
      </w:r>
      <w:r>
        <w:rPr>
          <w:rFonts w:ascii="黑体" w:hAnsi="宋体" w:eastAsia="黑体"/>
        </w:rPr>
        <w:fldChar w:fldCharType="separate"/>
      </w:r>
      <w:r>
        <w:rPr>
          <w:rFonts w:hint="eastAsia" w:ascii="黑体" w:hAnsi="宋体" w:eastAsia="黑体"/>
        </w:rPr>
        <w:t>⑷</w:t>
      </w:r>
      <w:r>
        <w:rPr>
          <w:rFonts w:ascii="黑体" w:hAnsi="宋体" w:eastAsia="黑体"/>
        </w:rPr>
        <w:fldChar w:fldCharType="end"/>
      </w:r>
      <w:r>
        <w:rPr>
          <w:rFonts w:ascii="黑体" w:hAnsi="宋体" w:eastAsia="黑体"/>
        </w:rPr>
        <w:t>声环境保护目标</w:t>
      </w:r>
      <w:bookmarkEnd w:id="293"/>
      <w:bookmarkEnd w:id="294"/>
      <w:bookmarkEnd w:id="295"/>
      <w:bookmarkEnd w:id="296"/>
      <w:bookmarkEnd w:id="297"/>
    </w:p>
    <w:p>
      <w:pPr>
        <w:ind w:firstLine="480"/>
      </w:pPr>
      <w:r>
        <w:t>声环境保护目标为各施工区周边200m范围村庄等敏感点。声环境保护目标汇总见表1.</w:t>
      </w:r>
      <w:r>
        <w:rPr>
          <w:rFonts w:hint="eastAsia"/>
        </w:rPr>
        <w:t>9</w:t>
      </w:r>
      <w:r>
        <w:t>-</w:t>
      </w:r>
      <w:r>
        <w:rPr>
          <w:rFonts w:hint="eastAsia"/>
        </w:rPr>
        <w:t>4</w:t>
      </w:r>
      <w:r>
        <w:t>。</w:t>
      </w:r>
    </w:p>
    <w:p>
      <w:pPr>
        <w:spacing w:before="120" w:beforeLines="50" w:line="240" w:lineRule="auto"/>
        <w:ind w:firstLine="0" w:firstLineChars="0"/>
        <w:jc w:val="center"/>
        <w:rPr>
          <w:rFonts w:ascii="黑体" w:hAnsi="黑体" w:eastAsia="黑体" w:cs="黑体"/>
        </w:rPr>
      </w:pPr>
      <w:r>
        <w:rPr>
          <w:rFonts w:hint="eastAsia" w:ascii="黑体" w:hAnsi="黑体" w:eastAsia="黑体" w:cs="黑体"/>
        </w:rPr>
        <w:t>表1.9-4  大气环境及声环境保护目标一览表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Layout w:type="fixed"/>
        <w:tblCellMar>
          <w:top w:w="0" w:type="dxa"/>
          <w:left w:w="28" w:type="dxa"/>
          <w:bottom w:w="0" w:type="dxa"/>
          <w:right w:w="28" w:type="dxa"/>
        </w:tblCellMar>
      </w:tblPr>
      <w:tblGrid>
        <w:gridCol w:w="968"/>
        <w:gridCol w:w="2294"/>
        <w:gridCol w:w="3487"/>
        <w:gridCol w:w="23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28" w:type="dxa"/>
            <w:bottom w:w="0" w:type="dxa"/>
            <w:right w:w="28" w:type="dxa"/>
          </w:tblCellMar>
        </w:tblPrEx>
        <w:trPr>
          <w:trHeight w:val="397" w:hRule="atLeast"/>
          <w:jc w:val="center"/>
        </w:trPr>
        <w:tc>
          <w:tcPr>
            <w:tcW w:w="968" w:type="dxa"/>
            <w:shd w:val="clear" w:color="auto" w:fill="FFFFFF"/>
            <w:vAlign w:val="center"/>
          </w:tcPr>
          <w:p>
            <w:pPr>
              <w:topLinePunct/>
              <w:spacing w:line="340" w:lineRule="exact"/>
              <w:ind w:firstLine="0" w:firstLineChars="0"/>
              <w:jc w:val="center"/>
              <w:rPr>
                <w:sz w:val="21"/>
                <w:szCs w:val="21"/>
              </w:rPr>
            </w:pPr>
            <w:r>
              <w:rPr>
                <w:sz w:val="21"/>
                <w:szCs w:val="21"/>
              </w:rPr>
              <w:t>环境要素</w:t>
            </w:r>
          </w:p>
        </w:tc>
        <w:tc>
          <w:tcPr>
            <w:tcW w:w="2294" w:type="dxa"/>
            <w:shd w:val="clear" w:color="auto" w:fill="FFFFFF"/>
            <w:vAlign w:val="center"/>
          </w:tcPr>
          <w:p>
            <w:pPr>
              <w:topLinePunct/>
              <w:spacing w:line="340" w:lineRule="exact"/>
              <w:ind w:firstLine="0" w:firstLineChars="0"/>
              <w:jc w:val="center"/>
              <w:rPr>
                <w:sz w:val="21"/>
                <w:szCs w:val="21"/>
              </w:rPr>
            </w:pPr>
            <w:r>
              <w:rPr>
                <w:sz w:val="21"/>
                <w:szCs w:val="21"/>
              </w:rPr>
              <w:t>保护目标名称</w:t>
            </w:r>
          </w:p>
        </w:tc>
        <w:tc>
          <w:tcPr>
            <w:tcW w:w="3487" w:type="dxa"/>
            <w:shd w:val="clear" w:color="auto" w:fill="FFFFFF"/>
            <w:vAlign w:val="center"/>
          </w:tcPr>
          <w:p>
            <w:pPr>
              <w:topLinePunct/>
              <w:spacing w:line="340" w:lineRule="exact"/>
              <w:ind w:firstLine="0" w:firstLineChars="0"/>
              <w:jc w:val="center"/>
              <w:rPr>
                <w:sz w:val="21"/>
                <w:szCs w:val="21"/>
              </w:rPr>
            </w:pPr>
            <w:r>
              <w:rPr>
                <w:sz w:val="21"/>
                <w:szCs w:val="21"/>
              </w:rPr>
              <w:t>相对位置关系</w:t>
            </w:r>
          </w:p>
        </w:tc>
        <w:tc>
          <w:tcPr>
            <w:tcW w:w="2323" w:type="dxa"/>
            <w:shd w:val="clear" w:color="auto" w:fill="FFFFFF"/>
            <w:vAlign w:val="center"/>
          </w:tcPr>
          <w:p>
            <w:pPr>
              <w:topLinePunct/>
              <w:spacing w:line="340" w:lineRule="exact"/>
              <w:ind w:firstLine="0" w:firstLineChars="0"/>
              <w:jc w:val="center"/>
              <w:rPr>
                <w:sz w:val="21"/>
                <w:szCs w:val="21"/>
              </w:rPr>
            </w:pPr>
            <w:r>
              <w:rPr>
                <w:sz w:val="21"/>
                <w:szCs w:val="21"/>
              </w:rPr>
              <w:t>保护要求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8" w:hRule="atLeast"/>
          <w:jc w:val="center"/>
        </w:trPr>
        <w:tc>
          <w:tcPr>
            <w:tcW w:w="968" w:type="dxa"/>
            <w:vMerge w:val="restart"/>
            <w:shd w:val="clear" w:color="auto" w:fill="FFFFFF"/>
            <w:vAlign w:val="center"/>
          </w:tcPr>
          <w:p>
            <w:pPr>
              <w:topLinePunct/>
              <w:spacing w:line="340" w:lineRule="exact"/>
              <w:ind w:firstLine="0" w:firstLineChars="0"/>
              <w:jc w:val="center"/>
              <w:rPr>
                <w:sz w:val="21"/>
                <w:szCs w:val="21"/>
              </w:rPr>
            </w:pPr>
            <w:r>
              <w:rPr>
                <w:sz w:val="21"/>
                <w:szCs w:val="21"/>
              </w:rPr>
              <w:t>声环境、大气环境</w:t>
            </w:r>
          </w:p>
        </w:tc>
        <w:tc>
          <w:tcPr>
            <w:tcW w:w="2294" w:type="dxa"/>
            <w:shd w:val="clear" w:color="auto" w:fill="FFFFFF"/>
            <w:vAlign w:val="center"/>
          </w:tcPr>
          <w:p>
            <w:pPr>
              <w:topLinePunct/>
              <w:spacing w:line="340" w:lineRule="exact"/>
              <w:ind w:firstLine="0" w:firstLineChars="0"/>
              <w:jc w:val="center"/>
              <w:rPr>
                <w:sz w:val="21"/>
                <w:szCs w:val="21"/>
              </w:rPr>
            </w:pPr>
            <w:r>
              <w:rPr>
                <w:rFonts w:hint="eastAsia"/>
                <w:sz w:val="21"/>
                <w:szCs w:val="21"/>
              </w:rPr>
              <w:t>白溪</w:t>
            </w:r>
            <w:r>
              <w:rPr>
                <w:sz w:val="21"/>
                <w:szCs w:val="21"/>
              </w:rPr>
              <w:t>（约</w:t>
            </w:r>
            <w:r>
              <w:rPr>
                <w:rFonts w:hint="eastAsia"/>
                <w:sz w:val="21"/>
                <w:szCs w:val="21"/>
              </w:rPr>
              <w:t>5</w:t>
            </w:r>
            <w:r>
              <w:rPr>
                <w:sz w:val="21"/>
                <w:szCs w:val="21"/>
              </w:rPr>
              <w:t>0户，2</w:t>
            </w:r>
            <w:r>
              <w:rPr>
                <w:rFonts w:hint="eastAsia"/>
                <w:sz w:val="21"/>
                <w:szCs w:val="21"/>
              </w:rPr>
              <w:t>0</w:t>
            </w:r>
            <w:r>
              <w:rPr>
                <w:sz w:val="21"/>
                <w:szCs w:val="21"/>
              </w:rPr>
              <w:t>0人）</w:t>
            </w:r>
          </w:p>
        </w:tc>
        <w:tc>
          <w:tcPr>
            <w:tcW w:w="3487" w:type="dxa"/>
            <w:shd w:val="clear" w:color="auto" w:fill="FFFFFF"/>
            <w:vAlign w:val="center"/>
          </w:tcPr>
          <w:p>
            <w:pPr>
              <w:topLinePunct/>
              <w:spacing w:line="340" w:lineRule="exact"/>
              <w:ind w:firstLine="0" w:firstLineChars="0"/>
              <w:jc w:val="center"/>
              <w:rPr>
                <w:sz w:val="21"/>
                <w:szCs w:val="21"/>
              </w:rPr>
            </w:pPr>
            <w:r>
              <w:rPr>
                <w:rFonts w:hint="eastAsia"/>
                <w:sz w:val="21"/>
                <w:szCs w:val="21"/>
              </w:rPr>
              <w:t>位于坝址右岸东侧430m处，位于</w:t>
            </w:r>
            <w:r>
              <w:rPr>
                <w:sz w:val="21"/>
                <w:szCs w:val="21"/>
              </w:rPr>
              <w:t>弃渣场</w:t>
            </w:r>
            <w:r>
              <w:rPr>
                <w:rFonts w:hint="eastAsia"/>
                <w:sz w:val="21"/>
                <w:szCs w:val="21"/>
              </w:rPr>
              <w:t>东北</w:t>
            </w:r>
            <w:r>
              <w:rPr>
                <w:sz w:val="21"/>
                <w:szCs w:val="21"/>
              </w:rPr>
              <w:t>侧</w:t>
            </w:r>
            <w:r>
              <w:rPr>
                <w:rFonts w:hint="eastAsia"/>
                <w:sz w:val="21"/>
                <w:szCs w:val="21"/>
              </w:rPr>
              <w:t>1000</w:t>
            </w:r>
            <w:r>
              <w:rPr>
                <w:sz w:val="21"/>
                <w:szCs w:val="21"/>
              </w:rPr>
              <w:t>m</w:t>
            </w:r>
            <w:r>
              <w:rPr>
                <w:rFonts w:hint="eastAsia"/>
                <w:sz w:val="21"/>
                <w:szCs w:val="21"/>
              </w:rPr>
              <w:t>。</w:t>
            </w:r>
          </w:p>
        </w:tc>
        <w:tc>
          <w:tcPr>
            <w:tcW w:w="2323" w:type="dxa"/>
            <w:vMerge w:val="restart"/>
            <w:shd w:val="clear" w:color="auto" w:fill="FFFFFF"/>
            <w:vAlign w:val="center"/>
          </w:tcPr>
          <w:p>
            <w:pPr>
              <w:topLinePunct/>
              <w:spacing w:line="340" w:lineRule="exact"/>
              <w:ind w:firstLine="420"/>
              <w:jc w:val="center"/>
              <w:rPr>
                <w:sz w:val="21"/>
                <w:szCs w:val="21"/>
              </w:rPr>
            </w:pPr>
            <w:r>
              <w:rPr>
                <w:sz w:val="21"/>
                <w:szCs w:val="21"/>
              </w:rPr>
              <w:t>《环境空气质量标准》（</w:t>
            </w:r>
            <w:r>
              <w:rPr>
                <w:rFonts w:eastAsia="黑体"/>
                <w:sz w:val="21"/>
                <w:szCs w:val="21"/>
              </w:rPr>
              <w:t>GB3095-2012</w:t>
            </w:r>
            <w:r>
              <w:rPr>
                <w:sz w:val="21"/>
                <w:szCs w:val="21"/>
              </w:rPr>
              <w:t>）中二级标准、《声环境质量标准》(GB3096-2008)中的2类标准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68" w:type="dxa"/>
            <w:vMerge w:val="continue"/>
            <w:shd w:val="clear" w:color="auto" w:fill="FFFFFF"/>
            <w:vAlign w:val="center"/>
          </w:tcPr>
          <w:p>
            <w:pPr>
              <w:topLinePunct/>
              <w:spacing w:line="340" w:lineRule="exact"/>
              <w:ind w:firstLine="0" w:firstLineChars="0"/>
              <w:jc w:val="center"/>
              <w:rPr>
                <w:sz w:val="21"/>
                <w:szCs w:val="21"/>
              </w:rPr>
            </w:pPr>
          </w:p>
        </w:tc>
        <w:tc>
          <w:tcPr>
            <w:tcW w:w="2294" w:type="dxa"/>
            <w:shd w:val="clear" w:color="auto" w:fill="FFFFFF"/>
            <w:vAlign w:val="center"/>
          </w:tcPr>
          <w:p>
            <w:pPr>
              <w:topLinePunct/>
              <w:spacing w:line="340" w:lineRule="exact"/>
              <w:ind w:firstLine="0" w:firstLineChars="0"/>
              <w:jc w:val="center"/>
              <w:rPr>
                <w:sz w:val="21"/>
                <w:szCs w:val="21"/>
              </w:rPr>
            </w:pPr>
            <w:r>
              <w:rPr>
                <w:rFonts w:hint="eastAsia"/>
                <w:sz w:val="21"/>
                <w:szCs w:val="21"/>
              </w:rPr>
              <w:t>黄</w:t>
            </w:r>
            <w:r>
              <w:rPr>
                <w:sz w:val="21"/>
                <w:szCs w:val="21"/>
              </w:rPr>
              <w:t>家（约</w:t>
            </w:r>
            <w:r>
              <w:rPr>
                <w:rFonts w:hint="eastAsia"/>
                <w:sz w:val="21"/>
                <w:szCs w:val="21"/>
              </w:rPr>
              <w:t>30</w:t>
            </w:r>
            <w:r>
              <w:rPr>
                <w:sz w:val="21"/>
                <w:szCs w:val="21"/>
              </w:rPr>
              <w:t>户，</w:t>
            </w:r>
            <w:r>
              <w:rPr>
                <w:rFonts w:hint="eastAsia"/>
                <w:sz w:val="21"/>
                <w:szCs w:val="21"/>
              </w:rPr>
              <w:t>120</w:t>
            </w:r>
            <w:r>
              <w:rPr>
                <w:sz w:val="21"/>
                <w:szCs w:val="21"/>
              </w:rPr>
              <w:t>人）</w:t>
            </w:r>
          </w:p>
        </w:tc>
        <w:tc>
          <w:tcPr>
            <w:tcW w:w="3487" w:type="dxa"/>
            <w:shd w:val="clear" w:color="auto" w:fill="FFFFFF"/>
            <w:vAlign w:val="center"/>
          </w:tcPr>
          <w:p>
            <w:pPr>
              <w:topLinePunct/>
              <w:spacing w:line="340" w:lineRule="exact"/>
              <w:ind w:firstLine="0" w:firstLineChars="0"/>
              <w:jc w:val="center"/>
              <w:rPr>
                <w:sz w:val="21"/>
                <w:szCs w:val="21"/>
              </w:rPr>
            </w:pPr>
            <w:r>
              <w:rPr>
                <w:rFonts w:hint="eastAsia"/>
                <w:sz w:val="21"/>
                <w:szCs w:val="21"/>
              </w:rPr>
              <w:t>位于坝址右岸东北侧650m处，位于</w:t>
            </w:r>
            <w:r>
              <w:rPr>
                <w:sz w:val="21"/>
                <w:szCs w:val="21"/>
              </w:rPr>
              <w:t>弃渣场</w:t>
            </w:r>
            <w:r>
              <w:rPr>
                <w:rFonts w:hint="eastAsia"/>
                <w:sz w:val="21"/>
                <w:szCs w:val="21"/>
              </w:rPr>
              <w:t>东北</w:t>
            </w:r>
            <w:r>
              <w:rPr>
                <w:sz w:val="21"/>
                <w:szCs w:val="21"/>
              </w:rPr>
              <w:t>侧</w:t>
            </w:r>
            <w:r>
              <w:rPr>
                <w:rFonts w:hint="eastAsia"/>
                <w:sz w:val="21"/>
                <w:szCs w:val="21"/>
              </w:rPr>
              <w:t>1500</w:t>
            </w:r>
            <w:r>
              <w:rPr>
                <w:sz w:val="21"/>
                <w:szCs w:val="21"/>
              </w:rPr>
              <w:t>m</w:t>
            </w:r>
            <w:r>
              <w:rPr>
                <w:rFonts w:hint="eastAsia"/>
                <w:sz w:val="21"/>
                <w:szCs w:val="21"/>
              </w:rPr>
              <w:t>。</w:t>
            </w:r>
          </w:p>
        </w:tc>
        <w:tc>
          <w:tcPr>
            <w:tcW w:w="2323" w:type="dxa"/>
            <w:vMerge w:val="continue"/>
            <w:shd w:val="clear" w:color="auto" w:fill="FFFFFF"/>
            <w:vAlign w:val="center"/>
          </w:tcPr>
          <w:p>
            <w:pPr>
              <w:topLinePunct/>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403" w:hRule="atLeast"/>
          <w:jc w:val="center"/>
        </w:trPr>
        <w:tc>
          <w:tcPr>
            <w:tcW w:w="968" w:type="dxa"/>
            <w:vMerge w:val="continue"/>
            <w:shd w:val="clear" w:color="auto" w:fill="FFFFFF"/>
            <w:vAlign w:val="center"/>
          </w:tcPr>
          <w:p>
            <w:pPr>
              <w:topLinePunct/>
              <w:spacing w:line="340" w:lineRule="exact"/>
              <w:ind w:firstLine="0" w:firstLineChars="0"/>
              <w:jc w:val="center"/>
              <w:rPr>
                <w:sz w:val="21"/>
                <w:szCs w:val="21"/>
              </w:rPr>
            </w:pPr>
          </w:p>
        </w:tc>
        <w:tc>
          <w:tcPr>
            <w:tcW w:w="2294" w:type="dxa"/>
            <w:shd w:val="clear" w:color="auto" w:fill="FFFFFF"/>
            <w:vAlign w:val="center"/>
          </w:tcPr>
          <w:p>
            <w:pPr>
              <w:topLinePunct/>
              <w:spacing w:line="340" w:lineRule="exact"/>
              <w:ind w:firstLine="0" w:firstLineChars="0"/>
              <w:jc w:val="center"/>
              <w:rPr>
                <w:sz w:val="21"/>
                <w:szCs w:val="21"/>
              </w:rPr>
            </w:pPr>
            <w:r>
              <w:rPr>
                <w:rFonts w:hint="eastAsia"/>
                <w:sz w:val="21"/>
                <w:szCs w:val="21"/>
              </w:rPr>
              <w:t>庙前</w:t>
            </w:r>
            <w:r>
              <w:rPr>
                <w:sz w:val="21"/>
                <w:szCs w:val="21"/>
              </w:rPr>
              <w:t>（约10户，30人）</w:t>
            </w:r>
          </w:p>
        </w:tc>
        <w:tc>
          <w:tcPr>
            <w:tcW w:w="3487" w:type="dxa"/>
            <w:shd w:val="clear" w:color="auto" w:fill="FFFFFF"/>
            <w:vAlign w:val="center"/>
          </w:tcPr>
          <w:p>
            <w:pPr>
              <w:topLinePunct/>
              <w:spacing w:line="340" w:lineRule="exact"/>
              <w:ind w:firstLine="0" w:firstLineChars="0"/>
              <w:jc w:val="center"/>
              <w:rPr>
                <w:sz w:val="21"/>
                <w:szCs w:val="21"/>
              </w:rPr>
            </w:pPr>
            <w:r>
              <w:rPr>
                <w:rFonts w:hint="eastAsia"/>
                <w:sz w:val="21"/>
                <w:szCs w:val="21"/>
              </w:rPr>
              <w:t>位于坝址左岸西北侧470m处，位于2</w:t>
            </w:r>
            <w:r>
              <w:rPr>
                <w:sz w:val="21"/>
                <w:szCs w:val="21"/>
              </w:rPr>
              <w:t>#弃渣场</w:t>
            </w:r>
            <w:r>
              <w:rPr>
                <w:rFonts w:hint="eastAsia"/>
                <w:sz w:val="21"/>
                <w:szCs w:val="21"/>
              </w:rPr>
              <w:t>东南</w:t>
            </w:r>
            <w:r>
              <w:rPr>
                <w:sz w:val="21"/>
                <w:szCs w:val="21"/>
              </w:rPr>
              <w:t>侧</w:t>
            </w:r>
            <w:r>
              <w:rPr>
                <w:rFonts w:hint="eastAsia"/>
                <w:sz w:val="21"/>
                <w:szCs w:val="21"/>
              </w:rPr>
              <w:t>320</w:t>
            </w:r>
            <w:r>
              <w:rPr>
                <w:sz w:val="21"/>
                <w:szCs w:val="21"/>
              </w:rPr>
              <w:t>m</w:t>
            </w:r>
            <w:r>
              <w:rPr>
                <w:rFonts w:hint="eastAsia"/>
                <w:sz w:val="21"/>
                <w:szCs w:val="21"/>
              </w:rPr>
              <w:t>，位于施工场地东南侧270m。</w:t>
            </w:r>
          </w:p>
        </w:tc>
        <w:tc>
          <w:tcPr>
            <w:tcW w:w="2323" w:type="dxa"/>
            <w:vMerge w:val="continue"/>
            <w:shd w:val="clear" w:color="auto" w:fill="FFFFFF"/>
            <w:vAlign w:val="center"/>
          </w:tcPr>
          <w:p>
            <w:pPr>
              <w:topLinePunct/>
              <w:spacing w:line="340" w:lineRule="exact"/>
              <w:ind w:firstLine="0" w:firstLineChars="0"/>
              <w:jc w:val="center"/>
              <w:rPr>
                <w:sz w:val="21"/>
                <w:szCs w:val="21"/>
              </w:rPr>
            </w:pPr>
          </w:p>
        </w:tc>
      </w:tr>
    </w:tbl>
    <w:p>
      <w:pPr>
        <w:numPr>
          <w:ilvl w:val="0"/>
          <w:numId w:val="3"/>
        </w:numPr>
        <w:ind w:firstLine="480"/>
        <w:rPr>
          <w:color w:val="0000FF"/>
        </w:rPr>
      </w:pPr>
      <w:r>
        <w:rPr>
          <w:rFonts w:hint="eastAsia"/>
          <w:color w:val="0000FF"/>
        </w:rPr>
        <w:t>土壤环境敏感目标</w:t>
      </w:r>
    </w:p>
    <w:p>
      <w:pPr>
        <w:pStyle w:val="33"/>
        <w:spacing w:after="0"/>
        <w:ind w:firstLine="480"/>
        <w:rPr>
          <w:rFonts w:eastAsiaTheme="minorEastAsia"/>
          <w:color w:val="0000FF"/>
        </w:rPr>
      </w:pPr>
      <w:r>
        <w:rPr>
          <w:rFonts w:hint="eastAsia" w:eastAsiaTheme="minorEastAsia"/>
          <w:color w:val="0000FF"/>
        </w:rPr>
        <w:t>本工程土壤环境评价范围为各施工区四周200m范围内的土壤，施工场地四周为耕地、荒草地；本工程取土场、弃渣场占地为林地、耕地、荒草地。因此，本项目土壤评价范围内主要敏感目标各施工场地附近耕地</w:t>
      </w:r>
      <w:r>
        <w:rPr>
          <w:color w:val="0000FF"/>
        </w:rPr>
        <w:t>。</w:t>
      </w:r>
    </w:p>
    <w:p>
      <w:pPr>
        <w:ind w:firstLine="0" w:firstLineChars="0"/>
        <w:sectPr>
          <w:headerReference r:id="rId13" w:type="default"/>
          <w:pgSz w:w="11906" w:h="16838"/>
          <w:pgMar w:top="1814" w:right="1134" w:bottom="1701" w:left="1418" w:header="1134" w:footer="992" w:gutter="0"/>
          <w:cols w:space="720" w:num="1"/>
          <w:docGrid w:linePitch="326" w:charSpace="0"/>
        </w:sectPr>
      </w:pPr>
    </w:p>
    <w:p>
      <w:pPr>
        <w:pStyle w:val="5"/>
        <w:numPr>
          <w:ilvl w:val="0"/>
          <w:numId w:val="0"/>
        </w:numPr>
        <w:rPr>
          <w:rFonts w:ascii="Times New Roman"/>
        </w:rPr>
      </w:pPr>
      <w:bookmarkStart w:id="298" w:name="_Toc534386229"/>
      <w:bookmarkStart w:id="299" w:name="_Toc529278989"/>
      <w:bookmarkStart w:id="300" w:name="_Toc534895206"/>
      <w:bookmarkStart w:id="301" w:name="_Toc346522711"/>
      <w:bookmarkStart w:id="302" w:name="_Toc4501"/>
      <w:bookmarkStart w:id="303" w:name="_Toc3903208"/>
      <w:bookmarkStart w:id="304" w:name="_Toc534806988"/>
      <w:bookmarkStart w:id="305" w:name="_Toc536265071"/>
      <w:r>
        <w:rPr>
          <w:rFonts w:ascii="Times New Roman"/>
        </w:rPr>
        <w:t>第二章 工程概况</w:t>
      </w:r>
      <w:bookmarkEnd w:id="298"/>
      <w:bookmarkEnd w:id="299"/>
      <w:bookmarkEnd w:id="300"/>
      <w:bookmarkEnd w:id="301"/>
      <w:bookmarkEnd w:id="302"/>
      <w:bookmarkEnd w:id="303"/>
      <w:bookmarkEnd w:id="304"/>
      <w:bookmarkEnd w:id="305"/>
    </w:p>
    <w:p>
      <w:pPr>
        <w:pStyle w:val="6"/>
        <w:spacing w:beforeLines="50" w:afterLines="50"/>
        <w:rPr>
          <w:szCs w:val="28"/>
        </w:rPr>
      </w:pPr>
      <w:bookmarkStart w:id="306" w:name="_Toc470006889"/>
      <w:bookmarkStart w:id="307" w:name="_Toc529278990"/>
      <w:bookmarkStart w:id="308" w:name="_Toc536265072"/>
      <w:bookmarkStart w:id="309" w:name="_Toc534386230"/>
      <w:bookmarkStart w:id="310" w:name="_Toc534895207"/>
      <w:bookmarkStart w:id="311" w:name="_Toc534806989"/>
      <w:bookmarkStart w:id="312" w:name="_Toc3903209"/>
      <w:bookmarkStart w:id="313" w:name="_Toc9136"/>
      <w:bookmarkStart w:id="314" w:name="_Toc150824487"/>
      <w:bookmarkStart w:id="315" w:name="_Toc152152642"/>
      <w:bookmarkStart w:id="316" w:name="_Toc149119884"/>
      <w:bookmarkStart w:id="317" w:name="_Toc150222494"/>
      <w:bookmarkStart w:id="318" w:name="_Toc150853041"/>
      <w:bookmarkStart w:id="319" w:name="_Toc147131466"/>
      <w:bookmarkStart w:id="320" w:name="_Toc146945313"/>
      <w:bookmarkStart w:id="321" w:name="_Toc224878978"/>
      <w:bookmarkStart w:id="322" w:name="_Toc149555062"/>
      <w:bookmarkStart w:id="323" w:name="_Toc149701745"/>
      <w:bookmarkStart w:id="324" w:name="_Toc152044838"/>
      <w:bookmarkStart w:id="325" w:name="_Toc150914874"/>
      <w:bookmarkStart w:id="326" w:name="_Toc147222038"/>
      <w:bookmarkStart w:id="327" w:name="_Toc151193627"/>
      <w:bookmarkStart w:id="328" w:name="_Toc146624802"/>
      <w:bookmarkStart w:id="329" w:name="_Toc252288908"/>
      <w:bookmarkStart w:id="330" w:name="_Toc149101318"/>
      <w:bookmarkStart w:id="331" w:name="_Toc145931045"/>
      <w:bookmarkStart w:id="332" w:name="_Toc223843217"/>
      <w:bookmarkStart w:id="333" w:name="_Toc150220951"/>
      <w:bookmarkStart w:id="334" w:name="_Toc183011711"/>
      <w:bookmarkStart w:id="335" w:name="_Toc147030521"/>
      <w:bookmarkStart w:id="336" w:name="_Toc149726162"/>
      <w:bookmarkStart w:id="337" w:name="_Toc147030704"/>
      <w:bookmarkStart w:id="338" w:name="_Toc170981429"/>
      <w:bookmarkStart w:id="339" w:name="_Toc150227368"/>
      <w:bookmarkStart w:id="340" w:name="_Toc150833466"/>
      <w:bookmarkStart w:id="341" w:name="_Toc154743113"/>
      <w:bookmarkStart w:id="342" w:name="_Toc150853690"/>
      <w:bookmarkStart w:id="343" w:name="_Toc149554864"/>
      <w:bookmarkStart w:id="344" w:name="_Toc334643160"/>
      <w:bookmarkStart w:id="345" w:name="_Toc224879272"/>
      <w:bookmarkStart w:id="346" w:name="_Toc149962656"/>
      <w:bookmarkStart w:id="347" w:name="_Toc149537774"/>
      <w:bookmarkStart w:id="348" w:name="_Toc151007066"/>
      <w:bookmarkStart w:id="349" w:name="_Toc146372745"/>
      <w:bookmarkStart w:id="350" w:name="_Toc151982105"/>
      <w:bookmarkStart w:id="351" w:name="_Toc149796926"/>
      <w:bookmarkStart w:id="352" w:name="_Toc149032396"/>
      <w:bookmarkStart w:id="353" w:name="_Toc157479027"/>
      <w:bookmarkStart w:id="354" w:name="_Toc146377865"/>
      <w:bookmarkStart w:id="355" w:name="_Toc149732151"/>
      <w:bookmarkStart w:id="356" w:name="_Toc150166922"/>
      <w:bookmarkStart w:id="357" w:name="_Toc147220353"/>
      <w:bookmarkStart w:id="358" w:name="_Toc201932542"/>
      <w:bookmarkStart w:id="359" w:name="_Toc346522714"/>
      <w:r>
        <w:rPr>
          <w:szCs w:val="28"/>
        </w:rPr>
        <w:t>2.1</w:t>
      </w:r>
      <w:bookmarkEnd w:id="306"/>
      <w:bookmarkEnd w:id="307"/>
      <w:r>
        <w:rPr>
          <w:szCs w:val="28"/>
        </w:rPr>
        <w:t>流域</w:t>
      </w:r>
      <w:bookmarkEnd w:id="308"/>
      <w:bookmarkEnd w:id="309"/>
      <w:bookmarkEnd w:id="310"/>
      <w:bookmarkEnd w:id="311"/>
      <w:bookmarkEnd w:id="312"/>
      <w:r>
        <w:rPr>
          <w:rFonts w:hint="eastAsia"/>
          <w:szCs w:val="28"/>
        </w:rPr>
        <w:t>及</w:t>
      </w:r>
      <w:r>
        <w:rPr>
          <w:szCs w:val="28"/>
        </w:rPr>
        <w:t>水资源规划概况</w:t>
      </w:r>
      <w:bookmarkEnd w:id="313"/>
    </w:p>
    <w:p>
      <w:pPr>
        <w:pStyle w:val="7"/>
      </w:pPr>
      <w:r>
        <w:rPr>
          <w:rFonts w:hint="eastAsia"/>
        </w:rPr>
        <w:t>2.1.1流域概况</w:t>
      </w:r>
    </w:p>
    <w:p>
      <w:pPr>
        <w:ind w:firstLine="480"/>
      </w:pPr>
      <w:r>
        <w:t>上高县毛家渡抬水坝工程位于赣江流域锦河中游</w:t>
      </w:r>
      <w:r>
        <w:rPr>
          <w:rFonts w:hint="eastAsia"/>
        </w:rPr>
        <w:t>段</w:t>
      </w:r>
      <w:r>
        <w:t>。锦河流域位于东经114°0′11″～115°38′30″，北纬27°59′07″～28°23′10″之间，为赣江下游西岸的主要支流之一。锦河发源于湘赣交界的幕埠山脉东麓的坪子岭，自西向东流经袁洲区的慈化镇、万载、宜丰石市镇、上高、高安、丰城的药湖地区和新建淞湖地区，在新建的四峰汇入赣江。</w:t>
      </w:r>
    </w:p>
    <w:p>
      <w:pPr>
        <w:ind w:firstLine="480"/>
      </w:pPr>
      <w:r>
        <w:rPr>
          <w:rFonts w:hint="eastAsia"/>
        </w:rPr>
        <w:t>流域呈狭长叶状，地势由北向东倾斜。多数山脉为东西走向。主河道全长304.55km，干流平均坡降为1.29‰，全流域面积7884 km</w:t>
      </w:r>
      <w:r>
        <w:rPr>
          <w:rFonts w:hint="eastAsia"/>
          <w:vertAlign w:val="superscript"/>
        </w:rPr>
        <w:t>2</w:t>
      </w:r>
      <w:r>
        <w:rPr>
          <w:rFonts w:hint="eastAsia"/>
        </w:rPr>
        <w:t>。河道蜿蜒曲折，尤其是高安以下河段更为突出。局部河段呈“U”型迂回流向。锦河干流沿岸的丘陵和河谷平原相间。较大的河谷平原有株潭、潭埠、万载、徐家渡、上高、高安及下游的药湖、琉湖区。锦河支流众多，100 km</w:t>
      </w:r>
      <w:r>
        <w:rPr>
          <w:rFonts w:hint="eastAsia"/>
          <w:vertAlign w:val="superscript"/>
        </w:rPr>
        <w:t>2</w:t>
      </w:r>
      <w:r>
        <w:rPr>
          <w:rFonts w:hint="eastAsia"/>
        </w:rPr>
        <w:t>以上的支流有16条，其中北岸11条，南岸5条，以宜丰河731.2 km</w:t>
      </w:r>
      <w:r>
        <w:rPr>
          <w:rFonts w:hint="eastAsia"/>
          <w:vertAlign w:val="superscript"/>
        </w:rPr>
        <w:t>2</w:t>
      </w:r>
      <w:r>
        <w:rPr>
          <w:rFonts w:hint="eastAsia"/>
        </w:rPr>
        <w:t>为最大。</w:t>
      </w:r>
    </w:p>
    <w:p>
      <w:pPr>
        <w:ind w:firstLine="480"/>
      </w:pPr>
      <w:r>
        <w:rPr>
          <w:rFonts w:hint="eastAsia"/>
        </w:rPr>
        <w:t>上高县城区有上高水文站，该站控制流域面积4072 km</w:t>
      </w:r>
      <w:r>
        <w:rPr>
          <w:rFonts w:hint="eastAsia"/>
          <w:vertAlign w:val="superscript"/>
        </w:rPr>
        <w:t>2</w:t>
      </w:r>
      <w:r>
        <w:rPr>
          <w:rFonts w:hint="eastAsia"/>
        </w:rPr>
        <w:t>，占锦河流域面积的51.6％，在上高县城市防洪规划的河段内，在城区上游右岸有一支流（斜口水）加入，集雨面积为339 km</w:t>
      </w:r>
      <w:r>
        <w:rPr>
          <w:rFonts w:hint="eastAsia"/>
          <w:vertAlign w:val="superscript"/>
        </w:rPr>
        <w:t>2</w:t>
      </w:r>
      <w:r>
        <w:rPr>
          <w:rFonts w:hint="eastAsia"/>
        </w:rPr>
        <w:t>，河长37.2km，主河道坡降1.61‰，其余支流较小。</w:t>
      </w:r>
    </w:p>
    <w:p>
      <w:pPr>
        <w:pStyle w:val="7"/>
      </w:pPr>
      <w:r>
        <w:rPr>
          <w:rFonts w:hint="eastAsia"/>
        </w:rPr>
        <w:t>2.1.2水资源规划概况</w:t>
      </w:r>
    </w:p>
    <w:p>
      <w:pPr>
        <w:ind w:firstLine="480"/>
      </w:pPr>
      <w:r>
        <w:rPr>
          <w:rFonts w:hint="eastAsia"/>
        </w:rPr>
        <w:t>(1)</w:t>
      </w:r>
      <w:r>
        <w:t>流域规划</w:t>
      </w:r>
    </w:p>
    <w:p>
      <w:pPr>
        <w:shd w:val="clear" w:color="auto" w:fill="FFFFFF"/>
        <w:ind w:firstLine="480"/>
        <w:rPr>
          <w:kern w:val="0"/>
          <w:szCs w:val="24"/>
          <w:lang w:val="en"/>
        </w:rPr>
      </w:pPr>
      <w:r>
        <w:t>2022年，</w:t>
      </w:r>
      <w:r>
        <w:rPr>
          <w:szCs w:val="28"/>
        </w:rPr>
        <w:t>中铁水利水电规划设计集团有限公司</w:t>
      </w:r>
      <w:r>
        <w:t>编制完成了《</w:t>
      </w:r>
      <w:r>
        <w:rPr>
          <w:szCs w:val="28"/>
        </w:rPr>
        <w:t>江西省</w:t>
      </w:r>
      <w:r>
        <w:rPr>
          <w:rFonts w:hint="eastAsia"/>
          <w:szCs w:val="28"/>
        </w:rPr>
        <w:t>锦河</w:t>
      </w:r>
      <w:r>
        <w:rPr>
          <w:szCs w:val="28"/>
        </w:rPr>
        <w:t>流域综合规划修编报告</w:t>
      </w:r>
      <w:r>
        <w:t>》，流域规</w:t>
      </w:r>
      <w:r>
        <w:rPr>
          <w:kern w:val="0"/>
          <w:szCs w:val="24"/>
          <w:lang w:val="en"/>
        </w:rPr>
        <w:t>划范围为河口以上整个</w:t>
      </w:r>
      <w:r>
        <w:rPr>
          <w:rFonts w:hint="eastAsia"/>
          <w:kern w:val="0"/>
          <w:szCs w:val="24"/>
          <w:lang w:val="en"/>
        </w:rPr>
        <w:t>锦河</w:t>
      </w:r>
      <w:r>
        <w:rPr>
          <w:kern w:val="0"/>
          <w:szCs w:val="24"/>
          <w:lang w:val="en"/>
        </w:rPr>
        <w:t>流域，包含宜春市的万载县、上高县、宜丰县、高安市、丰城市、袁州区，南昌市的新建区，流域面积</w:t>
      </w:r>
      <w:r>
        <w:rPr>
          <w:kern w:val="0"/>
          <w:szCs w:val="24"/>
        </w:rPr>
        <w:t>7884</w:t>
      </w:r>
      <w:r>
        <w:rPr>
          <w:kern w:val="0"/>
          <w:szCs w:val="24"/>
          <w:lang w:val="en"/>
        </w:rPr>
        <w:t>km</w:t>
      </w:r>
      <w:r>
        <w:rPr>
          <w:kern w:val="0"/>
          <w:szCs w:val="24"/>
          <w:vertAlign w:val="superscript"/>
          <w:lang w:val="en"/>
        </w:rPr>
        <w:t>2</w:t>
      </w:r>
      <w:r>
        <w:rPr>
          <w:kern w:val="0"/>
          <w:szCs w:val="24"/>
          <w:lang w:val="en"/>
        </w:rPr>
        <w:t>。</w:t>
      </w:r>
    </w:p>
    <w:p>
      <w:pPr>
        <w:ind w:firstLine="480"/>
      </w:pPr>
      <w:r>
        <w:rPr>
          <w:rFonts w:hint="eastAsia"/>
        </w:rPr>
        <w:t>锦河</w:t>
      </w:r>
      <w:r>
        <w:t>流域治理开发与保护的主要任务是防洪</w:t>
      </w:r>
      <w:r>
        <w:rPr>
          <w:rFonts w:hint="eastAsia"/>
        </w:rPr>
        <w:t>减灾</w:t>
      </w:r>
      <w:r>
        <w:t>、灌溉、水资源与水生态环境保、河道整治及岸线利用、航运、水力发电、水土保持等</w:t>
      </w:r>
      <w:r>
        <w:rPr>
          <w:rFonts w:hint="eastAsia"/>
        </w:rPr>
        <w:t>；</w:t>
      </w:r>
      <w:r>
        <w:rPr>
          <w:lang w:val="en"/>
        </w:rPr>
        <w:t>防洪</w:t>
      </w:r>
      <w:r>
        <w:rPr>
          <w:rFonts w:hint="eastAsia"/>
          <w:lang w:val="en"/>
        </w:rPr>
        <w:t>减灾</w:t>
      </w:r>
      <w:r>
        <w:rPr>
          <w:lang w:val="en"/>
        </w:rPr>
        <w:t>规划</w:t>
      </w:r>
      <w:r>
        <w:rPr>
          <w:rFonts w:hint="eastAsia"/>
          <w:lang w:val="en"/>
        </w:rPr>
        <w:t>为加固加高干支流千亩以上玗堤总长</w:t>
      </w:r>
      <w:r>
        <w:rPr>
          <w:rFonts w:hint="eastAsia"/>
        </w:rPr>
        <w:t>252.46公里、干流河道整治115.38公里、中小河流治理河道长度47公里，新建关王亭、高村一级及南田峡等防洪水库</w:t>
      </w:r>
      <w:r>
        <w:rPr>
          <w:rFonts w:hint="eastAsia"/>
          <w:lang w:val="en"/>
        </w:rPr>
        <w:t>；</w:t>
      </w:r>
      <w:r>
        <w:rPr>
          <w:lang w:val="en"/>
        </w:rPr>
        <w:t>灌溉规划：</w:t>
      </w:r>
      <w:r>
        <w:rPr>
          <w:rFonts w:hint="eastAsia"/>
          <w:lang w:val="en"/>
        </w:rPr>
        <w:t>改造加固</w:t>
      </w:r>
      <w:r>
        <w:rPr>
          <w:rFonts w:hint="eastAsia"/>
        </w:rPr>
        <w:t>4136座水源工程，续建改造大中型灌区17座等，新建南山水库等9座灌溉水源工程；干流规划梯级5座，其中新建1座（南田峡梯级），已有4座</w:t>
      </w:r>
      <w:r>
        <w:rPr>
          <w:rFonts w:hint="eastAsia"/>
          <w:lang w:val="en"/>
        </w:rPr>
        <w:t>；</w:t>
      </w:r>
      <w:r>
        <w:rPr>
          <w:lang w:val="en"/>
        </w:rPr>
        <w:t>供水规划：改扩建水厂</w:t>
      </w:r>
      <w:r>
        <w:rPr>
          <w:rFonts w:hint="eastAsia"/>
        </w:rPr>
        <w:t>20</w:t>
      </w:r>
      <w:r>
        <w:rPr>
          <w:lang w:val="en"/>
        </w:rPr>
        <w:t>座，</w:t>
      </w:r>
      <w:r>
        <w:rPr>
          <w:rFonts w:hint="eastAsia"/>
          <w:lang w:val="en"/>
        </w:rPr>
        <w:t>水厂管网延伸</w:t>
      </w:r>
      <w:r>
        <w:rPr>
          <w:rFonts w:hint="eastAsia"/>
        </w:rPr>
        <w:t>1座，1000吨以上农村自来水工程27座，应急备用水源水源工程11处等</w:t>
      </w:r>
      <w:r>
        <w:rPr>
          <w:rFonts w:hint="eastAsia"/>
          <w:lang w:val="en"/>
        </w:rPr>
        <w:t>；</w:t>
      </w:r>
      <w:r>
        <w:rPr>
          <w:lang w:val="en"/>
        </w:rPr>
        <w:t>水资源与水生态环境保护规划：提出</w:t>
      </w:r>
      <w:r>
        <w:rPr>
          <w:rFonts w:hint="eastAsia"/>
          <w:lang w:val="en"/>
        </w:rPr>
        <w:t>流域内地表水监测断面、集中式饮用水水源水质达标率与生态环境保护规划相衔接；航运规划主要为锦河干流上高至高安</w:t>
      </w:r>
      <w:r>
        <w:rPr>
          <w:rFonts w:hint="eastAsia"/>
        </w:rPr>
        <w:t>77.5公里达到七级航道，干流万载至上高72公里和支流耶溪河宜丰至凌江口16.5公里等外航道</w:t>
      </w:r>
      <w:r>
        <w:rPr>
          <w:rStyle w:val="96"/>
          <w:rFonts w:hint="eastAsia"/>
          <w:spacing w:val="20"/>
          <w:kern w:val="10"/>
        </w:rPr>
        <w:t>，</w:t>
      </w:r>
      <w:r>
        <w:rPr>
          <w:rStyle w:val="96"/>
          <w:rFonts w:hint="eastAsia"/>
          <w:spacing w:val="20"/>
          <w:kern w:val="10"/>
          <w:sz w:val="24"/>
          <w:szCs w:val="24"/>
        </w:rPr>
        <w:t>规划内航道主要为服务区域内短距离的货物运输和水上旅游客运，同时本抬水坝</w:t>
      </w:r>
      <w:r>
        <w:rPr>
          <w:rFonts w:hint="eastAsia"/>
        </w:rPr>
        <w:t>坝址右岸滩地较宽，利于远期有航道要求时新建船闸，</w:t>
      </w:r>
      <w:r>
        <w:rPr>
          <w:rStyle w:val="96"/>
          <w:rFonts w:hint="eastAsia"/>
          <w:spacing w:val="20"/>
          <w:kern w:val="10"/>
          <w:sz w:val="24"/>
          <w:szCs w:val="24"/>
        </w:rPr>
        <w:t>因此本工程对航运影响较小</w:t>
      </w:r>
      <w:r>
        <w:rPr>
          <w:rFonts w:hint="eastAsia"/>
          <w:lang w:val="en"/>
        </w:rPr>
        <w:t>；</w:t>
      </w:r>
      <w:r>
        <w:rPr>
          <w:lang w:val="en"/>
        </w:rPr>
        <w:t>水力发电规划：</w:t>
      </w:r>
      <w:r>
        <w:rPr>
          <w:rFonts w:hint="eastAsia"/>
          <w:lang w:val="en"/>
        </w:rPr>
        <w:t>取消水力规划发电规划中的锦润、毛家渡和瑞洲梯级，支流水电开发已纳入《江西省中小河流水能资源开发规划修编（赣江流域）环境影响报告书》；</w:t>
      </w:r>
      <w:r>
        <w:rPr>
          <w:lang w:val="en"/>
        </w:rPr>
        <w:t>水土保持生态建设规划：</w:t>
      </w:r>
      <w:r>
        <w:rPr>
          <w:rFonts w:hint="eastAsia"/>
          <w:lang w:val="en"/>
        </w:rPr>
        <w:t>新增完成</w:t>
      </w:r>
      <w:r>
        <w:rPr>
          <w:lang w:val="en"/>
        </w:rPr>
        <w:t>水土流失综合治理面积</w:t>
      </w:r>
      <w:r>
        <w:rPr>
          <w:rFonts w:hint="eastAsia"/>
        </w:rPr>
        <w:t>480.94k</w:t>
      </w:r>
      <w:r>
        <w:rPr>
          <w:lang w:val="en"/>
        </w:rPr>
        <w:t>m</w:t>
      </w:r>
      <w:r>
        <w:rPr>
          <w:vertAlign w:val="superscript"/>
          <w:lang w:val="en"/>
        </w:rPr>
        <w:t>2</w:t>
      </w:r>
      <w:r>
        <w:rPr>
          <w:lang w:val="en"/>
        </w:rPr>
        <w:t>，开展水土保持</w:t>
      </w:r>
      <w:r>
        <w:rPr>
          <w:rFonts w:hint="eastAsia"/>
          <w:lang w:val="en"/>
        </w:rPr>
        <w:t>预防保护面积</w:t>
      </w:r>
      <w:r>
        <w:rPr>
          <w:rFonts w:hint="eastAsia"/>
        </w:rPr>
        <w:t>214.91k</w:t>
      </w:r>
      <w:r>
        <w:rPr>
          <w:lang w:val="en"/>
        </w:rPr>
        <w:t>m</w:t>
      </w:r>
      <w:r>
        <w:rPr>
          <w:vertAlign w:val="superscript"/>
          <w:lang w:val="en"/>
        </w:rPr>
        <w:t>2</w:t>
      </w:r>
      <w:r>
        <w:rPr>
          <w:rFonts w:hint="eastAsia"/>
        </w:rPr>
        <w:t>。</w:t>
      </w:r>
    </w:p>
    <w:p>
      <w:pPr>
        <w:ind w:firstLine="480"/>
      </w:pPr>
      <w:r>
        <w:t>拟建</w:t>
      </w:r>
      <w:r>
        <w:rPr>
          <w:rFonts w:hint="eastAsia"/>
        </w:rPr>
        <w:t>毛家渡</w:t>
      </w:r>
      <w:r>
        <w:t>抬水工程旨在通过抬高</w:t>
      </w:r>
      <w:r>
        <w:rPr>
          <w:rFonts w:hint="eastAsia"/>
        </w:rPr>
        <w:t>上</w:t>
      </w:r>
      <w:r>
        <w:t>游城区河道水位，美化城市环境，</w:t>
      </w:r>
      <w:r>
        <w:rPr>
          <w:rFonts w:hint="eastAsia"/>
        </w:rPr>
        <w:t>符合锦河</w:t>
      </w:r>
      <w:r>
        <w:t>流域治理开发与保护的主要任务</w:t>
      </w:r>
      <w:r>
        <w:rPr>
          <w:rFonts w:hint="eastAsia"/>
        </w:rPr>
        <w:t>，符合锦河流域规划。该工程</w:t>
      </w:r>
      <w:r>
        <w:t>位于</w:t>
      </w:r>
      <w:r>
        <w:rPr>
          <w:rFonts w:hint="eastAsia"/>
        </w:rPr>
        <w:t>锦河大桥</w:t>
      </w:r>
      <w:r>
        <w:t>下游约</w:t>
      </w:r>
      <w:r>
        <w:rPr>
          <w:rFonts w:hint="eastAsia"/>
        </w:rPr>
        <w:t>1.8</w:t>
      </w:r>
      <w:r>
        <w:t>km</w:t>
      </w:r>
      <w:r>
        <w:rPr>
          <w:rFonts w:hint="eastAsia"/>
        </w:rPr>
        <w:t>，处于</w:t>
      </w:r>
      <w:r>
        <w:t>《江西省</w:t>
      </w:r>
      <w:r>
        <w:rPr>
          <w:rFonts w:hint="eastAsia"/>
        </w:rPr>
        <w:t>锦河</w:t>
      </w:r>
      <w:r>
        <w:t>河流流域综合规划修编报告》</w:t>
      </w:r>
      <w:r>
        <w:rPr>
          <w:rFonts w:hint="eastAsia"/>
        </w:rPr>
        <w:t>中。</w:t>
      </w:r>
    </w:p>
    <w:p>
      <w:pPr>
        <w:ind w:firstLine="480"/>
      </w:pPr>
      <w:r>
        <w:rPr>
          <w:rFonts w:hint="eastAsia"/>
        </w:rPr>
        <w:t>（2）上高县城乡供水保障工程</w:t>
      </w:r>
    </w:p>
    <w:p>
      <w:pPr>
        <w:ind w:firstLine="480"/>
        <w:rPr>
          <w:color w:val="0000FF"/>
        </w:rPr>
      </w:pPr>
      <w:r>
        <w:rPr>
          <w:rFonts w:hint="eastAsia"/>
        </w:rPr>
        <w:t>根据《上高县城乡供水保障工程可行性研究报告》中相关内容：“新建中型闸坝毛家渡抬水坝一座，加固提升改造小型水库61座，扩建改造县城水厂及10座乡镇千吨万人规模水厂（包括泗溪第一水厂、泗溪第二水厂、新界埠集镇水厂、蒙山集镇水厂、南港镇水厂、翰堂集镇水厂、徐家渡集镇水厂、墨山乡镇水厂、镇渡集镇水厂、田心集镇水厂），敷设输配水PE管网约708.6km，新建、改建中途加压泵站26座，同步建设水厂信息化、水质状况实时监测等”。</w:t>
      </w:r>
      <w:r>
        <w:rPr>
          <w:rFonts w:hint="eastAsia"/>
          <w:color w:val="0000FF"/>
        </w:rPr>
        <w:t>本项目抬高城区水位，有利于城区取水条件，属于供水保障工程，符合相关规范要求。</w:t>
      </w:r>
    </w:p>
    <w:p>
      <w:pPr>
        <w:ind w:firstLine="480"/>
        <w:rPr>
          <w:color w:val="0000FF"/>
        </w:rPr>
      </w:pPr>
      <w:r>
        <w:rPr>
          <w:rFonts w:hint="eastAsia"/>
          <w:color w:val="0000FF"/>
        </w:rPr>
        <w:t>（3）</w:t>
      </w:r>
      <w:r>
        <w:rPr>
          <w:color w:val="0000FF"/>
        </w:rPr>
        <w:t>专项规划</w:t>
      </w:r>
    </w:p>
    <w:p>
      <w:pPr>
        <w:ind w:firstLine="480"/>
        <w:rPr>
          <w:color w:val="0000FF"/>
        </w:rPr>
      </w:pPr>
      <w:r>
        <w:rPr>
          <w:color w:val="0000FF"/>
        </w:rPr>
        <w:t>根据《江西省</w:t>
      </w:r>
      <w:r>
        <w:rPr>
          <w:rFonts w:hint="eastAsia"/>
          <w:color w:val="0000FF"/>
        </w:rPr>
        <w:t>上高</w:t>
      </w:r>
      <w:r>
        <w:rPr>
          <w:color w:val="0000FF"/>
        </w:rPr>
        <w:t>县城市防洪</w:t>
      </w:r>
      <w:r>
        <w:rPr>
          <w:rFonts w:hint="eastAsia"/>
          <w:color w:val="0000FF"/>
        </w:rPr>
        <w:t>排涝</w:t>
      </w:r>
      <w:r>
        <w:rPr>
          <w:color w:val="0000FF"/>
        </w:rPr>
        <w:t>规划报告》（二0一二年）中相关内容，根据</w:t>
      </w:r>
      <w:r>
        <w:rPr>
          <w:rFonts w:hint="eastAsia"/>
          <w:color w:val="0000FF"/>
        </w:rPr>
        <w:t>上高</w:t>
      </w:r>
      <w:r>
        <w:rPr>
          <w:color w:val="0000FF"/>
        </w:rPr>
        <w:t>县城市规划安排，拟在</w:t>
      </w:r>
      <w:r>
        <w:rPr>
          <w:rFonts w:hint="eastAsia"/>
          <w:color w:val="0000FF"/>
        </w:rPr>
        <w:t>锦</w:t>
      </w:r>
      <w:r>
        <w:rPr>
          <w:color w:val="0000FF"/>
        </w:rPr>
        <w:t>河</w:t>
      </w:r>
      <w:r>
        <w:rPr>
          <w:rFonts w:hint="eastAsia"/>
          <w:color w:val="0000FF"/>
        </w:rPr>
        <w:t>毛家渡</w:t>
      </w:r>
      <w:r>
        <w:rPr>
          <w:color w:val="0000FF"/>
        </w:rPr>
        <w:t>兴建抬水坝及公路桥等涉水建筑物。涉水建筑物建设之前，需进行防洪影响分析。本次抬水工程挡水高度约为3.9m（上游正常蓄水</w:t>
      </w:r>
      <w:r>
        <w:rPr>
          <w:rFonts w:hint="eastAsia"/>
          <w:color w:val="0000FF"/>
        </w:rPr>
        <w:t>44.5</w:t>
      </w:r>
      <w:r>
        <w:rPr>
          <w:color w:val="0000FF"/>
        </w:rPr>
        <w:t>m），按枯水期升坝挡水，汛期塌坝行洪控制运行，在汛期时对河道行洪影响不大，从行洪角度可以满足相关规范要求</w:t>
      </w:r>
      <w:r>
        <w:rPr>
          <w:rFonts w:hint="eastAsia"/>
          <w:color w:val="0000FF"/>
        </w:rPr>
        <w:t>。</w:t>
      </w:r>
    </w:p>
    <w:p>
      <w:pPr>
        <w:ind w:firstLine="480"/>
        <w:rPr>
          <w:color w:val="0000FF"/>
        </w:rPr>
      </w:pPr>
      <w:r>
        <w:rPr>
          <w:rFonts w:hint="eastAsia"/>
          <w:color w:val="0000FF"/>
        </w:rPr>
        <w:t>本抬水坝左岸属上高县城防洪工程（上高县城防洪工程（镜山大桥-毛家渡左岸段），为4 级建筑物，设计洪水标准为20 年一遇 (P=5%)；右岸堤防属光明堤（已加固），为5 级建筑物，设计洪水标准为10 年一遇 (P=5%)。两岸防洪工程都是可研中推荐坝址来计算的洪水，在规划新建先锋大桥位置以上的防洪设施均考虑了新建抬水工程的影响。</w:t>
      </w:r>
    </w:p>
    <w:p>
      <w:pPr>
        <w:pStyle w:val="7"/>
      </w:pPr>
      <w:r>
        <w:t>2.1.3</w:t>
      </w:r>
      <w:r>
        <w:rPr>
          <w:rFonts w:hint="eastAsia"/>
        </w:rPr>
        <w:t>规划环评概况</w:t>
      </w:r>
    </w:p>
    <w:p>
      <w:pPr>
        <w:ind w:firstLine="480"/>
        <w:rPr>
          <w:color w:val="0000FF"/>
        </w:rPr>
      </w:pPr>
      <w:bookmarkStart w:id="360" w:name="_Toc529278995"/>
      <w:bookmarkStart w:id="361" w:name="_Toc536265073"/>
      <w:bookmarkStart w:id="362" w:name="_Toc3903210"/>
      <w:bookmarkStart w:id="363" w:name="_Toc534895208"/>
      <w:bookmarkStart w:id="364" w:name="_Toc534386231"/>
      <w:bookmarkStart w:id="365" w:name="_Toc534806990"/>
      <w:r>
        <w:rPr>
          <w:color w:val="0000FF"/>
        </w:rPr>
        <w:t>20</w:t>
      </w:r>
      <w:r>
        <w:rPr>
          <w:rFonts w:hint="eastAsia"/>
          <w:color w:val="0000FF"/>
        </w:rPr>
        <w:t>21年10月，</w:t>
      </w:r>
      <w:r>
        <w:rPr>
          <w:rFonts w:hint="eastAsia"/>
          <w:color w:val="0000FF"/>
          <w:lang w:val="en"/>
        </w:rPr>
        <w:t>中铁水利水电规划设计集团有限公司</w:t>
      </w:r>
      <w:r>
        <w:rPr>
          <w:rFonts w:hint="eastAsia"/>
          <w:color w:val="0000FF"/>
        </w:rPr>
        <w:t>编制完成《</w:t>
      </w:r>
      <w:r>
        <w:rPr>
          <w:color w:val="0000FF"/>
        </w:rPr>
        <w:t>江西省</w:t>
      </w:r>
      <w:r>
        <w:rPr>
          <w:rFonts w:hint="eastAsia"/>
          <w:color w:val="0000FF"/>
        </w:rPr>
        <w:t>锦河</w:t>
      </w:r>
      <w:r>
        <w:rPr>
          <w:color w:val="0000FF"/>
        </w:rPr>
        <w:t>流域综合规划修编报告</w:t>
      </w:r>
      <w:r>
        <w:rPr>
          <w:rFonts w:hint="eastAsia"/>
          <w:color w:val="0000FF"/>
        </w:rPr>
        <w:t>环境影响报告书》；</w:t>
      </w:r>
      <w:r>
        <w:rPr>
          <w:rFonts w:hint="eastAsia" w:ascii="宋体" w:hAnsi="宋体"/>
          <w:color w:val="0000FF"/>
          <w:szCs w:val="28"/>
        </w:rPr>
        <w:t>2021年11月4日，江西省江河流域综合规划修编联席会议办公室在南昌市主持召开了《江西省锦江流域综合规划修编报告》(送审稿)审查会，并获得江西省生态环境厅关于《江西省锦江流域综合规划修编报告环境影响报告书》的审查意见的函（赣环环评函[2022]3号）。根据江西省生态环境厅关于《江西省锦江流域综合规划修编报告环境影响报告书》的审查意见的函：“进一步开展万载县、上高县景观抬水坝工程建设的必要性研究和可行性专题论证，并优化调整，避让生态敏感区。”，本工程可行性研究报告从国民经济与社会发展、航运预留、选址等对此进行了专题论证，首先，</w:t>
      </w:r>
      <w:r>
        <w:rPr>
          <w:color w:val="0000FF"/>
          <w:szCs w:val="28"/>
        </w:rPr>
        <w:t>国民经济与社会发展对本工程建设的要求，城市健康有序、生态有机、可持续地发展，营造城区河道水体景观及人水和谐的亲水环境，助力幸福河湖建设，提升城市品位，急需将上高县城区锦河水位抬高，同时也是上高县滨水滨江公园项目顺利开展的需要；其次，本工程的建设，可大大抬高锦河上高段约14km 河道水位，主航道内水深普遍都在4m 以上，远高于《内河通航标准》GB 50139-2014 规范所规定的航道水深1.4m 的要求，且船舶通行河面宽度也大为拓宽，通航条件明显得到改善；最后，从地形地质条件、水流条件、防洪等优化选址，本工程位于锦河大桥下游1.8km，不在生态敏感区。</w:t>
      </w:r>
      <w:r>
        <w:rPr>
          <w:rFonts w:hint="eastAsia" w:ascii="宋体" w:hAnsi="宋体"/>
          <w:color w:val="0000FF"/>
          <w:szCs w:val="28"/>
        </w:rPr>
        <w:t>同时项目可行性研究报告已获得上高县发展</w:t>
      </w:r>
      <w:r>
        <w:rPr>
          <w:rFonts w:hint="eastAsia" w:ascii="宋体" w:hAnsi="宋体"/>
          <w:color w:val="0000FF"/>
          <w:szCs w:val="28"/>
          <w:lang w:eastAsia="zh-CN"/>
        </w:rPr>
        <w:t>和</w:t>
      </w:r>
      <w:r>
        <w:rPr>
          <w:rFonts w:hint="eastAsia" w:ascii="宋体" w:hAnsi="宋体"/>
          <w:color w:val="0000FF"/>
          <w:szCs w:val="28"/>
        </w:rPr>
        <w:t>改革委员会关于《上高县毛家渡抬水坝工程可行性研究报告的批复》（批复号：上发改农字[2022]13号），因此，本项目符合规划环评内容</w:t>
      </w:r>
      <w:r>
        <w:rPr>
          <w:rFonts w:hint="eastAsia"/>
          <w:color w:val="0000FF"/>
        </w:rPr>
        <w:t>。</w:t>
      </w:r>
    </w:p>
    <w:p>
      <w:pPr>
        <w:pStyle w:val="6"/>
        <w:rPr>
          <w:szCs w:val="28"/>
        </w:rPr>
      </w:pPr>
      <w:bookmarkStart w:id="366" w:name="_Toc13119"/>
      <w:r>
        <w:rPr>
          <w:szCs w:val="28"/>
        </w:rPr>
        <w:t>2.2工程</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60"/>
      <w:r>
        <w:rPr>
          <w:szCs w:val="28"/>
        </w:rPr>
        <w:t>地理位置</w:t>
      </w:r>
      <w:bookmarkEnd w:id="361"/>
      <w:bookmarkEnd w:id="362"/>
      <w:bookmarkEnd w:id="363"/>
      <w:bookmarkEnd w:id="364"/>
      <w:bookmarkEnd w:id="365"/>
      <w:bookmarkEnd w:id="366"/>
    </w:p>
    <w:p>
      <w:pPr>
        <w:adjustRightInd w:val="0"/>
        <w:snapToGrid w:val="0"/>
        <w:ind w:firstLine="480"/>
        <w:rPr>
          <w:snapToGrid w:val="0"/>
          <w:color w:val="0000FF"/>
        </w:rPr>
      </w:pPr>
      <w:r>
        <w:rPr>
          <w:rFonts w:hint="eastAsia"/>
          <w:color w:val="0000FF"/>
        </w:rPr>
        <w:t>上高</w:t>
      </w:r>
      <w:r>
        <w:rPr>
          <w:color w:val="0000FF"/>
        </w:rPr>
        <w:t>县</w:t>
      </w:r>
      <w:r>
        <w:rPr>
          <w:rFonts w:hint="eastAsia"/>
          <w:color w:val="0000FF"/>
        </w:rPr>
        <w:t>毛家渡</w:t>
      </w:r>
      <w:r>
        <w:rPr>
          <w:color w:val="0000FF"/>
        </w:rPr>
        <w:t>抬水工程位于</w:t>
      </w:r>
      <w:r>
        <w:rPr>
          <w:rFonts w:hint="eastAsia"/>
          <w:color w:val="0000FF"/>
        </w:rPr>
        <w:t>上高</w:t>
      </w:r>
      <w:r>
        <w:rPr>
          <w:color w:val="0000FF"/>
        </w:rPr>
        <w:t>县城东</w:t>
      </w:r>
      <w:r>
        <w:rPr>
          <w:rFonts w:hint="eastAsia"/>
          <w:color w:val="0000FF"/>
        </w:rPr>
        <w:t>面</w:t>
      </w:r>
      <w:r>
        <w:rPr>
          <w:color w:val="0000FF"/>
        </w:rPr>
        <w:t>，</w:t>
      </w:r>
      <w:r>
        <w:rPr>
          <w:rFonts w:hint="eastAsia"/>
          <w:color w:val="0000FF"/>
        </w:rPr>
        <w:t>锦河</w:t>
      </w:r>
      <w:r>
        <w:rPr>
          <w:color w:val="0000FF"/>
        </w:rPr>
        <w:t>大桥下游约</w:t>
      </w:r>
      <w:r>
        <w:rPr>
          <w:rFonts w:hint="eastAsia"/>
          <w:color w:val="0000FF"/>
        </w:rPr>
        <w:t>1.8k</w:t>
      </w:r>
      <w:r>
        <w:rPr>
          <w:color w:val="0000FF"/>
        </w:rPr>
        <w:t>m处，中心地理坐标为：N28°</w:t>
      </w:r>
      <w:r>
        <w:rPr>
          <w:rFonts w:hint="eastAsia"/>
          <w:color w:val="0000FF"/>
        </w:rPr>
        <w:t>14</w:t>
      </w:r>
      <w:r>
        <w:rPr>
          <w:rFonts w:hint="eastAsia" w:ascii="微软雅黑" w:hAnsi="微软雅黑" w:eastAsia="微软雅黑" w:cs="微软雅黑"/>
          <w:color w:val="0000FF"/>
        </w:rPr>
        <w:t>'</w:t>
      </w:r>
      <w:r>
        <w:rPr>
          <w:rFonts w:hint="eastAsia"/>
          <w:color w:val="0000FF"/>
        </w:rPr>
        <w:t>33.19</w:t>
      </w:r>
      <w:r>
        <w:rPr>
          <w:rFonts w:hint="eastAsia" w:ascii="微软雅黑" w:hAnsi="微软雅黑" w:eastAsia="微软雅黑" w:cs="微软雅黑"/>
          <w:color w:val="0000FF"/>
        </w:rPr>
        <w:t>"</w:t>
      </w:r>
      <w:r>
        <w:rPr>
          <w:color w:val="0000FF"/>
        </w:rPr>
        <w:t>，E11</w:t>
      </w:r>
      <w:r>
        <w:rPr>
          <w:rFonts w:hint="eastAsia"/>
          <w:color w:val="0000FF"/>
        </w:rPr>
        <w:t>4</w:t>
      </w:r>
      <w:r>
        <w:rPr>
          <w:color w:val="0000FF"/>
        </w:rPr>
        <w:t>°</w:t>
      </w:r>
      <w:r>
        <w:rPr>
          <w:rFonts w:hint="eastAsia"/>
          <w:color w:val="0000FF"/>
        </w:rPr>
        <w:t>57</w:t>
      </w:r>
      <w:r>
        <w:rPr>
          <w:rFonts w:hint="eastAsia" w:ascii="微软雅黑" w:hAnsi="微软雅黑" w:eastAsia="微软雅黑" w:cs="微软雅黑"/>
          <w:color w:val="0000FF"/>
        </w:rPr>
        <w:t>'</w:t>
      </w:r>
      <w:r>
        <w:rPr>
          <w:rFonts w:hint="eastAsia"/>
          <w:color w:val="0000FF"/>
        </w:rPr>
        <w:t>52.07</w:t>
      </w:r>
      <w:r>
        <w:rPr>
          <w:rFonts w:hint="eastAsia" w:ascii="微软雅黑" w:hAnsi="微软雅黑" w:eastAsia="微软雅黑" w:cs="微软雅黑"/>
          <w:color w:val="0000FF"/>
        </w:rPr>
        <w:t>"</w:t>
      </w:r>
      <w:r>
        <w:rPr>
          <w:color w:val="0000FF"/>
        </w:rPr>
        <w:t>。</w:t>
      </w:r>
      <w:r>
        <w:rPr>
          <w:snapToGrid w:val="0"/>
          <w:color w:val="0000FF"/>
        </w:rPr>
        <w:t>拟建抬水坝位于</w:t>
      </w:r>
      <w:r>
        <w:rPr>
          <w:rFonts w:hint="eastAsia"/>
          <w:snapToGrid w:val="0"/>
          <w:color w:val="0000FF"/>
        </w:rPr>
        <w:t>锦河</w:t>
      </w:r>
      <w:r>
        <w:rPr>
          <w:snapToGrid w:val="0"/>
          <w:color w:val="0000FF"/>
        </w:rPr>
        <w:t>干流，拟建坝址上游约</w:t>
      </w:r>
      <w:r>
        <w:rPr>
          <w:rFonts w:hint="eastAsia"/>
          <w:snapToGrid w:val="0"/>
          <w:color w:val="0000FF"/>
        </w:rPr>
        <w:t>14</w:t>
      </w:r>
      <w:r>
        <w:rPr>
          <w:snapToGrid w:val="0"/>
          <w:color w:val="0000FF"/>
        </w:rPr>
        <w:t>km处有</w:t>
      </w:r>
      <w:r>
        <w:rPr>
          <w:rFonts w:hint="eastAsia"/>
          <w:snapToGrid w:val="0"/>
          <w:color w:val="0000FF"/>
        </w:rPr>
        <w:t>团结水电站浆砌块石重力坝</w:t>
      </w:r>
      <w:r>
        <w:rPr>
          <w:snapToGrid w:val="0"/>
          <w:color w:val="0000FF"/>
        </w:rPr>
        <w:t>，下游约</w:t>
      </w:r>
      <w:r>
        <w:rPr>
          <w:rFonts w:hint="eastAsia"/>
          <w:snapToGrid w:val="0"/>
          <w:color w:val="0000FF"/>
        </w:rPr>
        <w:t>14.8</w:t>
      </w:r>
      <w:r>
        <w:rPr>
          <w:snapToGrid w:val="0"/>
          <w:color w:val="0000FF"/>
        </w:rPr>
        <w:t>km处有</w:t>
      </w:r>
      <w:r>
        <w:rPr>
          <w:rFonts w:hint="eastAsia"/>
          <w:snapToGrid w:val="0"/>
          <w:color w:val="0000FF"/>
        </w:rPr>
        <w:t>上高利高水电站橡胶坝</w:t>
      </w:r>
      <w:r>
        <w:rPr>
          <w:snapToGrid w:val="0"/>
          <w:color w:val="0000FF"/>
        </w:rPr>
        <w:t>。</w:t>
      </w:r>
      <w:r>
        <w:rPr>
          <w:rFonts w:hint="eastAsia"/>
          <w:snapToGrid w:val="0"/>
          <w:color w:val="0000FF"/>
        </w:rPr>
        <w:t>具体位置详见</w:t>
      </w:r>
      <w:r>
        <w:rPr>
          <w:color w:val="0000FF"/>
          <w:spacing w:val="-8"/>
        </w:rPr>
        <w:t>附图一地理位置图</w:t>
      </w:r>
      <w:r>
        <w:rPr>
          <w:rFonts w:hint="eastAsia"/>
          <w:snapToGrid w:val="0"/>
          <w:color w:val="0000FF"/>
        </w:rPr>
        <w:t>。</w:t>
      </w:r>
    </w:p>
    <w:p>
      <w:pPr>
        <w:adjustRightInd w:val="0"/>
        <w:snapToGrid w:val="0"/>
        <w:ind w:firstLine="480"/>
        <w:rPr>
          <w:snapToGrid w:val="0"/>
          <w:color w:val="0000FF"/>
        </w:rPr>
      </w:pPr>
      <w:r>
        <w:rPr>
          <w:rFonts w:hint="eastAsia"/>
          <w:snapToGrid w:val="0"/>
          <w:color w:val="0000FF"/>
        </w:rPr>
        <w:t>团结水电站溢流坝为浆砌块石重力坝</w:t>
      </w:r>
      <w:r>
        <w:rPr>
          <w:snapToGrid w:val="0"/>
          <w:color w:val="0000FF"/>
        </w:rPr>
        <w:t>，</w:t>
      </w:r>
      <w:r>
        <w:rPr>
          <w:rFonts w:hint="eastAsia"/>
          <w:snapToGrid w:val="0"/>
          <w:color w:val="0000FF"/>
        </w:rPr>
        <w:t>始建于1977年，于1979年建成运营至今</w:t>
      </w:r>
      <w:r>
        <w:rPr>
          <w:color w:val="0000FF"/>
        </w:rPr>
        <w:t>已，</w:t>
      </w:r>
      <w:r>
        <w:rPr>
          <w:rFonts w:hint="eastAsia"/>
          <w:snapToGrid w:val="0"/>
          <w:color w:val="0000FF"/>
        </w:rPr>
        <w:t>该电站是引水式水电站，</w:t>
      </w:r>
      <w:r>
        <w:rPr>
          <w:color w:val="0000FF"/>
        </w:rPr>
        <w:t>装机容量为4×250kw</w:t>
      </w:r>
      <w:r>
        <w:rPr>
          <w:rFonts w:hint="eastAsia"/>
          <w:color w:val="0000FF"/>
        </w:rPr>
        <w:t xml:space="preserve"> ，多年平均发电量为328.2万kW·h</w:t>
      </w:r>
      <w:r>
        <w:rPr>
          <w:rFonts w:hint="eastAsia"/>
          <w:snapToGrid w:val="0"/>
          <w:color w:val="0000FF"/>
        </w:rPr>
        <w:t>。</w:t>
      </w:r>
    </w:p>
    <w:p>
      <w:pPr>
        <w:adjustRightInd w:val="0"/>
        <w:snapToGrid w:val="0"/>
        <w:ind w:firstLine="480"/>
        <w:rPr>
          <w:snapToGrid w:val="0"/>
          <w:color w:val="0000FF"/>
        </w:rPr>
      </w:pPr>
      <w:r>
        <w:rPr>
          <w:rFonts w:hint="eastAsia"/>
          <w:snapToGrid w:val="0"/>
          <w:color w:val="0000FF"/>
        </w:rPr>
        <w:t>利高水电站橡胶</w:t>
      </w:r>
      <w:r>
        <w:rPr>
          <w:snapToGrid w:val="0"/>
          <w:color w:val="0000FF"/>
        </w:rPr>
        <w:t>坝</w:t>
      </w:r>
      <w:r>
        <w:rPr>
          <w:rFonts w:hint="eastAsia"/>
          <w:snapToGrid w:val="0"/>
          <w:color w:val="0000FF"/>
        </w:rPr>
        <w:t>总</w:t>
      </w:r>
      <w:r>
        <w:rPr>
          <w:snapToGrid w:val="0"/>
          <w:color w:val="0000FF"/>
        </w:rPr>
        <w:t>坝长</w:t>
      </w:r>
      <w:r>
        <w:rPr>
          <w:rFonts w:hint="eastAsia"/>
          <w:snapToGrid w:val="0"/>
          <w:color w:val="0000FF"/>
        </w:rPr>
        <w:t>64</w:t>
      </w:r>
      <w:r>
        <w:rPr>
          <w:snapToGrid w:val="0"/>
          <w:color w:val="0000FF"/>
        </w:rPr>
        <w:t>m，分</w:t>
      </w:r>
      <w:r>
        <w:rPr>
          <w:rFonts w:hint="eastAsia"/>
          <w:snapToGrid w:val="0"/>
          <w:color w:val="0000FF"/>
        </w:rPr>
        <w:t>2</w:t>
      </w:r>
      <w:r>
        <w:rPr>
          <w:snapToGrid w:val="0"/>
          <w:color w:val="0000FF"/>
        </w:rPr>
        <w:t>跨，单跨6</w:t>
      </w:r>
      <w:r>
        <w:rPr>
          <w:rFonts w:hint="eastAsia"/>
          <w:snapToGrid w:val="0"/>
          <w:color w:val="0000FF"/>
        </w:rPr>
        <w:t>4</w:t>
      </w:r>
      <w:r>
        <w:rPr>
          <w:snapToGrid w:val="0"/>
          <w:color w:val="0000FF"/>
        </w:rPr>
        <w:t>米，橡胶坝底板高程</w:t>
      </w:r>
      <w:r>
        <w:rPr>
          <w:rFonts w:hint="eastAsia"/>
          <w:snapToGrid w:val="0"/>
          <w:color w:val="0000FF"/>
        </w:rPr>
        <w:t>38.2</w:t>
      </w:r>
      <w:r>
        <w:rPr>
          <w:snapToGrid w:val="0"/>
          <w:color w:val="0000FF"/>
        </w:rPr>
        <w:t>m</w:t>
      </w:r>
      <w:r>
        <w:rPr>
          <w:rFonts w:hint="eastAsia"/>
          <w:snapToGrid w:val="0"/>
          <w:color w:val="0000FF"/>
        </w:rPr>
        <w:t>（黄海高程，本报告均为黄海高程，吴淞高程-1.05m＝黄海高程）</w:t>
      </w:r>
      <w:r>
        <w:rPr>
          <w:snapToGrid w:val="0"/>
          <w:color w:val="0000FF"/>
        </w:rPr>
        <w:t>，坝顶高程</w:t>
      </w:r>
      <w:r>
        <w:rPr>
          <w:rFonts w:hint="eastAsia"/>
          <w:snapToGrid w:val="0"/>
          <w:color w:val="0000FF"/>
        </w:rPr>
        <w:t>41.7</w:t>
      </w:r>
      <w:r>
        <w:rPr>
          <w:snapToGrid w:val="0"/>
          <w:color w:val="0000FF"/>
        </w:rPr>
        <w:t>m</w:t>
      </w:r>
      <w:r>
        <w:rPr>
          <w:rFonts w:hint="eastAsia"/>
          <w:snapToGrid w:val="0"/>
          <w:color w:val="0000FF"/>
        </w:rPr>
        <w:t>。左侧为利高水电站，始建于2001年，于2004年建成并开始发电。该电站是引水式水电站，电站总装机2960kw（1*400kw+8*320kw），</w:t>
      </w:r>
      <w:r>
        <w:rPr>
          <w:rFonts w:hint="eastAsia"/>
          <w:color w:val="0000FF"/>
          <w:szCs w:val="28"/>
        </w:rPr>
        <w:t>水头</w:t>
      </w:r>
      <w:r>
        <w:rPr>
          <w:color w:val="0000FF"/>
          <w:szCs w:val="28"/>
        </w:rPr>
        <w:t>3.90</w:t>
      </w:r>
      <w:r>
        <w:rPr>
          <w:rFonts w:hint="eastAsia"/>
          <w:color w:val="0000FF"/>
          <w:szCs w:val="28"/>
        </w:rPr>
        <w:t>m，</w:t>
      </w:r>
      <w:r>
        <w:rPr>
          <w:rFonts w:hint="eastAsia" w:ascii="宋体" w:hAnsi="宋体"/>
          <w:color w:val="0000FF"/>
          <w:szCs w:val="28"/>
        </w:rPr>
        <w:t>多年平均发电量</w:t>
      </w:r>
      <w:r>
        <w:rPr>
          <w:rFonts w:hint="eastAsia"/>
          <w:color w:val="0000FF"/>
          <w:szCs w:val="28"/>
        </w:rPr>
        <w:t>1</w:t>
      </w:r>
      <w:r>
        <w:rPr>
          <w:color w:val="0000FF"/>
          <w:szCs w:val="28"/>
        </w:rPr>
        <w:t>4</w:t>
      </w:r>
      <w:r>
        <w:rPr>
          <w:rFonts w:hint="eastAsia"/>
          <w:color w:val="0000FF"/>
          <w:szCs w:val="28"/>
        </w:rPr>
        <w:t>00</w:t>
      </w:r>
      <w:r>
        <w:rPr>
          <w:rFonts w:ascii="宋体" w:hAnsi="宋体"/>
          <w:color w:val="0000FF"/>
          <w:szCs w:val="28"/>
        </w:rPr>
        <w:t>万</w:t>
      </w:r>
      <w:r>
        <w:rPr>
          <w:color w:val="0000FF"/>
          <w:szCs w:val="28"/>
        </w:rPr>
        <w:t>kw</w:t>
      </w:r>
      <w:r>
        <w:rPr>
          <w:rFonts w:ascii="宋体" w:hAnsi="宋体"/>
          <w:color w:val="0000FF"/>
          <w:szCs w:val="28"/>
        </w:rPr>
        <w:t>·</w:t>
      </w:r>
      <w:r>
        <w:rPr>
          <w:color w:val="0000FF"/>
          <w:szCs w:val="28"/>
        </w:rPr>
        <w:t>h</w:t>
      </w:r>
      <w:r>
        <w:rPr>
          <w:rFonts w:hint="eastAsia"/>
          <w:snapToGrid w:val="0"/>
          <w:color w:val="0000FF"/>
        </w:rPr>
        <w:t>。</w:t>
      </w:r>
    </w:p>
    <w:p>
      <w:pPr>
        <w:pStyle w:val="6"/>
      </w:pPr>
      <w:bookmarkStart w:id="367" w:name="_Toc470006894"/>
      <w:bookmarkStart w:id="368" w:name="_Toc529278996"/>
      <w:bookmarkStart w:id="369" w:name="_Toc15069"/>
      <w:bookmarkStart w:id="370" w:name="_Toc534806991"/>
      <w:bookmarkStart w:id="371" w:name="_Toc534895209"/>
      <w:bookmarkStart w:id="372" w:name="_Toc534386232"/>
      <w:bookmarkStart w:id="373" w:name="_Toc3903211"/>
      <w:bookmarkStart w:id="374" w:name="_Toc536265074"/>
      <w:r>
        <w:t>2.3工程</w:t>
      </w:r>
      <w:bookmarkEnd w:id="367"/>
      <w:bookmarkEnd w:id="368"/>
      <w:r>
        <w:t>任务及建设的必要性</w:t>
      </w:r>
      <w:bookmarkEnd w:id="369"/>
    </w:p>
    <w:bookmarkEnd w:id="370"/>
    <w:bookmarkEnd w:id="371"/>
    <w:bookmarkEnd w:id="372"/>
    <w:bookmarkEnd w:id="373"/>
    <w:bookmarkEnd w:id="374"/>
    <w:p>
      <w:pPr>
        <w:pStyle w:val="7"/>
        <w:rPr>
          <w:szCs w:val="24"/>
        </w:rPr>
      </w:pPr>
      <w:bookmarkStart w:id="375" w:name="_Toc529278997"/>
      <w:bookmarkStart w:id="376" w:name="_Toc468280350"/>
      <w:bookmarkStart w:id="377" w:name="_Toc470006895"/>
      <w:bookmarkStart w:id="378" w:name="_Toc534806992"/>
      <w:bookmarkStart w:id="379" w:name="_Toc3903212"/>
      <w:bookmarkStart w:id="380" w:name="_Toc536265075"/>
      <w:bookmarkStart w:id="381" w:name="_Toc534386233"/>
      <w:bookmarkStart w:id="382" w:name="_Toc534895210"/>
      <w:r>
        <w:rPr>
          <w:szCs w:val="24"/>
        </w:rPr>
        <w:t>2.3.1</w:t>
      </w:r>
      <w:bookmarkEnd w:id="375"/>
      <w:bookmarkEnd w:id="376"/>
      <w:bookmarkEnd w:id="377"/>
      <w:r>
        <w:rPr>
          <w:szCs w:val="24"/>
        </w:rPr>
        <w:t>工程任务</w:t>
      </w:r>
      <w:bookmarkEnd w:id="378"/>
      <w:bookmarkEnd w:id="379"/>
      <w:bookmarkEnd w:id="380"/>
      <w:bookmarkEnd w:id="381"/>
      <w:bookmarkEnd w:id="382"/>
    </w:p>
    <w:p>
      <w:pPr>
        <w:ind w:firstLine="480"/>
      </w:pPr>
      <w:r>
        <w:rPr>
          <w:rFonts w:hint="eastAsia"/>
        </w:rPr>
        <w:t>（1）城市景观抬水</w:t>
      </w:r>
    </w:p>
    <w:p>
      <w:pPr>
        <w:ind w:firstLine="480"/>
      </w:pPr>
      <w:r>
        <w:rPr>
          <w:rFonts w:hint="eastAsia"/>
        </w:rPr>
        <w:t>上高</w:t>
      </w:r>
      <w:r>
        <w:t>县</w:t>
      </w:r>
      <w:r>
        <w:rPr>
          <w:rFonts w:hint="eastAsia"/>
        </w:rPr>
        <w:t>毛家渡</w:t>
      </w:r>
      <w:r>
        <w:t>抬水工程位于</w:t>
      </w:r>
      <w:r>
        <w:rPr>
          <w:rFonts w:hint="eastAsia"/>
        </w:rPr>
        <w:t>上高</w:t>
      </w:r>
      <w:r>
        <w:t>县城东</w:t>
      </w:r>
      <w:r>
        <w:rPr>
          <w:rFonts w:hint="eastAsia"/>
        </w:rPr>
        <w:t>面</w:t>
      </w:r>
      <w:r>
        <w:t>，</w:t>
      </w:r>
      <w:r>
        <w:rPr>
          <w:rFonts w:hint="eastAsia"/>
        </w:rPr>
        <w:t>锦河</w:t>
      </w:r>
      <w:r>
        <w:t>大桥下游约</w:t>
      </w:r>
      <w:r>
        <w:rPr>
          <w:rFonts w:hint="eastAsia"/>
        </w:rPr>
        <w:t>1.8k</w:t>
      </w:r>
      <w:r>
        <w:t>m处，是一座以城市景观抬水为主，兼顾防洪的水利工程。抬水工程的主要任务是抬高</w:t>
      </w:r>
      <w:r>
        <w:rPr>
          <w:rFonts w:hint="eastAsia"/>
        </w:rPr>
        <w:t>县城城区锦河</w:t>
      </w:r>
      <w:r>
        <w:t>河段枯水位，通过在</w:t>
      </w:r>
      <w:r>
        <w:rPr>
          <w:rFonts w:hint="eastAsia"/>
        </w:rPr>
        <w:t>锦河</w:t>
      </w:r>
      <w:r>
        <w:t>上新建拦河坝，抬高上游城区水位，提供更加广阔的水域空间，结合两岸的景观设计，改善沿岸环境质量，重塑城市优美景观。提高市民生活品质，满足市民精神文化需求</w:t>
      </w:r>
      <w:r>
        <w:rPr>
          <w:rFonts w:hint="eastAsia"/>
        </w:rPr>
        <w:t>，</w:t>
      </w:r>
      <w:r>
        <w:t>达到保障上游水厂水源、改善</w:t>
      </w:r>
      <w:r>
        <w:rPr>
          <w:rFonts w:hint="eastAsia"/>
        </w:rPr>
        <w:t>锦河</w:t>
      </w:r>
      <w:r>
        <w:t>水体景观、改善城市景观的目的。</w:t>
      </w:r>
    </w:p>
    <w:p>
      <w:pPr>
        <w:numPr>
          <w:ilvl w:val="0"/>
          <w:numId w:val="4"/>
        </w:numPr>
        <w:ind w:firstLine="480"/>
        <w:rPr>
          <w:color w:val="0000FF"/>
        </w:rPr>
      </w:pPr>
      <w:r>
        <w:rPr>
          <w:rFonts w:hint="eastAsia"/>
          <w:color w:val="0000FF"/>
        </w:rPr>
        <w:t>防洪</w:t>
      </w:r>
    </w:p>
    <w:p>
      <w:pPr>
        <w:ind w:firstLine="480"/>
        <w:rPr>
          <w:color w:val="0000FF"/>
        </w:rPr>
      </w:pPr>
      <w:r>
        <w:rPr>
          <w:rFonts w:hint="eastAsia"/>
          <w:color w:val="0000FF"/>
        </w:rPr>
        <w:t>本工程可以</w:t>
      </w:r>
      <w:r>
        <w:rPr>
          <w:color w:val="0000FF"/>
        </w:rPr>
        <w:t>根据水文气象和上下游防洪要求，结合工程情况和用水部门的要求制定综合利用计划，优化调度，尽量做到有计划地蓄水、泄水</w:t>
      </w:r>
      <w:r>
        <w:rPr>
          <w:rFonts w:hint="eastAsia"/>
          <w:color w:val="0000FF"/>
        </w:rPr>
        <w:t>。</w:t>
      </w:r>
      <w:r>
        <w:rPr>
          <w:color w:val="0000FF"/>
        </w:rPr>
        <w:t>根据水闸运行水位，确定解放闸坝防洪调度方案如下：根据本工程实际工况、类似工程经验，为达到较好的消能效果、减少消能工投资、上游实现较好的景观效果，应尽量减少冲砂闸闸门和液压升降的开启，当过闸流量43.66 m</w:t>
      </w:r>
      <w:r>
        <w:rPr>
          <w:color w:val="0000FF"/>
          <w:vertAlign w:val="superscript"/>
        </w:rPr>
        <w:t>3</w:t>
      </w:r>
      <w:r>
        <w:rPr>
          <w:color w:val="0000FF"/>
        </w:rPr>
        <w:t>/s &lt;Q&lt;338.65m</w:t>
      </w:r>
      <w:r>
        <w:rPr>
          <w:color w:val="0000FF"/>
          <w:vertAlign w:val="superscript"/>
        </w:rPr>
        <w:t>3</w:t>
      </w:r>
      <w:r>
        <w:rPr>
          <w:color w:val="0000FF"/>
        </w:rPr>
        <w:t>/s，冲砂闸局部开启，来水从冲砂闸泄出，液压坝不开启，保持上游水位 44.80m 左右；当过闸流量大于338.65m</w:t>
      </w:r>
      <w:r>
        <w:rPr>
          <w:color w:val="0000FF"/>
          <w:vertAlign w:val="superscript"/>
        </w:rPr>
        <w:t>3</w:t>
      </w:r>
      <w:r>
        <w:rPr>
          <w:color w:val="0000FF"/>
        </w:rPr>
        <w:t>/s 时，液压坝随上游水位上升自动开启直至全开泄流，冲砂闸随下游水位上升逐步加大开启，直至全开，上游水位由44.80m 逐渐抬高直至洪水位。闸门开启时应注意下游水位，避免闸门开启过快造成对海漫及防冲槽下游河道冲刷当闸前水位降落到44.80m 时，应逐步均匀关闭泄洪闸，关闭顺序为先关闭冲砂闸，再关闭左、右两岸的泄洪闸，最后关闭河床中部泄洪闸。</w:t>
      </w:r>
    </w:p>
    <w:p>
      <w:pPr>
        <w:numPr>
          <w:ilvl w:val="0"/>
          <w:numId w:val="4"/>
        </w:numPr>
        <w:ind w:firstLine="480"/>
        <w:rPr>
          <w:color w:val="0000FF"/>
        </w:rPr>
      </w:pPr>
      <w:r>
        <w:rPr>
          <w:rFonts w:hint="eastAsia"/>
          <w:color w:val="0000FF"/>
        </w:rPr>
        <w:t>航运</w:t>
      </w:r>
    </w:p>
    <w:p>
      <w:pPr>
        <w:ind w:firstLine="480"/>
        <w:rPr>
          <w:color w:val="0000FF"/>
        </w:rPr>
      </w:pPr>
      <w:r>
        <w:rPr>
          <w:color w:val="0000FF"/>
        </w:rPr>
        <w:t>根据锦河航道规划，锦河干流上游规划的南田峡水库可作为航运流量的调节水库。同时对已建枢纽增设过坝设施，河道再进行适当疏浚整治，可恢复锦河万载至高安这段航运。在万载至高安的航道恢复后，通过本次毛家渡抬水工程的新建，可大大抬高锦河上高段河道水位，主航道内水深普遍都在4m 以上，远高于《内河通航标准》GB 50139-2014 规范所规定的航道水深1.4m 的要求，且船舶通行河面宽度也大为拓宽，通航条件明显得到改善。</w:t>
      </w:r>
    </w:p>
    <w:p>
      <w:pPr>
        <w:ind w:left="480" w:leftChars="200" w:firstLine="0" w:firstLineChars="0"/>
        <w:rPr>
          <w:color w:val="0000FF"/>
        </w:rPr>
      </w:pPr>
      <w:r>
        <w:rPr>
          <w:color w:val="0000FF"/>
        </w:rPr>
        <w:t>根据新形势下发展的需要，为了改善城市生态环境，营造城区河道水体景观，美化城市环境，提升城市形象和品位，改善航道，选择适当位置兴建抬水工程。</w:t>
      </w:r>
    </w:p>
    <w:p>
      <w:pPr>
        <w:pStyle w:val="7"/>
        <w:rPr>
          <w:szCs w:val="24"/>
        </w:rPr>
      </w:pPr>
      <w:r>
        <w:rPr>
          <w:rFonts w:hint="eastAsia"/>
          <w:szCs w:val="24"/>
        </w:rPr>
        <w:t>2.3.2</w:t>
      </w:r>
      <w:r>
        <w:rPr>
          <w:szCs w:val="24"/>
        </w:rPr>
        <w:t>工程建设的必要性</w:t>
      </w:r>
    </w:p>
    <w:p>
      <w:pPr>
        <w:ind w:firstLine="480"/>
        <w:rPr>
          <w:color w:val="0000FF"/>
        </w:rPr>
      </w:pPr>
      <w:r>
        <w:rPr>
          <w:rFonts w:hint="eastAsia" w:ascii="宋体" w:hAnsi="宋体" w:cs="宋体"/>
          <w:color w:val="0000FF"/>
        </w:rPr>
        <w:t>①</w:t>
      </w:r>
      <w:r>
        <w:rPr>
          <w:rFonts w:hint="eastAsia"/>
          <w:color w:val="0000FF"/>
        </w:rPr>
        <w:t>国民经济与社会发展对工程建设的要求</w:t>
      </w:r>
    </w:p>
    <w:p>
      <w:pPr>
        <w:ind w:firstLine="480"/>
        <w:rPr>
          <w:color w:val="0000FF"/>
        </w:rPr>
      </w:pPr>
      <w:r>
        <w:rPr>
          <w:rFonts w:hint="eastAsia"/>
          <w:color w:val="0000FF"/>
        </w:rPr>
        <w:t>锦河从上高县城区穿城而过，对上高县的城市格局与市容环境有着重大影响，根据《上高县城市总体规划（2015-2030）》，2030 年中心城区建设面积将达到51.49km</w:t>
      </w:r>
      <w:r>
        <w:rPr>
          <w:rFonts w:hint="eastAsia"/>
          <w:color w:val="0000FF"/>
          <w:vertAlign w:val="superscript"/>
        </w:rPr>
        <w:t>2</w:t>
      </w:r>
      <w:r>
        <w:rPr>
          <w:rFonts w:hint="eastAsia"/>
          <w:color w:val="0000FF"/>
        </w:rPr>
        <w:t>，人口将达到28 万人，规划以锦河为主脉，中心城区形成“一江两岸”的城市空间结构，沿江两侧建设绿带，营造滨水绿化景观，打造具有上高特色的滨水城市。随着城市建设的迅速发展，上高城区锦河一江两岸集防洪、交通、绿化、休闲为一体的防洪工程正逐步建设完善，各类依江而建的城市景观已初具规模。然而枯水期锦河河道流量小，城区段河道河床裸露，河道内沙滩、沙丘零乱不整，尤以上高廊桥至青阳大桥、锦阳大桥至先锋大桥两河段长约5.5km 枯水河床裸露现象突出，其均位于中心城区段，极大地影响了城市形象。根据新形势下发展的需要，为了促进城市健康有序、生态有机、可持续地发展，营造城区河道水体景观及人水和谐的亲水环境，助力幸福河湖建设，提升城市品位，急需将上高县城区锦河水位抬高。</w:t>
      </w:r>
    </w:p>
    <w:p>
      <w:pPr>
        <w:ind w:firstLine="480"/>
        <w:rPr>
          <w:color w:val="0000FF"/>
        </w:rPr>
      </w:pPr>
      <w:r>
        <w:rPr>
          <w:rFonts w:hint="eastAsia"/>
          <w:color w:val="0000FF"/>
        </w:rPr>
        <w:t>目前上高县政府正在围绕锦河规划实施上高县滨水滨江公园项目，拟投资约4.0 亿，计划开工时间为2023年，其规划建设的基础条件就是新建毛家渡抬水工程。因此，新建毛家渡抬水工程，也是上高县滨水滨江公园项目顺利开展的需要。</w:t>
      </w:r>
    </w:p>
    <w:p>
      <w:pPr>
        <w:ind w:firstLine="480"/>
        <w:rPr>
          <w:color w:val="0000FF"/>
        </w:rPr>
      </w:pPr>
      <w:r>
        <w:rPr>
          <w:rFonts w:hint="eastAsia" w:ascii="宋体" w:hAnsi="宋体" w:cs="宋体"/>
          <w:color w:val="0000FF"/>
        </w:rPr>
        <w:t>②</w:t>
      </w:r>
      <w:r>
        <w:rPr>
          <w:rFonts w:hint="eastAsia"/>
          <w:color w:val="0000FF"/>
        </w:rPr>
        <w:t>航运</w:t>
      </w:r>
    </w:p>
    <w:p>
      <w:pPr>
        <w:ind w:firstLine="480"/>
        <w:rPr>
          <w:color w:val="0000FF"/>
        </w:rPr>
      </w:pPr>
      <w:r>
        <w:rPr>
          <w:rFonts w:hint="eastAsia"/>
          <w:color w:val="0000FF"/>
        </w:rPr>
        <w:t>根据锦河航道规划，锦河干流上游规划的南田峡水库可作为航运流量的调节水库。同时对已建枢纽增设过坝设施，河道再进行适当疏浚整治，可恢复锦河万载至高安这段航运。</w:t>
      </w:r>
    </w:p>
    <w:p>
      <w:pPr>
        <w:ind w:firstLine="480"/>
        <w:rPr>
          <w:color w:val="0000FF"/>
        </w:rPr>
      </w:pPr>
      <w:r>
        <w:rPr>
          <w:rFonts w:hint="eastAsia"/>
          <w:color w:val="0000FF"/>
        </w:rPr>
        <w:t>在万载至高安的航道恢复后，通过本次毛家渡抬水工程的新建，可大大抬高锦河上高段约14km 河道水位，主航道内水深普遍都在4m 以上，远高于《内河通航标准》GB 50139-2014 规范所规定的航道水深1.4m 的要求，且船舶通行河面宽度也大为拓宽，通航条件明显得到改善。</w:t>
      </w:r>
    </w:p>
    <w:p>
      <w:pPr>
        <w:ind w:firstLine="480"/>
      </w:pPr>
      <w:r>
        <w:rPr>
          <w:rFonts w:hint="eastAsia"/>
          <w:color w:val="0000FF"/>
        </w:rPr>
        <w:t>综上，根据新形势下发展的需要，为了改善城市生态环境，营造城区河道水体景观，美化城市环境，提升城市形象和品位，改善航道，选择适当位置兴建抬水工程是非常迫切和必要的。</w:t>
      </w:r>
    </w:p>
    <w:p>
      <w:pPr>
        <w:pStyle w:val="6"/>
      </w:pPr>
      <w:bookmarkStart w:id="383" w:name="_Toc10576"/>
      <w:r>
        <w:rPr>
          <w:rFonts w:hint="eastAsia"/>
        </w:rPr>
        <w:t>2.4工程规模及特性</w:t>
      </w:r>
      <w:bookmarkEnd w:id="383"/>
    </w:p>
    <w:p>
      <w:pPr>
        <w:pStyle w:val="7"/>
        <w:spacing w:before="120" w:beforeLines="50"/>
        <w:rPr>
          <w:szCs w:val="24"/>
        </w:rPr>
      </w:pPr>
      <w:bookmarkStart w:id="384" w:name="_Toc529278998"/>
      <w:bookmarkStart w:id="385" w:name="_Toc3903213"/>
      <w:bookmarkStart w:id="386" w:name="_Toc534895211"/>
      <w:bookmarkStart w:id="387" w:name="_Toc534806993"/>
      <w:bookmarkStart w:id="388" w:name="_Toc534386234"/>
      <w:bookmarkStart w:id="389" w:name="_Toc536265076"/>
      <w:r>
        <w:rPr>
          <w:szCs w:val="24"/>
        </w:rPr>
        <w:t>2.</w:t>
      </w:r>
      <w:r>
        <w:rPr>
          <w:rFonts w:hint="eastAsia"/>
          <w:szCs w:val="24"/>
        </w:rPr>
        <w:t>4</w:t>
      </w:r>
      <w:r>
        <w:rPr>
          <w:szCs w:val="24"/>
        </w:rPr>
        <w:t>.</w:t>
      </w:r>
      <w:r>
        <w:rPr>
          <w:rFonts w:hint="eastAsia"/>
          <w:szCs w:val="24"/>
        </w:rPr>
        <w:t>1</w:t>
      </w:r>
      <w:r>
        <w:rPr>
          <w:szCs w:val="24"/>
        </w:rPr>
        <w:t>工程规模</w:t>
      </w:r>
      <w:bookmarkEnd w:id="384"/>
      <w:bookmarkEnd w:id="385"/>
      <w:bookmarkEnd w:id="386"/>
      <w:bookmarkEnd w:id="387"/>
      <w:bookmarkEnd w:id="388"/>
      <w:bookmarkEnd w:id="389"/>
    </w:p>
    <w:p>
      <w:pPr>
        <w:ind w:firstLine="480"/>
      </w:pPr>
      <w:r>
        <w:rPr>
          <w:rFonts w:hint="eastAsia"/>
        </w:rPr>
        <w:t>毛家渡</w:t>
      </w:r>
      <w:r>
        <w:t>抬水工程坝址以上控制流域面积</w:t>
      </w:r>
      <w:r>
        <w:rPr>
          <w:rFonts w:hint="eastAsia"/>
        </w:rPr>
        <w:t>4150</w:t>
      </w:r>
      <w:r>
        <w:t>km</w:t>
      </w:r>
      <w:r>
        <w:rPr>
          <w:vertAlign w:val="superscript"/>
        </w:rPr>
        <w:t>2</w:t>
      </w:r>
      <w:r>
        <w:t>，正常蓄水位</w:t>
      </w:r>
      <w:r>
        <w:rPr>
          <w:rFonts w:hint="eastAsia"/>
        </w:rPr>
        <w:t>44.5</w:t>
      </w:r>
      <w:r>
        <w:t>m，设计洪峰流量3</w:t>
      </w:r>
      <w:r>
        <w:rPr>
          <w:rFonts w:hint="eastAsia"/>
        </w:rPr>
        <w:t>568m</w:t>
      </w:r>
      <w:r>
        <w:rPr>
          <w:rFonts w:hint="eastAsia"/>
          <w:vertAlign w:val="superscript"/>
        </w:rPr>
        <w:t>3</w:t>
      </w:r>
      <w:r>
        <w:rPr>
          <w:rFonts w:hint="eastAsia"/>
        </w:rPr>
        <w:t>/s</w:t>
      </w:r>
      <w:r>
        <w:t>(P=</w:t>
      </w:r>
      <w:r>
        <w:rPr>
          <w:rFonts w:hint="eastAsia"/>
        </w:rPr>
        <w:t>5.0</w:t>
      </w:r>
      <w:r>
        <w:t>%)，校核洪峰流量4</w:t>
      </w:r>
      <w:r>
        <w:rPr>
          <w:rFonts w:hint="eastAsia"/>
        </w:rPr>
        <w:t>110m</w:t>
      </w:r>
      <w:r>
        <w:rPr>
          <w:rFonts w:hint="eastAsia"/>
          <w:vertAlign w:val="superscript"/>
        </w:rPr>
        <w:t>3</w:t>
      </w:r>
      <w:r>
        <w:rPr>
          <w:rFonts w:hint="eastAsia"/>
        </w:rPr>
        <w:t>/s</w:t>
      </w:r>
      <w:r>
        <w:t>(P=</w:t>
      </w:r>
      <w:r>
        <w:rPr>
          <w:rFonts w:hint="eastAsia"/>
        </w:rPr>
        <w:t>2</w:t>
      </w:r>
      <w:r>
        <w:t>%)。根据《水利水电工程等级划分及洪水标准》(SL252—2017)及有关规定，本工程保护人口为</w:t>
      </w:r>
      <w:r>
        <w:rPr>
          <w:rFonts w:hint="eastAsia"/>
        </w:rPr>
        <w:t>28</w:t>
      </w:r>
      <w:r>
        <w:t>万人，确定本枢纽工程为中型水闸，</w:t>
      </w:r>
      <w:r>
        <w:rPr>
          <w:szCs w:val="28"/>
        </w:rPr>
        <w:t>工程等别为</w:t>
      </w:r>
      <w:r>
        <w:rPr>
          <w:szCs w:val="28"/>
        </w:rPr>
        <w:fldChar w:fldCharType="begin"/>
      </w:r>
      <w:r>
        <w:rPr>
          <w:szCs w:val="28"/>
        </w:rPr>
        <w:instrText xml:space="preserve"> = 3 \* ROMAN </w:instrText>
      </w:r>
      <w:r>
        <w:rPr>
          <w:szCs w:val="28"/>
        </w:rPr>
        <w:fldChar w:fldCharType="separate"/>
      </w:r>
      <w:r>
        <w:rPr>
          <w:szCs w:val="28"/>
        </w:rPr>
        <w:t>III</w:t>
      </w:r>
      <w:r>
        <w:rPr>
          <w:szCs w:val="28"/>
        </w:rPr>
        <w:fldChar w:fldCharType="end"/>
      </w:r>
      <w:r>
        <w:rPr>
          <w:szCs w:val="28"/>
        </w:rPr>
        <w:t>等，主要建筑物为3级，次要建筑物为4级。</w:t>
      </w:r>
      <w:r>
        <w:rPr>
          <w:spacing w:val="-2"/>
          <w:szCs w:val="28"/>
        </w:rPr>
        <w:t>设计洪水标准取</w:t>
      </w:r>
      <w:r>
        <w:rPr>
          <w:rFonts w:hint="eastAsia"/>
          <w:spacing w:val="-2"/>
          <w:szCs w:val="28"/>
        </w:rPr>
        <w:t>2</w:t>
      </w:r>
      <w:r>
        <w:rPr>
          <w:spacing w:val="-2"/>
          <w:szCs w:val="28"/>
        </w:rPr>
        <w:t>0年一遇 (P=</w:t>
      </w:r>
      <w:r>
        <w:rPr>
          <w:rFonts w:hint="eastAsia"/>
          <w:spacing w:val="-2"/>
          <w:szCs w:val="28"/>
        </w:rPr>
        <w:t>5.0</w:t>
      </w:r>
      <w:r>
        <w:rPr>
          <w:spacing w:val="-2"/>
          <w:szCs w:val="28"/>
        </w:rPr>
        <w:t>%)，校核洪水标准为</w:t>
      </w:r>
      <w:r>
        <w:rPr>
          <w:rFonts w:hint="eastAsia"/>
          <w:spacing w:val="-2"/>
          <w:szCs w:val="28"/>
        </w:rPr>
        <w:t>5</w:t>
      </w:r>
      <w:r>
        <w:rPr>
          <w:spacing w:val="-2"/>
          <w:szCs w:val="28"/>
        </w:rPr>
        <w:t>0年一遇(P=</w:t>
      </w:r>
      <w:r>
        <w:rPr>
          <w:rFonts w:hint="eastAsia"/>
          <w:spacing w:val="-2"/>
          <w:szCs w:val="28"/>
        </w:rPr>
        <w:t>2.0</w:t>
      </w:r>
      <w:r>
        <w:rPr>
          <w:spacing w:val="-2"/>
          <w:szCs w:val="28"/>
        </w:rPr>
        <w:t>%)。</w:t>
      </w:r>
    </w:p>
    <w:p>
      <w:pPr>
        <w:pStyle w:val="7"/>
        <w:spacing w:before="120" w:beforeLines="50"/>
        <w:rPr>
          <w:szCs w:val="24"/>
        </w:rPr>
      </w:pPr>
      <w:r>
        <w:rPr>
          <w:rFonts w:hint="eastAsia"/>
          <w:szCs w:val="24"/>
        </w:rPr>
        <w:t>2.4.2工程特性</w:t>
      </w:r>
    </w:p>
    <w:p>
      <w:pPr>
        <w:ind w:firstLine="480"/>
      </w:pPr>
      <w:r>
        <w:rPr>
          <w:rFonts w:hint="eastAsia"/>
        </w:rPr>
        <w:t>(1)工程名称：上高</w:t>
      </w:r>
      <w:r>
        <w:t>县</w:t>
      </w:r>
      <w:r>
        <w:rPr>
          <w:rFonts w:hint="eastAsia"/>
        </w:rPr>
        <w:t>毛家渡</w:t>
      </w:r>
      <w:r>
        <w:t>抬水工程</w:t>
      </w:r>
      <w:r>
        <w:rPr>
          <w:rFonts w:hint="eastAsia"/>
        </w:rPr>
        <w:t>；</w:t>
      </w:r>
    </w:p>
    <w:p>
      <w:pPr>
        <w:ind w:firstLine="480"/>
      </w:pPr>
      <w:r>
        <w:rPr>
          <w:rFonts w:hint="eastAsia"/>
        </w:rPr>
        <w:t>(2)建设地点：上高</w:t>
      </w:r>
      <w:r>
        <w:t>县城</w:t>
      </w:r>
      <w:r>
        <w:rPr>
          <w:rFonts w:hint="eastAsia"/>
        </w:rPr>
        <w:t>城东</w:t>
      </w:r>
      <w:r>
        <w:t>，</w:t>
      </w:r>
      <w:r>
        <w:rPr>
          <w:rFonts w:hint="eastAsia"/>
        </w:rPr>
        <w:t>锦河</w:t>
      </w:r>
      <w:r>
        <w:t>大桥下游约</w:t>
      </w:r>
      <w:r>
        <w:rPr>
          <w:rFonts w:hint="eastAsia"/>
        </w:rPr>
        <w:t>1.8k</w:t>
      </w:r>
      <w:r>
        <w:t>m处</w:t>
      </w:r>
      <w:r>
        <w:rPr>
          <w:rFonts w:hint="eastAsia"/>
        </w:rPr>
        <w:t>，中心地理位置：</w:t>
      </w:r>
      <w:r>
        <w:t>东经11</w:t>
      </w:r>
      <w:r>
        <w:rPr>
          <w:rFonts w:hint="eastAsia"/>
        </w:rPr>
        <w:t>4</w:t>
      </w:r>
      <w:r>
        <w:t>°</w:t>
      </w:r>
      <w:r>
        <w:rPr>
          <w:rFonts w:hint="eastAsia"/>
        </w:rPr>
        <w:t>57</w:t>
      </w:r>
      <w:r>
        <w:t>'</w:t>
      </w:r>
      <w:r>
        <w:rPr>
          <w:rFonts w:hint="eastAsia"/>
        </w:rPr>
        <w:t>51.754</w:t>
      </w:r>
      <w:r>
        <w:t>"，北纬28°</w:t>
      </w:r>
      <w:r>
        <w:rPr>
          <w:rFonts w:hint="eastAsia"/>
        </w:rPr>
        <w:t>14</w:t>
      </w:r>
      <w:r>
        <w:t>'</w:t>
      </w:r>
      <w:r>
        <w:rPr>
          <w:rFonts w:hint="eastAsia"/>
        </w:rPr>
        <w:t>32.271</w:t>
      </w:r>
      <w:r>
        <w:t>"</w:t>
      </w:r>
      <w:r>
        <w:rPr>
          <w:rFonts w:hint="eastAsia"/>
        </w:rPr>
        <w:t>；</w:t>
      </w:r>
    </w:p>
    <w:p>
      <w:pPr>
        <w:ind w:firstLine="480"/>
      </w:pPr>
      <w:r>
        <w:rPr>
          <w:rFonts w:hint="eastAsia"/>
        </w:rPr>
        <w:t>(3)工程规模：Ⅲ等、中型；</w:t>
      </w:r>
    </w:p>
    <w:p>
      <w:pPr>
        <w:ind w:firstLine="480"/>
      </w:pPr>
      <w:r>
        <w:rPr>
          <w:rFonts w:hint="eastAsia"/>
        </w:rPr>
        <w:t>(4)建设性质：新建；</w:t>
      </w:r>
    </w:p>
    <w:p>
      <w:pPr>
        <w:ind w:firstLine="480"/>
      </w:pPr>
      <w:r>
        <w:rPr>
          <w:rFonts w:hint="eastAsia"/>
        </w:rPr>
        <w:t>(5)建设任务：</w:t>
      </w:r>
      <w:r>
        <w:t>抬高</w:t>
      </w:r>
      <w:r>
        <w:rPr>
          <w:rFonts w:hint="eastAsia"/>
        </w:rPr>
        <w:t>上高县城区锦河</w:t>
      </w:r>
      <w:r>
        <w:t>河段枯水位</w:t>
      </w:r>
      <w:r>
        <w:rPr>
          <w:rFonts w:hint="eastAsia"/>
        </w:rPr>
        <w:t>。</w:t>
      </w:r>
    </w:p>
    <w:p>
      <w:pPr>
        <w:ind w:firstLine="480"/>
      </w:pPr>
      <w:r>
        <w:rPr>
          <w:rFonts w:hint="eastAsia"/>
        </w:rPr>
        <w:t>(6)总投资：</w:t>
      </w:r>
      <w:r>
        <w:t>项目总</w:t>
      </w:r>
      <w:r>
        <w:rPr>
          <w:rFonts w:hint="eastAsia"/>
        </w:rPr>
        <w:t>投资</w:t>
      </w:r>
      <w:r>
        <w:rPr>
          <w:rFonts w:hint="eastAsia"/>
          <w:spacing w:val="-8"/>
        </w:rPr>
        <w:t>18005.45万元</w:t>
      </w:r>
      <w:r>
        <w:rPr>
          <w:rFonts w:hint="eastAsia"/>
        </w:rPr>
        <w:t>，其中</w:t>
      </w:r>
      <w:r>
        <w:rPr>
          <w:spacing w:val="-2"/>
        </w:rPr>
        <w:t>环境保护工程投资约</w:t>
      </w:r>
      <w:r>
        <w:rPr>
          <w:rFonts w:hint="eastAsia"/>
          <w:spacing w:val="-2"/>
        </w:rPr>
        <w:t>143.02</w:t>
      </w:r>
      <w:r>
        <w:rPr>
          <w:spacing w:val="-2"/>
        </w:rPr>
        <w:t>万元，占工程</w:t>
      </w:r>
      <w:r>
        <w:rPr>
          <w:rFonts w:hint="eastAsia"/>
          <w:spacing w:val="-8"/>
        </w:rPr>
        <w:t>总投资的0.794%</w:t>
      </w:r>
      <w:r>
        <w:rPr>
          <w:rFonts w:hint="eastAsia"/>
        </w:rPr>
        <w:t>。</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表2.4-1   工程特性表</w:t>
      </w:r>
    </w:p>
    <w:tbl>
      <w:tblPr>
        <w:tblStyle w:val="8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3129"/>
        <w:gridCol w:w="1342"/>
        <w:gridCol w:w="2006"/>
        <w:gridCol w:w="17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序号</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名称</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单位</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数 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一</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水文特性</w:t>
            </w:r>
          </w:p>
        </w:tc>
        <w:tc>
          <w:tcPr>
            <w:tcW w:w="701" w:type="pct"/>
            <w:vAlign w:val="center"/>
          </w:tcPr>
          <w:p>
            <w:pPr>
              <w:pStyle w:val="154"/>
              <w:spacing w:line="340" w:lineRule="exact"/>
              <w:ind w:firstLine="0" w:firstLineChars="0"/>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l</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闸址控制流域面积</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km</w:t>
            </w:r>
            <w:r>
              <w:rPr>
                <w:rFonts w:eastAsia="宋体"/>
                <w:sz w:val="21"/>
                <w:szCs w:val="21"/>
                <w:vertAlign w:val="superscript"/>
              </w:rPr>
              <w:t>2</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主河长度</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km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304.55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多年平均降雨量</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1681.0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hint="eastAsia" w:eastAsia="宋体"/>
                <w:sz w:val="21"/>
                <w:szCs w:val="21"/>
              </w:rPr>
              <w:t>4</w:t>
            </w:r>
          </w:p>
        </w:tc>
        <w:tc>
          <w:tcPr>
            <w:tcW w:w="1635" w:type="pct"/>
            <w:vAlign w:val="center"/>
          </w:tcPr>
          <w:p>
            <w:pPr>
              <w:pStyle w:val="154"/>
              <w:spacing w:line="340" w:lineRule="exact"/>
              <w:ind w:firstLine="0" w:firstLineChars="0"/>
              <w:rPr>
                <w:rFonts w:eastAsia="宋体"/>
                <w:sz w:val="21"/>
                <w:szCs w:val="21"/>
              </w:rPr>
            </w:pPr>
            <w:r>
              <w:rPr>
                <w:rFonts w:hint="eastAsia" w:eastAsia="宋体"/>
                <w:sz w:val="21"/>
                <w:szCs w:val="21"/>
              </w:rPr>
              <w:t>多年平均流量</w:t>
            </w:r>
          </w:p>
        </w:tc>
        <w:tc>
          <w:tcPr>
            <w:tcW w:w="701" w:type="pct"/>
            <w:vAlign w:val="center"/>
          </w:tcPr>
          <w:p>
            <w:pPr>
              <w:pStyle w:val="154"/>
              <w:spacing w:line="340" w:lineRule="exact"/>
              <w:ind w:firstLine="0" w:firstLineChars="0"/>
              <w:rPr>
                <w:rFonts w:eastAsia="宋体"/>
                <w:sz w:val="21"/>
                <w:szCs w:val="21"/>
              </w:rPr>
            </w:pPr>
            <w:r>
              <w:rPr>
                <w:rFonts w:hint="eastAsia" w:eastAsia="宋体"/>
                <w:sz w:val="21"/>
                <w:szCs w:val="21"/>
              </w:rPr>
              <w:t>m3/s</w:t>
            </w:r>
          </w:p>
        </w:tc>
        <w:tc>
          <w:tcPr>
            <w:tcW w:w="1965" w:type="pct"/>
            <w:gridSpan w:val="2"/>
            <w:vAlign w:val="center"/>
          </w:tcPr>
          <w:p>
            <w:pPr>
              <w:pStyle w:val="154"/>
              <w:spacing w:line="340" w:lineRule="exact"/>
              <w:ind w:firstLine="0" w:firstLineChars="0"/>
              <w:rPr>
                <w:rFonts w:eastAsia="宋体"/>
                <w:sz w:val="21"/>
                <w:szCs w:val="21"/>
              </w:rPr>
            </w:pPr>
            <w:r>
              <w:rPr>
                <w:rFonts w:hint="eastAsia" w:eastAsia="宋体"/>
                <w:sz w:val="21"/>
                <w:szCs w:val="21"/>
              </w:rPr>
              <w:t>121.1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二</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水闸特性</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正常蓄水位</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设计洪峰流量</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r>
              <w:rPr>
                <w:rFonts w:eastAsia="宋体"/>
                <w:sz w:val="21"/>
                <w:szCs w:val="21"/>
                <w:vertAlign w:val="superscript"/>
              </w:rPr>
              <w:t>3</w:t>
            </w:r>
            <w:r>
              <w:rPr>
                <w:rFonts w:eastAsia="宋体"/>
                <w:sz w:val="21"/>
                <w:szCs w:val="21"/>
              </w:rPr>
              <w:t>/s</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3568(P=5％)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相应闸上游水位</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48.68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相应闸下游水位</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48.50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r>
              <w:rPr>
                <w:rFonts w:eastAsia="宋体"/>
                <w:sz w:val="21"/>
                <w:szCs w:val="21"/>
              </w:rPr>
              <w:t>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校核洪峰流量</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r>
              <w:rPr>
                <w:rFonts w:eastAsia="宋体"/>
                <w:sz w:val="21"/>
                <w:szCs w:val="21"/>
                <w:vertAlign w:val="superscript"/>
              </w:rPr>
              <w:t>3</w:t>
            </w:r>
            <w:r>
              <w:rPr>
                <w:rFonts w:eastAsia="宋体"/>
                <w:sz w:val="21"/>
                <w:szCs w:val="21"/>
              </w:rPr>
              <w:t>/s</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4110(P=2％)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r>
              <w:rPr>
                <w:rFonts w:eastAsia="宋体"/>
                <w:sz w:val="21"/>
                <w:szCs w:val="21"/>
              </w:rPr>
              <w:t>3.1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相应闸上游水位</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49.65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r>
              <w:rPr>
                <w:rFonts w:eastAsia="宋体"/>
                <w:sz w:val="21"/>
                <w:szCs w:val="21"/>
              </w:rPr>
              <w:t>3.2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相应闸下游水位</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49.50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三</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主要建筑物</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抬水闸坝</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冲砂闸</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泄洪闸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型式</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pacing w:val="-10"/>
                <w:sz w:val="21"/>
                <w:szCs w:val="21"/>
              </w:rPr>
              <w:t>宽顶堰</w:t>
            </w:r>
          </w:p>
        </w:tc>
        <w:tc>
          <w:tcPr>
            <w:tcW w:w="917" w:type="pct"/>
            <w:vAlign w:val="center"/>
          </w:tcPr>
          <w:p>
            <w:pPr>
              <w:pStyle w:val="154"/>
              <w:spacing w:line="340" w:lineRule="exact"/>
              <w:ind w:firstLine="0" w:firstLineChars="0"/>
              <w:rPr>
                <w:rFonts w:eastAsia="宋体"/>
                <w:sz w:val="21"/>
                <w:szCs w:val="21"/>
              </w:rPr>
            </w:pPr>
            <w:r>
              <w:rPr>
                <w:rFonts w:eastAsia="宋体"/>
                <w:spacing w:val="-10"/>
                <w:sz w:val="21"/>
                <w:szCs w:val="21"/>
              </w:rPr>
              <w:t>宽顶堰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闸底板高程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37.00</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39.00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闸顶高程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1.4</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孔数</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孔</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3</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1.5</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单孔孔口尺寸</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10×8</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30×5.5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1.6</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中/边墩厚</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1.5/1.0</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1.7</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最大过闸流量</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r>
              <w:rPr>
                <w:rFonts w:eastAsia="宋体"/>
                <w:sz w:val="21"/>
                <w:szCs w:val="21"/>
                <w:vertAlign w:val="superscript"/>
              </w:rPr>
              <w:t>3</w:t>
            </w:r>
            <w:r>
              <w:rPr>
                <w:rFonts w:eastAsia="宋体"/>
                <w:sz w:val="21"/>
                <w:szCs w:val="21"/>
              </w:rPr>
              <w:t>/s</w:t>
            </w: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779</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3331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1.8</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消能方式</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底流消能</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底流消能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1.9</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工作闸门型式</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平板钢闸门</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液压坝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1.10</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工作闸门启闭设备</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卷扬式启闭机</w:t>
            </w:r>
          </w:p>
        </w:tc>
        <w:tc>
          <w:tcPr>
            <w:tcW w:w="917" w:type="pct"/>
            <w:vAlign w:val="center"/>
          </w:tcPr>
          <w:p>
            <w:pPr>
              <w:pStyle w:val="154"/>
              <w:spacing w:line="340" w:lineRule="exact"/>
              <w:ind w:firstLine="0" w:firstLineChars="0"/>
              <w:rPr>
                <w:rFonts w:eastAsia="宋体"/>
                <w:sz w:val="21"/>
                <w:szCs w:val="21"/>
              </w:rPr>
            </w:pPr>
            <w:r>
              <w:rPr>
                <w:rFonts w:eastAsia="宋体"/>
                <w:sz w:val="21"/>
                <w:szCs w:val="21"/>
              </w:rPr>
              <w:t>液压机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1.11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检修闸门型式</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平板钢闸门</w:t>
            </w:r>
          </w:p>
        </w:tc>
        <w:tc>
          <w:tcPr>
            <w:tcW w:w="917" w:type="pct"/>
            <w:vAlign w:val="center"/>
          </w:tcPr>
          <w:p>
            <w:pPr>
              <w:pStyle w:val="154"/>
              <w:spacing w:line="340" w:lineRule="exact"/>
              <w:ind w:firstLine="420"/>
              <w:rPr>
                <w:rFonts w:eastAsia="宋体"/>
                <w:sz w:val="21"/>
                <w:szCs w:val="21"/>
              </w:rPr>
            </w:pPr>
            <w:r>
              <w:rPr>
                <w:rFonts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1.12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检修闸门启闭设备</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0" w:firstLineChars="0"/>
              <w:rPr>
                <w:rFonts w:eastAsia="宋体"/>
                <w:sz w:val="21"/>
                <w:szCs w:val="21"/>
              </w:rPr>
            </w:pPr>
            <w:r>
              <w:rPr>
                <w:rFonts w:eastAsia="宋体"/>
                <w:sz w:val="21"/>
                <w:szCs w:val="21"/>
              </w:rPr>
              <w:t>闭式台车启闭机</w:t>
            </w:r>
          </w:p>
        </w:tc>
        <w:tc>
          <w:tcPr>
            <w:tcW w:w="917" w:type="pct"/>
            <w:vAlign w:val="center"/>
          </w:tcPr>
          <w:p>
            <w:pPr>
              <w:pStyle w:val="154"/>
              <w:spacing w:line="340" w:lineRule="exact"/>
              <w:ind w:firstLine="420"/>
              <w:rPr>
                <w:rFonts w:eastAsia="宋体"/>
                <w:sz w:val="21"/>
                <w:szCs w:val="21"/>
              </w:rPr>
            </w:pPr>
            <w:r>
              <w:rPr>
                <w:rFonts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护岸工程</w:t>
            </w:r>
          </w:p>
        </w:tc>
        <w:tc>
          <w:tcPr>
            <w:tcW w:w="701" w:type="pct"/>
            <w:vAlign w:val="center"/>
          </w:tcPr>
          <w:p>
            <w:pPr>
              <w:pStyle w:val="154"/>
              <w:spacing w:line="340" w:lineRule="exact"/>
              <w:ind w:firstLine="420"/>
              <w:rPr>
                <w:rFonts w:eastAsia="宋体"/>
                <w:sz w:val="21"/>
                <w:szCs w:val="21"/>
              </w:rPr>
            </w:pPr>
          </w:p>
        </w:tc>
        <w:tc>
          <w:tcPr>
            <w:tcW w:w="1048" w:type="pct"/>
            <w:vAlign w:val="center"/>
          </w:tcPr>
          <w:p>
            <w:pPr>
              <w:pStyle w:val="154"/>
              <w:spacing w:line="340" w:lineRule="exact"/>
              <w:ind w:firstLine="420"/>
              <w:rPr>
                <w:rFonts w:eastAsia="宋体"/>
                <w:sz w:val="21"/>
                <w:szCs w:val="21"/>
              </w:rPr>
            </w:pPr>
          </w:p>
        </w:tc>
        <w:tc>
          <w:tcPr>
            <w:tcW w:w="917" w:type="pct"/>
            <w:vAlign w:val="center"/>
          </w:tcPr>
          <w:p>
            <w:pPr>
              <w:pStyle w:val="154"/>
              <w:spacing w:line="340" w:lineRule="exact"/>
              <w:ind w:firstLine="420"/>
              <w:rPr>
                <w:rFonts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左岸上游护岸长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左岸下游护岸长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386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右岸上游护岸长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2.4</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右岸下游护岸长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四</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占地与拆迁</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永久占地</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亩</w:t>
            </w:r>
          </w:p>
        </w:tc>
        <w:tc>
          <w:tcPr>
            <w:tcW w:w="1965" w:type="pct"/>
            <w:gridSpan w:val="2"/>
            <w:vAlign w:val="center"/>
          </w:tcPr>
          <w:p>
            <w:pPr>
              <w:pStyle w:val="154"/>
              <w:spacing w:line="340" w:lineRule="exact"/>
              <w:ind w:firstLine="0" w:firstLineChars="0"/>
              <w:rPr>
                <w:rFonts w:eastAsia="宋体"/>
                <w:sz w:val="21"/>
                <w:szCs w:val="21"/>
              </w:rPr>
            </w:pPr>
            <w:r>
              <w:rPr>
                <w:rFonts w:hint="eastAsia" w:eastAsia="宋体"/>
                <w:sz w:val="21"/>
                <w:szCs w:val="21"/>
              </w:rPr>
              <w:t>167.5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临时占地</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亩</w:t>
            </w:r>
          </w:p>
        </w:tc>
        <w:tc>
          <w:tcPr>
            <w:tcW w:w="1965" w:type="pct"/>
            <w:gridSpan w:val="2"/>
            <w:vAlign w:val="center"/>
          </w:tcPr>
          <w:p>
            <w:pPr>
              <w:pStyle w:val="154"/>
              <w:spacing w:line="340" w:lineRule="exact"/>
              <w:ind w:firstLine="0" w:firstLineChars="0"/>
              <w:rPr>
                <w:rFonts w:eastAsia="宋体"/>
                <w:sz w:val="21"/>
                <w:szCs w:val="21"/>
              </w:rPr>
            </w:pPr>
            <w:r>
              <w:rPr>
                <w:rFonts w:hint="eastAsia" w:eastAsia="宋体"/>
                <w:sz w:val="21"/>
                <w:szCs w:val="21"/>
              </w:rPr>
              <w:t>90.6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五</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工程效益</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保护人口</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万人</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六</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工程管理</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342"/>
              <w:rPr>
                <w:rFonts w:eastAsia="宋体"/>
                <w:b/>
                <w:bCs/>
                <w:spacing w:val="-2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定员</w:t>
            </w:r>
          </w:p>
        </w:tc>
        <w:tc>
          <w:tcPr>
            <w:tcW w:w="701" w:type="pct"/>
            <w:vAlign w:val="center"/>
          </w:tcPr>
          <w:p>
            <w:pPr>
              <w:pStyle w:val="154"/>
              <w:spacing w:line="340" w:lineRule="exact"/>
              <w:ind w:firstLine="420"/>
              <w:rPr>
                <w:rFonts w:eastAsia="宋体"/>
                <w:sz w:val="21"/>
                <w:szCs w:val="21"/>
              </w:rPr>
            </w:pPr>
          </w:p>
        </w:tc>
        <w:tc>
          <w:tcPr>
            <w:tcW w:w="1965" w:type="pct"/>
            <w:gridSpan w:val="2"/>
            <w:vAlign w:val="center"/>
          </w:tcPr>
          <w:p>
            <w:pPr>
              <w:pStyle w:val="154"/>
              <w:spacing w:line="340" w:lineRule="exact"/>
              <w:ind w:firstLine="0" w:firstLineChars="0"/>
              <w:rPr>
                <w:rFonts w:eastAsia="宋体"/>
                <w:spacing w:val="-20"/>
                <w:sz w:val="21"/>
                <w:szCs w:val="21"/>
              </w:rPr>
            </w:pPr>
            <w:r>
              <w:rPr>
                <w:rFonts w:eastAsia="宋体"/>
                <w:spacing w:val="-20"/>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管理用房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r>
              <w:rPr>
                <w:rFonts w:eastAsia="宋体"/>
                <w:sz w:val="21"/>
                <w:szCs w:val="21"/>
                <w:vertAlign w:val="superscript"/>
              </w:rPr>
              <w:t>2</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生产用房</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m</w:t>
            </w:r>
            <w:r>
              <w:rPr>
                <w:rFonts w:eastAsia="宋体"/>
                <w:sz w:val="21"/>
                <w:szCs w:val="21"/>
                <w:vertAlign w:val="superscript"/>
              </w:rPr>
              <w:t>2</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七</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工程施工</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主要工程量</w:t>
            </w:r>
          </w:p>
        </w:tc>
        <w:tc>
          <w:tcPr>
            <w:tcW w:w="701" w:type="pct"/>
            <w:vAlign w:val="center"/>
          </w:tcPr>
          <w:p>
            <w:pPr>
              <w:pStyle w:val="154"/>
              <w:spacing w:line="340" w:lineRule="exact"/>
              <w:ind w:firstLine="420"/>
              <w:rPr>
                <w:rFonts w:eastAsia="宋体"/>
                <w:sz w:val="21"/>
                <w:szCs w:val="21"/>
              </w:rPr>
            </w:pPr>
          </w:p>
        </w:tc>
        <w:tc>
          <w:tcPr>
            <w:tcW w:w="1965" w:type="pct"/>
            <w:gridSpan w:val="2"/>
            <w:vAlign w:val="center"/>
          </w:tcPr>
          <w:p>
            <w:pPr>
              <w:pStyle w:val="154"/>
              <w:spacing w:line="340" w:lineRule="exact"/>
              <w:ind w:firstLine="420"/>
              <w:rPr>
                <w:rFonts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土石方开挖(砂卵石)</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37.76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土方回填(含围堰填筑)</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26.88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砼工程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5.51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1.4</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砌石工程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1.5</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砂卵石垫层</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0.57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1.6</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钢筋制安</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t</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1155.8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1.7</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模板工程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2</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5.29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主要建筑材料用量</w:t>
            </w:r>
          </w:p>
        </w:tc>
        <w:tc>
          <w:tcPr>
            <w:tcW w:w="701" w:type="pct"/>
            <w:vAlign w:val="center"/>
          </w:tcPr>
          <w:p>
            <w:pPr>
              <w:pStyle w:val="154"/>
              <w:spacing w:line="340" w:lineRule="exact"/>
              <w:ind w:firstLine="420"/>
              <w:rPr>
                <w:rFonts w:eastAsia="宋体"/>
                <w:sz w:val="21"/>
                <w:szCs w:val="21"/>
              </w:rPr>
            </w:pPr>
          </w:p>
        </w:tc>
        <w:tc>
          <w:tcPr>
            <w:tcW w:w="1965" w:type="pct"/>
            <w:gridSpan w:val="2"/>
            <w:vAlign w:val="center"/>
          </w:tcPr>
          <w:p>
            <w:pPr>
              <w:pStyle w:val="154"/>
              <w:spacing w:line="340" w:lineRule="exact"/>
              <w:ind w:firstLine="420"/>
              <w:rPr>
                <w:rFonts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钢筋</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t</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1236.7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水泥</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万t</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柴油</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t</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280.12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2.4</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河沙</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2.96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2.5</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卵碎石</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2.6</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块石</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万m</w:t>
            </w:r>
            <w:r>
              <w:rPr>
                <w:rFonts w:eastAsia="宋体"/>
                <w:sz w:val="21"/>
                <w:szCs w:val="21"/>
                <w:vertAlign w:val="superscript"/>
              </w:rPr>
              <w:t>3</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3</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施工总工期</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月</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b/>
                <w:bCs/>
                <w:sz w:val="21"/>
                <w:szCs w:val="21"/>
              </w:rPr>
            </w:pPr>
            <w:r>
              <w:rPr>
                <w:rFonts w:eastAsia="宋体"/>
                <w:b/>
                <w:bCs/>
                <w:sz w:val="21"/>
                <w:szCs w:val="21"/>
              </w:rPr>
              <w:t>八</w:t>
            </w:r>
          </w:p>
        </w:tc>
        <w:tc>
          <w:tcPr>
            <w:tcW w:w="1635" w:type="pct"/>
            <w:vAlign w:val="center"/>
          </w:tcPr>
          <w:p>
            <w:pPr>
              <w:pStyle w:val="154"/>
              <w:spacing w:line="340" w:lineRule="exact"/>
              <w:ind w:firstLine="0" w:firstLineChars="0"/>
              <w:rPr>
                <w:rFonts w:eastAsia="宋体"/>
                <w:b/>
                <w:bCs/>
                <w:sz w:val="21"/>
                <w:szCs w:val="21"/>
              </w:rPr>
            </w:pPr>
            <w:r>
              <w:rPr>
                <w:rFonts w:eastAsia="宋体"/>
                <w:b/>
                <w:bCs/>
                <w:sz w:val="21"/>
                <w:szCs w:val="21"/>
              </w:rPr>
              <w:t>经济指标</w:t>
            </w:r>
          </w:p>
        </w:tc>
        <w:tc>
          <w:tcPr>
            <w:tcW w:w="701" w:type="pct"/>
            <w:vAlign w:val="center"/>
          </w:tcPr>
          <w:p>
            <w:pPr>
              <w:pStyle w:val="154"/>
              <w:spacing w:line="340" w:lineRule="exact"/>
              <w:ind w:firstLine="422"/>
              <w:rPr>
                <w:rFonts w:eastAsia="宋体"/>
                <w:b/>
                <w:bCs/>
                <w:sz w:val="21"/>
                <w:szCs w:val="21"/>
              </w:rPr>
            </w:pPr>
          </w:p>
        </w:tc>
        <w:tc>
          <w:tcPr>
            <w:tcW w:w="1965" w:type="pct"/>
            <w:gridSpan w:val="2"/>
            <w:vAlign w:val="center"/>
          </w:tcPr>
          <w:p>
            <w:pPr>
              <w:pStyle w:val="154"/>
              <w:spacing w:line="340" w:lineRule="exact"/>
              <w:ind w:firstLine="422"/>
              <w:rPr>
                <w:rFonts w:eastAsia="宋体"/>
                <w:b/>
                <w:bCs/>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总投资</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万元</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15275.27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综合经济指标</w:t>
            </w:r>
          </w:p>
        </w:tc>
        <w:tc>
          <w:tcPr>
            <w:tcW w:w="701" w:type="pct"/>
            <w:vAlign w:val="center"/>
          </w:tcPr>
          <w:p>
            <w:pPr>
              <w:pStyle w:val="154"/>
              <w:spacing w:line="340" w:lineRule="exact"/>
              <w:ind w:firstLine="420"/>
              <w:rPr>
                <w:rFonts w:eastAsia="宋体"/>
                <w:sz w:val="21"/>
                <w:szCs w:val="21"/>
              </w:rPr>
            </w:pPr>
          </w:p>
        </w:tc>
        <w:tc>
          <w:tcPr>
            <w:tcW w:w="1965" w:type="pct"/>
            <w:gridSpan w:val="2"/>
            <w:vAlign w:val="center"/>
          </w:tcPr>
          <w:p>
            <w:pPr>
              <w:pStyle w:val="154"/>
              <w:spacing w:line="340" w:lineRule="exact"/>
              <w:ind w:firstLine="420"/>
              <w:rPr>
                <w:rFonts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2.1</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经济内部收益率</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8.54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0" w:firstLineChars="0"/>
              <w:rPr>
                <w:rFonts w:eastAsia="宋体"/>
                <w:sz w:val="21"/>
                <w:szCs w:val="21"/>
              </w:rPr>
            </w:pPr>
            <w:r>
              <w:rPr>
                <w:rFonts w:eastAsia="宋体"/>
                <w:sz w:val="21"/>
                <w:szCs w:val="21"/>
              </w:rPr>
              <w:t>2.2</w:t>
            </w: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经济净现值</w:t>
            </w:r>
          </w:p>
        </w:tc>
        <w:tc>
          <w:tcPr>
            <w:tcW w:w="701" w:type="pct"/>
            <w:vAlign w:val="center"/>
          </w:tcPr>
          <w:p>
            <w:pPr>
              <w:pStyle w:val="154"/>
              <w:spacing w:line="340" w:lineRule="exact"/>
              <w:ind w:firstLine="0" w:firstLineChars="0"/>
              <w:rPr>
                <w:rFonts w:eastAsia="宋体"/>
                <w:sz w:val="21"/>
                <w:szCs w:val="21"/>
              </w:rPr>
            </w:pPr>
            <w:r>
              <w:rPr>
                <w:rFonts w:eastAsia="宋体"/>
                <w:sz w:val="21"/>
                <w:szCs w:val="21"/>
              </w:rPr>
              <w:t>万元</w:t>
            </w: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6569.35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7" w:type="pct"/>
            <w:vAlign w:val="center"/>
          </w:tcPr>
          <w:p>
            <w:pPr>
              <w:pStyle w:val="154"/>
              <w:spacing w:line="340" w:lineRule="exact"/>
              <w:ind w:firstLine="420"/>
              <w:rPr>
                <w:rFonts w:eastAsia="宋体"/>
                <w:sz w:val="21"/>
                <w:szCs w:val="21"/>
              </w:rPr>
            </w:pPr>
          </w:p>
        </w:tc>
        <w:tc>
          <w:tcPr>
            <w:tcW w:w="1635" w:type="pct"/>
            <w:vAlign w:val="center"/>
          </w:tcPr>
          <w:p>
            <w:pPr>
              <w:pStyle w:val="154"/>
              <w:spacing w:line="340" w:lineRule="exact"/>
              <w:ind w:firstLine="0" w:firstLineChars="0"/>
              <w:rPr>
                <w:rFonts w:eastAsia="宋体"/>
                <w:sz w:val="21"/>
                <w:szCs w:val="21"/>
              </w:rPr>
            </w:pPr>
            <w:r>
              <w:rPr>
                <w:rFonts w:eastAsia="宋体"/>
                <w:sz w:val="21"/>
                <w:szCs w:val="21"/>
              </w:rPr>
              <w:t>经济效益费用比</w:t>
            </w:r>
          </w:p>
        </w:tc>
        <w:tc>
          <w:tcPr>
            <w:tcW w:w="701" w:type="pct"/>
            <w:vAlign w:val="center"/>
          </w:tcPr>
          <w:p>
            <w:pPr>
              <w:pStyle w:val="154"/>
              <w:spacing w:line="340" w:lineRule="exact"/>
              <w:ind w:firstLine="420"/>
              <w:rPr>
                <w:rFonts w:eastAsia="宋体"/>
                <w:sz w:val="21"/>
                <w:szCs w:val="21"/>
              </w:rPr>
            </w:pPr>
          </w:p>
        </w:tc>
        <w:tc>
          <w:tcPr>
            <w:tcW w:w="1965" w:type="pct"/>
            <w:gridSpan w:val="2"/>
            <w:vAlign w:val="center"/>
          </w:tcPr>
          <w:p>
            <w:pPr>
              <w:pStyle w:val="154"/>
              <w:spacing w:line="340" w:lineRule="exact"/>
              <w:ind w:firstLine="0" w:firstLineChars="0"/>
              <w:rPr>
                <w:rFonts w:eastAsia="宋体"/>
                <w:sz w:val="21"/>
                <w:szCs w:val="21"/>
              </w:rPr>
            </w:pPr>
            <w:r>
              <w:rPr>
                <w:rFonts w:eastAsia="宋体"/>
                <w:sz w:val="21"/>
                <w:szCs w:val="21"/>
              </w:rPr>
              <w:t>1.32</w:t>
            </w:r>
          </w:p>
        </w:tc>
      </w:tr>
    </w:tbl>
    <w:p>
      <w:pPr>
        <w:pStyle w:val="6"/>
      </w:pPr>
      <w:bookmarkStart w:id="390" w:name="_Toc536265078"/>
      <w:bookmarkStart w:id="391" w:name="_Toc5509"/>
      <w:bookmarkStart w:id="392" w:name="_Toc3903215"/>
      <w:r>
        <w:t>2.</w:t>
      </w:r>
      <w:r>
        <w:rPr>
          <w:rFonts w:hint="eastAsia"/>
        </w:rPr>
        <w:t>5</w:t>
      </w:r>
      <w:r>
        <w:t>工程组成</w:t>
      </w:r>
      <w:bookmarkEnd w:id="390"/>
      <w:bookmarkEnd w:id="391"/>
      <w:bookmarkEnd w:id="392"/>
    </w:p>
    <w:p>
      <w:pPr>
        <w:autoSpaceDE w:val="0"/>
        <w:autoSpaceDN w:val="0"/>
        <w:adjustRightInd w:val="0"/>
        <w:ind w:firstLine="480"/>
      </w:pPr>
      <w:r>
        <w:rPr>
          <w:rFonts w:hint="eastAsia"/>
        </w:rPr>
        <w:t>上高毛家渡</w:t>
      </w:r>
      <w:r>
        <w:t>抬水工程</w:t>
      </w:r>
      <w:r>
        <w:rPr>
          <w:rFonts w:hint="eastAsia"/>
        </w:rPr>
        <w:t>项目组成包括主体工程（枢纽工程、护岸工程及</w:t>
      </w:r>
      <w:r>
        <w:t>进场防汛公路</w:t>
      </w:r>
      <w:r>
        <w:rPr>
          <w:rFonts w:hint="eastAsia"/>
        </w:rPr>
        <w:t>）、施工工程、辅助工程、环境保护与水土保持工程等四部分组成，</w:t>
      </w:r>
      <w:r>
        <w:t>工程组成见表2.</w:t>
      </w:r>
      <w:r>
        <w:rPr>
          <w:rFonts w:hint="eastAsia"/>
        </w:rPr>
        <w:t>5</w:t>
      </w:r>
      <w:r>
        <w:t>-1。</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表2.5-1    抬水工程项目组成表</w:t>
      </w:r>
    </w:p>
    <w:tbl>
      <w:tblPr>
        <w:tblStyle w:val="8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7" w:type="dxa"/>
          <w:bottom w:w="0" w:type="dxa"/>
          <w:right w:w="17" w:type="dxa"/>
        </w:tblCellMar>
      </w:tblPr>
      <w:tblGrid>
        <w:gridCol w:w="591"/>
        <w:gridCol w:w="674"/>
        <w:gridCol w:w="43"/>
        <w:gridCol w:w="1164"/>
        <w:gridCol w:w="6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1317" w:type="pct"/>
            <w:gridSpan w:val="4"/>
            <w:vAlign w:val="center"/>
          </w:tcPr>
          <w:p>
            <w:pPr>
              <w:widowControl/>
              <w:spacing w:line="340" w:lineRule="exact"/>
              <w:ind w:firstLine="0" w:firstLineChars="0"/>
              <w:jc w:val="center"/>
              <w:rPr>
                <w:kern w:val="0"/>
                <w:sz w:val="21"/>
                <w:szCs w:val="21"/>
              </w:rPr>
            </w:pPr>
            <w:r>
              <w:rPr>
                <w:kern w:val="0"/>
                <w:sz w:val="21"/>
                <w:szCs w:val="21"/>
              </w:rPr>
              <w:t>工程项目</w:t>
            </w:r>
          </w:p>
        </w:tc>
        <w:tc>
          <w:tcPr>
            <w:tcW w:w="3682" w:type="pct"/>
            <w:vAlign w:val="center"/>
          </w:tcPr>
          <w:p>
            <w:pPr>
              <w:spacing w:line="340" w:lineRule="exact"/>
              <w:ind w:firstLine="0" w:firstLineChars="0"/>
              <w:jc w:val="center"/>
              <w:rPr>
                <w:kern w:val="0"/>
                <w:sz w:val="21"/>
                <w:szCs w:val="21"/>
              </w:rPr>
            </w:pPr>
            <w:r>
              <w:rPr>
                <w:kern w:val="0"/>
                <w:sz w:val="21"/>
                <w:szCs w:val="21"/>
              </w:rPr>
              <w:t>工程组成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527" w:hRule="atLeast"/>
        </w:trPr>
        <w:tc>
          <w:tcPr>
            <w:tcW w:w="315" w:type="pct"/>
            <w:vMerge w:val="restart"/>
            <w:vAlign w:val="center"/>
          </w:tcPr>
          <w:p>
            <w:pPr>
              <w:pStyle w:val="850"/>
              <w:spacing w:line="340" w:lineRule="exact"/>
              <w:rPr>
                <w:color w:val="auto"/>
                <w:kern w:val="0"/>
                <w:szCs w:val="21"/>
              </w:rPr>
            </w:pPr>
            <w:r>
              <w:rPr>
                <w:color w:val="auto"/>
                <w:kern w:val="0"/>
                <w:szCs w:val="21"/>
              </w:rPr>
              <w:t>主体工程</w:t>
            </w:r>
          </w:p>
        </w:tc>
        <w:tc>
          <w:tcPr>
            <w:tcW w:w="382" w:type="pct"/>
            <w:gridSpan w:val="2"/>
            <w:vMerge w:val="restart"/>
            <w:vAlign w:val="center"/>
          </w:tcPr>
          <w:p>
            <w:pPr>
              <w:pStyle w:val="850"/>
              <w:spacing w:line="340" w:lineRule="exact"/>
              <w:rPr>
                <w:color w:val="auto"/>
                <w:kern w:val="0"/>
                <w:szCs w:val="21"/>
              </w:rPr>
            </w:pPr>
            <w:r>
              <w:rPr>
                <w:color w:val="auto"/>
                <w:kern w:val="0"/>
                <w:szCs w:val="21"/>
              </w:rPr>
              <w:t>枢纽</w:t>
            </w:r>
          </w:p>
          <w:p>
            <w:pPr>
              <w:pStyle w:val="850"/>
              <w:spacing w:line="340" w:lineRule="exact"/>
              <w:rPr>
                <w:color w:val="auto"/>
                <w:kern w:val="0"/>
                <w:szCs w:val="21"/>
              </w:rPr>
            </w:pPr>
            <w:r>
              <w:rPr>
                <w:color w:val="auto"/>
                <w:kern w:val="0"/>
                <w:szCs w:val="21"/>
              </w:rPr>
              <w:t>工程</w:t>
            </w:r>
          </w:p>
        </w:tc>
        <w:tc>
          <w:tcPr>
            <w:tcW w:w="618" w:type="pct"/>
            <w:vAlign w:val="center"/>
          </w:tcPr>
          <w:p>
            <w:pPr>
              <w:spacing w:line="340" w:lineRule="exact"/>
              <w:ind w:firstLine="0" w:firstLineChars="0"/>
              <w:jc w:val="center"/>
              <w:rPr>
                <w:sz w:val="21"/>
                <w:szCs w:val="21"/>
              </w:rPr>
            </w:pPr>
            <w:r>
              <w:rPr>
                <w:sz w:val="21"/>
                <w:szCs w:val="21"/>
              </w:rPr>
              <w:t>泄洪闸</w:t>
            </w:r>
          </w:p>
        </w:tc>
        <w:tc>
          <w:tcPr>
            <w:tcW w:w="3682" w:type="pct"/>
            <w:vAlign w:val="center"/>
          </w:tcPr>
          <w:p>
            <w:pPr>
              <w:spacing w:line="340" w:lineRule="exact"/>
              <w:ind w:firstLine="0" w:firstLineChars="0"/>
              <w:jc w:val="center"/>
              <w:rPr>
                <w:sz w:val="21"/>
                <w:szCs w:val="21"/>
              </w:rPr>
            </w:pPr>
            <w:r>
              <w:rPr>
                <w:rFonts w:hint="eastAsia"/>
                <w:sz w:val="21"/>
                <w:szCs w:val="21"/>
              </w:rPr>
              <w:t>泄洪闸采用液压坝控制，共5 跨，每跨由4 个7.5m×5.5m（宽×高）的钢制弧形门组成，溢流宽150m，中墩宽2.0m，边墩宽1.0m。闸底板高程39.00m。管理房设置在坡顶平台，同时将斜坡整成两级平台。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1112" w:hRule="atLeast"/>
        </w:trPr>
        <w:tc>
          <w:tcPr>
            <w:tcW w:w="315" w:type="pct"/>
            <w:vMerge w:val="continue"/>
            <w:vAlign w:val="center"/>
          </w:tcPr>
          <w:p>
            <w:pPr>
              <w:pStyle w:val="850"/>
              <w:spacing w:line="340" w:lineRule="exact"/>
              <w:rPr>
                <w:color w:val="auto"/>
                <w:kern w:val="0"/>
                <w:szCs w:val="21"/>
              </w:rPr>
            </w:pPr>
          </w:p>
        </w:tc>
        <w:tc>
          <w:tcPr>
            <w:tcW w:w="382" w:type="pct"/>
            <w:gridSpan w:val="2"/>
            <w:vMerge w:val="continue"/>
            <w:vAlign w:val="center"/>
          </w:tcPr>
          <w:p>
            <w:pPr>
              <w:pStyle w:val="850"/>
              <w:spacing w:line="340" w:lineRule="exact"/>
              <w:rPr>
                <w:color w:val="auto"/>
                <w:kern w:val="0"/>
                <w:szCs w:val="21"/>
              </w:rPr>
            </w:pPr>
          </w:p>
        </w:tc>
        <w:tc>
          <w:tcPr>
            <w:tcW w:w="618" w:type="pct"/>
            <w:vAlign w:val="center"/>
          </w:tcPr>
          <w:p>
            <w:pPr>
              <w:spacing w:line="340" w:lineRule="exact"/>
              <w:ind w:firstLine="0" w:firstLineChars="0"/>
              <w:jc w:val="center"/>
              <w:rPr>
                <w:sz w:val="21"/>
                <w:szCs w:val="21"/>
              </w:rPr>
            </w:pPr>
            <w:r>
              <w:rPr>
                <w:sz w:val="21"/>
                <w:szCs w:val="21"/>
              </w:rPr>
              <w:t>冲砂闸</w:t>
            </w:r>
          </w:p>
        </w:tc>
        <w:tc>
          <w:tcPr>
            <w:tcW w:w="3682" w:type="pct"/>
            <w:vAlign w:val="center"/>
          </w:tcPr>
          <w:p>
            <w:pPr>
              <w:spacing w:line="340" w:lineRule="exact"/>
              <w:ind w:firstLine="0" w:firstLineChars="0"/>
              <w:jc w:val="center"/>
              <w:rPr>
                <w:sz w:val="21"/>
                <w:szCs w:val="21"/>
              </w:rPr>
            </w:pPr>
            <w:r>
              <w:rPr>
                <w:rFonts w:hint="eastAsia"/>
                <w:sz w:val="21"/>
                <w:szCs w:val="21"/>
              </w:rPr>
              <w:t>冲砂闸位于枢纽左侧，右侧紧靠液压坝，冲砂闸采用开敞式宽顶堰，闸底板高程37.00m，闸室总宽35.00m，3孔，单孔净宽10.0m，中墩厚1.5m，边墩厚1.0m，纵向长18.00m。闸室设检修闸门和工作闸门。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pStyle w:val="850"/>
              <w:spacing w:line="340" w:lineRule="exact"/>
              <w:rPr>
                <w:color w:val="auto"/>
                <w:kern w:val="0"/>
                <w:szCs w:val="21"/>
              </w:rPr>
            </w:pPr>
          </w:p>
        </w:tc>
        <w:tc>
          <w:tcPr>
            <w:tcW w:w="1001" w:type="pct"/>
            <w:gridSpan w:val="3"/>
            <w:vAlign w:val="center"/>
          </w:tcPr>
          <w:p>
            <w:pPr>
              <w:spacing w:line="340" w:lineRule="exact"/>
              <w:ind w:firstLine="0" w:firstLineChars="0"/>
              <w:jc w:val="center"/>
              <w:rPr>
                <w:sz w:val="21"/>
                <w:szCs w:val="21"/>
              </w:rPr>
            </w:pPr>
            <w:r>
              <w:rPr>
                <w:sz w:val="21"/>
                <w:szCs w:val="21"/>
              </w:rPr>
              <w:t>护岸工程</w:t>
            </w:r>
          </w:p>
        </w:tc>
        <w:tc>
          <w:tcPr>
            <w:tcW w:w="3682" w:type="pct"/>
            <w:vAlign w:val="center"/>
          </w:tcPr>
          <w:p>
            <w:pPr>
              <w:spacing w:line="340" w:lineRule="exact"/>
              <w:ind w:firstLine="0" w:firstLineChars="0"/>
              <w:jc w:val="center"/>
              <w:rPr>
                <w:sz w:val="21"/>
                <w:szCs w:val="21"/>
              </w:rPr>
            </w:pPr>
            <w:r>
              <w:rPr>
                <w:rFonts w:hint="eastAsia"/>
                <w:sz w:val="21"/>
                <w:szCs w:val="21"/>
              </w:rPr>
              <w:t>闸坝上下游护岸总长1609m。左岸护岸长651m，右岸护岸长958m。左岸上游护岸长度为265m（160m 预制块护岸，50m渐变段，55m 衡重式挡土墙）；下游护岸长386m（70m衡重式挡土墙，50m 渐变段，266m 预制块护岸）。右岸上游护岸长度为765m（660m 预制块护岸，50m 渐变段，55m 衡重</w:t>
            </w:r>
          </w:p>
          <w:p>
            <w:pPr>
              <w:spacing w:line="340" w:lineRule="exact"/>
              <w:ind w:firstLine="0" w:firstLineChars="0"/>
              <w:jc w:val="center"/>
              <w:rPr>
                <w:sz w:val="21"/>
                <w:szCs w:val="21"/>
              </w:rPr>
            </w:pPr>
            <w:r>
              <w:rPr>
                <w:rFonts w:hint="eastAsia"/>
                <w:sz w:val="21"/>
                <w:szCs w:val="21"/>
              </w:rPr>
              <w:t>式挡土墙）；下游护岸长193m（70m 衡重式挡土墙，50m 渐变段，73m预制块护岸）。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pStyle w:val="850"/>
              <w:spacing w:line="340" w:lineRule="exact"/>
              <w:rPr>
                <w:color w:val="auto"/>
                <w:kern w:val="0"/>
                <w:szCs w:val="21"/>
              </w:rPr>
            </w:pPr>
          </w:p>
        </w:tc>
        <w:tc>
          <w:tcPr>
            <w:tcW w:w="1001" w:type="pct"/>
            <w:gridSpan w:val="3"/>
            <w:vAlign w:val="center"/>
          </w:tcPr>
          <w:p>
            <w:pPr>
              <w:adjustRightInd w:val="0"/>
              <w:snapToGrid w:val="0"/>
              <w:spacing w:line="340" w:lineRule="exact"/>
              <w:ind w:firstLine="0" w:firstLineChars="0"/>
              <w:jc w:val="center"/>
              <w:rPr>
                <w:sz w:val="21"/>
                <w:szCs w:val="21"/>
              </w:rPr>
            </w:pPr>
            <w:r>
              <w:rPr>
                <w:sz w:val="21"/>
                <w:szCs w:val="21"/>
              </w:rPr>
              <w:t>进场防汛公路</w:t>
            </w:r>
          </w:p>
        </w:tc>
        <w:tc>
          <w:tcPr>
            <w:tcW w:w="3682" w:type="pct"/>
            <w:vAlign w:val="center"/>
          </w:tcPr>
          <w:p>
            <w:pPr>
              <w:spacing w:line="340" w:lineRule="exact"/>
              <w:ind w:firstLine="0" w:firstLineChars="0"/>
              <w:jc w:val="center"/>
              <w:rPr>
                <w:sz w:val="21"/>
                <w:szCs w:val="21"/>
              </w:rPr>
            </w:pPr>
            <w:r>
              <w:rPr>
                <w:rFonts w:hint="eastAsia"/>
                <w:sz w:val="21"/>
                <w:szCs w:val="21"/>
              </w:rPr>
              <w:t>在左岸设置巡视检查道，总长0.732km。C30 透水水泥砼路面宽4.5m，两侧</w:t>
            </w:r>
          </w:p>
          <w:p>
            <w:pPr>
              <w:spacing w:line="340" w:lineRule="exact"/>
              <w:ind w:firstLine="0" w:firstLineChars="0"/>
              <w:jc w:val="center"/>
              <w:rPr>
                <w:sz w:val="21"/>
                <w:szCs w:val="21"/>
              </w:rPr>
            </w:pPr>
            <w:r>
              <w:rPr>
                <w:rFonts w:hint="eastAsia"/>
                <w:sz w:val="21"/>
                <w:szCs w:val="21"/>
              </w:rPr>
              <w:t>各设0.25m 土路肩。防汛公路路面向迎水侧倾斜，坡度为2%。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Align w:val="center"/>
          </w:tcPr>
          <w:p>
            <w:pPr>
              <w:pStyle w:val="850"/>
              <w:spacing w:line="340" w:lineRule="exact"/>
              <w:rPr>
                <w:color w:val="auto"/>
                <w:kern w:val="0"/>
                <w:szCs w:val="21"/>
              </w:rPr>
            </w:pPr>
            <w:r>
              <w:rPr>
                <w:color w:val="auto"/>
                <w:szCs w:val="21"/>
              </w:rPr>
              <w:t>辅助工程</w:t>
            </w:r>
          </w:p>
        </w:tc>
        <w:tc>
          <w:tcPr>
            <w:tcW w:w="1001" w:type="pct"/>
            <w:gridSpan w:val="3"/>
            <w:vAlign w:val="center"/>
          </w:tcPr>
          <w:p>
            <w:pPr>
              <w:widowControl/>
              <w:spacing w:line="340" w:lineRule="exact"/>
              <w:ind w:firstLine="0" w:firstLineChars="0"/>
              <w:jc w:val="center"/>
              <w:rPr>
                <w:sz w:val="21"/>
                <w:szCs w:val="21"/>
              </w:rPr>
            </w:pPr>
            <w:r>
              <w:rPr>
                <w:kern w:val="0"/>
                <w:sz w:val="21"/>
                <w:szCs w:val="21"/>
              </w:rPr>
              <w:t>水库管理房</w:t>
            </w:r>
          </w:p>
        </w:tc>
        <w:tc>
          <w:tcPr>
            <w:tcW w:w="3682" w:type="pct"/>
            <w:vAlign w:val="center"/>
          </w:tcPr>
          <w:p>
            <w:pPr>
              <w:widowControl/>
              <w:spacing w:line="340" w:lineRule="exact"/>
              <w:ind w:firstLine="0" w:firstLineChars="0"/>
              <w:jc w:val="center"/>
              <w:rPr>
                <w:sz w:val="21"/>
                <w:szCs w:val="21"/>
              </w:rPr>
            </w:pPr>
            <w:r>
              <w:rPr>
                <w:sz w:val="21"/>
                <w:szCs w:val="21"/>
              </w:rPr>
              <w:t>位于大坝右岸坝肩处，管理用房面积200m</w:t>
            </w:r>
            <w:r>
              <w:rPr>
                <w:sz w:val="21"/>
                <w:szCs w:val="21"/>
                <w:vertAlign w:val="superscript"/>
              </w:rPr>
              <w:t>2</w:t>
            </w:r>
            <w:r>
              <w:rPr>
                <w:sz w:val="21"/>
                <w:szCs w:val="21"/>
              </w:rPr>
              <w:t>，占地面积200m</w:t>
            </w:r>
            <w:r>
              <w:rPr>
                <w:sz w:val="21"/>
                <w:szCs w:val="21"/>
                <w:vertAlign w:val="superscript"/>
              </w:rPr>
              <w:t>2</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restart"/>
            <w:vAlign w:val="center"/>
          </w:tcPr>
          <w:p>
            <w:pPr>
              <w:pStyle w:val="850"/>
              <w:spacing w:line="340" w:lineRule="exact"/>
              <w:rPr>
                <w:color w:val="auto"/>
                <w:kern w:val="0"/>
                <w:szCs w:val="21"/>
              </w:rPr>
            </w:pPr>
            <w:r>
              <w:rPr>
                <w:color w:val="auto"/>
                <w:kern w:val="0"/>
                <w:szCs w:val="21"/>
              </w:rPr>
              <w:t>施工工程</w:t>
            </w:r>
          </w:p>
        </w:tc>
        <w:tc>
          <w:tcPr>
            <w:tcW w:w="1001" w:type="pct"/>
            <w:gridSpan w:val="3"/>
            <w:vAlign w:val="center"/>
          </w:tcPr>
          <w:p>
            <w:pPr>
              <w:adjustRightInd w:val="0"/>
              <w:snapToGrid w:val="0"/>
              <w:spacing w:line="340" w:lineRule="exact"/>
              <w:ind w:firstLine="0" w:firstLineChars="0"/>
              <w:jc w:val="center"/>
              <w:rPr>
                <w:sz w:val="21"/>
                <w:szCs w:val="21"/>
              </w:rPr>
            </w:pPr>
            <w:r>
              <w:rPr>
                <w:sz w:val="21"/>
                <w:szCs w:val="21"/>
              </w:rPr>
              <w:t>临时道路</w:t>
            </w:r>
          </w:p>
        </w:tc>
        <w:tc>
          <w:tcPr>
            <w:tcW w:w="3682" w:type="pct"/>
            <w:vAlign w:val="center"/>
          </w:tcPr>
          <w:p>
            <w:pPr>
              <w:spacing w:line="340" w:lineRule="exact"/>
              <w:ind w:firstLine="0" w:firstLineChars="0"/>
              <w:jc w:val="center"/>
              <w:rPr>
                <w:sz w:val="21"/>
                <w:szCs w:val="21"/>
              </w:rPr>
            </w:pPr>
            <w:r>
              <w:rPr>
                <w:rFonts w:hint="eastAsia"/>
                <w:sz w:val="21"/>
                <w:szCs w:val="21"/>
              </w:rPr>
              <w:t>本工程施工项目较为集中，施工场地较开阔，便于施工布置。需分别修建</w:t>
            </w:r>
            <w:r>
              <w:rPr>
                <w:sz w:val="21"/>
                <w:szCs w:val="21"/>
              </w:rPr>
              <w:t>1.0</w:t>
            </w:r>
            <w:r>
              <w:rPr>
                <w:rFonts w:hint="eastAsia"/>
                <w:sz w:val="21"/>
                <w:szCs w:val="21"/>
              </w:rPr>
              <w:t>km的临时道路至拦河坝左、右岸，建</w:t>
            </w:r>
            <w:r>
              <w:rPr>
                <w:sz w:val="21"/>
                <w:szCs w:val="21"/>
              </w:rPr>
              <w:t>1.0</w:t>
            </w:r>
            <w:r>
              <w:rPr>
                <w:rFonts w:hint="eastAsia"/>
                <w:sz w:val="21"/>
                <w:szCs w:val="21"/>
              </w:rPr>
              <w:t>km的临时道路至土料场，合计临时道路长</w:t>
            </w:r>
            <w:r>
              <w:rPr>
                <w:sz w:val="21"/>
                <w:szCs w:val="21"/>
              </w:rPr>
              <w:t>2.0</w:t>
            </w:r>
            <w:r>
              <w:rPr>
                <w:rFonts w:hint="eastAsia"/>
                <w:sz w:val="21"/>
                <w:szCs w:val="21"/>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pStyle w:val="850"/>
              <w:spacing w:line="340" w:lineRule="exact"/>
              <w:rPr>
                <w:color w:val="auto"/>
                <w:kern w:val="0"/>
                <w:szCs w:val="21"/>
              </w:rPr>
            </w:pPr>
          </w:p>
        </w:tc>
        <w:tc>
          <w:tcPr>
            <w:tcW w:w="359" w:type="pct"/>
            <w:vMerge w:val="restart"/>
            <w:vAlign w:val="center"/>
          </w:tcPr>
          <w:p>
            <w:pPr>
              <w:adjustRightInd w:val="0"/>
              <w:snapToGrid w:val="0"/>
              <w:spacing w:line="340" w:lineRule="exact"/>
              <w:ind w:firstLine="0" w:firstLineChars="0"/>
              <w:jc w:val="center"/>
              <w:rPr>
                <w:sz w:val="21"/>
                <w:szCs w:val="21"/>
              </w:rPr>
            </w:pPr>
            <w:r>
              <w:rPr>
                <w:sz w:val="21"/>
                <w:szCs w:val="21"/>
              </w:rPr>
              <w:t>料场</w:t>
            </w:r>
          </w:p>
        </w:tc>
        <w:tc>
          <w:tcPr>
            <w:tcW w:w="641" w:type="pct"/>
            <w:gridSpan w:val="2"/>
            <w:vAlign w:val="center"/>
          </w:tcPr>
          <w:p>
            <w:pPr>
              <w:adjustRightInd w:val="0"/>
              <w:snapToGrid w:val="0"/>
              <w:spacing w:line="340" w:lineRule="exact"/>
              <w:ind w:firstLine="0" w:firstLineChars="0"/>
              <w:jc w:val="center"/>
              <w:rPr>
                <w:sz w:val="21"/>
                <w:szCs w:val="21"/>
              </w:rPr>
            </w:pPr>
            <w:r>
              <w:rPr>
                <w:sz w:val="21"/>
                <w:szCs w:val="21"/>
              </w:rPr>
              <w:t>石料场</w:t>
            </w:r>
          </w:p>
        </w:tc>
        <w:tc>
          <w:tcPr>
            <w:tcW w:w="3682" w:type="pct"/>
            <w:vAlign w:val="center"/>
          </w:tcPr>
          <w:p>
            <w:pPr>
              <w:spacing w:line="340" w:lineRule="exact"/>
              <w:ind w:firstLine="0" w:firstLineChars="0"/>
              <w:jc w:val="center"/>
              <w:rPr>
                <w:sz w:val="21"/>
                <w:szCs w:val="21"/>
              </w:rPr>
            </w:pPr>
            <w:r>
              <w:rPr>
                <w:rFonts w:hint="eastAsia"/>
                <w:sz w:val="21"/>
                <w:szCs w:val="21"/>
              </w:rPr>
              <w:t>上高城区购买商品砂，到下坝址左岸运距6km左右；块石、碎石料：芦洲乡附近石料厂购买，到下坝址左岸运距15km左右</w:t>
            </w:r>
            <w:r>
              <w:rPr>
                <w:sz w:val="21"/>
                <w:szCs w:val="21"/>
              </w:rPr>
              <w:t>，本项目不设石料场。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1070" w:hRule="atLeast"/>
        </w:trPr>
        <w:tc>
          <w:tcPr>
            <w:tcW w:w="315" w:type="pct"/>
            <w:vMerge w:val="continue"/>
            <w:vAlign w:val="center"/>
          </w:tcPr>
          <w:p>
            <w:pPr>
              <w:pStyle w:val="850"/>
              <w:spacing w:line="340" w:lineRule="exact"/>
              <w:rPr>
                <w:color w:val="auto"/>
                <w:kern w:val="0"/>
                <w:szCs w:val="21"/>
              </w:rPr>
            </w:pPr>
          </w:p>
        </w:tc>
        <w:tc>
          <w:tcPr>
            <w:tcW w:w="359" w:type="pct"/>
            <w:vMerge w:val="continue"/>
            <w:vAlign w:val="center"/>
          </w:tcPr>
          <w:p>
            <w:pPr>
              <w:adjustRightInd w:val="0"/>
              <w:snapToGrid w:val="0"/>
              <w:spacing w:line="340" w:lineRule="exact"/>
              <w:ind w:firstLine="0" w:firstLineChars="0"/>
              <w:jc w:val="center"/>
              <w:rPr>
                <w:sz w:val="21"/>
                <w:szCs w:val="21"/>
              </w:rPr>
            </w:pPr>
          </w:p>
        </w:tc>
        <w:tc>
          <w:tcPr>
            <w:tcW w:w="641" w:type="pct"/>
            <w:gridSpan w:val="2"/>
            <w:vAlign w:val="center"/>
          </w:tcPr>
          <w:p>
            <w:pPr>
              <w:adjustRightInd w:val="0"/>
              <w:snapToGrid w:val="0"/>
              <w:spacing w:line="340" w:lineRule="exact"/>
              <w:ind w:firstLine="0" w:firstLineChars="0"/>
              <w:jc w:val="center"/>
              <w:rPr>
                <w:kern w:val="0"/>
                <w:sz w:val="21"/>
                <w:szCs w:val="21"/>
              </w:rPr>
            </w:pPr>
            <w:r>
              <w:rPr>
                <w:kern w:val="0"/>
                <w:sz w:val="21"/>
                <w:szCs w:val="21"/>
              </w:rPr>
              <w:t>土料场</w:t>
            </w:r>
          </w:p>
        </w:tc>
        <w:tc>
          <w:tcPr>
            <w:tcW w:w="3682" w:type="pct"/>
            <w:vAlign w:val="center"/>
          </w:tcPr>
          <w:p>
            <w:pPr>
              <w:spacing w:line="340" w:lineRule="exact"/>
              <w:ind w:firstLine="0" w:firstLineChars="0"/>
              <w:jc w:val="center"/>
              <w:rPr>
                <w:kern w:val="0"/>
                <w:sz w:val="21"/>
                <w:szCs w:val="21"/>
              </w:rPr>
            </w:pPr>
            <w:r>
              <w:rPr>
                <w:rFonts w:hint="eastAsia"/>
                <w:sz w:val="21"/>
                <w:szCs w:val="21"/>
              </w:rPr>
              <w:t>可在上高先锋村境内，为长岭山土料场，土质为粘性土，红色，天然状态下较密实，粘性较好，储量较丰富，可满足设计要求。料场至坝址距离约为8km，本项目不设石料场。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pStyle w:val="850"/>
              <w:spacing w:line="340" w:lineRule="exact"/>
              <w:rPr>
                <w:color w:val="auto"/>
                <w:kern w:val="0"/>
                <w:szCs w:val="21"/>
              </w:rPr>
            </w:pPr>
          </w:p>
        </w:tc>
        <w:tc>
          <w:tcPr>
            <w:tcW w:w="1001" w:type="pct"/>
            <w:gridSpan w:val="3"/>
            <w:vAlign w:val="center"/>
          </w:tcPr>
          <w:p>
            <w:pPr>
              <w:adjustRightInd w:val="0"/>
              <w:snapToGrid w:val="0"/>
              <w:spacing w:line="340" w:lineRule="exact"/>
              <w:ind w:firstLine="0" w:firstLineChars="0"/>
              <w:jc w:val="center"/>
              <w:rPr>
                <w:kern w:val="0"/>
                <w:sz w:val="21"/>
                <w:szCs w:val="21"/>
              </w:rPr>
            </w:pPr>
            <w:r>
              <w:rPr>
                <w:kern w:val="0"/>
                <w:sz w:val="21"/>
                <w:szCs w:val="21"/>
              </w:rPr>
              <w:t>弃渣场</w:t>
            </w:r>
          </w:p>
        </w:tc>
        <w:tc>
          <w:tcPr>
            <w:tcW w:w="368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本工程弃渣</w:t>
            </w:r>
            <w:r>
              <w:rPr>
                <w:rFonts w:hint="eastAsia"/>
                <w:sz w:val="21"/>
                <w:szCs w:val="21"/>
              </w:rPr>
              <w:t>27444</w:t>
            </w:r>
            <w:r>
              <w:rPr>
                <w:sz w:val="21"/>
                <w:szCs w:val="21"/>
              </w:rPr>
              <w:t>m</w:t>
            </w:r>
            <w:r>
              <w:rPr>
                <w:sz w:val="21"/>
                <w:szCs w:val="21"/>
                <w:vertAlign w:val="superscript"/>
              </w:rPr>
              <w:t>3</w:t>
            </w:r>
            <w:r>
              <w:rPr>
                <w:kern w:val="0"/>
                <w:sz w:val="21"/>
                <w:szCs w:val="21"/>
              </w:rPr>
              <w:t>，共布置弃渣场</w:t>
            </w:r>
            <w:r>
              <w:rPr>
                <w:rFonts w:hint="eastAsia"/>
                <w:kern w:val="0"/>
                <w:sz w:val="21"/>
                <w:szCs w:val="21"/>
              </w:rPr>
              <w:t>1</w:t>
            </w:r>
            <w:r>
              <w:rPr>
                <w:kern w:val="0"/>
                <w:sz w:val="21"/>
                <w:szCs w:val="21"/>
              </w:rPr>
              <w:t>处，</w:t>
            </w:r>
            <w:r>
              <w:rPr>
                <w:sz w:val="21"/>
                <w:szCs w:val="21"/>
              </w:rPr>
              <w:t>占地类型为荒草地，可纳弃渣量约</w:t>
            </w:r>
            <w:r>
              <w:rPr>
                <w:rFonts w:hint="eastAsia"/>
                <w:sz w:val="21"/>
                <w:szCs w:val="21"/>
              </w:rPr>
              <w:t>3.6</w:t>
            </w:r>
            <w:r>
              <w:rPr>
                <w:sz w:val="21"/>
                <w:szCs w:val="21"/>
              </w:rPr>
              <w:t>×10</w:t>
            </w:r>
            <w:r>
              <w:rPr>
                <w:sz w:val="21"/>
                <w:szCs w:val="21"/>
                <w:vertAlign w:val="superscript"/>
              </w:rPr>
              <w:t>4</w:t>
            </w:r>
            <w:r>
              <w:rPr>
                <w:sz w:val="21"/>
                <w:szCs w:val="21"/>
              </w:rPr>
              <w:t>m</w:t>
            </w:r>
            <w:r>
              <w:rPr>
                <w:sz w:val="21"/>
                <w:szCs w:val="21"/>
                <w:vertAlign w:val="superscript"/>
              </w:rPr>
              <w:t>3</w:t>
            </w:r>
            <w:r>
              <w:rPr>
                <w:sz w:val="21"/>
                <w:szCs w:val="21"/>
              </w:rPr>
              <w:t>，最大堆渣高度约5.5m，平均堆渣高度约为3.0m。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widowControl/>
              <w:spacing w:line="340" w:lineRule="exact"/>
              <w:ind w:firstLine="420"/>
              <w:jc w:val="center"/>
              <w:rPr>
                <w:kern w:val="0"/>
                <w:sz w:val="21"/>
                <w:szCs w:val="21"/>
              </w:rPr>
            </w:pPr>
          </w:p>
        </w:tc>
        <w:tc>
          <w:tcPr>
            <w:tcW w:w="1001" w:type="pct"/>
            <w:gridSpan w:val="3"/>
            <w:vAlign w:val="center"/>
          </w:tcPr>
          <w:p>
            <w:pPr>
              <w:spacing w:line="340" w:lineRule="exact"/>
              <w:ind w:firstLine="233" w:firstLineChars="111"/>
              <w:jc w:val="center"/>
              <w:rPr>
                <w:kern w:val="0"/>
                <w:sz w:val="21"/>
                <w:szCs w:val="21"/>
              </w:rPr>
            </w:pPr>
            <w:r>
              <w:rPr>
                <w:kern w:val="0"/>
                <w:sz w:val="21"/>
                <w:szCs w:val="21"/>
              </w:rPr>
              <w:t>施工场地布置</w:t>
            </w:r>
          </w:p>
        </w:tc>
        <w:tc>
          <w:tcPr>
            <w:tcW w:w="3682" w:type="pct"/>
            <w:vAlign w:val="center"/>
          </w:tcPr>
          <w:p>
            <w:pPr>
              <w:autoSpaceDE w:val="0"/>
              <w:autoSpaceDN w:val="0"/>
              <w:adjustRightInd w:val="0"/>
              <w:spacing w:line="340" w:lineRule="exact"/>
              <w:ind w:firstLine="0" w:firstLineChars="0"/>
              <w:jc w:val="center"/>
              <w:rPr>
                <w:sz w:val="21"/>
                <w:szCs w:val="21"/>
              </w:rPr>
            </w:pPr>
            <w:r>
              <w:rPr>
                <w:kern w:val="0"/>
                <w:sz w:val="21"/>
                <w:szCs w:val="21"/>
              </w:rPr>
              <w:t>本工程设置1个施工场地，内布置</w:t>
            </w:r>
            <w:r>
              <w:rPr>
                <w:sz w:val="21"/>
                <w:szCs w:val="21"/>
              </w:rPr>
              <w:t>骨料堆放场地、综合加工厂（钢筋木材综合加工）、机械及车辆维修站、综合仓库及施工生活区等，占地面积约</w:t>
            </w:r>
            <w:r>
              <w:rPr>
                <w:rFonts w:hint="eastAsia"/>
                <w:sz w:val="21"/>
                <w:szCs w:val="21"/>
              </w:rPr>
              <w:t>6亩</w:t>
            </w:r>
            <w:r>
              <w:rPr>
                <w:sz w:val="21"/>
                <w:szCs w:val="21"/>
              </w:rPr>
              <w:t>，占地类型为荒草地。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restart"/>
            <w:vAlign w:val="center"/>
          </w:tcPr>
          <w:p>
            <w:pPr>
              <w:autoSpaceDE w:val="0"/>
              <w:autoSpaceDN w:val="0"/>
              <w:adjustRightInd w:val="0"/>
              <w:spacing w:line="340" w:lineRule="exact"/>
              <w:ind w:firstLine="0" w:firstLineChars="0"/>
              <w:jc w:val="center"/>
              <w:rPr>
                <w:kern w:val="0"/>
                <w:sz w:val="21"/>
                <w:szCs w:val="21"/>
              </w:rPr>
            </w:pPr>
            <w:r>
              <w:rPr>
                <w:kern w:val="0"/>
                <w:sz w:val="21"/>
                <w:szCs w:val="21"/>
              </w:rPr>
              <w:t>环境保护和水土保</w:t>
            </w:r>
            <w:r>
              <w:rPr>
                <w:rFonts w:hint="eastAsia"/>
                <w:kern w:val="0"/>
                <w:sz w:val="21"/>
                <w:szCs w:val="21"/>
              </w:rPr>
              <w:t>持</w:t>
            </w:r>
          </w:p>
        </w:tc>
        <w:tc>
          <w:tcPr>
            <w:tcW w:w="1001" w:type="pct"/>
            <w:gridSpan w:val="3"/>
            <w:vAlign w:val="center"/>
          </w:tcPr>
          <w:p>
            <w:pPr>
              <w:widowControl/>
              <w:spacing w:line="340" w:lineRule="exact"/>
              <w:ind w:firstLine="0" w:firstLineChars="0"/>
              <w:jc w:val="center"/>
              <w:rPr>
                <w:sz w:val="21"/>
                <w:szCs w:val="21"/>
              </w:rPr>
            </w:pPr>
            <w:r>
              <w:rPr>
                <w:kern w:val="0"/>
                <w:sz w:val="21"/>
                <w:szCs w:val="21"/>
              </w:rPr>
              <w:t>陆生生态保护</w:t>
            </w:r>
          </w:p>
        </w:tc>
        <w:tc>
          <w:tcPr>
            <w:tcW w:w="3682" w:type="pct"/>
            <w:vAlign w:val="center"/>
          </w:tcPr>
          <w:p>
            <w:pPr>
              <w:autoSpaceDE w:val="0"/>
              <w:autoSpaceDN w:val="0"/>
              <w:adjustRightInd w:val="0"/>
              <w:spacing w:line="340" w:lineRule="exact"/>
              <w:ind w:firstLine="0" w:firstLineChars="0"/>
              <w:jc w:val="center"/>
              <w:rPr>
                <w:sz w:val="21"/>
                <w:szCs w:val="21"/>
              </w:rPr>
            </w:pPr>
            <w:r>
              <w:rPr>
                <w:kern w:val="0"/>
                <w:sz w:val="21"/>
                <w:szCs w:val="21"/>
              </w:rPr>
              <w:t>永久占地和施工临时占地破坏的植被均通过复垦、生态恢复等予以补偿。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sz w:val="21"/>
                <w:szCs w:val="21"/>
              </w:rPr>
            </w:pPr>
            <w:r>
              <w:rPr>
                <w:kern w:val="0"/>
                <w:sz w:val="21"/>
                <w:szCs w:val="21"/>
              </w:rPr>
              <w:t>水生生态保护</w:t>
            </w:r>
          </w:p>
        </w:tc>
        <w:tc>
          <w:tcPr>
            <w:tcW w:w="3682" w:type="pct"/>
            <w:vAlign w:val="center"/>
          </w:tcPr>
          <w:p>
            <w:pPr>
              <w:autoSpaceDE w:val="0"/>
              <w:autoSpaceDN w:val="0"/>
              <w:adjustRightInd w:val="0"/>
              <w:spacing w:line="340" w:lineRule="exact"/>
              <w:ind w:firstLine="0" w:firstLineChars="0"/>
              <w:jc w:val="center"/>
              <w:rPr>
                <w:sz w:val="21"/>
                <w:szCs w:val="21"/>
              </w:rPr>
            </w:pPr>
            <w:r>
              <w:rPr>
                <w:kern w:val="0"/>
                <w:sz w:val="21"/>
                <w:szCs w:val="21"/>
              </w:rPr>
              <w:t>施工废水、固废等不排放至河道，做好水土保持工作，对施工人员做好生态保护宣传工作。设置坝顶溢流，</w:t>
            </w:r>
            <w:r>
              <w:rPr>
                <w:sz w:val="21"/>
                <w:szCs w:val="21"/>
              </w:rPr>
              <w:t>当坝顶溢流0.0</w:t>
            </w:r>
            <w:r>
              <w:rPr>
                <w:rFonts w:hint="eastAsia"/>
                <w:sz w:val="21"/>
                <w:szCs w:val="21"/>
              </w:rPr>
              <w:t>7</w:t>
            </w:r>
            <w:r>
              <w:rPr>
                <w:sz w:val="21"/>
                <w:szCs w:val="21"/>
              </w:rPr>
              <w:t>m，泄水流量为</w:t>
            </w:r>
            <w:r>
              <w:rPr>
                <w:rFonts w:hint="eastAsia"/>
                <w:sz w:val="21"/>
                <w:szCs w:val="21"/>
              </w:rPr>
              <w:t>12.11</w:t>
            </w:r>
            <w:r>
              <w:rPr>
                <w:sz w:val="21"/>
                <w:szCs w:val="21"/>
              </w:rPr>
              <w:t>m</w:t>
            </w:r>
            <w:r>
              <w:rPr>
                <w:sz w:val="21"/>
                <w:szCs w:val="21"/>
                <w:vertAlign w:val="superscript"/>
              </w:rPr>
              <w:t>3</w:t>
            </w:r>
            <w:r>
              <w:rPr>
                <w:sz w:val="21"/>
                <w:szCs w:val="21"/>
              </w:rPr>
              <w:t>/s能满足</w:t>
            </w:r>
            <w:r>
              <w:rPr>
                <w:kern w:val="0"/>
                <w:sz w:val="21"/>
                <w:szCs w:val="21"/>
              </w:rPr>
              <w:t>生态流量</w:t>
            </w:r>
            <w:r>
              <w:rPr>
                <w:rFonts w:hint="eastAsia"/>
                <w:sz w:val="21"/>
                <w:szCs w:val="21"/>
              </w:rPr>
              <w:t>12.11</w:t>
            </w:r>
            <w:r>
              <w:rPr>
                <w:sz w:val="21"/>
                <w:szCs w:val="21"/>
              </w:rPr>
              <w:t>m</w:t>
            </w:r>
            <w:r>
              <w:rPr>
                <w:sz w:val="21"/>
                <w:szCs w:val="21"/>
                <w:vertAlign w:val="superscript"/>
              </w:rPr>
              <w:t>3</w:t>
            </w:r>
            <w:r>
              <w:rPr>
                <w:sz w:val="21"/>
                <w:szCs w:val="21"/>
              </w:rPr>
              <w:t>/s的需求</w:t>
            </w:r>
            <w:r>
              <w:rPr>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sz w:val="21"/>
                <w:szCs w:val="21"/>
              </w:rPr>
            </w:pPr>
            <w:r>
              <w:rPr>
                <w:kern w:val="0"/>
                <w:sz w:val="21"/>
                <w:szCs w:val="21"/>
              </w:rPr>
              <w:t>水环境保护</w:t>
            </w:r>
          </w:p>
        </w:tc>
        <w:tc>
          <w:tcPr>
            <w:tcW w:w="3682" w:type="pct"/>
            <w:vAlign w:val="center"/>
          </w:tcPr>
          <w:p>
            <w:pPr>
              <w:spacing w:line="340" w:lineRule="exact"/>
              <w:ind w:firstLine="420"/>
              <w:jc w:val="center"/>
              <w:rPr>
                <w:sz w:val="21"/>
                <w:szCs w:val="21"/>
              </w:rPr>
            </w:pPr>
            <w:r>
              <w:rPr>
                <w:kern w:val="0"/>
                <w:sz w:val="21"/>
                <w:szCs w:val="21"/>
              </w:rPr>
              <w:t>机械车辆冲洗废水经隔油池、沉淀池处理后回用生产系统；基坑废水经沉淀池后尽量用于生产、施工洒水抑尘。施工场地内仅设1~2个看护人员，施工场地生活污水污水经旱厕处理后用于肥田，不直接向地表水体排放；运营期生活污水经化粪池处理后由当地村民清掏用于周边农田菜地施肥，不外排周边水环境</w:t>
            </w: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sz w:val="21"/>
                <w:szCs w:val="21"/>
              </w:rPr>
            </w:pPr>
            <w:r>
              <w:rPr>
                <w:kern w:val="0"/>
                <w:sz w:val="21"/>
                <w:szCs w:val="21"/>
              </w:rPr>
              <w:t>大气环境保护</w:t>
            </w:r>
          </w:p>
        </w:tc>
        <w:tc>
          <w:tcPr>
            <w:tcW w:w="3682" w:type="pct"/>
            <w:vAlign w:val="center"/>
          </w:tcPr>
          <w:p>
            <w:pPr>
              <w:autoSpaceDE w:val="0"/>
              <w:autoSpaceDN w:val="0"/>
              <w:adjustRightInd w:val="0"/>
              <w:spacing w:line="340" w:lineRule="exact"/>
              <w:ind w:firstLine="0" w:firstLineChars="0"/>
              <w:jc w:val="center"/>
              <w:rPr>
                <w:sz w:val="21"/>
                <w:szCs w:val="21"/>
              </w:rPr>
            </w:pPr>
            <w:r>
              <w:rPr>
                <w:kern w:val="0"/>
                <w:sz w:val="21"/>
                <w:szCs w:val="21"/>
              </w:rPr>
              <w:t>采取施工围挡，定期洒水抑尘，散装物料堆存仓库储存，开挖土方采取苫盖措施或临时植物措施，散装物料均封闭运输、配合喷水抑尘措施。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sz w:val="21"/>
                <w:szCs w:val="21"/>
              </w:rPr>
            </w:pPr>
            <w:r>
              <w:rPr>
                <w:kern w:val="0"/>
                <w:sz w:val="21"/>
                <w:szCs w:val="21"/>
              </w:rPr>
              <w:t>声环境保护</w:t>
            </w:r>
          </w:p>
        </w:tc>
        <w:tc>
          <w:tcPr>
            <w:tcW w:w="3682" w:type="pct"/>
            <w:vAlign w:val="center"/>
          </w:tcPr>
          <w:p>
            <w:pPr>
              <w:autoSpaceDE w:val="0"/>
              <w:autoSpaceDN w:val="0"/>
              <w:adjustRightInd w:val="0"/>
              <w:spacing w:line="340" w:lineRule="exact"/>
              <w:ind w:firstLine="0" w:firstLineChars="0"/>
              <w:jc w:val="center"/>
              <w:rPr>
                <w:sz w:val="21"/>
                <w:szCs w:val="21"/>
              </w:rPr>
            </w:pPr>
            <w:r>
              <w:rPr>
                <w:kern w:val="0"/>
                <w:sz w:val="21"/>
                <w:szCs w:val="21"/>
              </w:rPr>
              <w:t>施工布置尽量远离村庄；距离村庄较近的施工中午和夜间应停止作业；施工围挡措施；与周边村民做好沟通工作，以获得谅解。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kern w:val="0"/>
                <w:sz w:val="21"/>
                <w:szCs w:val="21"/>
              </w:rPr>
            </w:pPr>
            <w:r>
              <w:rPr>
                <w:kern w:val="0"/>
                <w:sz w:val="21"/>
                <w:szCs w:val="21"/>
              </w:rPr>
              <w:t>固废处置措施</w:t>
            </w:r>
          </w:p>
        </w:tc>
        <w:tc>
          <w:tcPr>
            <w:tcW w:w="368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施工弃渣运至弃渣场堆存；施工生活垃圾由垃圾桶暂存后及时清运至附近垃圾处理场；施工机修产生的废油、废油抹布、废油桶等危废均临时暂存于</w:t>
            </w:r>
            <w:r>
              <w:rPr>
                <w:sz w:val="21"/>
                <w:szCs w:val="21"/>
              </w:rPr>
              <w:t>维修站</w:t>
            </w:r>
            <w:r>
              <w:rPr>
                <w:kern w:val="0"/>
                <w:sz w:val="21"/>
                <w:szCs w:val="21"/>
              </w:rPr>
              <w:t>的危废暂存间内，定期交由有资质的单位进行处置。</w:t>
            </w:r>
            <w:r>
              <w:rPr>
                <w:rFonts w:hint="eastAsia"/>
                <w:kern w:val="0"/>
                <w:sz w:val="21"/>
                <w:szCs w:val="21"/>
              </w:rPr>
              <w:t>管理站员工生活垃圾</w:t>
            </w:r>
            <w:r>
              <w:rPr>
                <w:kern w:val="0"/>
                <w:sz w:val="21"/>
                <w:szCs w:val="21"/>
              </w:rPr>
              <w:t>由环卫部门及时清运至地方垃圾处理场。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7" w:type="dxa"/>
            <w:bottom w:w="0" w:type="dxa"/>
            <w:right w:w="17" w:type="dxa"/>
          </w:tblCellMar>
        </w:tblPrEx>
        <w:trPr>
          <w:cantSplit/>
          <w:trHeight w:val="397" w:hRule="atLeast"/>
        </w:trPr>
        <w:tc>
          <w:tcPr>
            <w:tcW w:w="315" w:type="pct"/>
            <w:vMerge w:val="continue"/>
            <w:vAlign w:val="center"/>
          </w:tcPr>
          <w:p>
            <w:pPr>
              <w:spacing w:line="340" w:lineRule="exact"/>
              <w:ind w:firstLine="420"/>
              <w:jc w:val="center"/>
              <w:rPr>
                <w:kern w:val="0"/>
                <w:sz w:val="21"/>
                <w:szCs w:val="21"/>
              </w:rPr>
            </w:pPr>
          </w:p>
        </w:tc>
        <w:tc>
          <w:tcPr>
            <w:tcW w:w="1001" w:type="pct"/>
            <w:gridSpan w:val="3"/>
            <w:vAlign w:val="center"/>
          </w:tcPr>
          <w:p>
            <w:pPr>
              <w:widowControl/>
              <w:spacing w:line="340" w:lineRule="exact"/>
              <w:ind w:firstLine="0" w:firstLineChars="0"/>
              <w:jc w:val="center"/>
              <w:rPr>
                <w:kern w:val="0"/>
                <w:sz w:val="21"/>
                <w:szCs w:val="21"/>
              </w:rPr>
            </w:pPr>
            <w:r>
              <w:rPr>
                <w:kern w:val="0"/>
                <w:sz w:val="21"/>
                <w:szCs w:val="21"/>
              </w:rPr>
              <w:t>水土保持</w:t>
            </w:r>
          </w:p>
        </w:tc>
        <w:tc>
          <w:tcPr>
            <w:tcW w:w="368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剥离表土、临时拦挡、临时截排水设施、挡渣墙、护坡、播撒草籽、栽植树木等水土保持措施。</w:t>
            </w:r>
          </w:p>
        </w:tc>
      </w:tr>
      <w:bookmarkEnd w:id="359"/>
    </w:tbl>
    <w:p>
      <w:pPr>
        <w:pStyle w:val="6"/>
      </w:pPr>
      <w:bookmarkStart w:id="393" w:name="_Toc346522715"/>
      <w:bookmarkStart w:id="394" w:name="_Toc529279000"/>
      <w:bookmarkStart w:id="395" w:name="_Toc3903216"/>
      <w:bookmarkStart w:id="396" w:name="_Toc534806995"/>
      <w:bookmarkStart w:id="397" w:name="_Toc534386236"/>
      <w:bookmarkStart w:id="398" w:name="_Toc536265079"/>
      <w:bookmarkStart w:id="399" w:name="_Toc5099"/>
      <w:bookmarkStart w:id="400" w:name="_Toc534895213"/>
      <w:r>
        <w:t>2.</w:t>
      </w:r>
      <w:bookmarkEnd w:id="393"/>
      <w:bookmarkEnd w:id="394"/>
      <w:r>
        <w:rPr>
          <w:rFonts w:hint="eastAsia"/>
        </w:rPr>
        <w:t>6</w:t>
      </w:r>
      <w:r>
        <w:t>工程总布置与主要建筑物</w:t>
      </w:r>
      <w:bookmarkEnd w:id="395"/>
      <w:bookmarkEnd w:id="396"/>
      <w:bookmarkEnd w:id="397"/>
      <w:bookmarkEnd w:id="398"/>
      <w:bookmarkEnd w:id="399"/>
      <w:bookmarkEnd w:id="400"/>
    </w:p>
    <w:p>
      <w:pPr>
        <w:pStyle w:val="7"/>
        <w:spacing w:before="120" w:beforeLines="50"/>
        <w:rPr>
          <w:szCs w:val="24"/>
        </w:rPr>
      </w:pPr>
      <w:bookmarkStart w:id="401" w:name="_Toc529279001"/>
      <w:bookmarkStart w:id="402" w:name="_Toc536265081"/>
      <w:bookmarkStart w:id="403" w:name="_Toc534806997"/>
      <w:bookmarkStart w:id="404" w:name="_Toc534895215"/>
      <w:bookmarkStart w:id="405" w:name="_Toc3903218"/>
      <w:bookmarkStart w:id="406" w:name="_Toc534386238"/>
      <w:r>
        <w:rPr>
          <w:szCs w:val="24"/>
        </w:rPr>
        <w:t>2.</w:t>
      </w:r>
      <w:r>
        <w:rPr>
          <w:rFonts w:hint="eastAsia"/>
          <w:szCs w:val="24"/>
        </w:rPr>
        <w:t>6</w:t>
      </w:r>
      <w:r>
        <w:rPr>
          <w:szCs w:val="24"/>
        </w:rPr>
        <w:t>.</w:t>
      </w:r>
      <w:bookmarkEnd w:id="401"/>
      <w:r>
        <w:rPr>
          <w:rFonts w:hint="eastAsia"/>
          <w:szCs w:val="24"/>
        </w:rPr>
        <w:t>1</w:t>
      </w:r>
      <w:r>
        <w:rPr>
          <w:szCs w:val="24"/>
        </w:rPr>
        <w:t>工程总布置</w:t>
      </w:r>
      <w:bookmarkEnd w:id="402"/>
      <w:bookmarkEnd w:id="403"/>
      <w:bookmarkEnd w:id="404"/>
      <w:bookmarkEnd w:id="405"/>
      <w:bookmarkEnd w:id="406"/>
    </w:p>
    <w:p>
      <w:pPr>
        <w:ind w:firstLine="480"/>
      </w:pPr>
      <w:r>
        <w:rPr>
          <w:rFonts w:hint="eastAsia"/>
        </w:rPr>
        <w:t>毛家渡</w:t>
      </w:r>
      <w:r>
        <w:t>抬水工程位于</w:t>
      </w:r>
      <w:r>
        <w:rPr>
          <w:rFonts w:hint="eastAsia"/>
        </w:rPr>
        <w:t>锦河</w:t>
      </w:r>
      <w:r>
        <w:t>大桥下游约</w:t>
      </w:r>
      <w:r>
        <w:rPr>
          <w:rFonts w:hint="eastAsia"/>
        </w:rPr>
        <w:t>1.8k</w:t>
      </w:r>
      <w:r>
        <w:t>m，涉及的主要建筑物有抬水闸坝(包含泄洪闸、冲砂闸)、上下游护岸、</w:t>
      </w:r>
      <w:r>
        <w:rPr>
          <w:rFonts w:hint="eastAsia"/>
        </w:rPr>
        <w:t>亲水平台及管理用房</w:t>
      </w:r>
      <w:r>
        <w:t>等，根据《水利水电工程合理使用年限及耐久性设计规范》（SL654-2014）</w:t>
      </w:r>
      <w:r>
        <w:rPr>
          <w:rFonts w:hint="eastAsia"/>
        </w:rPr>
        <w:t>，</w:t>
      </w:r>
      <w:r>
        <w:t>确定本工程永久水工建筑物的合理使用年限3级建筑物取为</w:t>
      </w:r>
      <w:r>
        <w:rPr>
          <w:rFonts w:hint="eastAsia"/>
        </w:rPr>
        <w:t>2</w:t>
      </w:r>
      <w:r>
        <w:t>0年，闸门的合理使用年限为50年。主要建筑物级别及洪水标准统计见表2.</w:t>
      </w:r>
      <w:r>
        <w:rPr>
          <w:rFonts w:hint="eastAsia"/>
        </w:rPr>
        <w:t>6</w:t>
      </w:r>
      <w:r>
        <w:t>-1。</w:t>
      </w:r>
    </w:p>
    <w:p>
      <w:pPr>
        <w:spacing w:before="120" w:beforeLines="50" w:line="240" w:lineRule="auto"/>
        <w:ind w:firstLine="480"/>
        <w:jc w:val="center"/>
        <w:rPr>
          <w:rFonts w:ascii="黑体" w:hAnsi="黑体" w:eastAsia="黑体" w:cs="黑体"/>
        </w:rPr>
      </w:pPr>
      <w:r>
        <w:rPr>
          <w:rFonts w:hint="eastAsia" w:ascii="黑体" w:hAnsi="黑体" w:eastAsia="黑体" w:cs="黑体"/>
        </w:rPr>
        <w:t>表2.6-1  主要建筑物级别及防洪标准一览表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16"/>
        <w:gridCol w:w="1714"/>
        <w:gridCol w:w="1764"/>
        <w:gridCol w:w="1533"/>
        <w:gridCol w:w="25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项目</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建筑物级别</w:t>
            </w:r>
          </w:p>
        </w:tc>
        <w:tc>
          <w:tcPr>
            <w:tcW w:w="1640" w:type="dxa"/>
            <w:vAlign w:val="center"/>
          </w:tcPr>
          <w:p>
            <w:pPr>
              <w:pStyle w:val="446"/>
              <w:spacing w:line="340" w:lineRule="exact"/>
              <w:rPr>
                <w:rFonts w:hAnsi="Times New Roman"/>
                <w:b w:val="0"/>
                <w:bCs/>
                <w:sz w:val="21"/>
                <w:szCs w:val="21"/>
              </w:rPr>
            </w:pPr>
            <w:r>
              <w:rPr>
                <w:rFonts w:hAnsi="Times New Roman"/>
                <w:b w:val="0"/>
                <w:bCs/>
                <w:sz w:val="21"/>
                <w:szCs w:val="21"/>
              </w:rPr>
              <w:t>设计洪水标准</w:t>
            </w:r>
          </w:p>
        </w:tc>
        <w:tc>
          <w:tcPr>
            <w:tcW w:w="1425" w:type="dxa"/>
            <w:vAlign w:val="center"/>
          </w:tcPr>
          <w:p>
            <w:pPr>
              <w:pStyle w:val="446"/>
              <w:spacing w:line="340" w:lineRule="exact"/>
              <w:rPr>
                <w:rFonts w:hAnsi="Times New Roman"/>
                <w:b w:val="0"/>
                <w:bCs/>
                <w:sz w:val="21"/>
                <w:szCs w:val="21"/>
              </w:rPr>
            </w:pPr>
            <w:r>
              <w:rPr>
                <w:rFonts w:hAnsi="Times New Roman"/>
                <w:b w:val="0"/>
                <w:bCs/>
                <w:sz w:val="21"/>
                <w:szCs w:val="21"/>
              </w:rPr>
              <w:t>校核洪水标准</w:t>
            </w:r>
          </w:p>
        </w:tc>
        <w:tc>
          <w:tcPr>
            <w:tcW w:w="2364" w:type="dxa"/>
            <w:vAlign w:val="center"/>
          </w:tcPr>
          <w:p>
            <w:pPr>
              <w:pStyle w:val="446"/>
              <w:spacing w:line="340" w:lineRule="exact"/>
              <w:rPr>
                <w:rFonts w:hAnsi="Times New Roman"/>
                <w:b w:val="0"/>
                <w:bCs/>
                <w:sz w:val="21"/>
                <w:szCs w:val="21"/>
              </w:rPr>
            </w:pPr>
            <w:r>
              <w:rPr>
                <w:rFonts w:hAnsi="Times New Roman"/>
                <w:b w:val="0"/>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泄洪闸（</w:t>
            </w:r>
            <w:r>
              <w:rPr>
                <w:rFonts w:hint="eastAsia" w:hAnsi="Times New Roman"/>
                <w:b w:val="0"/>
                <w:bCs/>
                <w:sz w:val="21"/>
                <w:szCs w:val="21"/>
              </w:rPr>
              <w:t>液压</w:t>
            </w:r>
            <w:r>
              <w:rPr>
                <w:rFonts w:hAnsi="Times New Roman"/>
                <w:b w:val="0"/>
                <w:bCs/>
                <w:sz w:val="21"/>
                <w:szCs w:val="21"/>
              </w:rPr>
              <w:t>坝）</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3</w:t>
            </w:r>
          </w:p>
        </w:tc>
        <w:tc>
          <w:tcPr>
            <w:tcW w:w="1640" w:type="dxa"/>
            <w:vAlign w:val="center"/>
          </w:tcPr>
          <w:p>
            <w:pPr>
              <w:pStyle w:val="446"/>
              <w:spacing w:line="340" w:lineRule="exact"/>
              <w:rPr>
                <w:rFonts w:hAnsi="Times New Roman"/>
                <w:b w:val="0"/>
                <w:bCs/>
                <w:sz w:val="21"/>
                <w:szCs w:val="21"/>
              </w:rPr>
            </w:pPr>
            <w:r>
              <w:rPr>
                <w:rFonts w:hint="eastAsia" w:hAnsi="Times New Roman"/>
                <w:b w:val="0"/>
                <w:bCs/>
                <w:sz w:val="21"/>
                <w:szCs w:val="21"/>
              </w:rPr>
              <w:t>2</w:t>
            </w:r>
            <w:r>
              <w:rPr>
                <w:rFonts w:hAnsi="Times New Roman"/>
                <w:b w:val="0"/>
                <w:bCs/>
                <w:sz w:val="21"/>
                <w:szCs w:val="21"/>
              </w:rPr>
              <w:t>0年一遇</w:t>
            </w:r>
          </w:p>
        </w:tc>
        <w:tc>
          <w:tcPr>
            <w:tcW w:w="1425" w:type="dxa"/>
            <w:vAlign w:val="center"/>
          </w:tcPr>
          <w:p>
            <w:pPr>
              <w:pStyle w:val="446"/>
              <w:spacing w:line="340" w:lineRule="exact"/>
              <w:rPr>
                <w:rFonts w:hAnsi="Times New Roman"/>
                <w:b w:val="0"/>
                <w:bCs/>
                <w:sz w:val="21"/>
                <w:szCs w:val="21"/>
              </w:rPr>
            </w:pPr>
            <w:r>
              <w:rPr>
                <w:rFonts w:hint="eastAsia" w:hAnsi="Times New Roman"/>
                <w:b w:val="0"/>
                <w:bCs/>
                <w:sz w:val="21"/>
                <w:szCs w:val="21"/>
              </w:rPr>
              <w:t>5</w:t>
            </w:r>
            <w:r>
              <w:rPr>
                <w:rFonts w:hAnsi="Times New Roman"/>
                <w:b w:val="0"/>
                <w:bCs/>
                <w:sz w:val="21"/>
                <w:szCs w:val="21"/>
              </w:rPr>
              <w:t>0年一遇</w:t>
            </w:r>
          </w:p>
        </w:tc>
        <w:tc>
          <w:tcPr>
            <w:tcW w:w="2364" w:type="dxa"/>
            <w:vAlign w:val="center"/>
          </w:tcPr>
          <w:p>
            <w:pPr>
              <w:pStyle w:val="446"/>
              <w:spacing w:line="340" w:lineRule="exact"/>
              <w:rPr>
                <w:rFonts w:hAnsi="Times New Roman"/>
                <w:b w:val="0"/>
                <w:bCs/>
                <w:sz w:val="21"/>
                <w:szCs w:val="21"/>
              </w:rPr>
            </w:pPr>
            <w:r>
              <w:rPr>
                <w:rFonts w:hAnsi="Times New Roman"/>
                <w:b w:val="0"/>
                <w:bCs/>
                <w:sz w:val="21"/>
                <w:szCs w:val="21"/>
              </w:rPr>
              <w:t>最大挡水高度不超过10m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冲砂闸</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3</w:t>
            </w:r>
          </w:p>
        </w:tc>
        <w:tc>
          <w:tcPr>
            <w:tcW w:w="1640" w:type="dxa"/>
            <w:vAlign w:val="center"/>
          </w:tcPr>
          <w:p>
            <w:pPr>
              <w:pStyle w:val="446"/>
              <w:spacing w:line="340" w:lineRule="exact"/>
              <w:rPr>
                <w:rFonts w:hAnsi="Times New Roman"/>
                <w:b w:val="0"/>
                <w:bCs/>
                <w:sz w:val="21"/>
                <w:szCs w:val="21"/>
              </w:rPr>
            </w:pPr>
            <w:r>
              <w:rPr>
                <w:rFonts w:hint="eastAsia" w:hAnsi="Times New Roman"/>
                <w:b w:val="0"/>
                <w:bCs/>
                <w:sz w:val="21"/>
                <w:szCs w:val="21"/>
              </w:rPr>
              <w:t>2</w:t>
            </w:r>
            <w:r>
              <w:rPr>
                <w:rFonts w:hAnsi="Times New Roman"/>
                <w:b w:val="0"/>
                <w:bCs/>
                <w:sz w:val="21"/>
                <w:szCs w:val="21"/>
              </w:rPr>
              <w:t>0年一遇</w:t>
            </w:r>
          </w:p>
        </w:tc>
        <w:tc>
          <w:tcPr>
            <w:tcW w:w="1425" w:type="dxa"/>
            <w:vAlign w:val="center"/>
          </w:tcPr>
          <w:p>
            <w:pPr>
              <w:pStyle w:val="446"/>
              <w:spacing w:line="340" w:lineRule="exact"/>
              <w:rPr>
                <w:rFonts w:hAnsi="Times New Roman"/>
                <w:b w:val="0"/>
                <w:bCs/>
                <w:sz w:val="21"/>
                <w:szCs w:val="21"/>
              </w:rPr>
            </w:pPr>
            <w:r>
              <w:rPr>
                <w:rFonts w:hint="eastAsia" w:hAnsi="Times New Roman"/>
                <w:b w:val="0"/>
                <w:bCs/>
                <w:sz w:val="21"/>
                <w:szCs w:val="21"/>
              </w:rPr>
              <w:t>5</w:t>
            </w:r>
            <w:r>
              <w:rPr>
                <w:rFonts w:hAnsi="Times New Roman"/>
                <w:b w:val="0"/>
                <w:bCs/>
                <w:sz w:val="21"/>
                <w:szCs w:val="21"/>
              </w:rPr>
              <w:t>0年一遇</w:t>
            </w:r>
          </w:p>
        </w:tc>
        <w:tc>
          <w:tcPr>
            <w:tcW w:w="2364" w:type="dxa"/>
            <w:vAlign w:val="center"/>
          </w:tcPr>
          <w:p>
            <w:pPr>
              <w:pStyle w:val="446"/>
              <w:spacing w:line="340" w:lineRule="exact"/>
              <w:rPr>
                <w:rFonts w:hAnsi="Times New Roman"/>
                <w:b w:val="0"/>
                <w:bCs/>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消能防冲</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4</w:t>
            </w:r>
          </w:p>
        </w:tc>
        <w:tc>
          <w:tcPr>
            <w:tcW w:w="1640" w:type="dxa"/>
            <w:vAlign w:val="center"/>
          </w:tcPr>
          <w:p>
            <w:pPr>
              <w:pStyle w:val="446"/>
              <w:spacing w:line="340" w:lineRule="exact"/>
              <w:rPr>
                <w:rFonts w:hAnsi="Times New Roman"/>
                <w:b w:val="0"/>
                <w:bCs/>
                <w:sz w:val="21"/>
                <w:szCs w:val="21"/>
              </w:rPr>
            </w:pPr>
            <w:r>
              <w:rPr>
                <w:rFonts w:hint="eastAsia" w:hAnsi="Times New Roman"/>
                <w:b w:val="0"/>
                <w:bCs/>
                <w:sz w:val="21"/>
                <w:szCs w:val="21"/>
              </w:rPr>
              <w:t>2</w:t>
            </w:r>
            <w:r>
              <w:rPr>
                <w:rFonts w:hAnsi="Times New Roman"/>
                <w:b w:val="0"/>
                <w:bCs/>
                <w:sz w:val="21"/>
                <w:szCs w:val="21"/>
              </w:rPr>
              <w:t>0年一遇</w:t>
            </w:r>
          </w:p>
        </w:tc>
        <w:tc>
          <w:tcPr>
            <w:tcW w:w="1425" w:type="dxa"/>
            <w:vAlign w:val="center"/>
          </w:tcPr>
          <w:p>
            <w:pPr>
              <w:pStyle w:val="446"/>
              <w:spacing w:line="340" w:lineRule="exact"/>
              <w:rPr>
                <w:rFonts w:hAnsi="Times New Roman"/>
                <w:b w:val="0"/>
                <w:bCs/>
                <w:sz w:val="21"/>
                <w:szCs w:val="21"/>
              </w:rPr>
            </w:pPr>
            <w:r>
              <w:rPr>
                <w:rFonts w:hAnsi="Times New Roman"/>
                <w:b w:val="0"/>
                <w:bCs/>
                <w:sz w:val="21"/>
                <w:szCs w:val="21"/>
              </w:rPr>
              <w:t>/</w:t>
            </w:r>
          </w:p>
        </w:tc>
        <w:tc>
          <w:tcPr>
            <w:tcW w:w="2364" w:type="dxa"/>
            <w:vAlign w:val="center"/>
          </w:tcPr>
          <w:p>
            <w:pPr>
              <w:pStyle w:val="446"/>
              <w:spacing w:line="340" w:lineRule="exact"/>
              <w:rPr>
                <w:rFonts w:hAnsi="Times New Roman"/>
                <w:b w:val="0"/>
                <w:bCs/>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上下游防洪堤</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4/5</w:t>
            </w:r>
          </w:p>
        </w:tc>
        <w:tc>
          <w:tcPr>
            <w:tcW w:w="1640" w:type="dxa"/>
            <w:vAlign w:val="center"/>
          </w:tcPr>
          <w:p>
            <w:pPr>
              <w:pStyle w:val="446"/>
              <w:spacing w:line="340" w:lineRule="exact"/>
              <w:rPr>
                <w:rFonts w:hAnsi="Times New Roman"/>
                <w:b w:val="0"/>
                <w:bCs/>
                <w:sz w:val="21"/>
                <w:szCs w:val="21"/>
              </w:rPr>
            </w:pPr>
            <w:r>
              <w:rPr>
                <w:rFonts w:hAnsi="Times New Roman"/>
                <w:b w:val="0"/>
                <w:bCs/>
                <w:sz w:val="21"/>
                <w:szCs w:val="21"/>
              </w:rPr>
              <w:t>20/10年一遇</w:t>
            </w:r>
          </w:p>
        </w:tc>
        <w:tc>
          <w:tcPr>
            <w:tcW w:w="1425" w:type="dxa"/>
            <w:vAlign w:val="center"/>
          </w:tcPr>
          <w:p>
            <w:pPr>
              <w:pStyle w:val="446"/>
              <w:spacing w:line="340" w:lineRule="exact"/>
              <w:rPr>
                <w:rFonts w:hAnsi="Times New Roman"/>
                <w:b w:val="0"/>
                <w:bCs/>
                <w:sz w:val="21"/>
                <w:szCs w:val="21"/>
              </w:rPr>
            </w:pPr>
            <w:r>
              <w:rPr>
                <w:rFonts w:hAnsi="Times New Roman"/>
                <w:b w:val="0"/>
                <w:bCs/>
                <w:sz w:val="21"/>
                <w:szCs w:val="21"/>
              </w:rPr>
              <w:t>/</w:t>
            </w:r>
          </w:p>
        </w:tc>
        <w:tc>
          <w:tcPr>
            <w:tcW w:w="2364" w:type="dxa"/>
            <w:vAlign w:val="center"/>
          </w:tcPr>
          <w:p>
            <w:pPr>
              <w:pStyle w:val="446"/>
              <w:spacing w:line="340" w:lineRule="exact"/>
              <w:rPr>
                <w:rFonts w:hAnsi="Times New Roman"/>
                <w:b w:val="0"/>
                <w:bCs/>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74" w:type="dxa"/>
            <w:vAlign w:val="center"/>
          </w:tcPr>
          <w:p>
            <w:pPr>
              <w:pStyle w:val="446"/>
              <w:spacing w:line="340" w:lineRule="exact"/>
              <w:rPr>
                <w:rFonts w:hAnsi="Times New Roman"/>
                <w:b w:val="0"/>
                <w:bCs/>
                <w:sz w:val="21"/>
                <w:szCs w:val="21"/>
              </w:rPr>
            </w:pPr>
            <w:r>
              <w:rPr>
                <w:rFonts w:hAnsi="Times New Roman"/>
                <w:b w:val="0"/>
                <w:bCs/>
                <w:sz w:val="21"/>
                <w:szCs w:val="21"/>
              </w:rPr>
              <w:t>导流建筑物</w:t>
            </w:r>
          </w:p>
        </w:tc>
        <w:tc>
          <w:tcPr>
            <w:tcW w:w="1593" w:type="dxa"/>
            <w:vAlign w:val="center"/>
          </w:tcPr>
          <w:p>
            <w:pPr>
              <w:pStyle w:val="446"/>
              <w:spacing w:line="340" w:lineRule="exact"/>
              <w:rPr>
                <w:rFonts w:hAnsi="Times New Roman"/>
                <w:b w:val="0"/>
                <w:bCs/>
                <w:sz w:val="21"/>
                <w:szCs w:val="21"/>
              </w:rPr>
            </w:pPr>
            <w:r>
              <w:rPr>
                <w:rFonts w:hAnsi="Times New Roman"/>
                <w:b w:val="0"/>
                <w:bCs/>
                <w:sz w:val="21"/>
                <w:szCs w:val="21"/>
              </w:rPr>
              <w:t>5</w:t>
            </w:r>
          </w:p>
        </w:tc>
        <w:tc>
          <w:tcPr>
            <w:tcW w:w="1640" w:type="dxa"/>
            <w:vAlign w:val="center"/>
          </w:tcPr>
          <w:p>
            <w:pPr>
              <w:pStyle w:val="446"/>
              <w:spacing w:line="340" w:lineRule="exact"/>
              <w:rPr>
                <w:rFonts w:hAnsi="Times New Roman"/>
                <w:b w:val="0"/>
                <w:bCs/>
                <w:sz w:val="21"/>
                <w:szCs w:val="21"/>
              </w:rPr>
            </w:pPr>
            <w:r>
              <w:rPr>
                <w:rFonts w:hAnsi="Times New Roman"/>
                <w:b w:val="0"/>
                <w:bCs/>
                <w:sz w:val="21"/>
                <w:szCs w:val="21"/>
              </w:rPr>
              <w:t>5年一遇</w:t>
            </w:r>
          </w:p>
        </w:tc>
        <w:tc>
          <w:tcPr>
            <w:tcW w:w="1425" w:type="dxa"/>
            <w:vAlign w:val="center"/>
          </w:tcPr>
          <w:p>
            <w:pPr>
              <w:pStyle w:val="446"/>
              <w:spacing w:line="340" w:lineRule="exact"/>
              <w:rPr>
                <w:rFonts w:hAnsi="Times New Roman"/>
                <w:b w:val="0"/>
                <w:bCs/>
                <w:sz w:val="21"/>
                <w:szCs w:val="21"/>
              </w:rPr>
            </w:pPr>
            <w:r>
              <w:rPr>
                <w:rFonts w:hAnsi="Times New Roman"/>
                <w:b w:val="0"/>
                <w:bCs/>
                <w:sz w:val="21"/>
                <w:szCs w:val="21"/>
              </w:rPr>
              <w:t>/</w:t>
            </w:r>
          </w:p>
        </w:tc>
        <w:tc>
          <w:tcPr>
            <w:tcW w:w="2364" w:type="dxa"/>
            <w:vAlign w:val="center"/>
          </w:tcPr>
          <w:p>
            <w:pPr>
              <w:pStyle w:val="446"/>
              <w:spacing w:line="340" w:lineRule="exact"/>
              <w:rPr>
                <w:rFonts w:hAnsi="Times New Roman"/>
                <w:b w:val="0"/>
                <w:bCs/>
                <w:sz w:val="21"/>
                <w:szCs w:val="21"/>
              </w:rPr>
            </w:pPr>
            <w:r>
              <w:rPr>
                <w:rFonts w:hAnsi="Times New Roman"/>
                <w:b w:val="0"/>
                <w:bCs/>
                <w:sz w:val="21"/>
                <w:szCs w:val="21"/>
              </w:rPr>
              <w:t>10月-次年2月</w:t>
            </w:r>
          </w:p>
        </w:tc>
      </w:tr>
    </w:tbl>
    <w:p>
      <w:pPr>
        <w:pStyle w:val="7"/>
        <w:rPr>
          <w:szCs w:val="24"/>
        </w:rPr>
      </w:pPr>
      <w:bookmarkStart w:id="407" w:name="_Toc529279002"/>
      <w:bookmarkStart w:id="408" w:name="_Toc534806998"/>
      <w:bookmarkStart w:id="409" w:name="_Toc534895216"/>
      <w:bookmarkStart w:id="410" w:name="_Toc3903219"/>
      <w:bookmarkStart w:id="411" w:name="_Toc536265082"/>
      <w:bookmarkStart w:id="412" w:name="_Toc534386239"/>
      <w:r>
        <w:rPr>
          <w:szCs w:val="24"/>
        </w:rPr>
        <w:t>2.</w:t>
      </w:r>
      <w:r>
        <w:rPr>
          <w:rFonts w:hint="eastAsia"/>
          <w:szCs w:val="24"/>
        </w:rPr>
        <w:t>6</w:t>
      </w:r>
      <w:r>
        <w:rPr>
          <w:szCs w:val="24"/>
        </w:rPr>
        <w:t>.</w:t>
      </w:r>
      <w:bookmarkEnd w:id="407"/>
      <w:r>
        <w:rPr>
          <w:rFonts w:hint="eastAsia"/>
          <w:szCs w:val="24"/>
        </w:rPr>
        <w:t>2</w:t>
      </w:r>
      <w:r>
        <w:rPr>
          <w:szCs w:val="24"/>
        </w:rPr>
        <w:t>工程主要建筑物</w:t>
      </w:r>
      <w:bookmarkEnd w:id="408"/>
      <w:bookmarkEnd w:id="409"/>
      <w:bookmarkEnd w:id="410"/>
      <w:bookmarkEnd w:id="411"/>
      <w:bookmarkEnd w:id="412"/>
    </w:p>
    <w:p>
      <w:pPr>
        <w:ind w:firstLine="480"/>
      </w:pPr>
      <w:bookmarkStart w:id="413" w:name="_Toc346522716"/>
      <w:r>
        <w:rPr>
          <w:rFonts w:hint="eastAsia" w:ascii="宋体" w:hAnsi="宋体" w:cs="宋体"/>
        </w:rPr>
        <w:t>⑴</w:t>
      </w:r>
      <w:r>
        <w:t>抬水闸坝</w:t>
      </w:r>
    </w:p>
    <w:p>
      <w:pPr>
        <w:ind w:firstLine="480"/>
      </w:pPr>
      <w:r>
        <w:t>闸坝由泄洪闸和冲砂闸组成，呈“一”字型布置，总宽度</w:t>
      </w:r>
      <w:r>
        <w:rPr>
          <w:rFonts w:hint="eastAsia"/>
        </w:rPr>
        <w:t>195.0</w:t>
      </w:r>
      <w:r>
        <w:t>m。</w:t>
      </w:r>
    </w:p>
    <w:p>
      <w:pPr>
        <w:ind w:firstLine="480"/>
      </w:pPr>
      <w:r>
        <w:rPr>
          <w:rFonts w:hAnsi="宋体"/>
        </w:rPr>
        <w:t>①</w:t>
      </w:r>
      <w:r>
        <w:t>泄洪闸</w:t>
      </w:r>
    </w:p>
    <w:p>
      <w:pPr>
        <w:ind w:firstLine="480"/>
      </w:pPr>
      <w:r>
        <w:rPr>
          <w:rFonts w:hint="eastAsia"/>
        </w:rPr>
        <w:t>泄洪闸采用液压坝方案，布置在主河槽，挡水总宽为</w:t>
      </w:r>
      <w:r>
        <w:t>160</w:t>
      </w:r>
      <w:r>
        <w:rPr>
          <w:rFonts w:hint="eastAsia"/>
        </w:rPr>
        <w:t>m（含闸墩），共5孔，每孔净宽3</w:t>
      </w:r>
      <w:r>
        <w:t>0m</w:t>
      </w:r>
      <w:r>
        <w:rPr>
          <w:rFonts w:hint="eastAsia"/>
        </w:rPr>
        <w:t>，挡水高度5</w:t>
      </w:r>
      <w:r>
        <w:t>.5</w:t>
      </w:r>
      <w:r>
        <w:rPr>
          <w:rFonts w:hint="eastAsia"/>
        </w:rPr>
        <w:t>m，单扇闸门宽度</w:t>
      </w:r>
      <w:r>
        <w:t>7.5</w:t>
      </w:r>
      <w:r>
        <w:rPr>
          <w:rFonts w:hint="eastAsia"/>
        </w:rPr>
        <w:t>m，共布置</w:t>
      </w:r>
      <w:r>
        <w:t>20</w:t>
      </w:r>
      <w:r>
        <w:rPr>
          <w:rFonts w:hint="eastAsia"/>
        </w:rPr>
        <w:t>扇液压升降闸门（</w:t>
      </w:r>
      <w:r>
        <w:t>5</w:t>
      </w:r>
      <w:r>
        <w:rPr>
          <w:rFonts w:hint="eastAsia"/>
        </w:rPr>
        <w:t>孔相互之间支墩隔开），闸门与闸门紧密相连，之间设置止水，闸门之间均相互独立。液压坝闸室段顺水流方向长</w:t>
      </w:r>
      <w:r>
        <w:t>15</w:t>
      </w:r>
      <w:r>
        <w:rPr>
          <w:rFonts w:hint="eastAsia"/>
        </w:rPr>
        <w:t>m，闸门顶高程4</w:t>
      </w:r>
      <w:r>
        <w:t>4.50</w:t>
      </w:r>
      <w:r>
        <w:rPr>
          <w:rFonts w:hint="eastAsia"/>
        </w:rPr>
        <w:t>m，闸底高程</w:t>
      </w:r>
      <w:r>
        <w:t>39.00</w:t>
      </w:r>
      <w:r>
        <w:rPr>
          <w:rFonts w:hint="eastAsia"/>
        </w:rPr>
        <w:t>m。闸门高 5.</w:t>
      </w:r>
      <w:r>
        <w:t>5</w:t>
      </w:r>
      <w:r>
        <w:rPr>
          <w:rFonts w:hint="eastAsia"/>
        </w:rPr>
        <w:t xml:space="preserve">m，闸门采用底横轴支铰安装方式，每扇闸门设2只支铰，分置于闸门底横轴上。每扇闸门分设 2 台液压启闭机和 2 只折叠式支撑杆，上端分别铰接于闸门背水面两侧纵横梁的中上部，下端铰接安装于坝基坑槽中。闸室段后接 </w:t>
      </w:r>
      <w:r>
        <w:t>31</w:t>
      </w:r>
      <w:r>
        <w:rPr>
          <w:rFonts w:hint="eastAsia"/>
        </w:rPr>
        <w:t>m 长的消力池，其中斜坡段长11.0m，采用1：4</w:t>
      </w:r>
      <w:r>
        <w:t>.8</w:t>
      </w:r>
      <w:r>
        <w:rPr>
          <w:rFonts w:hint="eastAsia"/>
        </w:rPr>
        <w:t xml:space="preserve"> 的斜坡连接水平段，水平段长</w:t>
      </w:r>
      <w:r>
        <w:t>20.0</w:t>
      </w:r>
      <w:r>
        <w:rPr>
          <w:rFonts w:hint="eastAsia"/>
        </w:rPr>
        <w:t>m，消力池深1.5m。消力池末端设20m长干砌石防冲海漫。闸室段上游侧设1</w:t>
      </w:r>
      <w:r>
        <w:t>5</w:t>
      </w:r>
      <w:r>
        <w:rPr>
          <w:rFonts w:hint="eastAsia"/>
        </w:rPr>
        <w:t>m长的</w:t>
      </w:r>
      <w:r>
        <w:t>0.5</w:t>
      </w:r>
      <w:r>
        <w:rPr>
          <w:rFonts w:hint="eastAsia"/>
        </w:rPr>
        <w:t xml:space="preserve">m厚钢筋混凝土铺盖，护底顶高程为 </w:t>
      </w:r>
      <w:r>
        <w:t>37.0</w:t>
      </w:r>
      <w:r>
        <w:rPr>
          <w:rFonts w:hint="eastAsia"/>
        </w:rPr>
        <w:t>m。</w:t>
      </w:r>
    </w:p>
    <w:p>
      <w:pPr>
        <w:ind w:firstLine="480"/>
      </w:pPr>
      <w:r>
        <w:rPr>
          <w:rFonts w:hAnsi="宋体"/>
        </w:rPr>
        <w:t>②</w:t>
      </w:r>
      <w:r>
        <w:t>冲砂闸</w:t>
      </w:r>
    </w:p>
    <w:p>
      <w:pPr>
        <w:ind w:firstLine="480"/>
      </w:pPr>
      <w:r>
        <w:rPr>
          <w:rFonts w:hint="eastAsia"/>
        </w:rPr>
        <w:t>冲砂闸位于枢纽左侧，右侧紧靠液压坝，总宽35.0m，共3孔，单孔净宽10m，采用平底直升钢闸门型式，闸底高程37.00m，比泄洪闸闸底高程低2.0m，便于冲砂及检修期间排水，左右边墩厚1.0m，中墩厚1.5m，闸门顶高程为45.00m。泄水闸顺水流方向底长18.0m，其后接 28m 长的消力池，其中斜坡段长 8m，采用 1:4 的斜坡连接水平段，水平段长20m，消力池深度 1.5m。消力池末端设20m长干砌石防冲海漫。</w:t>
      </w:r>
    </w:p>
    <w:p>
      <w:pPr>
        <w:ind w:firstLine="480"/>
      </w:pPr>
      <w:r>
        <w:rPr>
          <w:rFonts w:hint="eastAsia"/>
        </w:rPr>
        <w:t>闸坝两侧采用C20 砼衡重式挡土墙挡墙型式，挡土墙顶设5.0m 宽亲水平台，墙顶设花岗岩栏杆。闸坝左右边墩设爬梯。</w:t>
      </w:r>
    </w:p>
    <w:p>
      <w:pPr>
        <w:ind w:firstLine="480"/>
      </w:pPr>
      <w:r>
        <w:rPr>
          <w:rFonts w:hint="eastAsia" w:ascii="宋体" w:hAnsi="宋体" w:cs="宋体"/>
        </w:rPr>
        <w:t>③</w:t>
      </w:r>
      <w:r>
        <w:rPr>
          <w:rFonts w:hint="eastAsia"/>
        </w:rPr>
        <w:t>闸坝基础处理</w:t>
      </w:r>
    </w:p>
    <w:p>
      <w:pPr>
        <w:ind w:firstLine="480"/>
      </w:pPr>
      <w:r>
        <w:rPr>
          <w:rFonts w:hint="eastAsia"/>
        </w:rPr>
        <w:t>本项目右岸存在绕坝渗漏问题，本次设计在右岸设置砼刺墙，进行延长渗径处理。</w:t>
      </w:r>
    </w:p>
    <w:p>
      <w:pPr>
        <w:ind w:firstLine="480"/>
      </w:pPr>
      <w:r>
        <w:rPr>
          <w:rFonts w:hint="eastAsia" w:ascii="宋体" w:hAnsi="宋体" w:cs="宋体"/>
        </w:rPr>
        <w:t>④</w:t>
      </w:r>
      <w:r>
        <w:rPr>
          <w:rFonts w:hint="eastAsia"/>
        </w:rPr>
        <w:t>两岸挡土墙设计</w:t>
      </w:r>
    </w:p>
    <w:p>
      <w:pPr>
        <w:ind w:firstLine="480"/>
      </w:pPr>
      <w:r>
        <w:rPr>
          <w:rFonts w:hint="eastAsia"/>
        </w:rPr>
        <w:t>本项目闸坝段左岸上、下游挡土墙采用C20 砼衡重式挡土墙，最大墙高11.30m（消力池部位），顶宽0.8m，迎水面1：0.15，背水面从上而下坡比分别为1:0.35、1:0.30，平台宽3.255～3.955m，平台至墙顶高4.65～6.78m，墙趾宽0.8m，高1.0m，下设10cm厚C15砼垫层。挡墙分缝与闸体、消力池间分缝衔接，其余10m分一缝，缝内用聚乙烯闭孔泡沫板填缝。墙身设置φ50PVC 排水管，呈梅花型布置，孔距为2m，排距2m，管末端包扎300g/m2（50cm×50cm）反滤土工布，管末端水平向铺30cm×50cm的砂卵石反滤带。挡土墙墙顶内侧设置5.0m 宽人行步道和0.30m×0.35m（宽×深）的C20 砼排水沟。</w:t>
      </w:r>
    </w:p>
    <w:p>
      <w:pPr>
        <w:ind w:firstLine="480"/>
      </w:pPr>
      <w:r>
        <w:rPr>
          <w:rFonts w:hint="eastAsia" w:ascii="宋体" w:hAnsi="宋体" w:cs="宋体"/>
        </w:rPr>
        <w:t>⑵</w:t>
      </w:r>
      <w:r>
        <w:t>上下游护岸</w:t>
      </w:r>
    </w:p>
    <w:p>
      <w:pPr>
        <w:ind w:firstLine="480"/>
      </w:pPr>
      <w:r>
        <w:rPr>
          <w:rFonts w:hint="eastAsia" w:ascii="微软雅黑" w:hAnsi="微软雅黑" w:eastAsia="微软雅黑" w:cs="微软雅黑"/>
        </w:rPr>
        <w:t>①</w:t>
      </w:r>
      <w:r>
        <w:rPr>
          <w:rFonts w:hint="eastAsia"/>
        </w:rPr>
        <w:t>护岸范围</w:t>
      </w:r>
    </w:p>
    <w:p>
      <w:pPr>
        <w:ind w:firstLine="480"/>
      </w:pPr>
      <w:r>
        <w:rPr>
          <w:rFonts w:hint="eastAsia"/>
        </w:rPr>
        <w:t>闸坝上下游护岸总长1609m。左岸护岸长651m，右岸护岸长958m。左岸上游护岸长度为265m（160m预制块护岸，50m 渐变段，55m 衡重式挡土墙）；下游护岸长386m（70m衡重式挡土墙，50m 渐变段，266m 预制块护岸）。右岸上游护岸长度为765m（660m 预制块护岸，50m 渐变段，55m 衡重式挡土墙）；下游护岸长193m（70m 衡重式挡土墙，50m 渐变段，73m预制块护岸）。</w:t>
      </w:r>
    </w:p>
    <w:p>
      <w:pPr>
        <w:ind w:firstLine="480"/>
      </w:pPr>
      <w:r>
        <w:rPr>
          <w:rFonts w:hint="eastAsia" w:ascii="宋体" w:hAnsi="宋体" w:cs="宋体"/>
        </w:rPr>
        <w:t>②</w:t>
      </w:r>
      <w:r>
        <w:rPr>
          <w:rFonts w:hint="eastAsia"/>
        </w:rPr>
        <w:t>护岸结构</w:t>
      </w:r>
    </w:p>
    <w:p>
      <w:pPr>
        <w:ind w:firstLine="480"/>
      </w:pPr>
      <w:r>
        <w:rPr>
          <w:rFonts w:hint="eastAsia"/>
        </w:rPr>
        <w:t>预制块护岸：上部为10cm 厚C20 砼预制块护坡，坡比为1:2.0，下设10cm 厚砂卵石垫层，护坡顶高程上游为45.30m，下游平岸顶高程，护岸顶设置5.0m 宽人行步道和0.30m×0.35m（宽×深）的C20 砼排水沟。设计枯水位+0.5m以下采用抛石固脚，顶宽3.0m，坡度不陡于1:1.5，底部平台宽3.0m，最小厚度0.6m。</w:t>
      </w:r>
    </w:p>
    <w:p>
      <w:pPr>
        <w:ind w:firstLine="480"/>
      </w:pPr>
      <w:r>
        <w:rPr>
          <w:rFonts w:hint="eastAsia"/>
        </w:rPr>
        <w:t>衡重式挡土墙：墙高7.00～9.50m，顶宽0.8m，迎水面1：0.15，背水面从上而下坡比分别为1:0.35、1:0.30，平台宽2.45～3.325m，平台至墙顶高4.2～5.7m，墙趾宽0.8m，高1.0m，下设10cm 厚C15 砼垫层。护岸挡墙均设置φ50PVC 排水管，呈梅花型布置，间排距均为2.0m，排水管末端采用50cm×50cm 反滤土工布（300g/m</w:t>
      </w:r>
      <w:r>
        <w:rPr>
          <w:rFonts w:hint="eastAsia"/>
          <w:vertAlign w:val="superscript"/>
        </w:rPr>
        <w:t>2</w:t>
      </w:r>
      <w:r>
        <w:rPr>
          <w:rFonts w:hint="eastAsia"/>
        </w:rPr>
        <w:t>）包扎，同时设30×50cm（宽×高）的砂卵石反滤带。墙后采用开挖利用砂砾石料回填。</w:t>
      </w:r>
    </w:p>
    <w:p>
      <w:pPr>
        <w:ind w:firstLine="480"/>
      </w:pPr>
      <w:r>
        <w:rPr>
          <w:rFonts w:hint="eastAsia"/>
        </w:rPr>
        <w:t>在工程管理范围内，岸顶均设置亲水平台，平台设5.0m宽透水砼路面，上部为180mm 厚C30 砼路面，下部设200mm多孔隙水泥稳定碎石基层、150mm 级配砂砾基层。迎水侧设置花岗岩栏杆，背水侧设置C20 砼排水沟，尺寸30cm×35cm，壁厚20cm。</w:t>
      </w:r>
    </w:p>
    <w:p>
      <w:pPr>
        <w:ind w:firstLine="480"/>
      </w:pPr>
      <w:r>
        <w:rPr>
          <w:rFonts w:hint="eastAsia" w:ascii="宋体" w:hAnsi="宋体" w:cs="宋体"/>
        </w:rPr>
        <w:t>⑶</w:t>
      </w:r>
      <w:r>
        <w:t>进场防汛公路</w:t>
      </w:r>
    </w:p>
    <w:p>
      <w:pPr>
        <w:ind w:firstLine="480"/>
      </w:pPr>
      <w:r>
        <w:rPr>
          <w:rFonts w:hint="eastAsia"/>
        </w:rPr>
        <w:t>根据工程管理、防汛抢险要求，本项目在左岸设置巡视检查道，总长0.732km。C30 透水水泥砼路面宽4.5m，两侧各设0.25m 土路肩。路面上部为180mm 厚C30 砼，下部设200mm多孔隙水泥稳定碎石基层、150mm 级配砂砾基层。为利于雨水的排泄，防汛公路路面向迎水侧倾斜，坡度为2%。</w:t>
      </w:r>
    </w:p>
    <w:p>
      <w:pPr>
        <w:ind w:firstLine="480"/>
      </w:pPr>
      <w:r>
        <w:rPr>
          <w:rFonts w:hint="eastAsia"/>
        </w:rPr>
        <w:t>⑷辅助</w:t>
      </w:r>
      <w:r>
        <w:t>设施</w:t>
      </w:r>
    </w:p>
    <w:p>
      <w:pPr>
        <w:ind w:firstLine="480"/>
      </w:pPr>
      <w:r>
        <w:rPr>
          <w:rFonts w:hint="eastAsia"/>
        </w:rPr>
        <w:t>抬水坝需设置管理用房、监测设施。</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工程管理用房</w:t>
      </w:r>
    </w:p>
    <w:p>
      <w:pPr>
        <w:autoSpaceDE w:val="0"/>
        <w:autoSpaceDN w:val="0"/>
        <w:adjustRightInd w:val="0"/>
        <w:ind w:firstLine="480"/>
      </w:pPr>
      <w:r>
        <w:rPr>
          <w:rFonts w:hint="eastAsia"/>
        </w:rPr>
        <w:t>初步拟定工</w:t>
      </w:r>
      <w:r>
        <w:rPr>
          <w:rFonts w:hint="eastAsia"/>
          <w:szCs w:val="24"/>
        </w:rPr>
        <w:t>程管理人员6人，其中</w:t>
      </w:r>
      <w:r>
        <w:rPr>
          <w:szCs w:val="24"/>
        </w:rPr>
        <w:t>管理人员2人，运行、观测及维护人员4人</w:t>
      </w:r>
      <w:r>
        <w:rPr>
          <w:rFonts w:hint="eastAsia"/>
          <w:szCs w:val="24"/>
        </w:rPr>
        <w:t>。工程管理用房位于</w:t>
      </w:r>
      <w:r>
        <w:rPr>
          <w:szCs w:val="24"/>
        </w:rPr>
        <w:t>位于大坝右岸坝肩处，管理用房</w:t>
      </w:r>
      <w:r>
        <w:rPr>
          <w:rFonts w:hint="eastAsia"/>
          <w:szCs w:val="24"/>
        </w:rPr>
        <w:t>建筑</w:t>
      </w:r>
      <w:r>
        <w:rPr>
          <w:szCs w:val="24"/>
        </w:rPr>
        <w:t>面积</w:t>
      </w:r>
      <w:r>
        <w:rPr>
          <w:rFonts w:hint="eastAsia"/>
          <w:szCs w:val="24"/>
        </w:rPr>
        <w:t>4</w:t>
      </w:r>
      <w:r>
        <w:rPr>
          <w:szCs w:val="24"/>
        </w:rPr>
        <w:t>00m</w:t>
      </w:r>
      <w:r>
        <w:rPr>
          <w:szCs w:val="24"/>
          <w:vertAlign w:val="superscript"/>
        </w:rPr>
        <w:t>2</w:t>
      </w:r>
      <w:r>
        <w:rPr>
          <w:szCs w:val="24"/>
        </w:rPr>
        <w:t>，占地面积</w:t>
      </w:r>
      <w:r>
        <w:rPr>
          <w:rFonts w:hint="eastAsia"/>
          <w:szCs w:val="24"/>
        </w:rPr>
        <w:t>4</w:t>
      </w:r>
      <w:r>
        <w:rPr>
          <w:szCs w:val="24"/>
        </w:rPr>
        <w:t>00m</w:t>
      </w:r>
      <w:r>
        <w:rPr>
          <w:szCs w:val="24"/>
          <w:vertAlign w:val="superscript"/>
        </w:rPr>
        <w:t>2</w:t>
      </w:r>
      <w:r>
        <w:rPr>
          <w:szCs w:val="24"/>
        </w:rPr>
        <w:t>。</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监测设施</w:t>
      </w:r>
    </w:p>
    <w:p>
      <w:pPr>
        <w:ind w:firstLine="480"/>
      </w:pPr>
      <w:r>
        <w:t>主要监测项目有：变形监测、渗流监测及环境量监测。</w:t>
      </w:r>
    </w:p>
    <w:p>
      <w:pPr>
        <w:ind w:firstLine="480"/>
      </w:pPr>
      <w:r>
        <w:rPr>
          <w:rFonts w:hint="eastAsia"/>
        </w:rPr>
        <w:t>A.</w:t>
      </w:r>
      <w:r>
        <w:t>变形监测</w:t>
      </w:r>
    </w:p>
    <w:p>
      <w:pPr>
        <w:ind w:firstLine="480"/>
        <w:rPr>
          <w:rFonts w:eastAsia="仿宋"/>
          <w:szCs w:val="24"/>
        </w:rPr>
      </w:pPr>
      <w:r>
        <w:rPr>
          <w:szCs w:val="24"/>
        </w:rPr>
        <w:t>本项目抬水闸坝水平位移采用全站仪进行监测，在每联闸段中墩及边墩上、下游各1 个测点，建筑物上下游两侧挡土墙各设1 个测点，共20 个测点。在两岸各布置8 个工作基点和2个校核基点；垂直位移采用精密水准法进行监测，垂直位移监测点与水平位移监测点共用。在坝址附近地基稳固可靠处布设2个水准基点与工作基准点共用。</w:t>
      </w:r>
    </w:p>
    <w:p>
      <w:pPr>
        <w:ind w:firstLine="480"/>
      </w:pPr>
      <w:r>
        <w:rPr>
          <w:rFonts w:hint="eastAsia"/>
        </w:rPr>
        <w:t>B.</w:t>
      </w:r>
      <w:r>
        <w:t>渗流监测</w:t>
      </w:r>
    </w:p>
    <w:p>
      <w:pPr>
        <w:ind w:firstLine="480"/>
        <w:rPr>
          <w:szCs w:val="24"/>
        </w:rPr>
      </w:pPr>
      <w:r>
        <w:rPr>
          <w:rFonts w:hint="eastAsia"/>
          <w:szCs w:val="24"/>
        </w:rPr>
        <w:t>本次设计仅进行扬压力（浸润线）观测。扬压力（浸润线）监测在泄洪闸设5个横断面，每个分缝坝段设1个断面，冲砂闸设1个横断面，右端防渗刺墙部位设1个断面，共8 个断面。每个横断面布设3根测压管。</w:t>
      </w:r>
    </w:p>
    <w:p>
      <w:pPr>
        <w:ind w:firstLine="480"/>
      </w:pPr>
      <w:r>
        <w:rPr>
          <w:rFonts w:hint="eastAsia"/>
        </w:rPr>
        <w:t>C.</w:t>
      </w:r>
      <w:r>
        <w:t>环境量监测</w:t>
      </w:r>
    </w:p>
    <w:p>
      <w:pPr>
        <w:ind w:firstLine="480"/>
        <w:rPr>
          <w:szCs w:val="24"/>
        </w:rPr>
      </w:pPr>
      <w:r>
        <w:rPr>
          <w:rFonts w:hint="eastAsia"/>
          <w:szCs w:val="24"/>
        </w:rPr>
        <w:t>在抬水闸坝上下游各设1 套自计水位计，确保监测到最高和最低水位。在自计水位计旁边设搪瓷水尺，进行人工监测，其它部位设2 根搪瓷水尺，另需设置温度计2 根、自计雨量计1 套。</w:t>
      </w:r>
    </w:p>
    <w:p>
      <w:pPr>
        <w:spacing w:before="120" w:beforeLines="50" w:line="240" w:lineRule="auto"/>
        <w:ind w:firstLine="480"/>
        <w:jc w:val="center"/>
        <w:rPr>
          <w:rFonts w:ascii="黑体" w:hAnsi="黑体" w:eastAsia="黑体" w:cs="黑体"/>
        </w:rPr>
      </w:pPr>
      <w:r>
        <w:rPr>
          <w:rFonts w:hint="eastAsia" w:ascii="黑体" w:hAnsi="黑体" w:eastAsia="黑体" w:cs="黑体"/>
        </w:rPr>
        <w:t>表2.6-2  主要工程量一览表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00"/>
        <w:gridCol w:w="5074"/>
        <w:gridCol w:w="1323"/>
        <w:gridCol w:w="177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31" w:type="pct"/>
            <w:noWrap/>
            <w:vAlign w:val="center"/>
          </w:tcPr>
          <w:p>
            <w:pPr>
              <w:pStyle w:val="446"/>
              <w:spacing w:line="340" w:lineRule="exact"/>
              <w:rPr>
                <w:rFonts w:hAnsi="Times New Roman"/>
                <w:b w:val="0"/>
                <w:bCs/>
                <w:sz w:val="21"/>
                <w:szCs w:val="21"/>
              </w:rPr>
            </w:pPr>
            <w:r>
              <w:rPr>
                <w:rFonts w:hAnsi="Times New Roman"/>
                <w:b w:val="0"/>
                <w:bCs/>
                <w:sz w:val="21"/>
                <w:szCs w:val="21"/>
              </w:rPr>
              <w:t>编号</w:t>
            </w:r>
          </w:p>
        </w:tc>
        <w:tc>
          <w:tcPr>
            <w:tcW w:w="2650" w:type="pct"/>
            <w:vAlign w:val="center"/>
          </w:tcPr>
          <w:p>
            <w:pPr>
              <w:pStyle w:val="446"/>
              <w:spacing w:line="340" w:lineRule="exact"/>
              <w:rPr>
                <w:rFonts w:hAnsi="Times New Roman"/>
                <w:b w:val="0"/>
                <w:bCs/>
                <w:sz w:val="21"/>
                <w:szCs w:val="21"/>
              </w:rPr>
            </w:pPr>
            <w:r>
              <w:rPr>
                <w:rFonts w:hAnsi="Times New Roman"/>
                <w:b w:val="0"/>
                <w:bCs/>
                <w:sz w:val="21"/>
                <w:szCs w:val="21"/>
              </w:rPr>
              <w:t>工程或费用名称</w:t>
            </w:r>
          </w:p>
        </w:tc>
        <w:tc>
          <w:tcPr>
            <w:tcW w:w="691" w:type="pct"/>
            <w:noWrap/>
            <w:vAlign w:val="center"/>
          </w:tcPr>
          <w:p>
            <w:pPr>
              <w:pStyle w:val="446"/>
              <w:spacing w:line="340" w:lineRule="exact"/>
              <w:rPr>
                <w:rFonts w:hAnsi="Times New Roman"/>
                <w:b w:val="0"/>
                <w:bCs/>
                <w:sz w:val="21"/>
                <w:szCs w:val="21"/>
              </w:rPr>
            </w:pPr>
            <w:r>
              <w:rPr>
                <w:rFonts w:hAnsi="Times New Roman"/>
                <w:b w:val="0"/>
                <w:bCs/>
                <w:sz w:val="21"/>
                <w:szCs w:val="21"/>
              </w:rPr>
              <w:t>单位</w:t>
            </w:r>
          </w:p>
        </w:tc>
        <w:tc>
          <w:tcPr>
            <w:tcW w:w="926" w:type="pct"/>
            <w:noWrap/>
            <w:vAlign w:val="center"/>
          </w:tcPr>
          <w:p>
            <w:pPr>
              <w:pStyle w:val="446"/>
              <w:spacing w:line="340" w:lineRule="exact"/>
              <w:rPr>
                <w:rFonts w:hAnsi="Times New Roman"/>
                <w:b w:val="0"/>
                <w:bCs/>
                <w:sz w:val="21"/>
                <w:szCs w:val="21"/>
              </w:rPr>
            </w:pPr>
            <w:r>
              <w:rPr>
                <w:rFonts w:hAnsi="Times New Roman"/>
                <w:b w:val="0"/>
                <w:bCs/>
                <w:sz w:val="21"/>
                <w:szCs w:val="21"/>
              </w:rPr>
              <w:t>数  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Ansi="Times New Roman"/>
                <w:b w:val="0"/>
                <w:bCs/>
                <w:sz w:val="21"/>
                <w:szCs w:val="21"/>
              </w:rPr>
              <w:t>1</w:t>
            </w:r>
          </w:p>
        </w:tc>
        <w:tc>
          <w:tcPr>
            <w:tcW w:w="2650" w:type="pct"/>
            <w:vAlign w:val="bottom"/>
          </w:tcPr>
          <w:p>
            <w:pPr>
              <w:pStyle w:val="446"/>
              <w:spacing w:line="340" w:lineRule="exact"/>
              <w:rPr>
                <w:rFonts w:hAnsi="Times New Roman"/>
                <w:b w:val="0"/>
                <w:bCs/>
                <w:sz w:val="21"/>
                <w:szCs w:val="21"/>
              </w:rPr>
            </w:pPr>
            <w:r>
              <w:rPr>
                <w:rFonts w:hAnsi="Times New Roman"/>
                <w:b w:val="0"/>
                <w:bCs/>
                <w:sz w:val="21"/>
                <w:szCs w:val="21"/>
              </w:rPr>
              <w:t>土</w:t>
            </w:r>
            <w:r>
              <w:rPr>
                <w:rFonts w:hint="eastAsia" w:hAnsi="Times New Roman"/>
                <w:b w:val="0"/>
                <w:bCs/>
                <w:sz w:val="21"/>
                <w:szCs w:val="21"/>
              </w:rPr>
              <w:t>石</w:t>
            </w:r>
            <w:r>
              <w:rPr>
                <w:rFonts w:hAnsi="Times New Roman"/>
                <w:b w:val="0"/>
                <w:bCs/>
                <w:sz w:val="21"/>
                <w:szCs w:val="21"/>
              </w:rPr>
              <w:t>方开挖(砂卵石)</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37.76万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2</w:t>
            </w:r>
          </w:p>
        </w:tc>
        <w:tc>
          <w:tcPr>
            <w:tcW w:w="2650" w:type="pct"/>
            <w:vAlign w:val="bottom"/>
          </w:tcPr>
          <w:p>
            <w:pPr>
              <w:pStyle w:val="446"/>
              <w:spacing w:line="340" w:lineRule="exact"/>
              <w:rPr>
                <w:rFonts w:hAnsi="Times New Roman"/>
                <w:b w:val="0"/>
                <w:bCs/>
                <w:sz w:val="21"/>
                <w:szCs w:val="21"/>
              </w:rPr>
            </w:pPr>
            <w:r>
              <w:rPr>
                <w:rFonts w:hAnsi="Times New Roman"/>
                <w:b w:val="0"/>
                <w:bCs/>
                <w:sz w:val="21"/>
                <w:szCs w:val="21"/>
              </w:rPr>
              <w:t>土方回填(</w:t>
            </w:r>
            <w:r>
              <w:rPr>
                <w:rFonts w:hint="eastAsia" w:hAnsi="Times New Roman"/>
                <w:b w:val="0"/>
                <w:bCs/>
                <w:sz w:val="21"/>
                <w:szCs w:val="21"/>
              </w:rPr>
              <w:t>含围堰填筑</w:t>
            </w:r>
            <w:r>
              <w:rPr>
                <w:rFonts w:hAnsi="Times New Roman"/>
                <w:b w:val="0"/>
                <w:bCs/>
                <w:sz w:val="21"/>
                <w:szCs w:val="21"/>
              </w:rPr>
              <w:t>)</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26.88万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3</w:t>
            </w:r>
          </w:p>
        </w:tc>
        <w:tc>
          <w:tcPr>
            <w:tcW w:w="2650" w:type="pct"/>
            <w:vAlign w:val="center"/>
          </w:tcPr>
          <w:p>
            <w:pPr>
              <w:pStyle w:val="154"/>
              <w:spacing w:line="340" w:lineRule="exact"/>
              <w:ind w:firstLine="420"/>
              <w:rPr>
                <w:b/>
                <w:bCs/>
                <w:sz w:val="21"/>
                <w:szCs w:val="21"/>
              </w:rPr>
            </w:pPr>
            <w:r>
              <w:rPr>
                <w:rFonts w:eastAsia="宋体"/>
                <w:kern w:val="2"/>
                <w:sz w:val="21"/>
                <w:szCs w:val="21"/>
              </w:rPr>
              <w:t>砼工程</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5.51万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4</w:t>
            </w:r>
          </w:p>
        </w:tc>
        <w:tc>
          <w:tcPr>
            <w:tcW w:w="2650" w:type="pct"/>
            <w:vAlign w:val="center"/>
          </w:tcPr>
          <w:p>
            <w:pPr>
              <w:pStyle w:val="154"/>
              <w:spacing w:line="340" w:lineRule="exact"/>
              <w:ind w:firstLine="420"/>
              <w:rPr>
                <w:b/>
                <w:bCs/>
                <w:sz w:val="21"/>
                <w:szCs w:val="21"/>
              </w:rPr>
            </w:pPr>
            <w:r>
              <w:rPr>
                <w:rFonts w:eastAsia="宋体"/>
                <w:kern w:val="2"/>
                <w:sz w:val="21"/>
                <w:szCs w:val="21"/>
              </w:rPr>
              <w:t>砌石工程</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1.61万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5</w:t>
            </w:r>
          </w:p>
        </w:tc>
        <w:tc>
          <w:tcPr>
            <w:tcW w:w="2650" w:type="pct"/>
            <w:vAlign w:val="center"/>
          </w:tcPr>
          <w:p>
            <w:pPr>
              <w:pStyle w:val="154"/>
              <w:spacing w:line="340" w:lineRule="exact"/>
              <w:ind w:firstLine="420"/>
              <w:rPr>
                <w:b/>
                <w:bCs/>
                <w:sz w:val="21"/>
                <w:szCs w:val="21"/>
              </w:rPr>
            </w:pPr>
            <w:r>
              <w:rPr>
                <w:rFonts w:eastAsia="宋体"/>
                <w:kern w:val="2"/>
                <w:sz w:val="21"/>
                <w:szCs w:val="21"/>
              </w:rPr>
              <w:t>砂卵石垫层</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0.57万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6</w:t>
            </w:r>
          </w:p>
        </w:tc>
        <w:tc>
          <w:tcPr>
            <w:tcW w:w="2650" w:type="pct"/>
            <w:vAlign w:val="center"/>
          </w:tcPr>
          <w:p>
            <w:pPr>
              <w:pStyle w:val="154"/>
              <w:spacing w:line="340" w:lineRule="exact"/>
              <w:ind w:firstLine="420"/>
              <w:rPr>
                <w:b/>
                <w:bCs/>
                <w:sz w:val="21"/>
                <w:szCs w:val="21"/>
              </w:rPr>
            </w:pPr>
            <w:r>
              <w:rPr>
                <w:rFonts w:eastAsia="宋体"/>
                <w:kern w:val="2"/>
                <w:sz w:val="21"/>
                <w:szCs w:val="21"/>
              </w:rPr>
              <w:t>钢筋制安</w:t>
            </w:r>
          </w:p>
        </w:tc>
        <w:tc>
          <w:tcPr>
            <w:tcW w:w="691" w:type="pct"/>
            <w:vAlign w:val="bottom"/>
          </w:tcPr>
          <w:p>
            <w:pPr>
              <w:pStyle w:val="446"/>
              <w:spacing w:line="340" w:lineRule="exact"/>
              <w:rPr>
                <w:rFonts w:hAnsi="Times New Roman"/>
                <w:b w:val="0"/>
                <w:bCs/>
                <w:sz w:val="21"/>
                <w:szCs w:val="21"/>
              </w:rPr>
            </w:pPr>
            <w:r>
              <w:rPr>
                <w:rFonts w:hint="eastAsia" w:hAnsi="Times New Roman"/>
                <w:b w:val="0"/>
                <w:bCs/>
                <w:sz w:val="21"/>
                <w:szCs w:val="21"/>
              </w:rPr>
              <w:t>t</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1155.8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1"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7</w:t>
            </w:r>
          </w:p>
        </w:tc>
        <w:tc>
          <w:tcPr>
            <w:tcW w:w="2650" w:type="pct"/>
            <w:vAlign w:val="center"/>
          </w:tcPr>
          <w:p>
            <w:pPr>
              <w:pStyle w:val="154"/>
              <w:spacing w:line="340" w:lineRule="exact"/>
              <w:ind w:firstLine="420"/>
              <w:rPr>
                <w:b/>
                <w:bCs/>
                <w:sz w:val="21"/>
                <w:szCs w:val="21"/>
              </w:rPr>
            </w:pPr>
            <w:r>
              <w:rPr>
                <w:rFonts w:eastAsia="宋体"/>
                <w:kern w:val="2"/>
                <w:sz w:val="21"/>
                <w:szCs w:val="21"/>
              </w:rPr>
              <w:t xml:space="preserve">模板工程 </w:t>
            </w:r>
          </w:p>
        </w:tc>
        <w:tc>
          <w:tcPr>
            <w:tcW w:w="691" w:type="pct"/>
            <w:vAlign w:val="bottom"/>
          </w:tcPr>
          <w:p>
            <w:pPr>
              <w:pStyle w:val="446"/>
              <w:spacing w:line="340" w:lineRule="exact"/>
              <w:rPr>
                <w:rFonts w:hAnsi="Times New Roman"/>
                <w:b w:val="0"/>
                <w:bCs/>
                <w:sz w:val="21"/>
                <w:szCs w:val="21"/>
              </w:rPr>
            </w:pPr>
            <w:r>
              <w:rPr>
                <w:rFonts w:hAnsi="Times New Roman"/>
                <w:b w:val="0"/>
                <w:bCs/>
                <w:sz w:val="21"/>
                <w:szCs w:val="21"/>
              </w:rPr>
              <w:t>m</w:t>
            </w:r>
            <w:r>
              <w:rPr>
                <w:rFonts w:hAnsi="Times New Roman"/>
                <w:b w:val="0"/>
                <w:bCs/>
                <w:sz w:val="21"/>
                <w:szCs w:val="21"/>
                <w:vertAlign w:val="superscript"/>
              </w:rPr>
              <w:t>3</w:t>
            </w:r>
          </w:p>
        </w:tc>
        <w:tc>
          <w:tcPr>
            <w:tcW w:w="926" w:type="pct"/>
            <w:noWrap/>
            <w:vAlign w:val="bottom"/>
          </w:tcPr>
          <w:p>
            <w:pPr>
              <w:pStyle w:val="446"/>
              <w:spacing w:line="340" w:lineRule="exact"/>
              <w:rPr>
                <w:rFonts w:hAnsi="Times New Roman"/>
                <w:b w:val="0"/>
                <w:bCs/>
                <w:sz w:val="21"/>
                <w:szCs w:val="21"/>
              </w:rPr>
            </w:pPr>
            <w:r>
              <w:rPr>
                <w:rFonts w:hint="eastAsia" w:hAnsi="Times New Roman"/>
                <w:b w:val="0"/>
                <w:bCs/>
                <w:sz w:val="21"/>
                <w:szCs w:val="21"/>
              </w:rPr>
              <w:t>5.29万</w:t>
            </w:r>
          </w:p>
        </w:tc>
      </w:tr>
    </w:tbl>
    <w:p>
      <w:pPr>
        <w:pStyle w:val="6"/>
      </w:pPr>
      <w:bookmarkStart w:id="414" w:name="_Toc529279006"/>
      <w:bookmarkStart w:id="415" w:name="_Toc534895217"/>
      <w:bookmarkStart w:id="416" w:name="_Toc536265083"/>
      <w:bookmarkStart w:id="417" w:name="_Toc534806999"/>
      <w:bookmarkStart w:id="418" w:name="_Toc534386240"/>
      <w:bookmarkStart w:id="419" w:name="_Toc3903220"/>
      <w:bookmarkStart w:id="420" w:name="_Toc21148"/>
      <w:r>
        <w:t>2.</w:t>
      </w:r>
      <w:bookmarkEnd w:id="413"/>
      <w:bookmarkEnd w:id="414"/>
      <w:r>
        <w:rPr>
          <w:rFonts w:hint="eastAsia"/>
        </w:rPr>
        <w:t>7</w:t>
      </w:r>
      <w:r>
        <w:t>工程施</w:t>
      </w:r>
      <w:bookmarkEnd w:id="415"/>
      <w:bookmarkEnd w:id="416"/>
      <w:bookmarkEnd w:id="417"/>
      <w:bookmarkEnd w:id="418"/>
      <w:bookmarkEnd w:id="419"/>
      <w:r>
        <w:t>组织设计</w:t>
      </w:r>
      <w:bookmarkEnd w:id="420"/>
    </w:p>
    <w:p>
      <w:pPr>
        <w:pStyle w:val="7"/>
        <w:rPr>
          <w:szCs w:val="24"/>
        </w:rPr>
      </w:pPr>
      <w:bookmarkStart w:id="421" w:name="_Toc529279007"/>
      <w:bookmarkStart w:id="422" w:name="_Toc534807000"/>
      <w:bookmarkStart w:id="423" w:name="_Toc534895218"/>
      <w:bookmarkStart w:id="424" w:name="_Toc536265084"/>
      <w:bookmarkStart w:id="425" w:name="_Toc534386241"/>
      <w:bookmarkStart w:id="426" w:name="_Toc3903221"/>
      <w:r>
        <w:rPr>
          <w:szCs w:val="24"/>
        </w:rPr>
        <w:t>2.</w:t>
      </w:r>
      <w:r>
        <w:rPr>
          <w:rFonts w:hint="eastAsia"/>
          <w:szCs w:val="24"/>
        </w:rPr>
        <w:t>7</w:t>
      </w:r>
      <w:r>
        <w:rPr>
          <w:szCs w:val="24"/>
        </w:rPr>
        <w:t>.1</w:t>
      </w:r>
      <w:bookmarkEnd w:id="421"/>
      <w:r>
        <w:rPr>
          <w:szCs w:val="24"/>
        </w:rPr>
        <w:t>施工条件</w:t>
      </w:r>
      <w:bookmarkEnd w:id="422"/>
      <w:bookmarkEnd w:id="423"/>
      <w:bookmarkEnd w:id="424"/>
      <w:bookmarkEnd w:id="425"/>
      <w:bookmarkEnd w:id="426"/>
    </w:p>
    <w:p>
      <w:pPr>
        <w:ind w:firstLine="480"/>
      </w:pPr>
      <w:r>
        <w:rPr>
          <w:rFonts w:hint="eastAsia" w:ascii="宋体" w:hAnsi="宋体" w:cs="宋体"/>
        </w:rPr>
        <w:t>⑴</w:t>
      </w:r>
      <w:r>
        <w:t>交通条件</w:t>
      </w:r>
    </w:p>
    <w:p>
      <w:pPr>
        <w:ind w:firstLine="480"/>
      </w:pPr>
      <w:r>
        <w:t>本工程对外交通较为便利，主要有昌铜</w:t>
      </w:r>
      <w:r>
        <w:rPr>
          <w:rFonts w:hint="eastAsia"/>
        </w:rPr>
        <w:t>、大广</w:t>
      </w:r>
      <w:r>
        <w:t>高速、</w:t>
      </w:r>
      <w:r>
        <w:rPr>
          <w:rFonts w:hint="eastAsia"/>
        </w:rPr>
        <w:t>3</w:t>
      </w:r>
      <w:r>
        <w:t>20</w:t>
      </w:r>
      <w:r>
        <w:rPr>
          <w:rFonts w:hint="eastAsia"/>
        </w:rPr>
        <w:t>国</w:t>
      </w:r>
      <w:r>
        <w:t>道和乡村公路。工程场址左、右岸现有公路通往城区。</w:t>
      </w:r>
    </w:p>
    <w:p>
      <w:pPr>
        <w:ind w:firstLine="480"/>
      </w:pPr>
      <w:r>
        <w:t>场内交通主要依靠场内临时公路、用以运送建筑材料至各施工点，</w:t>
      </w:r>
      <w:r>
        <w:rPr>
          <w:rFonts w:hint="eastAsia"/>
        </w:rPr>
        <w:t>本次加固设计场内临时公路主要集中在闸坝、消能设施、上下游衔接段护岸等。</w:t>
      </w:r>
    </w:p>
    <w:p>
      <w:pPr>
        <w:ind w:firstLine="480"/>
      </w:pPr>
      <w:r>
        <w:rPr>
          <w:rFonts w:hint="eastAsia"/>
        </w:rPr>
        <w:t>本工程施工项目较为集中，施工场地较开阔，便于施工布置。需分别修建</w:t>
      </w:r>
      <w:r>
        <w:t>1.0</w:t>
      </w:r>
      <w:r>
        <w:rPr>
          <w:rFonts w:hint="eastAsia"/>
        </w:rPr>
        <w:t>km的临时道路至拦河坝左、右岸，建</w:t>
      </w:r>
      <w:r>
        <w:t>1.0</w:t>
      </w:r>
      <w:r>
        <w:rPr>
          <w:rFonts w:hint="eastAsia"/>
        </w:rPr>
        <w:t>km的临时道路至土料场，合计临时道路长</w:t>
      </w:r>
      <w:r>
        <w:t>2.0</w:t>
      </w:r>
      <w:r>
        <w:rPr>
          <w:rFonts w:hint="eastAsia"/>
        </w:rPr>
        <w:t xml:space="preserve">km。  </w:t>
      </w:r>
    </w:p>
    <w:p>
      <w:pPr>
        <w:ind w:firstLine="480"/>
      </w:pPr>
      <w:r>
        <w:rPr>
          <w:rFonts w:hint="eastAsia" w:ascii="宋体" w:hAnsi="宋体" w:cs="宋体"/>
        </w:rPr>
        <w:t>⑵</w:t>
      </w:r>
      <w:r>
        <w:t>施工期建筑材料供应条件</w:t>
      </w:r>
    </w:p>
    <w:p>
      <w:pPr>
        <w:ind w:firstLine="480"/>
      </w:pPr>
      <w:r>
        <w:rPr>
          <w:rFonts w:hint="eastAsia"/>
        </w:rPr>
        <w:t>本工程所需主要建筑材料包括：水泥、钢材、各种油料及土料、砂料、块石料等。</w:t>
      </w:r>
    </w:p>
    <w:p>
      <w:pPr>
        <w:ind w:firstLine="480"/>
      </w:pPr>
      <w:r>
        <w:rPr>
          <w:rFonts w:hint="eastAsia"/>
        </w:rPr>
        <w:t>①水泥：从上高县相关市场购买。</w:t>
      </w:r>
    </w:p>
    <w:p>
      <w:pPr>
        <w:ind w:firstLine="480"/>
      </w:pPr>
      <w:r>
        <w:rPr>
          <w:rFonts w:hint="eastAsia"/>
        </w:rPr>
        <w:t>②钢材、油料：均可从上高县相关市场购买。</w:t>
      </w:r>
    </w:p>
    <w:p>
      <w:pPr>
        <w:ind w:firstLine="480"/>
      </w:pPr>
      <w:r>
        <w:rPr>
          <w:rFonts w:hint="eastAsia"/>
        </w:rPr>
        <w:t>③土料：土料可在上高先锋村境内，为长岭山土料场，土质为粘性土，红色，天然状态下较密实，粘性较好，储量较丰富，可满足设计要求。料场至坝址距离约为8km。</w:t>
      </w:r>
    </w:p>
    <w:p>
      <w:pPr>
        <w:ind w:firstLine="480"/>
      </w:pPr>
      <w:r>
        <w:rPr>
          <w:rFonts w:hint="eastAsia"/>
        </w:rPr>
        <w:t>④砂料、砂砾料：上高城区购买商品砂，到下坝址左岸运距6km左右。</w:t>
      </w:r>
    </w:p>
    <w:p>
      <w:pPr>
        <w:ind w:firstLine="480"/>
      </w:pPr>
      <w:r>
        <w:rPr>
          <w:rFonts w:hint="eastAsia"/>
        </w:rPr>
        <w:t>⑤块石、碎石料：芦洲乡附近石料厂购买，到下坝址左岸运距15km左右。</w:t>
      </w:r>
    </w:p>
    <w:p>
      <w:pPr>
        <w:ind w:firstLine="480"/>
      </w:pPr>
      <w:r>
        <w:rPr>
          <w:rFonts w:hint="eastAsia" w:ascii="宋体" w:hAnsi="宋体" w:cs="宋体"/>
        </w:rPr>
        <w:t>⑶</w:t>
      </w:r>
      <w:r>
        <w:t>施工期供水、供电</w:t>
      </w:r>
      <w:r>
        <w:rPr>
          <w:rFonts w:hint="eastAsia"/>
        </w:rPr>
        <w:t>、供风</w:t>
      </w:r>
      <w:r>
        <w:t>条件</w:t>
      </w:r>
    </w:p>
    <w:p>
      <w:pPr>
        <w:ind w:firstLine="480"/>
      </w:pPr>
      <w:r>
        <w:t>施工供水包括生产和生活用水，本工程施工用水采用抽水泵向</w:t>
      </w:r>
      <w:r>
        <w:rPr>
          <w:rFonts w:hint="eastAsia"/>
        </w:rPr>
        <w:t>锦河</w:t>
      </w:r>
      <w:r>
        <w:t>抽取；生活用水采用县城自来水。</w:t>
      </w:r>
    </w:p>
    <w:p>
      <w:pPr>
        <w:ind w:firstLine="480"/>
      </w:pPr>
      <w:r>
        <w:t>施工用电：工程施工高峰用电负荷约为320kW，从</w:t>
      </w:r>
      <w:r>
        <w:rPr>
          <w:rFonts w:hint="eastAsia"/>
        </w:rPr>
        <w:t>上高</w:t>
      </w:r>
      <w:r>
        <w:t>县电网供电，施工期按10kV运行，在左岸设一台型号为S9-500/35的降压器，电压从10kV降至于0.4kV，供工程施工用电。</w:t>
      </w:r>
    </w:p>
    <w:p>
      <w:pPr>
        <w:ind w:firstLine="480"/>
      </w:pPr>
      <w:r>
        <w:rPr>
          <w:rFonts w:hint="eastAsia"/>
        </w:rPr>
        <w:t>施工供风系统：</w:t>
      </w:r>
      <w:r>
        <w:t>按石方开挖强度计算，左岸约需风量15m</w:t>
      </w:r>
      <w:r>
        <w:rPr>
          <w:vertAlign w:val="superscript"/>
        </w:rPr>
        <w:t>3</w:t>
      </w:r>
      <w:r>
        <w:t>/min，右岸20m</w:t>
      </w:r>
      <w:r>
        <w:rPr>
          <w:vertAlign w:val="superscript"/>
        </w:rPr>
        <w:t>3</w:t>
      </w:r>
      <w:r>
        <w:t>/min</w:t>
      </w:r>
      <w:r>
        <w:rPr>
          <w:rFonts w:hint="eastAsia"/>
        </w:rPr>
        <w:t>，</w:t>
      </w:r>
      <w:r>
        <w:t>分两期开挖，设备可调剂使用。因此，</w:t>
      </w:r>
      <w:r>
        <w:rPr>
          <w:rFonts w:hint="eastAsia"/>
        </w:rPr>
        <w:t>工程规划</w:t>
      </w:r>
      <w:r>
        <w:t>设4L-20/8型的空压机1台，3L-10/8型空压机1台，移动式空压机YW-9/7-</w:t>
      </w:r>
      <w:r>
        <w:rPr>
          <w:rFonts w:hint="eastAsia" w:ascii="宋体" w:hAnsi="宋体" w:cs="宋体"/>
        </w:rPr>
        <w:t>Ⅰ</w:t>
      </w:r>
      <w:r>
        <w:t>型二台作为备用及供石料场及零星建筑开挖使用。</w:t>
      </w:r>
      <w:r>
        <w:rPr>
          <w:rFonts w:hint="eastAsia"/>
        </w:rPr>
        <w:t>供风系统</w:t>
      </w:r>
      <w:r>
        <w:t>主要技术指标见表</w:t>
      </w:r>
      <w:r>
        <w:rPr>
          <w:rFonts w:hint="eastAsia"/>
        </w:rPr>
        <w:t>2.7-1。</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表2.7-1  供风系统主要技术指标</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27"/>
        <w:gridCol w:w="3544"/>
        <w:gridCol w:w="22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7" w:type="dxa"/>
            <w:vAlign w:val="center"/>
          </w:tcPr>
          <w:p>
            <w:pPr>
              <w:spacing w:line="340" w:lineRule="exact"/>
              <w:ind w:firstLine="420"/>
              <w:jc w:val="center"/>
              <w:rPr>
                <w:sz w:val="21"/>
              </w:rPr>
            </w:pPr>
            <w:r>
              <w:rPr>
                <w:sz w:val="21"/>
              </w:rPr>
              <w:t>项目</w:t>
            </w:r>
          </w:p>
        </w:tc>
        <w:tc>
          <w:tcPr>
            <w:tcW w:w="3544" w:type="dxa"/>
            <w:vAlign w:val="center"/>
          </w:tcPr>
          <w:p>
            <w:pPr>
              <w:spacing w:line="340" w:lineRule="exact"/>
              <w:ind w:firstLine="420"/>
              <w:jc w:val="center"/>
              <w:rPr>
                <w:sz w:val="21"/>
              </w:rPr>
            </w:pPr>
            <w:r>
              <w:rPr>
                <w:sz w:val="21"/>
              </w:rPr>
              <w:t>压气站</w:t>
            </w:r>
          </w:p>
        </w:tc>
        <w:tc>
          <w:tcPr>
            <w:tcW w:w="2297" w:type="dxa"/>
            <w:vAlign w:val="center"/>
          </w:tcPr>
          <w:p>
            <w:pPr>
              <w:spacing w:line="340" w:lineRule="exact"/>
              <w:ind w:firstLine="420"/>
              <w:jc w:val="center"/>
              <w:rPr>
                <w:sz w:val="21"/>
              </w:rPr>
            </w:pPr>
            <w:r>
              <w:rPr>
                <w:sz w:val="21"/>
              </w:rPr>
              <w:t>移动空压机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7" w:type="dxa"/>
            <w:vAlign w:val="center"/>
          </w:tcPr>
          <w:p>
            <w:pPr>
              <w:spacing w:line="340" w:lineRule="exact"/>
              <w:ind w:firstLine="420"/>
              <w:jc w:val="center"/>
              <w:rPr>
                <w:sz w:val="21"/>
              </w:rPr>
            </w:pPr>
            <w:r>
              <w:rPr>
                <w:sz w:val="21"/>
              </w:rPr>
              <w:t>设备供风能力（m</w:t>
            </w:r>
            <w:r>
              <w:rPr>
                <w:sz w:val="21"/>
                <w:vertAlign w:val="superscript"/>
              </w:rPr>
              <w:t>3</w:t>
            </w:r>
            <w:r>
              <w:rPr>
                <w:sz w:val="21"/>
              </w:rPr>
              <w:t>/min）</w:t>
            </w:r>
          </w:p>
        </w:tc>
        <w:tc>
          <w:tcPr>
            <w:tcW w:w="3544" w:type="dxa"/>
            <w:vAlign w:val="center"/>
          </w:tcPr>
          <w:p>
            <w:pPr>
              <w:spacing w:line="340" w:lineRule="exact"/>
              <w:ind w:firstLine="420"/>
              <w:jc w:val="center"/>
              <w:rPr>
                <w:sz w:val="21"/>
              </w:rPr>
            </w:pPr>
            <w:r>
              <w:rPr>
                <w:sz w:val="21"/>
              </w:rPr>
              <w:t>30</w:t>
            </w:r>
          </w:p>
        </w:tc>
        <w:tc>
          <w:tcPr>
            <w:tcW w:w="2297" w:type="dxa"/>
            <w:vAlign w:val="center"/>
          </w:tcPr>
          <w:p>
            <w:pPr>
              <w:spacing w:line="340" w:lineRule="exact"/>
              <w:ind w:firstLine="420"/>
              <w:jc w:val="center"/>
              <w:rPr>
                <w:sz w:val="21"/>
              </w:rPr>
            </w:pPr>
            <w:r>
              <w:rPr>
                <w:sz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7" w:type="dxa"/>
            <w:vAlign w:val="center"/>
          </w:tcPr>
          <w:p>
            <w:pPr>
              <w:spacing w:line="340" w:lineRule="exact"/>
              <w:ind w:firstLine="420"/>
              <w:jc w:val="center"/>
              <w:rPr>
                <w:sz w:val="21"/>
              </w:rPr>
            </w:pPr>
            <w:r>
              <w:rPr>
                <w:sz w:val="21"/>
              </w:rPr>
              <w:t>正常运行供风量（m</w:t>
            </w:r>
            <w:r>
              <w:rPr>
                <w:sz w:val="21"/>
                <w:vertAlign w:val="superscript"/>
              </w:rPr>
              <w:t>3</w:t>
            </w:r>
            <w:r>
              <w:rPr>
                <w:sz w:val="21"/>
              </w:rPr>
              <w:t>/min）</w:t>
            </w:r>
          </w:p>
        </w:tc>
        <w:tc>
          <w:tcPr>
            <w:tcW w:w="3544" w:type="dxa"/>
            <w:vAlign w:val="center"/>
          </w:tcPr>
          <w:p>
            <w:pPr>
              <w:spacing w:line="340" w:lineRule="exact"/>
              <w:ind w:firstLine="420"/>
              <w:jc w:val="center"/>
              <w:rPr>
                <w:sz w:val="21"/>
              </w:rPr>
            </w:pPr>
            <w:r>
              <w:rPr>
                <w:sz w:val="21"/>
              </w:rPr>
              <w:t>20</w:t>
            </w:r>
          </w:p>
        </w:tc>
        <w:tc>
          <w:tcPr>
            <w:tcW w:w="2297" w:type="dxa"/>
            <w:vAlign w:val="center"/>
          </w:tcPr>
          <w:p>
            <w:pPr>
              <w:spacing w:line="340" w:lineRule="exact"/>
              <w:ind w:firstLine="420"/>
              <w:jc w:val="center"/>
              <w:rPr>
                <w:sz w:val="21"/>
              </w:rPr>
            </w:pPr>
            <w:r>
              <w:rPr>
                <w:sz w:val="21"/>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7" w:type="dxa"/>
            <w:vAlign w:val="center"/>
          </w:tcPr>
          <w:p>
            <w:pPr>
              <w:spacing w:line="340" w:lineRule="exact"/>
              <w:ind w:firstLine="420"/>
              <w:jc w:val="center"/>
              <w:rPr>
                <w:sz w:val="21"/>
              </w:rPr>
            </w:pPr>
            <w:r>
              <w:rPr>
                <w:sz w:val="21"/>
              </w:rPr>
              <w:t>主要设备</w:t>
            </w:r>
          </w:p>
        </w:tc>
        <w:tc>
          <w:tcPr>
            <w:tcW w:w="3544" w:type="dxa"/>
            <w:vAlign w:val="center"/>
          </w:tcPr>
          <w:p>
            <w:pPr>
              <w:spacing w:line="340" w:lineRule="exact"/>
              <w:ind w:firstLine="0" w:firstLineChars="0"/>
              <w:rPr>
                <w:sz w:val="21"/>
              </w:rPr>
            </w:pPr>
            <w:r>
              <w:rPr>
                <w:sz w:val="21"/>
              </w:rPr>
              <w:t>4L-20/8（一台）</w:t>
            </w:r>
            <w:r>
              <w:rPr>
                <w:rFonts w:hint="eastAsia"/>
                <w:sz w:val="21"/>
              </w:rPr>
              <w:t>，</w:t>
            </w:r>
            <w:r>
              <w:rPr>
                <w:sz w:val="21"/>
              </w:rPr>
              <w:t>3L-10/8（一台）</w:t>
            </w:r>
          </w:p>
        </w:tc>
        <w:tc>
          <w:tcPr>
            <w:tcW w:w="2297" w:type="dxa"/>
            <w:vAlign w:val="center"/>
          </w:tcPr>
          <w:p>
            <w:pPr>
              <w:spacing w:line="340" w:lineRule="exact"/>
              <w:ind w:firstLine="420"/>
              <w:jc w:val="center"/>
              <w:rPr>
                <w:sz w:val="21"/>
              </w:rPr>
            </w:pPr>
            <w:r>
              <w:rPr>
                <w:sz w:val="21"/>
              </w:rPr>
              <w:t>YW-9/7-1（2台）</w:t>
            </w:r>
          </w:p>
        </w:tc>
      </w:tr>
    </w:tbl>
    <w:p>
      <w:pPr>
        <w:spacing w:before="120" w:beforeLines="50"/>
        <w:ind w:firstLine="480"/>
        <w:rPr>
          <w:rFonts w:ascii="宋体" w:hAnsi="宋体" w:cs="宋体"/>
        </w:rPr>
      </w:pPr>
      <w:bookmarkStart w:id="427" w:name="_Toc3903222"/>
      <w:bookmarkStart w:id="428" w:name="_Toc534807001"/>
      <w:bookmarkStart w:id="429" w:name="_Toc534386242"/>
      <w:bookmarkStart w:id="430" w:name="_Toc536265085"/>
      <w:bookmarkStart w:id="431" w:name="_Toc534895219"/>
      <w:r>
        <w:rPr>
          <w:rFonts w:hint="eastAsia" w:ascii="宋体" w:hAnsi="宋体" w:cs="宋体"/>
        </w:rPr>
        <w:t>(4)</w:t>
      </w:r>
      <w:r>
        <w:rPr>
          <w:rFonts w:ascii="宋体" w:hAnsi="宋体" w:cs="宋体"/>
        </w:rPr>
        <w:t>料场</w:t>
      </w:r>
    </w:p>
    <w:bookmarkEnd w:id="427"/>
    <w:bookmarkEnd w:id="428"/>
    <w:bookmarkEnd w:id="429"/>
    <w:bookmarkEnd w:id="430"/>
    <w:bookmarkEnd w:id="431"/>
    <w:p>
      <w:pPr>
        <w:ind w:firstLine="480"/>
      </w:pP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 1 \* GB3</w:instrText>
      </w:r>
      <w:r>
        <w:rPr>
          <w:rFonts w:ascii="宋体" w:hAnsi="宋体" w:cs="宋体"/>
        </w:rPr>
        <w:instrText xml:space="preserve"> </w:instrText>
      </w:r>
      <w:r>
        <w:rPr>
          <w:rFonts w:ascii="宋体" w:hAnsi="宋体" w:cs="宋体"/>
        </w:rPr>
        <w:fldChar w:fldCharType="separate"/>
      </w:r>
      <w:r>
        <w:rPr>
          <w:rFonts w:hint="eastAsia" w:ascii="宋体" w:hAnsi="宋体" w:cs="宋体"/>
        </w:rPr>
        <w:t>①</w:t>
      </w:r>
      <w:r>
        <w:rPr>
          <w:rFonts w:ascii="宋体" w:hAnsi="宋体" w:cs="宋体"/>
        </w:rPr>
        <w:fldChar w:fldCharType="end"/>
      </w:r>
      <w:r>
        <w:t>土料</w:t>
      </w:r>
    </w:p>
    <w:p>
      <w:pPr>
        <w:ind w:firstLine="480"/>
      </w:pPr>
      <w:r>
        <w:rPr>
          <w:rFonts w:hint="eastAsia"/>
        </w:rPr>
        <w:t>土料场</w:t>
      </w:r>
      <w:r>
        <w:t>位于</w:t>
      </w:r>
      <w:bookmarkStart w:id="432" w:name="_Hlk97820717"/>
      <w:r>
        <w:rPr>
          <w:rFonts w:hint="eastAsia"/>
        </w:rPr>
        <w:t>先锋村境内</w:t>
      </w:r>
      <w:r>
        <w:t>，</w:t>
      </w:r>
      <w:r>
        <w:rPr>
          <w:rFonts w:hint="eastAsia"/>
        </w:rPr>
        <w:t>为长岭</w:t>
      </w:r>
      <w:r>
        <w:t>山土料场</w:t>
      </w:r>
      <w:r>
        <w:rPr>
          <w:rFonts w:hint="eastAsia"/>
        </w:rPr>
        <w:t>，</w:t>
      </w:r>
      <w:r>
        <w:t>土质为粘</w:t>
      </w:r>
      <w:r>
        <w:rPr>
          <w:rFonts w:hint="eastAsia"/>
        </w:rPr>
        <w:t>性</w:t>
      </w:r>
      <w:r>
        <w:t>土，红色，</w:t>
      </w:r>
      <w:r>
        <w:rPr>
          <w:rFonts w:hint="eastAsia"/>
        </w:rPr>
        <w:t>天然状态下较</w:t>
      </w:r>
      <w:r>
        <w:t>密实，粘性较好</w:t>
      </w:r>
      <w:bookmarkEnd w:id="432"/>
      <w:r>
        <w:t>，料场无效层薄，储量估算约</w:t>
      </w:r>
      <w:r>
        <w:rPr>
          <w:rFonts w:hint="eastAsia"/>
        </w:rPr>
        <w:t>40</w:t>
      </w:r>
      <w:r>
        <w:t>万m</w:t>
      </w:r>
      <w:r>
        <w:rPr>
          <w:vertAlign w:val="superscript"/>
        </w:rPr>
        <w:t>3</w:t>
      </w:r>
      <w:r>
        <w:t>，</w:t>
      </w:r>
      <w:r>
        <w:rPr>
          <w:rFonts w:hint="eastAsia"/>
        </w:rPr>
        <w:t>该</w:t>
      </w:r>
      <w:r>
        <w:t>料场</w:t>
      </w:r>
      <w:r>
        <w:rPr>
          <w:rFonts w:hint="eastAsia"/>
        </w:rPr>
        <w:t>距下坝址右岸</w:t>
      </w:r>
      <w:r>
        <w:t>运距</w:t>
      </w:r>
      <w:r>
        <w:rPr>
          <w:rFonts w:hint="eastAsia"/>
        </w:rPr>
        <w:t>8</w:t>
      </w:r>
      <w:r>
        <w:t>km。局部地段需修建临时公路</w:t>
      </w:r>
      <w:r>
        <w:rPr>
          <w:rFonts w:hint="eastAsia"/>
        </w:rPr>
        <w:t>约1</w:t>
      </w:r>
      <w:r>
        <w:t>.0</w:t>
      </w:r>
      <w:r>
        <w:rPr>
          <w:rFonts w:hint="eastAsia"/>
        </w:rPr>
        <w:t>km</w:t>
      </w:r>
      <w:r>
        <w:t>。</w:t>
      </w:r>
    </w:p>
    <w:p>
      <w:pPr>
        <w:ind w:firstLine="480"/>
      </w:pPr>
      <w:r>
        <w:rPr>
          <w:rFonts w:hint="eastAsia" w:ascii="宋体" w:hAnsi="宋体" w:cs="宋体"/>
        </w:rPr>
        <w:t>②</w:t>
      </w:r>
      <w:r>
        <w:t>砂（卵石）料</w:t>
      </w:r>
    </w:p>
    <w:p>
      <w:pPr>
        <w:ind w:firstLine="480"/>
      </w:pPr>
      <w:r>
        <w:t>所需砂</w:t>
      </w:r>
      <w:r>
        <w:rPr>
          <w:rFonts w:hint="eastAsia"/>
        </w:rPr>
        <w:t>砾石</w:t>
      </w:r>
      <w:r>
        <w:t>料</w:t>
      </w:r>
      <w:r>
        <w:rPr>
          <w:rFonts w:hint="eastAsia"/>
        </w:rPr>
        <w:t>可到上高城区购买商品砂，砂砾石料来源赣江樟树洲上一带，</w:t>
      </w:r>
      <w:r>
        <w:t>质量较好</w:t>
      </w:r>
      <w:r>
        <w:rPr>
          <w:rFonts w:hint="eastAsia"/>
        </w:rPr>
        <w:t>，</w:t>
      </w:r>
      <w:r>
        <w:t>料场储量丰富，可满足设计要求</w:t>
      </w:r>
      <w:r>
        <w:rPr>
          <w:rFonts w:hint="eastAsia"/>
        </w:rPr>
        <w:t>，上高城区商品砂场至下坝址左岸运距6km左右</w:t>
      </w:r>
      <w:r>
        <w:t>，交通方便</w:t>
      </w:r>
      <w:r>
        <w:rPr>
          <w:rFonts w:hint="eastAsia"/>
        </w:rPr>
        <w:t>。</w:t>
      </w:r>
      <w:r>
        <w:t>本工程所用砂砾（卵）石料全部外购进场。</w:t>
      </w:r>
    </w:p>
    <w:p>
      <w:pPr>
        <w:ind w:firstLine="480"/>
      </w:pPr>
      <w:r>
        <w:rPr>
          <w:rFonts w:hint="eastAsia" w:ascii="宋体" w:hAnsi="宋体" w:cs="宋体"/>
        </w:rPr>
        <w:t>③</w:t>
      </w:r>
      <w:r>
        <w:t>块、碎石料</w:t>
      </w:r>
    </w:p>
    <w:p>
      <w:pPr>
        <w:ind w:firstLine="480"/>
      </w:pPr>
      <w:bookmarkStart w:id="433" w:name="_Toc534386243"/>
      <w:bookmarkStart w:id="434" w:name="_Toc534895220"/>
      <w:bookmarkStart w:id="435" w:name="_Toc3903223"/>
      <w:bookmarkStart w:id="436" w:name="_Toc536265086"/>
      <w:bookmarkStart w:id="437" w:name="_Toc534807002"/>
      <w:r>
        <w:t>工程区块石</w:t>
      </w:r>
      <w:r>
        <w:rPr>
          <w:rFonts w:hint="eastAsia"/>
        </w:rPr>
        <w:t>、碎石料</w:t>
      </w:r>
      <w:r>
        <w:t>缺乏</w:t>
      </w:r>
      <w:r>
        <w:rPr>
          <w:rFonts w:hint="eastAsia"/>
        </w:rPr>
        <w:t>，所需石料到芦洲乡附近石料厂购买，其岩性为石炭系石灰岩，青灰色，弱风化～微新状，岩石较坚硬，质量较好，石料质量能满足设计要求，到下坝址左岸运距15km左右</w:t>
      </w:r>
      <w:r>
        <w:t>，交通方便</w:t>
      </w:r>
      <w:r>
        <w:rPr>
          <w:rFonts w:hint="eastAsia"/>
        </w:rPr>
        <w:t>。</w:t>
      </w:r>
      <w:r>
        <w:t>本工程所需</w:t>
      </w:r>
      <w:r>
        <w:rPr>
          <w:szCs w:val="28"/>
        </w:rPr>
        <w:t>块、碎石料</w:t>
      </w:r>
      <w:r>
        <w:t>购买进场。</w:t>
      </w:r>
    </w:p>
    <w:p>
      <w:pPr>
        <w:pStyle w:val="7"/>
        <w:rPr>
          <w:szCs w:val="24"/>
        </w:rPr>
      </w:pPr>
      <w:r>
        <w:rPr>
          <w:szCs w:val="24"/>
        </w:rPr>
        <w:t>2.</w:t>
      </w:r>
      <w:r>
        <w:rPr>
          <w:rFonts w:hint="eastAsia"/>
          <w:szCs w:val="24"/>
        </w:rPr>
        <w:t>7</w:t>
      </w:r>
      <w:r>
        <w:rPr>
          <w:szCs w:val="24"/>
        </w:rPr>
        <w:t>.</w:t>
      </w:r>
      <w:r>
        <w:rPr>
          <w:rFonts w:hint="eastAsia"/>
          <w:szCs w:val="24"/>
        </w:rPr>
        <w:t>2</w:t>
      </w:r>
      <w:r>
        <w:rPr>
          <w:szCs w:val="24"/>
        </w:rPr>
        <w:t>施工导截流</w:t>
      </w:r>
      <w:bookmarkEnd w:id="433"/>
      <w:bookmarkEnd w:id="434"/>
      <w:bookmarkEnd w:id="435"/>
      <w:bookmarkEnd w:id="436"/>
      <w:bookmarkEnd w:id="437"/>
    </w:p>
    <w:p>
      <w:pPr>
        <w:ind w:firstLine="480"/>
        <w:rPr>
          <w:rFonts w:ascii="宋体" w:hAnsi="宋体" w:cs="宋体"/>
        </w:rPr>
      </w:pPr>
      <w:r>
        <w:rPr>
          <w:rFonts w:hint="eastAsia" w:ascii="宋体" w:hAnsi="宋体" w:cs="宋体"/>
        </w:rPr>
        <w:t>(1)</w:t>
      </w:r>
      <w:r>
        <w:rPr>
          <w:rFonts w:ascii="宋体" w:hAnsi="宋体" w:cs="宋体"/>
        </w:rPr>
        <w:t>导流标准及导流时段</w:t>
      </w:r>
    </w:p>
    <w:p>
      <w:pPr>
        <w:ind w:firstLine="480"/>
      </w:pPr>
      <w:r>
        <w:t>根据本工程的施工特点及地形条件，闸坝施工需考虑施工导流。按《水利水电工程施工组织设计规范》（SL303-2017）规定，临时性建筑物为5级建筑物。导流标准为洪水重现期10～5年（土石围堰），本工程采用5年一遇(P=20%)洪水重现期标准。</w:t>
      </w:r>
      <w:r>
        <w:rPr>
          <w:rFonts w:hint="eastAsia"/>
        </w:rPr>
        <w:t>施工导流期</w:t>
      </w:r>
      <w:r>
        <w:t>10月～次年2月</w:t>
      </w:r>
      <w:r>
        <w:rPr>
          <w:rFonts w:hint="eastAsia"/>
        </w:rPr>
        <w:t>。</w:t>
      </w:r>
    </w:p>
    <w:p>
      <w:pPr>
        <w:ind w:firstLine="480"/>
        <w:rPr>
          <w:rFonts w:ascii="宋体" w:hAnsi="宋体" w:cs="宋体"/>
        </w:rPr>
      </w:pPr>
      <w:r>
        <w:rPr>
          <w:rFonts w:hint="eastAsia" w:ascii="宋体" w:hAnsi="宋体" w:cs="宋体"/>
        </w:rPr>
        <w:t>(2)</w:t>
      </w:r>
      <w:r>
        <w:rPr>
          <w:rFonts w:ascii="宋体" w:hAnsi="宋体" w:cs="宋体"/>
        </w:rPr>
        <w:t>导流方式</w:t>
      </w:r>
    </w:p>
    <w:p>
      <w:pPr>
        <w:ind w:firstLine="480"/>
      </w:pPr>
      <w:r>
        <w:rPr>
          <w:rFonts w:hint="eastAsia"/>
        </w:rPr>
        <w:t>各项目水下项目尽量安排在</w:t>
      </w:r>
      <w:r>
        <w:t>枯水位</w:t>
      </w:r>
      <w:r>
        <w:rPr>
          <w:rFonts w:hint="eastAsia"/>
        </w:rPr>
        <w:t>期</w:t>
      </w:r>
      <w:r>
        <w:t>施工，避开洪水位对施工的影响。</w:t>
      </w:r>
    </w:p>
    <w:p>
      <w:pPr>
        <w:ind w:firstLine="480"/>
      </w:pPr>
      <w:r>
        <w:rPr>
          <w:rFonts w:hint="eastAsia"/>
        </w:rPr>
        <w:t>闸</w:t>
      </w:r>
      <w:r>
        <w:t>坝</w:t>
      </w:r>
      <w:r>
        <w:rPr>
          <w:rFonts w:hint="eastAsia"/>
        </w:rPr>
        <w:t>及两侧的护岸</w:t>
      </w:r>
      <w:r>
        <w:t>建基面高程比较低，因此需修建围堰挡锦河洪水，同时考虑内水的抽排问题。拟采用分期施工方法，一期工程施工导流时段为第一年10月～第二年2月，利用左岸束窄河床导流，新建4跨泄洪闸和右岸护岸工程等项目，经计算坝址上游施工洪水位为42.</w:t>
      </w:r>
      <w:r>
        <w:rPr>
          <w:rFonts w:hint="eastAsia"/>
        </w:rPr>
        <w:t>97</w:t>
      </w:r>
      <w:r>
        <w:t>m，下游施工洪水位为4</w:t>
      </w:r>
      <w:r>
        <w:rPr>
          <w:rFonts w:hint="eastAsia"/>
        </w:rPr>
        <w:t>2</w:t>
      </w:r>
      <w:r>
        <w:t>.</w:t>
      </w:r>
      <w:r>
        <w:rPr>
          <w:rFonts w:hint="eastAsia"/>
        </w:rPr>
        <w:t>2</w:t>
      </w:r>
      <w:r>
        <w:t>0m；二期工程施工导流时段为第二年10月～第三年2月，二期工程利用已建的泄洪闸导流，新建冲砂闸、1跨泄洪闸和左岸护岸工程等项目，经计算坝址上游施工洪水位为4</w:t>
      </w:r>
      <w:r>
        <w:rPr>
          <w:rFonts w:hint="eastAsia"/>
        </w:rPr>
        <w:t>3</w:t>
      </w:r>
      <w:r>
        <w:t>.</w:t>
      </w:r>
      <w:r>
        <w:rPr>
          <w:rFonts w:hint="eastAsia"/>
        </w:rPr>
        <w:t>25</w:t>
      </w:r>
      <w:r>
        <w:t>m，下游施工洪水位为4</w:t>
      </w:r>
      <w:r>
        <w:rPr>
          <w:rFonts w:hint="eastAsia"/>
        </w:rPr>
        <w:t>2</w:t>
      </w:r>
      <w:r>
        <w:t>.</w:t>
      </w:r>
      <w:r>
        <w:rPr>
          <w:rFonts w:hint="eastAsia"/>
        </w:rPr>
        <w:t>2</w:t>
      </w:r>
      <w:r>
        <w:t>0m。</w:t>
      </w:r>
    </w:p>
    <w:p>
      <w:pPr>
        <w:ind w:firstLine="480"/>
        <w:rPr>
          <w:rFonts w:ascii="宋体" w:hAnsi="宋体" w:cs="宋体"/>
        </w:rPr>
      </w:pPr>
      <w:r>
        <w:rPr>
          <w:rFonts w:hint="eastAsia" w:ascii="宋体" w:hAnsi="宋体" w:cs="宋体"/>
        </w:rPr>
        <w:t>(3)</w:t>
      </w:r>
      <w:r>
        <w:rPr>
          <w:rFonts w:ascii="宋体" w:hAnsi="宋体" w:cs="宋体"/>
        </w:rPr>
        <w:t>导流建筑物</w:t>
      </w:r>
    </w:p>
    <w:p>
      <w:pPr>
        <w:ind w:firstLine="506" w:firstLineChars="211"/>
      </w:pPr>
      <w:r>
        <w:t>围堰</w:t>
      </w:r>
      <w:r>
        <w:rPr>
          <w:rFonts w:hint="eastAsia"/>
        </w:rPr>
        <w:t>为</w:t>
      </w:r>
      <w:r>
        <w:t>土石</w:t>
      </w:r>
      <w:r>
        <w:rPr>
          <w:rFonts w:hint="eastAsia"/>
        </w:rPr>
        <w:t>围堰结构，</w:t>
      </w:r>
      <w:r>
        <w:t>堰</w:t>
      </w:r>
      <w:r>
        <w:rPr>
          <w:rFonts w:hint="eastAsia"/>
        </w:rPr>
        <w:t>体</w:t>
      </w:r>
      <w:r>
        <w:t>利用砂卵石开挖料</w:t>
      </w:r>
      <w:r>
        <w:rPr>
          <w:rFonts w:hint="eastAsia"/>
        </w:rPr>
        <w:t>填筑</w:t>
      </w:r>
      <w:r>
        <w:t>，</w:t>
      </w:r>
      <w:r>
        <w:rPr>
          <w:rFonts w:hint="eastAsia"/>
        </w:rPr>
        <w:t>设土工膜防渗，</w:t>
      </w:r>
      <w:r>
        <w:t>顶宽6.0m</w:t>
      </w:r>
      <w:r>
        <w:rPr>
          <w:rFonts w:hint="eastAsia"/>
        </w:rPr>
        <w:t>，</w:t>
      </w:r>
      <w:r>
        <w:t>边坡1:2.0。围堰</w:t>
      </w:r>
      <w:r>
        <w:rPr>
          <w:rFonts w:hint="eastAsia"/>
        </w:rPr>
        <w:t>迎水侧</w:t>
      </w:r>
      <w:r>
        <w:t>和背水侧</w:t>
      </w:r>
      <w:r>
        <w:rPr>
          <w:rFonts w:hint="eastAsia"/>
        </w:rPr>
        <w:t>均采用</w:t>
      </w:r>
      <w:r>
        <w:t>编织袋装</w:t>
      </w:r>
      <w:r>
        <w:rPr>
          <w:rFonts w:hint="eastAsia"/>
        </w:rPr>
        <w:t>土护坡，</w:t>
      </w:r>
      <w:r>
        <w:t>厚0.25m</w:t>
      </w:r>
      <w:r>
        <w:rPr>
          <w:rFonts w:hint="eastAsia"/>
        </w:rPr>
        <w:t>，</w:t>
      </w:r>
      <w:r>
        <w:t>迎水侧铺设彩条布防冲</w:t>
      </w:r>
      <w:r>
        <w:rPr>
          <w:rFonts w:hint="eastAsia"/>
        </w:rPr>
        <w:t>。</w:t>
      </w:r>
      <w:r>
        <w:t>堰基由于砂卵石层厚度不超1.0m，开挖截水槽</w:t>
      </w:r>
      <w:r>
        <w:rPr>
          <w:rFonts w:hint="eastAsia"/>
        </w:rPr>
        <w:t>至弱风化基岩</w:t>
      </w:r>
      <w:r>
        <w:t>；截水槽底宽3.0m，砂卵石开挖临时边坡1：1.5</w:t>
      </w:r>
      <w:r>
        <w:rPr>
          <w:rFonts w:hint="eastAsia"/>
        </w:rPr>
        <w:t>。</w:t>
      </w:r>
      <w:r>
        <w:t>施工围堰顶高</w:t>
      </w:r>
      <w:r>
        <w:rPr>
          <w:rFonts w:hint="eastAsia"/>
        </w:rPr>
        <w:t>程</w:t>
      </w:r>
      <w:r>
        <w:t>由施工期最高洪水位再加上1.0m的安全超高（考虑风浪爬高等因素）。</w:t>
      </w:r>
    </w:p>
    <w:p>
      <w:pPr>
        <w:ind w:firstLine="480"/>
      </w:pPr>
      <w:r>
        <w:t>一期围堰位于河床</w:t>
      </w:r>
      <w:r>
        <w:rPr>
          <w:rFonts w:hint="eastAsia"/>
        </w:rPr>
        <w:t>右</w:t>
      </w:r>
      <w:r>
        <w:t>端，利用</w:t>
      </w:r>
      <w:r>
        <w:rPr>
          <w:rFonts w:hint="eastAsia"/>
        </w:rPr>
        <w:t>河岸</w:t>
      </w:r>
      <w:r>
        <w:t>疏挖</w:t>
      </w:r>
      <w:r>
        <w:rPr>
          <w:rFonts w:hint="eastAsia"/>
        </w:rPr>
        <w:t>土</w:t>
      </w:r>
      <w:r>
        <w:t>方填筑，不</w:t>
      </w:r>
      <w:r>
        <w:rPr>
          <w:rFonts w:hint="eastAsia"/>
        </w:rPr>
        <w:t>足</w:t>
      </w:r>
      <w:r>
        <w:t>部分</w:t>
      </w:r>
      <w:r>
        <w:rPr>
          <w:rFonts w:hint="eastAsia"/>
        </w:rPr>
        <w:t>料场</w:t>
      </w:r>
      <w:r>
        <w:t>取</w:t>
      </w:r>
      <w:r>
        <w:rPr>
          <w:rFonts w:hint="eastAsia"/>
        </w:rPr>
        <w:t>土。</w:t>
      </w:r>
      <w:r>
        <w:t>上游</w:t>
      </w:r>
      <w:r>
        <w:rPr>
          <w:rFonts w:hint="eastAsia"/>
        </w:rPr>
        <w:t>围</w:t>
      </w:r>
      <w:r>
        <w:t>堰顶高程43.</w:t>
      </w:r>
      <w:r>
        <w:rPr>
          <w:rFonts w:hint="eastAsia"/>
        </w:rPr>
        <w:t>97</w:t>
      </w:r>
      <w:r>
        <w:t>m，下游</w:t>
      </w:r>
      <w:r>
        <w:rPr>
          <w:rFonts w:hint="eastAsia"/>
        </w:rPr>
        <w:t>围</w:t>
      </w:r>
      <w:r>
        <w:t>堰顶高程4</w:t>
      </w:r>
      <w:r>
        <w:rPr>
          <w:rFonts w:hint="eastAsia"/>
        </w:rPr>
        <w:t>3</w:t>
      </w:r>
      <w:r>
        <w:t>.</w:t>
      </w:r>
      <w:r>
        <w:rPr>
          <w:rFonts w:hint="eastAsia"/>
        </w:rPr>
        <w:t>20</w:t>
      </w:r>
      <w:r>
        <w:t>m，最大堰高</w:t>
      </w:r>
      <w:r>
        <w:rPr>
          <w:rFonts w:hint="eastAsia"/>
        </w:rPr>
        <w:t>7.63</w:t>
      </w:r>
      <w:r>
        <w:t>m，堰顶宽度6.0m，堰顶长度500m。</w:t>
      </w:r>
    </w:p>
    <w:p>
      <w:pPr>
        <w:ind w:firstLine="480"/>
      </w:pPr>
      <w:r>
        <w:t>二期围堰位于河床</w:t>
      </w:r>
      <w:r>
        <w:rPr>
          <w:rFonts w:hint="eastAsia"/>
        </w:rPr>
        <w:t>右</w:t>
      </w:r>
      <w:r>
        <w:t>端，断面同一期围堰，利用一期围堰</w:t>
      </w:r>
      <w:r>
        <w:rPr>
          <w:rFonts w:hint="eastAsia"/>
        </w:rPr>
        <w:t>开挖料回</w:t>
      </w:r>
      <w:r>
        <w:t>填，上游堰顶高程4</w:t>
      </w:r>
      <w:r>
        <w:rPr>
          <w:rFonts w:hint="eastAsia"/>
        </w:rPr>
        <w:t>4</w:t>
      </w:r>
      <w:r>
        <w:t>.</w:t>
      </w:r>
      <w:r>
        <w:rPr>
          <w:rFonts w:hint="eastAsia"/>
        </w:rPr>
        <w:t>25</w:t>
      </w:r>
      <w:r>
        <w:t>m，下游堰顶高程4</w:t>
      </w:r>
      <w:r>
        <w:rPr>
          <w:rFonts w:hint="eastAsia"/>
        </w:rPr>
        <w:t>3</w:t>
      </w:r>
      <w:r>
        <w:t>.</w:t>
      </w:r>
      <w:r>
        <w:rPr>
          <w:rFonts w:hint="eastAsia"/>
        </w:rPr>
        <w:t>2</w:t>
      </w:r>
      <w:r>
        <w:t>0m，最大堰高</w:t>
      </w:r>
      <w:r>
        <w:rPr>
          <w:rFonts w:hint="eastAsia"/>
        </w:rPr>
        <w:t>9.01</w:t>
      </w:r>
      <w:r>
        <w:t>m，堰顶宽度6.0m，二期围堰堰顶长度为480m。</w:t>
      </w:r>
    </w:p>
    <w:p>
      <w:pPr>
        <w:ind w:firstLine="480"/>
        <w:rPr>
          <w:rFonts w:ascii="宋体" w:hAnsi="宋体" w:cs="宋体"/>
        </w:rPr>
      </w:pPr>
      <w:r>
        <w:rPr>
          <w:rFonts w:hint="eastAsia" w:ascii="宋体" w:hAnsi="宋体" w:cs="宋体"/>
        </w:rPr>
        <w:t>(4)</w:t>
      </w:r>
      <w:r>
        <w:rPr>
          <w:rFonts w:ascii="宋体" w:hAnsi="宋体" w:cs="宋体"/>
        </w:rPr>
        <w:t>导流</w:t>
      </w:r>
      <w:r>
        <w:rPr>
          <w:rFonts w:hint="eastAsia" w:ascii="宋体" w:hAnsi="宋体" w:cs="宋体"/>
        </w:rPr>
        <w:t>工程施工</w:t>
      </w:r>
    </w:p>
    <w:p>
      <w:pPr>
        <w:ind w:firstLine="480"/>
      </w:pPr>
      <w:r>
        <w:t>一期围堰填料从料场取土</w:t>
      </w:r>
      <w:r>
        <w:rPr>
          <w:rFonts w:hint="eastAsia"/>
        </w:rPr>
        <w:t>或</w:t>
      </w:r>
      <w:r>
        <w:t>岸坡开挖，采用装载机运土到填筑地点，人工装袋，人工码砌。二期围堰利用料采用基坑开挖料直接上堰，土石方均由挖掘机及8T自卸汽车运输上堰。推土机平整压实。施工完后需拆除相应的围堰，采用反铲拆除，自卸汽车运至弃碴场弃碴。</w:t>
      </w:r>
    </w:p>
    <w:p>
      <w:pPr>
        <w:ind w:firstLine="480"/>
        <w:rPr>
          <w:rFonts w:ascii="宋体" w:hAnsi="宋体" w:cs="宋体"/>
        </w:rPr>
      </w:pPr>
      <w:r>
        <w:rPr>
          <w:rFonts w:hint="eastAsia" w:ascii="宋体" w:hAnsi="宋体" w:cs="宋体"/>
        </w:rPr>
        <w:t>(5)</w:t>
      </w:r>
      <w:r>
        <w:rPr>
          <w:rFonts w:ascii="宋体" w:hAnsi="宋体" w:cs="宋体"/>
        </w:rPr>
        <w:t>基坑降排水</w:t>
      </w:r>
    </w:p>
    <w:p>
      <w:pPr>
        <w:ind w:firstLine="480"/>
      </w:pP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 1 \* GB3</w:instrText>
      </w:r>
      <w:r>
        <w:rPr>
          <w:rFonts w:ascii="宋体" w:hAnsi="宋体" w:cs="宋体"/>
        </w:rPr>
        <w:instrText xml:space="preserve"> </w:instrText>
      </w:r>
      <w:r>
        <w:rPr>
          <w:rFonts w:ascii="宋体" w:hAnsi="宋体" w:cs="宋体"/>
        </w:rPr>
        <w:fldChar w:fldCharType="separate"/>
      </w:r>
      <w:r>
        <w:rPr>
          <w:rFonts w:hint="eastAsia" w:ascii="宋体" w:hAnsi="宋体" w:cs="宋体"/>
        </w:rPr>
        <w:t>①</w:t>
      </w:r>
      <w:r>
        <w:rPr>
          <w:rFonts w:ascii="宋体" w:hAnsi="宋体" w:cs="宋体"/>
        </w:rPr>
        <w:fldChar w:fldCharType="end"/>
      </w:r>
      <w:r>
        <w:t>基坑降水</w:t>
      </w:r>
    </w:p>
    <w:p>
      <w:pPr>
        <w:ind w:firstLine="480"/>
      </w:pPr>
      <w:r>
        <w:t>基坑降水主要考虑闸坝施工期间的降水，根据闸坝及穿堤建筑物基面地质及地下水位情况，在施工期间采取开挖排水沟、集水井等降低地下水位措施，即可保证建筑物基坑干地施工。</w:t>
      </w:r>
    </w:p>
    <w:p>
      <w:pPr>
        <w:ind w:firstLine="480"/>
      </w:pP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 2 \* GB3</w:instrText>
      </w:r>
      <w:r>
        <w:rPr>
          <w:rFonts w:ascii="宋体" w:hAnsi="宋体" w:cs="宋体"/>
        </w:rPr>
        <w:instrText xml:space="preserve"> </w:instrText>
      </w:r>
      <w:r>
        <w:rPr>
          <w:rFonts w:ascii="宋体" w:hAnsi="宋体" w:cs="宋体"/>
        </w:rPr>
        <w:fldChar w:fldCharType="separate"/>
      </w:r>
      <w:r>
        <w:rPr>
          <w:rFonts w:hint="eastAsia" w:ascii="宋体" w:hAnsi="宋体" w:cs="宋体"/>
        </w:rPr>
        <w:t>②</w:t>
      </w:r>
      <w:r>
        <w:rPr>
          <w:rFonts w:ascii="宋体" w:hAnsi="宋体" w:cs="宋体"/>
        </w:rPr>
        <w:fldChar w:fldCharType="end"/>
      </w:r>
      <w:r>
        <w:t>基坑排水</w:t>
      </w:r>
    </w:p>
    <w:p>
      <w:pPr>
        <w:ind w:firstLine="480"/>
      </w:pPr>
      <w:r>
        <w:t>基坑排水主要考虑闸坝施工期间的地下渗水，应沿基坑四周布置排水沟和集水井进行基坑排水，闸坝基坑排水较大，估算基坑施工日排水量在600m</w:t>
      </w:r>
      <w:r>
        <w:rPr>
          <w:vertAlign w:val="superscript"/>
        </w:rPr>
        <w:t>3</w:t>
      </w:r>
      <w:r>
        <w:t>左右，需布置相应容量的50QW50-12-3.0型潜水泵抽排基坑积水即可。考虑到基坑排水及砼浇筑等施工需要，需配置50QW50-12-3.0型潜水泵8台。</w:t>
      </w:r>
    </w:p>
    <w:p>
      <w:pPr>
        <w:pStyle w:val="6"/>
      </w:pPr>
      <w:bookmarkStart w:id="438" w:name="_Toc534895221"/>
      <w:bookmarkStart w:id="439" w:name="_Toc3903224"/>
      <w:bookmarkStart w:id="440" w:name="_Toc534386244"/>
      <w:bookmarkStart w:id="441" w:name="_Toc534807003"/>
      <w:bookmarkStart w:id="442" w:name="_Toc536265087"/>
      <w:bookmarkStart w:id="443" w:name="_Toc8204"/>
      <w:r>
        <w:rPr>
          <w:rFonts w:hint="eastAsia"/>
        </w:rPr>
        <w:t>2.8</w:t>
      </w:r>
      <w:bookmarkEnd w:id="438"/>
      <w:bookmarkEnd w:id="439"/>
      <w:bookmarkEnd w:id="440"/>
      <w:bookmarkEnd w:id="441"/>
      <w:bookmarkEnd w:id="442"/>
      <w:r>
        <w:rPr>
          <w:rFonts w:hint="eastAsia"/>
        </w:rPr>
        <w:t>施工工艺及施工机械设备</w:t>
      </w:r>
      <w:bookmarkEnd w:id="443"/>
    </w:p>
    <w:p>
      <w:pPr>
        <w:pStyle w:val="7"/>
      </w:pPr>
      <w:r>
        <w:rPr>
          <w:rFonts w:hint="eastAsia"/>
        </w:rPr>
        <w:t>2.8.1施工要求及注意事项</w:t>
      </w:r>
    </w:p>
    <w:p>
      <w:pPr>
        <w:ind w:firstLine="480"/>
      </w:pPr>
      <w:r>
        <w:rPr>
          <w:rFonts w:hint="eastAsia" w:ascii="宋体" w:hAnsi="宋体" w:cs="宋体"/>
        </w:rPr>
        <w:t>⑴</w:t>
      </w:r>
      <w:r>
        <w:t>首先应该做好进场公路的拓宽，通讯设备配套等工作，以便建筑材料的顺利运进和确保通讯联络的畅通。</w:t>
      </w:r>
    </w:p>
    <w:p>
      <w:pPr>
        <w:ind w:firstLine="480"/>
      </w:pPr>
      <w:r>
        <w:rPr>
          <w:rFonts w:hint="eastAsia" w:ascii="宋体" w:hAnsi="宋体" w:cs="宋体"/>
        </w:rPr>
        <w:t>⑵</w:t>
      </w:r>
      <w:r>
        <w:t>本加固工程施工组织设计遵照《水利水电工程施工组织设计规范》SL303-2017编制，所有加固项目施工均应符合规范规定的有关原则。</w:t>
      </w:r>
    </w:p>
    <w:p>
      <w:pPr>
        <w:ind w:firstLine="480"/>
      </w:pPr>
      <w:r>
        <w:rPr>
          <w:rFonts w:hint="eastAsia" w:ascii="宋体" w:hAnsi="宋体" w:cs="宋体"/>
        </w:rPr>
        <w:t>⑶</w:t>
      </w:r>
      <w:r>
        <w:t>个别加固工程项目施工同时必须遵循各具体单项技术规范规定。</w:t>
      </w:r>
    </w:p>
    <w:p>
      <w:pPr>
        <w:pStyle w:val="7"/>
      </w:pPr>
      <w:r>
        <w:rPr>
          <w:rFonts w:hint="eastAsia"/>
        </w:rPr>
        <w:t>2.8.2主体工程施工</w:t>
      </w:r>
    </w:p>
    <w:p>
      <w:pPr>
        <w:ind w:firstLine="480"/>
      </w:pPr>
      <w:r>
        <w:rPr>
          <w:rFonts w:hint="eastAsia" w:ascii="宋体" w:hAnsi="宋体" w:cs="宋体"/>
        </w:rPr>
        <w:t>⑴</w:t>
      </w:r>
      <w:r>
        <w:t>基础开挖</w:t>
      </w:r>
    </w:p>
    <w:p>
      <w:pPr>
        <w:ind w:firstLine="480"/>
      </w:pPr>
      <w:r>
        <w:t>施工特性：本工程全长266m；本工程开挖最低高程为33.00m，基础岩石主要为</w:t>
      </w:r>
      <w:r>
        <w:rPr>
          <w:rFonts w:hint="eastAsia"/>
        </w:rPr>
        <w:t>壤土、砂卵砾石</w:t>
      </w:r>
      <w:r>
        <w:t>或</w:t>
      </w:r>
      <w:r>
        <w:rPr>
          <w:rFonts w:hint="eastAsia"/>
        </w:rPr>
        <w:t>弱风化板岩</w:t>
      </w:r>
      <w:r>
        <w:t>。</w:t>
      </w:r>
    </w:p>
    <w:p>
      <w:pPr>
        <w:ind w:firstLine="480"/>
      </w:pPr>
      <w:r>
        <w:t>施工方法：开挖顺序均自上而下分层进行。泄洪闸和冲沙闸的石方用手风钻钻孔，一般爆破。须预留保护层0.30m厚，由人工撬挖。挖掘机装碴，8T自卸汽车出碴。一、二期工程土石方除部分用作填筑围堰外，其余均弃于弃碴场。</w:t>
      </w:r>
    </w:p>
    <w:p>
      <w:pPr>
        <w:ind w:firstLine="480"/>
      </w:pPr>
      <w:r>
        <w:rPr>
          <w:rFonts w:hint="eastAsia" w:ascii="宋体" w:hAnsi="宋体" w:cs="宋体"/>
        </w:rPr>
        <w:t>⑵</w:t>
      </w:r>
      <w:r>
        <w:t>砼工程</w:t>
      </w:r>
    </w:p>
    <w:p>
      <w:pPr>
        <w:ind w:firstLine="480"/>
      </w:pPr>
      <w:r>
        <w:t>本工程砼总量为5.69万m</w:t>
      </w:r>
      <w:r>
        <w:rPr>
          <w:vertAlign w:val="superscript"/>
        </w:rPr>
        <w:t>3</w:t>
      </w:r>
      <w:r>
        <w:t>，由于该工程处于城区，故砼全部采用商品砼。水平运输通过砼罐车运输，可直接运往仓面。砼浇筑采用分层分块浇筑方式，基础层厚0.5～4.0m，砼由高频震捣器震捣，人工洒水养护。</w:t>
      </w:r>
    </w:p>
    <w:p>
      <w:pPr>
        <w:ind w:firstLine="480"/>
      </w:pPr>
      <w:r>
        <w:rPr>
          <w:rFonts w:hint="eastAsia" w:ascii="宋体" w:hAnsi="宋体" w:cs="宋体"/>
        </w:rPr>
        <w:t>⑶</w:t>
      </w:r>
      <w:r>
        <w:t>闸坝施工</w:t>
      </w:r>
    </w:p>
    <w:p>
      <w:pPr>
        <w:ind w:firstLine="480"/>
      </w:pPr>
      <w:r>
        <w:t>本期工程范围内闸坝的水下部分施工全部安排在非汛期施工。闸坝底板高程为37.00m，闸坝施工时需修建横纵向围堰，围堰顶高程施工洪水位再加1.0m超高。围堰修筑后基坑积水排除采用潜水泵进行抽排。</w:t>
      </w:r>
    </w:p>
    <w:p>
      <w:pPr>
        <w:ind w:firstLine="480"/>
      </w:pPr>
      <w:r>
        <w:t>本期工程范围内闸坝钢筋砼浇筑工程量较大，技术要求高，施工任务紧，需配备足够的、熟练的钢筋工、模板工、砼浇筑工，施工机械必须配足且有适当富余。钢筋砼浇筑施工基本程序为：放样→立筋→装模→砼配制→砼运输→砼入仓→砼振捣→成活→养护→拆模。</w:t>
      </w:r>
    </w:p>
    <w:p>
      <w:pPr>
        <w:ind w:firstLine="480"/>
      </w:pPr>
      <w:r>
        <w:rPr>
          <w:rFonts w:hint="eastAsia" w:ascii="宋体" w:hAnsi="宋体" w:cs="宋体"/>
        </w:rPr>
        <w:t>⑷</w:t>
      </w:r>
      <w:r>
        <w:t>闸门安装</w:t>
      </w:r>
      <w:r>
        <w:rPr>
          <w:rFonts w:eastAsia="Times New Roman"/>
        </w:rPr>
        <w:t xml:space="preserve"> </w:t>
      </w:r>
    </w:p>
    <w:p>
      <w:pPr>
        <w:ind w:firstLine="480"/>
      </w:pPr>
      <w:r>
        <w:t>本工程主要金属结构包括液压坝闸门、泄水闸检修门及工作门等，其中液压坝闸门由厂家提供成品及安装。闸门安装前用平板车将已组装的部件运输至安装现场，用汽车吊安装。</w:t>
      </w:r>
      <w:r>
        <w:rPr>
          <w:rFonts w:eastAsia="Times New Roman"/>
        </w:rPr>
        <w:t xml:space="preserve"> </w:t>
      </w:r>
    </w:p>
    <w:p>
      <w:pPr>
        <w:pStyle w:val="7"/>
      </w:pPr>
      <w:r>
        <w:rPr>
          <w:rFonts w:hint="eastAsia"/>
        </w:rPr>
        <w:t>2.8.3</w:t>
      </w:r>
      <w:r>
        <w:t>施工主要机械设备</w:t>
      </w:r>
    </w:p>
    <w:p>
      <w:pPr>
        <w:ind w:firstLine="506" w:firstLineChars="211"/>
        <w:rPr>
          <w:rFonts w:eastAsia="黑体"/>
          <w:sz w:val="26"/>
          <w:szCs w:val="26"/>
        </w:rPr>
      </w:pPr>
      <w:r>
        <w:t>工程施工主要机械设备见表</w:t>
      </w:r>
      <w:r>
        <w:rPr>
          <w:rFonts w:hint="eastAsia"/>
        </w:rPr>
        <w:t>2.8-</w:t>
      </w:r>
      <w:r>
        <w:t>1。</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表2.8-1  施工主要机械设备表</w:t>
      </w:r>
    </w:p>
    <w:tbl>
      <w:tblPr>
        <w:tblStyle w:val="82"/>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60"/>
        <w:gridCol w:w="2892"/>
        <w:gridCol w:w="2686"/>
        <w:gridCol w:w="1173"/>
        <w:gridCol w:w="17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blHeader/>
        </w:trPr>
        <w:tc>
          <w:tcPr>
            <w:tcW w:w="460" w:type="pct"/>
            <w:vAlign w:val="center"/>
          </w:tcPr>
          <w:p>
            <w:pPr>
              <w:pStyle w:val="154"/>
              <w:spacing w:line="340" w:lineRule="exact"/>
              <w:ind w:firstLine="0" w:firstLineChars="0"/>
              <w:rPr>
                <w:rFonts w:eastAsia="宋体"/>
                <w:sz w:val="21"/>
                <w:szCs w:val="21"/>
              </w:rPr>
            </w:pPr>
            <w:r>
              <w:rPr>
                <w:rFonts w:eastAsia="宋体"/>
                <w:sz w:val="21"/>
                <w:szCs w:val="21"/>
              </w:rPr>
              <w:t>序号</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机械设备名称</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型号及规格</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单位</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手风钻</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01—30型</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支架风钻</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7655</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3</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空压机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3L—20/8</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4</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空压机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3L—10/8</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5</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空压机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YW—9/7-Ⅰ</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6</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潜孔钻</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Q100</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7</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卷扬机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30HP</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8</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汽车起重机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5t</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9</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手扶拖拉机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12HP</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10</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平板车</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11</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双胶轮车</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12</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斗车</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0.6 m</w:t>
            </w:r>
            <w:r>
              <w:rPr>
                <w:rFonts w:eastAsia="宋体"/>
                <w:sz w:val="21"/>
                <w:szCs w:val="21"/>
                <w:vertAlign w:val="superscript"/>
              </w:rPr>
              <w:t>3</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13</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挖掘机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1.0m</w:t>
            </w:r>
            <w:r>
              <w:rPr>
                <w:rFonts w:eastAsia="宋体"/>
                <w:sz w:val="21"/>
                <w:szCs w:val="21"/>
                <w:vertAlign w:val="superscript"/>
              </w:rPr>
              <w:t>3</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14</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载重汽车</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8t</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15</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自卸汽车</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8t</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辆</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16</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砼拌和机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JS500A</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17</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砼拌和机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0.4 m</w:t>
            </w:r>
            <w:r>
              <w:rPr>
                <w:rFonts w:eastAsia="宋体"/>
                <w:sz w:val="21"/>
                <w:szCs w:val="21"/>
                <w:vertAlign w:val="superscript"/>
              </w:rPr>
              <w:t>3</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18</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锻钎机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4210-90</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19</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钢筋切断机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640</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20</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钢筋弯曲机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400</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21</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电焊切割机</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22</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万能园锯机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3.2kW</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23</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刨木机</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24</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修钎机</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25</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机床</w:t>
            </w:r>
          </w:p>
        </w:tc>
        <w:tc>
          <w:tcPr>
            <w:tcW w:w="1436" w:type="pct"/>
            <w:vAlign w:val="center"/>
          </w:tcPr>
          <w:p>
            <w:pPr>
              <w:pStyle w:val="154"/>
              <w:spacing w:line="340" w:lineRule="exact"/>
              <w:ind w:firstLine="420"/>
              <w:rPr>
                <w:rFonts w:eastAsia="宋体"/>
                <w:sz w:val="21"/>
                <w:szCs w:val="21"/>
              </w:rPr>
            </w:pP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26</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供水泵</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XA50/32</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27</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降压变压器</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500/35</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28</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推土机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59kW</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29</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压路机</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10～12t</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460" w:type="pct"/>
            <w:vAlign w:val="center"/>
          </w:tcPr>
          <w:p>
            <w:pPr>
              <w:pStyle w:val="154"/>
              <w:spacing w:line="340" w:lineRule="exact"/>
              <w:ind w:firstLine="0" w:firstLineChars="0"/>
              <w:rPr>
                <w:rFonts w:eastAsia="宋体"/>
                <w:sz w:val="21"/>
                <w:szCs w:val="21"/>
              </w:rPr>
            </w:pPr>
            <w:r>
              <w:rPr>
                <w:rFonts w:eastAsia="宋体"/>
                <w:sz w:val="21"/>
                <w:szCs w:val="21"/>
              </w:rPr>
              <w:t>30</w:t>
            </w:r>
          </w:p>
        </w:tc>
        <w:tc>
          <w:tcPr>
            <w:tcW w:w="1546" w:type="pct"/>
            <w:vAlign w:val="center"/>
          </w:tcPr>
          <w:p>
            <w:pPr>
              <w:pStyle w:val="154"/>
              <w:spacing w:line="340" w:lineRule="exact"/>
              <w:ind w:firstLine="0" w:firstLineChars="0"/>
              <w:rPr>
                <w:rFonts w:eastAsia="宋体"/>
                <w:sz w:val="21"/>
                <w:szCs w:val="21"/>
              </w:rPr>
            </w:pPr>
            <w:r>
              <w:rPr>
                <w:rFonts w:eastAsia="宋体"/>
                <w:sz w:val="21"/>
                <w:szCs w:val="21"/>
              </w:rPr>
              <w:t>排水泵</w:t>
            </w:r>
          </w:p>
        </w:tc>
        <w:tc>
          <w:tcPr>
            <w:tcW w:w="1436" w:type="pct"/>
            <w:vAlign w:val="center"/>
          </w:tcPr>
          <w:p>
            <w:pPr>
              <w:pStyle w:val="154"/>
              <w:spacing w:line="340" w:lineRule="exact"/>
              <w:ind w:firstLine="0" w:firstLineChars="0"/>
              <w:rPr>
                <w:rFonts w:eastAsia="宋体"/>
                <w:sz w:val="21"/>
                <w:szCs w:val="21"/>
              </w:rPr>
            </w:pPr>
            <w:r>
              <w:rPr>
                <w:rFonts w:eastAsia="宋体"/>
                <w:sz w:val="21"/>
                <w:szCs w:val="21"/>
              </w:rPr>
              <w:t>14kW</w:t>
            </w:r>
          </w:p>
        </w:tc>
        <w:tc>
          <w:tcPr>
            <w:tcW w:w="627" w:type="pct"/>
            <w:vAlign w:val="center"/>
          </w:tcPr>
          <w:p>
            <w:pPr>
              <w:pStyle w:val="154"/>
              <w:spacing w:line="340" w:lineRule="exact"/>
              <w:ind w:firstLine="0" w:firstLineChars="0"/>
              <w:rPr>
                <w:rFonts w:eastAsia="宋体"/>
                <w:sz w:val="21"/>
                <w:szCs w:val="21"/>
              </w:rPr>
            </w:pPr>
            <w:r>
              <w:rPr>
                <w:rFonts w:eastAsia="宋体"/>
                <w:sz w:val="21"/>
                <w:szCs w:val="21"/>
              </w:rPr>
              <w:t>台</w:t>
            </w:r>
          </w:p>
        </w:tc>
        <w:tc>
          <w:tcPr>
            <w:tcW w:w="930" w:type="pct"/>
            <w:vAlign w:val="center"/>
          </w:tcPr>
          <w:p>
            <w:pPr>
              <w:pStyle w:val="154"/>
              <w:spacing w:line="340" w:lineRule="exact"/>
              <w:ind w:firstLine="0" w:firstLineChars="0"/>
              <w:rPr>
                <w:rFonts w:eastAsia="宋体"/>
                <w:sz w:val="21"/>
                <w:szCs w:val="21"/>
              </w:rPr>
            </w:pPr>
            <w:r>
              <w:rPr>
                <w:rFonts w:eastAsia="宋体"/>
                <w:sz w:val="21"/>
                <w:szCs w:val="21"/>
              </w:rPr>
              <w:t>4</w:t>
            </w:r>
          </w:p>
        </w:tc>
      </w:tr>
    </w:tbl>
    <w:p>
      <w:pPr>
        <w:pStyle w:val="6"/>
      </w:pPr>
      <w:bookmarkStart w:id="444" w:name="_Toc13730"/>
      <w:bookmarkStart w:id="445" w:name="_Toc425434444"/>
      <w:bookmarkStart w:id="446" w:name="_Toc3903225"/>
      <w:bookmarkStart w:id="447" w:name="_Toc534386245"/>
      <w:bookmarkStart w:id="448" w:name="_Toc536265088"/>
      <w:bookmarkStart w:id="449" w:name="_Toc534895222"/>
      <w:bookmarkStart w:id="450" w:name="_Toc534807004"/>
      <w:r>
        <w:rPr>
          <w:rFonts w:hint="eastAsia"/>
        </w:rPr>
        <w:t>2.9抬水工程运行方式</w:t>
      </w:r>
      <w:bookmarkEnd w:id="444"/>
    </w:p>
    <w:p>
      <w:pPr>
        <w:autoSpaceDE w:val="0"/>
        <w:autoSpaceDN w:val="0"/>
        <w:adjustRightInd w:val="0"/>
        <w:ind w:firstLine="480"/>
      </w:pPr>
      <w:r>
        <w:rPr>
          <w:rFonts w:hint="eastAsia"/>
        </w:rPr>
        <w:t>(1)调度运行原则</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在保证工程安全的前提下，充分发挥工程蓄水的作用，在遵循计划用水、节约用水的原则下，最大程度满足用水需求。</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根据抬水工程开发任务，旨在</w:t>
      </w:r>
      <w:r>
        <w:t>抬高</w:t>
      </w:r>
      <w:r>
        <w:rPr>
          <w:rFonts w:hint="eastAsia"/>
        </w:rPr>
        <w:t>上</w:t>
      </w:r>
      <w:r>
        <w:t>游城区河道水位</w:t>
      </w:r>
      <w:r>
        <w:rPr>
          <w:rFonts w:hint="eastAsia"/>
        </w:rPr>
        <w:t>，但需优先保证下游生态用水。</w:t>
      </w:r>
    </w:p>
    <w:p>
      <w:pPr>
        <w:autoSpaceDE w:val="0"/>
        <w:autoSpaceDN w:val="0"/>
        <w:adjustRightInd w:val="0"/>
        <w:ind w:firstLine="480"/>
      </w:pPr>
      <w:r>
        <w:rPr>
          <w:rFonts w:hint="eastAsia"/>
        </w:rPr>
        <w:t>(2)运行方式</w:t>
      </w:r>
    </w:p>
    <w:p>
      <w:pPr>
        <w:adjustRightInd w:val="0"/>
        <w:snapToGrid w:val="0"/>
        <w:ind w:firstLine="480"/>
      </w:pPr>
      <w:r>
        <w:rPr>
          <w:rFonts w:hint="eastAsia"/>
        </w:rPr>
        <w:t>毛家渡抬水工程正常蓄水位44.5m，相应库容1221万m</w:t>
      </w:r>
      <w:r>
        <w:rPr>
          <w:rFonts w:hint="eastAsia"/>
          <w:vertAlign w:val="superscript"/>
        </w:rPr>
        <w:t>3</w:t>
      </w:r>
      <w:r>
        <w:rPr>
          <w:rFonts w:hint="eastAsia"/>
        </w:rPr>
        <w:t>，多年平均年径流量121.1m</w:t>
      </w:r>
      <w:r>
        <w:rPr>
          <w:rFonts w:hint="eastAsia"/>
          <w:vertAlign w:val="superscript"/>
        </w:rPr>
        <w:t>3</w:t>
      </w:r>
      <w:r>
        <w:rPr>
          <w:rFonts w:hint="eastAsia"/>
        </w:rPr>
        <w:t>/s。抬水坝蓄水期一般在</w:t>
      </w:r>
      <w:r>
        <w:t>9</w:t>
      </w:r>
      <w:r>
        <w:rPr>
          <w:rFonts w:hint="eastAsia"/>
        </w:rPr>
        <w:t>月~</w:t>
      </w:r>
      <w:r>
        <w:t>4</w:t>
      </w:r>
      <w:r>
        <w:rPr>
          <w:rFonts w:hint="eastAsia"/>
        </w:rPr>
        <w:t>月份，</w:t>
      </w:r>
      <w:r>
        <w:t>9</w:t>
      </w:r>
      <w:r>
        <w:rPr>
          <w:rFonts w:hint="eastAsia"/>
        </w:rPr>
        <w:t>月开始蓄水，直至蓄水至正常蓄水位44.5m后。本工程抬水坝坝上水位一般维持在正常蓄水位44.50m运行，当坝址上游来水量小于设计流量（P=5.0%）时，闸门部分开启，泄走来水，使坝上水位维持44.50m不变，当坝址上游来水量大于设计流量（P=5.0%）时，坝上水位会持续升高，此时闸门全部开启泄洪，当坝址上游来水量小于泄水量时，坝上水位开始回落，至正常蓄水位44.50m后，闸门部分开启，泄走来水，使坝上水位维持44.50m不变。</w:t>
      </w:r>
    </w:p>
    <w:p>
      <w:pPr>
        <w:adjustRightInd w:val="0"/>
        <w:snapToGrid w:val="0"/>
        <w:ind w:firstLine="480"/>
      </w:pPr>
      <w:r>
        <w:rPr>
          <w:rFonts w:hint="eastAsia"/>
        </w:rPr>
        <w:t>按上述洪水调节原则，本抬水工程在洪水期除因坝址处坝底底高程比原河道底部高一点引起的水位升高以外，实际上无调蓄能力。</w:t>
      </w:r>
      <w:r>
        <w:t xml:space="preserve"> </w:t>
      </w:r>
    </w:p>
    <w:p>
      <w:pPr>
        <w:autoSpaceDE w:val="0"/>
        <w:autoSpaceDN w:val="0"/>
        <w:adjustRightInd w:val="0"/>
        <w:ind w:firstLine="480"/>
      </w:pPr>
      <w:r>
        <w:rPr>
          <w:rFonts w:hint="eastAsia"/>
        </w:rPr>
        <w:t>待蓄水至正常蓄水位时，通过</w:t>
      </w:r>
      <w:r>
        <w:t>坝顶溢流来多少</w:t>
      </w:r>
      <w:r>
        <w:rPr>
          <w:rFonts w:hint="eastAsia"/>
        </w:rPr>
        <w:t>水</w:t>
      </w:r>
      <w:r>
        <w:t>泄多少</w:t>
      </w:r>
      <w:r>
        <w:rPr>
          <w:rFonts w:hint="eastAsia"/>
        </w:rPr>
        <w:t>水，不会影响下游用水。当</w:t>
      </w:r>
      <w:r>
        <w:t>坝顶溢流</w:t>
      </w:r>
      <w:r>
        <w:rPr>
          <w:rFonts w:hint="eastAsia"/>
        </w:rPr>
        <w:t>0.07m</w:t>
      </w:r>
      <w:r>
        <w:t>，</w:t>
      </w:r>
      <w:r>
        <w:rPr>
          <w:rFonts w:hint="eastAsia"/>
        </w:rPr>
        <w:t>泄</w:t>
      </w:r>
      <w:r>
        <w:t>水流量为</w:t>
      </w:r>
      <w:r>
        <w:rPr>
          <w:rFonts w:hint="eastAsia"/>
        </w:rPr>
        <w:t>12.11</w:t>
      </w:r>
      <w:r>
        <w:t>m</w:t>
      </w:r>
      <w:r>
        <w:rPr>
          <w:vertAlign w:val="superscript"/>
        </w:rPr>
        <w:t>3</w:t>
      </w:r>
      <w:r>
        <w:t>/s</w:t>
      </w:r>
      <w:r>
        <w:rPr>
          <w:rFonts w:hint="eastAsia"/>
        </w:rPr>
        <w:t>，可以满足下游河道基流和供水用水要求。</w:t>
      </w:r>
    </w:p>
    <w:p>
      <w:pPr>
        <w:autoSpaceDE w:val="0"/>
        <w:autoSpaceDN w:val="0"/>
        <w:adjustRightInd w:val="0"/>
        <w:ind w:firstLine="480"/>
        <w:rPr>
          <w:kern w:val="0"/>
          <w:szCs w:val="24"/>
        </w:rPr>
      </w:pPr>
      <w:r>
        <w:rPr>
          <w:kern w:val="0"/>
          <w:szCs w:val="24"/>
        </w:rPr>
        <w:t>(3)洪水调度</w:t>
      </w:r>
    </w:p>
    <w:p>
      <w:pPr>
        <w:tabs>
          <w:tab w:val="left" w:pos="284"/>
        </w:tabs>
        <w:ind w:firstLine="480"/>
        <w:rPr>
          <w:kern w:val="0"/>
          <w:szCs w:val="24"/>
        </w:rPr>
      </w:pPr>
      <w:r>
        <w:t>该抬水工程库容很小，对洪水基本无调蓄能力，来多少泄多少，</w:t>
      </w:r>
      <w:r>
        <w:rPr>
          <w:kern w:val="0"/>
          <w:szCs w:val="24"/>
        </w:rPr>
        <w:t>不承担上、下游的防洪任务。考虑工程自身的安全，洪水调节计算的起调水位为正常蓄水位</w:t>
      </w:r>
      <w:r>
        <w:rPr>
          <w:rFonts w:hint="eastAsia" w:eastAsia="TimesNewRoman"/>
          <w:kern w:val="0"/>
          <w:szCs w:val="24"/>
        </w:rPr>
        <w:t>44.5</w:t>
      </w:r>
      <w:r>
        <w:rPr>
          <w:rFonts w:eastAsia="TimesNewRoman"/>
          <w:kern w:val="0"/>
          <w:szCs w:val="24"/>
        </w:rPr>
        <w:t>m</w:t>
      </w:r>
      <w:r>
        <w:rPr>
          <w:kern w:val="0"/>
          <w:szCs w:val="24"/>
        </w:rPr>
        <w:t>，调洪方式为控制</w:t>
      </w:r>
      <w:r>
        <w:rPr>
          <w:rFonts w:hAnsi="Calibri"/>
        </w:rPr>
        <w:t>冲砂</w:t>
      </w:r>
      <w:r>
        <w:rPr>
          <w:kern w:val="0"/>
          <w:szCs w:val="24"/>
        </w:rPr>
        <w:t>闸门开度来控制下泄流量。</w:t>
      </w:r>
    </w:p>
    <w:p>
      <w:pPr>
        <w:tabs>
          <w:tab w:val="left" w:pos="284"/>
        </w:tabs>
        <w:ind w:firstLine="480"/>
      </w:pPr>
      <w:r>
        <w:t>为了不至于</w:t>
      </w:r>
      <w:r>
        <w:rPr>
          <w:rFonts w:hint="eastAsia"/>
        </w:rPr>
        <w:t>泄水闸闸门</w:t>
      </w:r>
      <w:r>
        <w:t>频繁地</w:t>
      </w:r>
      <w:r>
        <w:rPr>
          <w:rFonts w:hint="eastAsia"/>
        </w:rPr>
        <w:t>翻倒、复位</w:t>
      </w:r>
      <w:r>
        <w:t>，</w:t>
      </w:r>
      <w:r>
        <w:rPr>
          <w:rFonts w:hint="eastAsia"/>
        </w:rPr>
        <w:t>在主河床部位设置了三扇液压翻板门做为冲砂闸，闸底板高程38.50m，用液压控制闸门开度来调控水位，泄</w:t>
      </w:r>
      <w:r>
        <w:t>流方式满足小流量（Q</w:t>
      </w:r>
      <w:r>
        <w:rPr>
          <w:rFonts w:hint="eastAsia" w:ascii="仿宋_GB2312"/>
        </w:rPr>
        <w:t>≤</w:t>
      </w:r>
      <w:r>
        <w:rPr>
          <w:rFonts w:hint="eastAsia"/>
        </w:rPr>
        <w:t>343</w:t>
      </w:r>
      <w:r>
        <w:t>m</w:t>
      </w:r>
      <w:r>
        <w:rPr>
          <w:vertAlign w:val="superscript"/>
        </w:rPr>
        <w:t>3</w:t>
      </w:r>
      <w:r>
        <w:t>/s）洪水期间</w:t>
      </w:r>
      <w:r>
        <w:rPr>
          <w:rFonts w:hint="eastAsia"/>
        </w:rPr>
        <w:t>泄水闸闸门</w:t>
      </w:r>
      <w:r>
        <w:t>不</w:t>
      </w:r>
      <w:r>
        <w:rPr>
          <w:rFonts w:hint="eastAsia"/>
        </w:rPr>
        <w:t>翻倒</w:t>
      </w:r>
      <w:r>
        <w:t>的运行要求</w:t>
      </w:r>
      <w:r>
        <w:rPr>
          <w:rFonts w:hint="eastAsia"/>
        </w:rPr>
        <w:t>。其中</w:t>
      </w:r>
      <w:r>
        <w:t>当</w:t>
      </w:r>
      <w:r>
        <w:rPr>
          <w:rFonts w:hint="eastAsia"/>
        </w:rPr>
        <w:t>锦</w:t>
      </w:r>
      <w:r>
        <w:t>河来水Q</w:t>
      </w:r>
      <w:r>
        <w:rPr>
          <w:rFonts w:hint="eastAsia" w:ascii="仿宋_GB2312"/>
        </w:rPr>
        <w:t>≤</w:t>
      </w:r>
      <w:r>
        <w:rPr>
          <w:rFonts w:hint="eastAsia"/>
        </w:rPr>
        <w:t>343.0</w:t>
      </w:r>
      <w:r>
        <w:t>m</w:t>
      </w:r>
      <w:r>
        <w:rPr>
          <w:vertAlign w:val="superscript"/>
        </w:rPr>
        <w:t>3</w:t>
      </w:r>
      <w:r>
        <w:t>/s时，</w:t>
      </w:r>
      <w:r>
        <w:rPr>
          <w:rFonts w:hint="eastAsia"/>
        </w:rPr>
        <w:t>保持水位44.50m，</w:t>
      </w:r>
      <w:r>
        <w:t>来水直接从</w:t>
      </w:r>
      <w:r>
        <w:rPr>
          <w:rFonts w:hint="eastAsia"/>
        </w:rPr>
        <w:t>冲砂</w:t>
      </w:r>
      <w:r>
        <w:t>闸流出</w:t>
      </w:r>
      <w:r>
        <w:rPr>
          <w:rFonts w:hint="eastAsia"/>
        </w:rPr>
        <w:t>；当锦河来水Q＞343.0</w:t>
      </w:r>
      <w:r>
        <w:t xml:space="preserve"> m</w:t>
      </w:r>
      <w:r>
        <w:rPr>
          <w:vertAlign w:val="superscript"/>
        </w:rPr>
        <w:t>3</w:t>
      </w:r>
      <w:r>
        <w:t>/s</w:t>
      </w:r>
      <w:r>
        <w:rPr>
          <w:rFonts w:hint="eastAsia"/>
        </w:rPr>
        <w:t>时，泄水闸翻板门开始翻倒。</w:t>
      </w:r>
    </w:p>
    <w:p>
      <w:pPr>
        <w:pStyle w:val="6"/>
      </w:pPr>
      <w:bookmarkStart w:id="451" w:name="_Toc27618"/>
      <w:r>
        <w:rPr>
          <w:rFonts w:hint="eastAsia"/>
        </w:rPr>
        <w:t>2.</w:t>
      </w:r>
      <w:bookmarkEnd w:id="445"/>
      <w:r>
        <w:rPr>
          <w:rFonts w:hint="eastAsia"/>
        </w:rPr>
        <w:t>10施工布置情况</w:t>
      </w:r>
      <w:bookmarkEnd w:id="451"/>
    </w:p>
    <w:p>
      <w:pPr>
        <w:pStyle w:val="7"/>
        <w:rPr>
          <w:szCs w:val="24"/>
        </w:rPr>
      </w:pPr>
      <w:bookmarkStart w:id="452" w:name="_Toc3903232"/>
      <w:bookmarkStart w:id="453" w:name="_Toc536265095"/>
      <w:r>
        <w:rPr>
          <w:rFonts w:hint="eastAsia"/>
          <w:szCs w:val="24"/>
        </w:rPr>
        <w:t>2.10.1</w:t>
      </w:r>
      <w:r>
        <w:rPr>
          <w:szCs w:val="24"/>
        </w:rPr>
        <w:t>取土场</w:t>
      </w:r>
      <w:bookmarkEnd w:id="452"/>
      <w:bookmarkEnd w:id="453"/>
      <w:r>
        <w:rPr>
          <w:szCs w:val="24"/>
        </w:rPr>
        <w:t>设置</w:t>
      </w:r>
    </w:p>
    <w:p>
      <w:pPr>
        <w:tabs>
          <w:tab w:val="left" w:pos="284"/>
        </w:tabs>
        <w:ind w:firstLine="480"/>
        <w:rPr>
          <w:color w:val="0000FF"/>
        </w:rPr>
      </w:pPr>
      <w:r>
        <w:rPr>
          <w:color w:val="0000FF"/>
        </w:rPr>
        <w:t>根据《</w:t>
      </w:r>
      <w:r>
        <w:rPr>
          <w:rFonts w:hint="eastAsia"/>
          <w:color w:val="0000FF"/>
        </w:rPr>
        <w:t>上高</w:t>
      </w:r>
      <w:r>
        <w:rPr>
          <w:color w:val="0000FF"/>
        </w:rPr>
        <w:t>县</w:t>
      </w:r>
      <w:r>
        <w:rPr>
          <w:rFonts w:hint="eastAsia"/>
          <w:color w:val="0000FF"/>
        </w:rPr>
        <w:t>毛家渡</w:t>
      </w:r>
      <w:r>
        <w:rPr>
          <w:color w:val="0000FF"/>
        </w:rPr>
        <w:t>抬水工程</w:t>
      </w:r>
      <w:r>
        <w:rPr>
          <w:rFonts w:hint="eastAsia"/>
          <w:color w:val="0000FF"/>
        </w:rPr>
        <w:t>可行性研究报告</w:t>
      </w:r>
      <w:r>
        <w:rPr>
          <w:color w:val="0000FF"/>
        </w:rPr>
        <w:t>》，工程需外借土方</w:t>
      </w:r>
      <w:r>
        <w:rPr>
          <w:rFonts w:hint="eastAsia"/>
          <w:color w:val="0000FF"/>
        </w:rPr>
        <w:t>3.33</w:t>
      </w:r>
      <w:r>
        <w:rPr>
          <w:color w:val="0000FF"/>
        </w:rPr>
        <w:t>万m</w:t>
      </w:r>
      <w:r>
        <w:rPr>
          <w:color w:val="0000FF"/>
          <w:vertAlign w:val="superscript"/>
        </w:rPr>
        <w:t>3</w:t>
      </w:r>
      <w:r>
        <w:rPr>
          <w:color w:val="0000FF"/>
        </w:rPr>
        <w:t>，拟设置1个取土场</w:t>
      </w:r>
      <w:r>
        <w:rPr>
          <w:rFonts w:hint="eastAsia"/>
          <w:color w:val="0000FF"/>
        </w:rPr>
        <w:t>，</w:t>
      </w:r>
      <w:r>
        <w:rPr>
          <w:color w:val="0000FF"/>
        </w:rPr>
        <w:t>工程所需土料来源于</w:t>
      </w:r>
      <w:r>
        <w:rPr>
          <w:rFonts w:hint="eastAsia"/>
          <w:color w:val="0000FF"/>
        </w:rPr>
        <w:t>先锋村境内长岭</w:t>
      </w:r>
      <w:r>
        <w:rPr>
          <w:color w:val="0000FF"/>
        </w:rPr>
        <w:t>山土料场，</w:t>
      </w:r>
      <w:r>
        <w:rPr>
          <w:rFonts w:hint="eastAsia"/>
          <w:color w:val="0000FF"/>
        </w:rPr>
        <w:t>此土料场总占地面积75亩，本工程取土</w:t>
      </w:r>
      <w:r>
        <w:rPr>
          <w:color w:val="0000FF"/>
        </w:rPr>
        <w:t>占地面积共计</w:t>
      </w:r>
      <w:r>
        <w:rPr>
          <w:rFonts w:hint="eastAsia"/>
          <w:color w:val="0000FF"/>
        </w:rPr>
        <w:t>10亩</w:t>
      </w:r>
      <w:r>
        <w:rPr>
          <w:color w:val="0000FF"/>
        </w:rPr>
        <w:t>，</w:t>
      </w:r>
      <w:r>
        <w:rPr>
          <w:rFonts w:hint="eastAsia"/>
          <w:color w:val="0000FF"/>
        </w:rPr>
        <w:t>取土场高程68</w:t>
      </w:r>
      <w:r>
        <w:rPr>
          <w:color w:val="0000FF"/>
        </w:rPr>
        <w:t>m</w:t>
      </w:r>
      <w:r>
        <w:rPr>
          <w:rFonts w:hint="eastAsia"/>
          <w:color w:val="0000FF"/>
        </w:rPr>
        <w:t>，高于50年一遇设计洪水位，</w:t>
      </w:r>
      <w:r>
        <w:rPr>
          <w:color w:val="0000FF"/>
        </w:rPr>
        <w:t>占地类型主要为</w:t>
      </w:r>
      <w:r>
        <w:rPr>
          <w:rFonts w:hint="eastAsia"/>
          <w:color w:val="0000FF"/>
        </w:rPr>
        <w:t>荒草地。</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0" w:type="dxa"/>
          </w:tcPr>
          <w:p>
            <w:pPr>
              <w:autoSpaceDE w:val="0"/>
              <w:autoSpaceDN w:val="0"/>
              <w:adjustRightInd w:val="0"/>
              <w:ind w:firstLine="480"/>
              <w:jc w:val="center"/>
            </w:pPr>
            <w:r>
              <mc:AlternateContent>
                <mc:Choice Requires="wps">
                  <w:drawing>
                    <wp:anchor distT="0" distB="0" distL="114300" distR="114300" simplePos="0" relativeHeight="251693056" behindDoc="0" locked="0" layoutInCell="1" allowOverlap="1">
                      <wp:simplePos x="0" y="0"/>
                      <wp:positionH relativeFrom="column">
                        <wp:posOffset>3263900</wp:posOffset>
                      </wp:positionH>
                      <wp:positionV relativeFrom="paragraph">
                        <wp:posOffset>2395220</wp:posOffset>
                      </wp:positionV>
                      <wp:extent cx="662305" cy="255270"/>
                      <wp:effectExtent l="0" t="0" r="0" b="0"/>
                      <wp:wrapNone/>
                      <wp:docPr id="48" name="自选图形 67"/>
                      <wp:cNvGraphicFramePr/>
                      <a:graphic xmlns:a="http://schemas.openxmlformats.org/drawingml/2006/main">
                        <a:graphicData uri="http://schemas.microsoft.com/office/word/2010/wordprocessingShape">
                          <wps:wsp>
                            <wps:cNvSpPr/>
                            <wps:spPr>
                              <a:xfrm>
                                <a:off x="0" y="0"/>
                                <a:ext cx="662305" cy="255270"/>
                              </a:xfrm>
                              <a:prstGeom prst="wedgeRectCallout">
                                <a:avLst>
                                  <a:gd name="adj1" fmla="val -95440"/>
                                  <a:gd name="adj2" fmla="val 90051"/>
                                </a:avLst>
                              </a:prstGeom>
                              <a:noFill/>
                              <a:ln w="6350" cap="flat" cmpd="sng">
                                <a:solidFill>
                                  <a:srgbClr val="000000"/>
                                </a:solidFill>
                                <a:prstDash val="solid"/>
                                <a:miter/>
                                <a:headEnd type="none" w="med" len="med"/>
                                <a:tailEnd type="none" w="med" len="med"/>
                              </a:ln>
                            </wps:spPr>
                            <wps:txbx>
                              <w:txbxContent>
                                <w:p>
                                  <w:pPr>
                                    <w:ind w:firstLine="0" w:firstLineChars="0"/>
                                    <w:rPr>
                                      <w:sz w:val="21"/>
                                      <w:szCs w:val="21"/>
                                    </w:rPr>
                                  </w:pPr>
                                  <w:r>
                                    <w:rPr>
                                      <w:rFonts w:hint="eastAsia"/>
                                      <w:sz w:val="21"/>
                                      <w:szCs w:val="21"/>
                                    </w:rPr>
                                    <w:t>取土场</w:t>
                                  </w:r>
                                </w:p>
                              </w:txbxContent>
                            </wps:txbx>
                            <wps:bodyPr wrap="square" upright="1"/>
                          </wps:wsp>
                        </a:graphicData>
                      </a:graphic>
                    </wp:anchor>
                  </w:drawing>
                </mc:Choice>
                <mc:Fallback>
                  <w:pict>
                    <v:shape id="自选图形 67" o:spid="_x0000_s1026" o:spt="61" type="#_x0000_t61" style="position:absolute;left:0pt;margin-left:257pt;margin-top:188.6pt;height:20.1pt;width:52.15pt;z-index:251693056;mso-width-relative:page;mso-height-relative:page;" filled="f" stroked="t" coordsize="21600,21600" o:gfxdata="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O/xHdoAAAALAQAADwAAAAAAAAABACAAAAAi&#10;AAAAZHJzL2Rvd25yZXYueG1sUEsBAhQAFAAAAAgAh07iQIqB9FxBAgAAcwQAAA4AAAAAAAAAAQAg&#10;AAAAKQEAAGRycy9lMm9Eb2MueG1sUEsFBgAAAAAGAAYAWQEAANwFAAAAAA==&#10;" adj="-9815,30251">
                      <v:fill on="f" focussize="0,0"/>
                      <v:stroke weight="0.5pt" color="#000000" joinstyle="miter"/>
                      <v:imagedata o:title=""/>
                      <o:lock v:ext="edit" aspectratio="f"/>
                      <v:textbox>
                        <w:txbxContent>
                          <w:p>
                            <w:pPr>
                              <w:ind w:firstLine="0" w:firstLineChars="0"/>
                              <w:rPr>
                                <w:sz w:val="21"/>
                                <w:szCs w:val="21"/>
                              </w:rPr>
                            </w:pPr>
                            <w:r>
                              <w:rPr>
                                <w:rFonts w:hint="eastAsia"/>
                                <w:sz w:val="21"/>
                                <w:szCs w:val="21"/>
                              </w:rPr>
                              <w:t>取土场</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2828290</wp:posOffset>
                      </wp:positionH>
                      <wp:positionV relativeFrom="paragraph">
                        <wp:posOffset>2749550</wp:posOffset>
                      </wp:positionV>
                      <wp:extent cx="122555" cy="76200"/>
                      <wp:effectExtent l="0" t="0" r="0" b="0"/>
                      <wp:wrapNone/>
                      <wp:docPr id="47" name="矩形 66"/>
                      <wp:cNvGraphicFramePr/>
                      <a:graphic xmlns:a="http://schemas.openxmlformats.org/drawingml/2006/main">
                        <a:graphicData uri="http://schemas.microsoft.com/office/word/2010/wordprocessingShape">
                          <wps:wsp>
                            <wps:cNvSpPr/>
                            <wps:spPr>
                              <a:xfrm>
                                <a:off x="0" y="0"/>
                                <a:ext cx="122555" cy="76200"/>
                              </a:xfrm>
                              <a:prstGeom prst="rect">
                                <a:avLst/>
                              </a:prstGeom>
                              <a:pattFill prst="pct25">
                                <a:fgClr>
                                  <a:srgbClr val="000000"/>
                                </a:fgClr>
                                <a:bgClr>
                                  <a:srgbClr val="FFFFFF"/>
                                </a:bgClr>
                              </a:pattFill>
                              <a:ln w="6350" cap="flat" cmpd="sng">
                                <a:solidFill>
                                  <a:srgbClr val="000000"/>
                                </a:solidFill>
                                <a:prstDash val="solid"/>
                                <a:miter/>
                                <a:headEnd type="none" w="med" len="med"/>
                                <a:tailEnd type="none" w="med" len="med"/>
                              </a:ln>
                            </wps:spPr>
                            <wps:bodyPr wrap="square" upright="1"/>
                          </wps:wsp>
                        </a:graphicData>
                      </a:graphic>
                    </wp:anchor>
                  </w:drawing>
                </mc:Choice>
                <mc:Fallback>
                  <w:pict>
                    <v:rect id="矩形 66" o:spid="_x0000_s1026" o:spt="1" style="position:absolute;left:0pt;margin-left:222.7pt;margin-top:216.5pt;height:6pt;width:9.65pt;z-index:251692032;mso-width-relative:page;mso-height-relative:page;" fillcolor="#000000" filled="t" stroked="t" coordsize="21600,21600" o:gfxdata="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oNXPgdYAAAAL&#10;AQAADwAAAAAAAAABACAAAAAiAAAAZHJzL2Rvd25yZXYueG1sUEsBAhQAFAAAAAgAh07iQDzlN5ke&#10;AgAAdgQAAA4AAAAAAAAAAQAgAAAAJQEAAGRycy9lMm9Eb2MueG1sUEsFBgAAAAAGAAYAWQEAALUF&#10;AAAAAA==&#10;">
                      <v:fill type="pattern" on="t" color2="#FFFFFF" o:title="25%" focussize="0,0" r:id="rId25"/>
                      <v:stroke weight="0.5pt" color="#000000" joinstyle="miter"/>
                      <v:imagedata o:title=""/>
                      <o:lock v:ext="edit" aspectratio="f"/>
                    </v:rect>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3295015</wp:posOffset>
                      </wp:positionH>
                      <wp:positionV relativeFrom="paragraph">
                        <wp:posOffset>2482215</wp:posOffset>
                      </wp:positionV>
                      <wp:extent cx="307975" cy="285115"/>
                      <wp:effectExtent l="0" t="0" r="0" b="0"/>
                      <wp:wrapNone/>
                      <wp:docPr id="46" name="文本框 64"/>
                      <wp:cNvGraphicFramePr/>
                      <a:graphic xmlns:a="http://schemas.openxmlformats.org/drawingml/2006/main">
                        <a:graphicData uri="http://schemas.microsoft.com/office/word/2010/wordprocessingShape">
                          <wps:wsp>
                            <wps:cNvSpPr txBox="1"/>
                            <wps:spPr>
                              <a:xfrm>
                                <a:off x="0" y="0"/>
                                <a:ext cx="307975" cy="285115"/>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64" o:spid="_x0000_s1026" o:spt="202" type="#_x0000_t202" style="position:absolute;left:0pt;margin-left:259.45pt;margin-top:195.45pt;height:22.45pt;width:24.25pt;z-index:251691008;mso-width-relative:page;mso-height-relative:page;" fillcolor="#FFFFFF" filled="t" stroked="f" coordsize="21600,21600" o:gfxdata="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HjGEwPYAAAACwEAAA8AAAAAAAAAAQAg&#10;AAAAIgAAAGRycy9kb3ducmV2LnhtbFBLAQIUABQAAAAIAIdO4kBth/xw1QEAAJADAAAOAAAAAAAA&#10;AAEAIAAAACcBAABkcnMvZTJvRG9jLnhtbFBLBQYAAAAABgAGAFkBAABuBQAAAAA=&#10;">
                      <v:fill on="t" focussize="0,0"/>
                      <v:stroke on="f" weight="1.5pt"/>
                      <v:imagedata o:title=""/>
                      <o:lock v:ext="edit" aspectratio="f"/>
                      <v:textbox>
                        <w:txbxContent>
                          <w:p>
                            <w:pPr>
                              <w:ind w:firstLine="480"/>
                            </w:pP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4679950</wp:posOffset>
                      </wp:positionH>
                      <wp:positionV relativeFrom="paragraph">
                        <wp:posOffset>2432050</wp:posOffset>
                      </wp:positionV>
                      <wp:extent cx="307975" cy="291465"/>
                      <wp:effectExtent l="0" t="0" r="0" b="0"/>
                      <wp:wrapNone/>
                      <wp:docPr id="45" name="文本框 63"/>
                      <wp:cNvGraphicFramePr/>
                      <a:graphic xmlns:a="http://schemas.openxmlformats.org/drawingml/2006/main">
                        <a:graphicData uri="http://schemas.microsoft.com/office/word/2010/wordprocessingShape">
                          <wps:wsp>
                            <wps:cNvSpPr txBox="1"/>
                            <wps:spPr>
                              <a:xfrm>
                                <a:off x="0" y="0"/>
                                <a:ext cx="307975" cy="291465"/>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63" o:spid="_x0000_s1026" o:spt="202" type="#_x0000_t202" style="position:absolute;left:0pt;margin-left:368.5pt;margin-top:191.5pt;height:22.95pt;width:24.25pt;z-index:251689984;mso-width-relative:page;mso-height-relative:page;" fillcolor="#FFFFFF" filled="t" stroked="f" coordsize="21600,21600" o:gfxdata="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BP9eNgAAAALAQAADwAAAAAAAAABACAA&#10;AAAiAAAAZHJzL2Rvd25yZXYueG1sUEsBAhQAFAAAAAgAh07iQBDQ+XvUAQAAkAMAAA4AAAAAAAAA&#10;AQAgAAAAJwEAAGRycy9lMm9Eb2MueG1sUEsFBgAAAAAGAAYAWQEAAG0FAAAAAA==&#10;">
                      <v:fill on="t" focussize="0,0"/>
                      <v:stroke on="f" weight="1.5pt"/>
                      <v:imagedata o:title=""/>
                      <o:lock v:ext="edit" aspectratio="f"/>
                      <v:textbox>
                        <w:txbxContent>
                          <w:p>
                            <w:pPr>
                              <w:ind w:firstLine="480"/>
                            </w:pP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4126865</wp:posOffset>
                      </wp:positionH>
                      <wp:positionV relativeFrom="paragraph">
                        <wp:posOffset>3197860</wp:posOffset>
                      </wp:positionV>
                      <wp:extent cx="497840" cy="257810"/>
                      <wp:effectExtent l="0" t="0" r="0" b="0"/>
                      <wp:wrapNone/>
                      <wp:docPr id="44" name="文本框 62"/>
                      <wp:cNvGraphicFramePr/>
                      <a:graphic xmlns:a="http://schemas.openxmlformats.org/drawingml/2006/main">
                        <a:graphicData uri="http://schemas.microsoft.com/office/word/2010/wordprocessingShape">
                          <wps:wsp>
                            <wps:cNvSpPr txBox="1"/>
                            <wps:spPr>
                              <a:xfrm>
                                <a:off x="0" y="0"/>
                                <a:ext cx="497840" cy="257810"/>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62" o:spid="_x0000_s1026" o:spt="202" type="#_x0000_t202" style="position:absolute;left:0pt;margin-left:324.95pt;margin-top:251.8pt;height:20.3pt;width:39.2pt;z-index:251688960;mso-width-relative:page;mso-height-relative:page;" fillcolor="#FFFFFF" filled="t" stroked="f" coordsize="21600,21600" o:gfxdata="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VvJCe2AAAAAsBAAAPAAAAAAAAAAEA&#10;IAAAACIAAABkcnMvZG93bnJldi54bWxQSwECFAAUAAAACACHTuJAjJyZgtYBAACQAwAADgAAAAAA&#10;AAABACAAAAAnAQAAZHJzL2Uyb0RvYy54bWxQSwUGAAAAAAYABgBZAQAAbwUAAAAA&#10;">
                      <v:fill on="t" focussize="0,0"/>
                      <v:stroke on="f" weight="1.5pt"/>
                      <v:imagedata o:title=""/>
                      <o:lock v:ext="edit" aspectratio="f"/>
                      <v:textbox>
                        <w:txbxContent>
                          <w:p>
                            <w:pPr>
                              <w:ind w:firstLine="480"/>
                            </w:pP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3232785</wp:posOffset>
                      </wp:positionH>
                      <wp:positionV relativeFrom="paragraph">
                        <wp:posOffset>3208655</wp:posOffset>
                      </wp:positionV>
                      <wp:extent cx="429895" cy="128270"/>
                      <wp:effectExtent l="0" t="0" r="0" b="0"/>
                      <wp:wrapNone/>
                      <wp:docPr id="43" name="文本框 61"/>
                      <wp:cNvGraphicFramePr/>
                      <a:graphic xmlns:a="http://schemas.openxmlformats.org/drawingml/2006/main">
                        <a:graphicData uri="http://schemas.microsoft.com/office/word/2010/wordprocessingShape">
                          <wps:wsp>
                            <wps:cNvSpPr txBox="1"/>
                            <wps:spPr>
                              <a:xfrm>
                                <a:off x="0" y="0"/>
                                <a:ext cx="429895" cy="128270"/>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61" o:spid="_x0000_s1026" o:spt="202" type="#_x0000_t202" style="position:absolute;left:0pt;margin-left:254.55pt;margin-top:252.65pt;height:10.1pt;width:33.85pt;z-index:251687936;mso-width-relative:page;mso-height-relative:page;" fillcolor="#FFFFFF" filled="t" stroked="f" coordsize="21600,21600" o:gfxdata="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kBiXJtYAAAALAQAADwAAAAAAAAABACAA&#10;AAAiAAAAZHJzL2Rvd25yZXYueG1sUEsBAhQAFAAAAAgAh07iQB9LhjjWAQAAkAMAAA4AAAAAAAAA&#10;AQAgAAAAJQEAAGRycy9lMm9Eb2MueG1sUEsFBgAAAAAGAAYAWQEAAG0FAAAAAA==&#10;">
                      <v:fill on="t" focussize="0,0"/>
                      <v:stroke on="f" weight="1.5pt"/>
                      <v:imagedata o:title=""/>
                      <o:lock v:ext="edit" aspectratio="f"/>
                      <v:textbox>
                        <w:txbxContent>
                          <w:p>
                            <w:pPr>
                              <w:ind w:firstLine="480"/>
                            </w:pP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3277870</wp:posOffset>
                      </wp:positionH>
                      <wp:positionV relativeFrom="paragraph">
                        <wp:posOffset>2927350</wp:posOffset>
                      </wp:positionV>
                      <wp:extent cx="551180" cy="202565"/>
                      <wp:effectExtent l="0" t="0" r="0" b="0"/>
                      <wp:wrapNone/>
                      <wp:docPr id="41" name="文本框 59"/>
                      <wp:cNvGraphicFramePr/>
                      <a:graphic xmlns:a="http://schemas.openxmlformats.org/drawingml/2006/main">
                        <a:graphicData uri="http://schemas.microsoft.com/office/word/2010/wordprocessingShape">
                          <wps:wsp>
                            <wps:cNvSpPr txBox="1"/>
                            <wps:spPr>
                              <a:xfrm>
                                <a:off x="0" y="0"/>
                                <a:ext cx="551180" cy="202565"/>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59" o:spid="_x0000_s1026" o:spt="202" type="#_x0000_t202" style="position:absolute;left:0pt;margin-left:258.1pt;margin-top:230.5pt;height:15.95pt;width:43.4pt;z-index:251685888;mso-width-relative:page;mso-height-relative:page;" fillcolor="#FFFFFF" filled="t" stroked="f" coordsize="21600,21600" o:gfxdata="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FzB+m1gAAAAsBAAAPAAAAAAAAAAEAIAAAACIA&#10;AABkcnMvZG93bnJldi54bWxQSwECFAAUAAAACACHTuJA37Ynt9IBAACQAwAADgAAAAAAAAABACAA&#10;AAAlAQAAZHJzL2Uyb0RvYy54bWxQSwUGAAAAAAYABgBZAQAAaQUAAAAA&#10;">
                      <v:fill on="t" focussize="0,0"/>
                      <v:stroke on="f" weight="1.5pt"/>
                      <v:imagedata o:title=""/>
                      <o:lock v:ext="edit" aspectratio="f"/>
                      <v:textbox>
                        <w:txbxContent>
                          <w:p>
                            <w:pPr>
                              <w:ind w:firstLine="480"/>
                            </w:pP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347345</wp:posOffset>
                      </wp:positionH>
                      <wp:positionV relativeFrom="paragraph">
                        <wp:posOffset>2447290</wp:posOffset>
                      </wp:positionV>
                      <wp:extent cx="511810" cy="202565"/>
                      <wp:effectExtent l="0" t="0" r="0" b="0"/>
                      <wp:wrapNone/>
                      <wp:docPr id="42" name="文本框 60"/>
                      <wp:cNvGraphicFramePr/>
                      <a:graphic xmlns:a="http://schemas.openxmlformats.org/drawingml/2006/main">
                        <a:graphicData uri="http://schemas.microsoft.com/office/word/2010/wordprocessingShape">
                          <wps:wsp>
                            <wps:cNvSpPr txBox="1"/>
                            <wps:spPr>
                              <a:xfrm>
                                <a:off x="0" y="0"/>
                                <a:ext cx="511810" cy="202565"/>
                              </a:xfrm>
                              <a:prstGeom prst="rect">
                                <a:avLst/>
                              </a:prstGeom>
                              <a:solidFill>
                                <a:srgbClr val="FFFFFF"/>
                              </a:solidFill>
                              <a:ln w="19050">
                                <a:noFill/>
                              </a:ln>
                            </wps:spPr>
                            <wps:txbx>
                              <w:txbxContent>
                                <w:p>
                                  <w:pPr>
                                    <w:ind w:firstLine="480"/>
                                  </w:pPr>
                                </w:p>
                              </w:txbxContent>
                            </wps:txbx>
                            <wps:bodyPr wrap="square" upright="1"/>
                          </wps:wsp>
                        </a:graphicData>
                      </a:graphic>
                    </wp:anchor>
                  </w:drawing>
                </mc:Choice>
                <mc:Fallback>
                  <w:pict>
                    <v:shape id="文本框 60" o:spid="_x0000_s1026" o:spt="202" type="#_x0000_t202" style="position:absolute;left:0pt;margin-left:27.35pt;margin-top:192.7pt;height:15.95pt;width:40.3pt;z-index:251686912;mso-width-relative:page;mso-height-relative:page;" fillcolor="#FFFFFF" filled="t" stroked="f" coordsize="21600,21600" o:gfxdata="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MwaJB1wAAAAoBAAAPAAAAAAAAAAEAIAAAACIA&#10;AABkcnMvZG93bnJldi54bWxQSwECFAAUAAAACACHTuJAj2+719EBAACQAwAADgAAAAAAAAABACAA&#10;AAAmAQAAZHJzL2Uyb0RvYy54bWxQSwUGAAAAAAYABgBZAQAAaQUAAAAA&#10;">
                      <v:fill on="t" focussize="0,0"/>
                      <v:stroke on="f" weight="1.5pt"/>
                      <v:imagedata o:title=""/>
                      <o:lock v:ext="edit" aspectratio="f"/>
                      <v:textbox>
                        <w:txbxContent>
                          <w:p>
                            <w:pPr>
                              <w:ind w:firstLine="480"/>
                            </w:pPr>
                          </w:p>
                        </w:txbxContent>
                      </v:textbox>
                    </v:shape>
                  </w:pict>
                </mc:Fallback>
              </mc:AlternateContent>
            </w:r>
            <w:r>
              <w:rPr>
                <w:rFonts w:hint="eastAsia"/>
              </w:rPr>
              <w:drawing>
                <wp:inline distT="0" distB="0" distL="114300" distR="114300">
                  <wp:extent cx="4448175" cy="4019550"/>
                  <wp:effectExtent l="0" t="0" r="0" b="0"/>
                  <wp:docPr id="68" name="图片 6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2" descr="图片1"/>
                          <pic:cNvPicPr>
                            <a:picLocks noChangeAspect="1"/>
                          </pic:cNvPicPr>
                        </pic:nvPicPr>
                        <pic:blipFill>
                          <a:blip r:embed="rId26"/>
                          <a:stretch>
                            <a:fillRect/>
                          </a:stretch>
                        </pic:blipFill>
                        <pic:spPr>
                          <a:xfrm>
                            <a:off x="0" y="0"/>
                            <a:ext cx="4448175" cy="40195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0" w:type="dxa"/>
          </w:tcPr>
          <w:p>
            <w:pPr>
              <w:autoSpaceDE w:val="0"/>
              <w:autoSpaceDN w:val="0"/>
              <w:adjustRightInd w:val="0"/>
              <w:ind w:firstLine="480"/>
              <w:jc w:val="center"/>
            </w:pPr>
            <w:r>
              <mc:AlternateContent>
                <mc:Choice Requires="wps">
                  <w:drawing>
                    <wp:anchor distT="0" distB="0" distL="114300" distR="114300" simplePos="0" relativeHeight="251697152" behindDoc="0" locked="0" layoutInCell="1" allowOverlap="1">
                      <wp:simplePos x="0" y="0"/>
                      <wp:positionH relativeFrom="column">
                        <wp:posOffset>4096385</wp:posOffset>
                      </wp:positionH>
                      <wp:positionV relativeFrom="paragraph">
                        <wp:posOffset>1801495</wp:posOffset>
                      </wp:positionV>
                      <wp:extent cx="635635" cy="329565"/>
                      <wp:effectExtent l="0" t="0" r="0" b="0"/>
                      <wp:wrapNone/>
                      <wp:docPr id="53" name="文本框 74"/>
                      <wp:cNvGraphicFramePr/>
                      <a:graphic xmlns:a="http://schemas.openxmlformats.org/drawingml/2006/main">
                        <a:graphicData uri="http://schemas.microsoft.com/office/word/2010/wordprocessingShape">
                          <wps:wsp>
                            <wps:cNvSpPr txBox="1"/>
                            <wps:spPr>
                              <a:xfrm>
                                <a:off x="0" y="0"/>
                                <a:ext cx="635635" cy="329565"/>
                              </a:xfrm>
                              <a:prstGeom prst="rect">
                                <a:avLst/>
                              </a:prstGeom>
                              <a:noFill/>
                              <a:ln w="19050">
                                <a:noFill/>
                              </a:ln>
                            </wps:spPr>
                            <wps:txbx>
                              <w:txbxContent>
                                <w:p>
                                  <w:pPr>
                                    <w:ind w:firstLine="0" w:firstLineChars="0"/>
                                    <w:rPr>
                                      <w:color w:val="00B050"/>
                                      <w:sz w:val="21"/>
                                      <w:szCs w:val="21"/>
                                    </w:rPr>
                                  </w:pPr>
                                  <w:r>
                                    <w:rPr>
                                      <w:rFonts w:hint="eastAsia"/>
                                      <w:color w:val="00B050"/>
                                      <w:sz w:val="21"/>
                                      <w:szCs w:val="21"/>
                                    </w:rPr>
                                    <w:t>取土场</w:t>
                                  </w:r>
                                </w:p>
                              </w:txbxContent>
                            </wps:txbx>
                            <wps:bodyPr wrap="square" upright="1"/>
                          </wps:wsp>
                        </a:graphicData>
                      </a:graphic>
                    </wp:anchor>
                  </w:drawing>
                </mc:Choice>
                <mc:Fallback>
                  <w:pict>
                    <v:shape id="文本框 74" o:spid="_x0000_s1026" o:spt="202" type="#_x0000_t202" style="position:absolute;left:0pt;margin-left:322.55pt;margin-top:141.85pt;height:25.95pt;width:50.05pt;z-index:251697152;mso-width-relative:page;mso-height-relative:page;" filled="f" stroked="f" coordsize="21600,21600" o:gfxdata="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4bbDbaAAAACwEAAA8AAAAAAAAAAQAgAAAAIgAAAGRycy9kb3ducmV2&#10;LnhtbFBLAQIUABQAAAAIAIdO4kBiS1aSwQEAAGcDAAAOAAAAAAAAAAEAIAAAACkBAABkcnMvZTJv&#10;RG9jLnhtbFBLBQYAAAAABgAGAFkBAABcBQAAAAA=&#10;">
                      <v:fill on="f" focussize="0,0"/>
                      <v:stroke on="f" weight="1.5pt"/>
                      <v:imagedata o:title=""/>
                      <o:lock v:ext="edit" aspectratio="f"/>
                      <v:textbox>
                        <w:txbxContent>
                          <w:p>
                            <w:pPr>
                              <w:ind w:firstLine="0" w:firstLineChars="0"/>
                              <w:rPr>
                                <w:color w:val="00B050"/>
                                <w:sz w:val="21"/>
                                <w:szCs w:val="21"/>
                              </w:rPr>
                            </w:pPr>
                            <w:r>
                              <w:rPr>
                                <w:rFonts w:hint="eastAsia"/>
                                <w:color w:val="00B050"/>
                                <w:sz w:val="21"/>
                                <w:szCs w:val="21"/>
                              </w:rPr>
                              <w:t>取土场</w:t>
                            </w:r>
                          </w:p>
                        </w:txbxContent>
                      </v:textbox>
                    </v:shap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4434205</wp:posOffset>
                      </wp:positionH>
                      <wp:positionV relativeFrom="paragraph">
                        <wp:posOffset>1750060</wp:posOffset>
                      </wp:positionV>
                      <wp:extent cx="264795" cy="386080"/>
                      <wp:effectExtent l="6985" t="8255" r="13970" b="24765"/>
                      <wp:wrapNone/>
                      <wp:docPr id="18" name="任意多边形 18"/>
                      <wp:cNvGraphicFramePr/>
                      <a:graphic xmlns:a="http://schemas.openxmlformats.org/drawingml/2006/main">
                        <a:graphicData uri="http://schemas.microsoft.com/office/word/2010/wordprocessingShape">
                          <wps:wsp>
                            <wps:cNvSpPr/>
                            <wps:spPr>
                              <a:xfrm>
                                <a:off x="5334635" y="7021195"/>
                                <a:ext cx="264795" cy="386080"/>
                              </a:xfrm>
                              <a:custGeom>
                                <a:avLst/>
                                <a:gdLst>
                                  <a:gd name="connisteX0" fmla="*/ 116840 w 264795"/>
                                  <a:gd name="connsiteY0" fmla="*/ 0 h 386080"/>
                                  <a:gd name="connisteX1" fmla="*/ 201295 w 264795"/>
                                  <a:gd name="connsiteY1" fmla="*/ 95250 h 386080"/>
                                  <a:gd name="connisteX2" fmla="*/ 264795 w 264795"/>
                                  <a:gd name="connsiteY2" fmla="*/ 238125 h 386080"/>
                                  <a:gd name="connisteX3" fmla="*/ 206375 w 264795"/>
                                  <a:gd name="connsiteY3" fmla="*/ 301625 h 386080"/>
                                  <a:gd name="connisteX4" fmla="*/ 100965 w 264795"/>
                                  <a:gd name="connsiteY4" fmla="*/ 322580 h 386080"/>
                                  <a:gd name="connisteX5" fmla="*/ 0 w 264795"/>
                                  <a:gd name="connsiteY5" fmla="*/ 386080 h 3860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64795" h="386080">
                                    <a:moveTo>
                                      <a:pt x="116840" y="0"/>
                                    </a:moveTo>
                                    <a:lnTo>
                                      <a:pt x="201295" y="95250"/>
                                    </a:lnTo>
                                    <a:lnTo>
                                      <a:pt x="264795" y="238125"/>
                                    </a:lnTo>
                                    <a:lnTo>
                                      <a:pt x="206375" y="301625"/>
                                    </a:lnTo>
                                    <a:lnTo>
                                      <a:pt x="100965" y="322580"/>
                                    </a:lnTo>
                                    <a:lnTo>
                                      <a:pt x="0" y="386080"/>
                                    </a:ln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9.15pt;margin-top:137.8pt;height:30.4pt;width:20.85pt;z-index:251713536;mso-width-relative:page;mso-height-relative:page;" filled="f" stroked="t" coordsize="264795,386080" o:gfxdata="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B23oVW3AAA&#10;AAsBAAAPAAAAAAAAAAEAIAAAACIAAABkcnMvZG93bnJldi54bWxQSwECFAAUAAAACACHTuJAEUZL&#10;3TcDAAAGCQAADgAAAAAAAAABACAAAAArAQAAZHJzL2Uyb0RvYy54bWxQSwUGAAAAAAYABgBZAQAA&#10;1AYAAAAA&#10;" path="m116840,0l201295,95250,264795,238125,206375,301625,100965,322580,0,386080e">
                      <v:path o:connectlocs="116840,0;201295,95250;264795,238125;206375,301625;100965,322580;0,386080" o:connectangles="0,0,0,0,0,0"/>
                      <v:fill on="f" focussize="0,0"/>
                      <v:stroke weight="2pt" color="#00B050 [3204]" joinstyle="round"/>
                      <v:imagedata o:title=""/>
                      <o:lock v:ext="edit" aspectratio="f"/>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4291330</wp:posOffset>
                      </wp:positionH>
                      <wp:positionV relativeFrom="paragraph">
                        <wp:posOffset>1750060</wp:posOffset>
                      </wp:positionV>
                      <wp:extent cx="248920" cy="381000"/>
                      <wp:effectExtent l="12700" t="12065" r="5080" b="26035"/>
                      <wp:wrapNone/>
                      <wp:docPr id="17" name="任意多边形 17"/>
                      <wp:cNvGraphicFramePr/>
                      <a:graphic xmlns:a="http://schemas.openxmlformats.org/drawingml/2006/main">
                        <a:graphicData uri="http://schemas.microsoft.com/office/word/2010/wordprocessingShape">
                          <wps:wsp>
                            <wps:cNvSpPr/>
                            <wps:spPr>
                              <a:xfrm>
                                <a:off x="5191760" y="7021195"/>
                                <a:ext cx="248920" cy="381000"/>
                              </a:xfrm>
                              <a:custGeom>
                                <a:avLst/>
                                <a:gdLst>
                                  <a:gd name="connsiteX0" fmla="*/ 392 w 392"/>
                                  <a:gd name="connsiteY0" fmla="*/ 0 h 600"/>
                                  <a:gd name="connsiteX1" fmla="*/ 92 w 392"/>
                                  <a:gd name="connsiteY1" fmla="*/ 100 h 600"/>
                                  <a:gd name="connsiteX2" fmla="*/ 34 w 392"/>
                                  <a:gd name="connsiteY2" fmla="*/ 300 h 600"/>
                                  <a:gd name="connsiteX3" fmla="*/ 0 w 392"/>
                                  <a:gd name="connsiteY3" fmla="*/ 458 h 600"/>
                                  <a:gd name="connsiteX4" fmla="*/ 42 w 392"/>
                                  <a:gd name="connsiteY4" fmla="*/ 592 h 600"/>
                                  <a:gd name="connsiteX5" fmla="*/ 250 w 392"/>
                                  <a:gd name="connsiteY5" fmla="*/ 600 h 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92" h="600">
                                    <a:moveTo>
                                      <a:pt x="392" y="0"/>
                                    </a:moveTo>
                                    <a:lnTo>
                                      <a:pt x="92" y="100"/>
                                    </a:lnTo>
                                    <a:lnTo>
                                      <a:pt x="34" y="300"/>
                                    </a:lnTo>
                                    <a:lnTo>
                                      <a:pt x="0" y="458"/>
                                    </a:lnTo>
                                    <a:lnTo>
                                      <a:pt x="42" y="592"/>
                                    </a:lnTo>
                                    <a:lnTo>
                                      <a:pt x="250" y="600"/>
                                    </a:ln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37.9pt;margin-top:137.8pt;height:30pt;width:19.6pt;z-index:251712512;mso-width-relative:page;mso-height-relative:page;" filled="f" stroked="t" coordsize="392,600" o:gfxdata="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MkVaKdkAAAALAQAADwAAAAAAAAABACAAAAAiAAAAZHJzL2Rvd25y&#10;ZXYueG1sUEsBAhQAFAAAAAgAh07iQFlPufMaAwAAnAgAAA4AAAAAAAAAAQAgAAAAKAEAAGRycy9l&#10;Mm9Eb2MueG1sUEsFBgAAAAAGAAYAWQEAALQGAAAAAA==&#10;" path="m392,0l92,100,34,300,0,458,42,592,250,600e">
                      <v:path o:connectlocs="248920,0;58420,63500;21590,190500;0,290830;26670,375920;158750,381000" o:connectangles="0,0,0,0,0,0"/>
                      <v:fill on="f" focussize="0,0"/>
                      <v:stroke weight="2pt" color="#00B050 [3204]" joinstyle="round"/>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4620260</wp:posOffset>
                      </wp:positionH>
                      <wp:positionV relativeFrom="paragraph">
                        <wp:posOffset>2070735</wp:posOffset>
                      </wp:positionV>
                      <wp:extent cx="527050" cy="329565"/>
                      <wp:effectExtent l="0" t="0" r="0" b="0"/>
                      <wp:wrapNone/>
                      <wp:docPr id="60" name="文本框 81"/>
                      <wp:cNvGraphicFramePr/>
                      <a:graphic xmlns:a="http://schemas.openxmlformats.org/drawingml/2006/main">
                        <a:graphicData uri="http://schemas.microsoft.com/office/word/2010/wordprocessingShape">
                          <wps:wsp>
                            <wps:cNvSpPr txBox="1"/>
                            <wps:spPr>
                              <a:xfrm>
                                <a:off x="0" y="0"/>
                                <a:ext cx="527050" cy="329565"/>
                              </a:xfrm>
                              <a:prstGeom prst="rect">
                                <a:avLst/>
                              </a:prstGeom>
                              <a:noFill/>
                              <a:ln w="19050">
                                <a:noFill/>
                              </a:ln>
                            </wps:spPr>
                            <wps:txbx>
                              <w:txbxContent>
                                <w:p>
                                  <w:pPr>
                                    <w:ind w:firstLine="0" w:firstLineChars="0"/>
                                    <w:rPr>
                                      <w:color w:val="00B0F0"/>
                                      <w:sz w:val="21"/>
                                      <w:szCs w:val="21"/>
                                    </w:rPr>
                                  </w:pPr>
                                  <w:r>
                                    <w:rPr>
                                      <w:rFonts w:hint="eastAsia"/>
                                      <w:color w:val="00B0F0"/>
                                      <w:sz w:val="21"/>
                                      <w:szCs w:val="21"/>
                                    </w:rPr>
                                    <w:t>工厂</w:t>
                                  </w:r>
                                </w:p>
                              </w:txbxContent>
                            </wps:txbx>
                            <wps:bodyPr wrap="square" upright="1"/>
                          </wps:wsp>
                        </a:graphicData>
                      </a:graphic>
                    </wp:anchor>
                  </w:drawing>
                </mc:Choice>
                <mc:Fallback>
                  <w:pict>
                    <v:shape id="文本框 81" o:spid="_x0000_s1026" o:spt="202" type="#_x0000_t202" style="position:absolute;left:0pt;margin-left:363.8pt;margin-top:163.05pt;height:25.95pt;width:41.5pt;z-index:251704320;mso-width-relative:page;mso-height-relative:page;" filled="f" stroked="f" coordsize="21600,21600" o:gfxdata="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PVuZLXAAAACwEAAA8AAAAAAAAAAQAgAAAAIgAAAGRycy9kb3ducmV2LnhtbFBL&#10;AQIUABQAAAAIAIdO4kBlqWrBvgEAAGcDAAAOAAAAAAAAAAEAIAAAACYBAABkcnMvZTJvRG9jLnht&#10;bFBLBQYAAAAABgAGAFkBAABWBQAAAAA=&#10;">
                      <v:fill on="f" focussize="0,0"/>
                      <v:stroke on="f" weight="1.5pt"/>
                      <v:imagedata o:title=""/>
                      <o:lock v:ext="edit" aspectratio="f"/>
                      <v:textbox>
                        <w:txbxContent>
                          <w:p>
                            <w:pPr>
                              <w:ind w:firstLine="0" w:firstLineChars="0"/>
                              <w:rPr>
                                <w:color w:val="00B0F0"/>
                                <w:sz w:val="21"/>
                                <w:szCs w:val="21"/>
                              </w:rPr>
                            </w:pPr>
                            <w:r>
                              <w:rPr>
                                <w:rFonts w:hint="eastAsia"/>
                                <w:color w:val="00B0F0"/>
                                <w:sz w:val="21"/>
                                <w:szCs w:val="21"/>
                              </w:rPr>
                              <w:t>工厂</w:t>
                            </w:r>
                          </w:p>
                        </w:txbxContent>
                      </v:textbox>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4582795</wp:posOffset>
                      </wp:positionH>
                      <wp:positionV relativeFrom="paragraph">
                        <wp:posOffset>2075180</wp:posOffset>
                      </wp:positionV>
                      <wp:extent cx="102235" cy="149225"/>
                      <wp:effectExtent l="0" t="0" r="0" b="0"/>
                      <wp:wrapNone/>
                      <wp:docPr id="59" name="任意多边形 80"/>
                      <wp:cNvGraphicFramePr/>
                      <a:graphic xmlns:a="http://schemas.openxmlformats.org/drawingml/2006/main">
                        <a:graphicData uri="http://schemas.microsoft.com/office/word/2010/wordprocessingShape">
                          <wps:wsp>
                            <wps:cNvSpPr/>
                            <wps:spPr>
                              <a:xfrm>
                                <a:off x="0" y="0"/>
                                <a:ext cx="102235" cy="149225"/>
                              </a:xfrm>
                              <a:custGeom>
                                <a:avLst/>
                                <a:gdLst/>
                                <a:ahLst/>
                                <a:cxnLst/>
                                <a:rect l="0" t="0" r="0" b="0"/>
                                <a:pathLst>
                                  <a:path w="161" h="235">
                                    <a:moveTo>
                                      <a:pt x="33" y="0"/>
                                    </a:moveTo>
                                    <a:lnTo>
                                      <a:pt x="0" y="160"/>
                                    </a:lnTo>
                                    <a:lnTo>
                                      <a:pt x="22" y="225"/>
                                    </a:lnTo>
                                    <a:lnTo>
                                      <a:pt x="150" y="235"/>
                                    </a:lnTo>
                                    <a:lnTo>
                                      <a:pt x="161" y="75"/>
                                    </a:lnTo>
                                    <a:lnTo>
                                      <a:pt x="140" y="10"/>
                                    </a:lnTo>
                                    <a:lnTo>
                                      <a:pt x="33" y="0"/>
                                    </a:lnTo>
                                    <a:close/>
                                  </a:path>
                                </a:pathLst>
                              </a:custGeom>
                              <a:noFill/>
                              <a:ln w="19050" cap="flat" cmpd="sng">
                                <a:solidFill>
                                  <a:srgbClr val="00B0F0"/>
                                </a:solidFill>
                                <a:prstDash val="solid"/>
                                <a:headEnd type="none" w="med" len="med"/>
                                <a:tailEnd type="none" w="med" len="med"/>
                              </a:ln>
                            </wps:spPr>
                            <wps:bodyPr vert="horz" wrap="square" anchor="t" anchorCtr="0" upright="1"/>
                          </wps:wsp>
                        </a:graphicData>
                      </a:graphic>
                    </wp:anchor>
                  </w:drawing>
                </mc:Choice>
                <mc:Fallback>
                  <w:pict>
                    <v:shape id="任意多边形 80" o:spid="_x0000_s1026" o:spt="100" style="position:absolute;left:0pt;margin-left:360.85pt;margin-top:163.4pt;height:11.75pt;width:8.05pt;z-index:251703296;mso-width-relative:page;mso-height-relative:page;" filled="f" stroked="t" coordsize="161,235" o:gfxdata="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x8rJ&#10;/9oAAAALAQAADwAAAAAAAAABACAAAAAiAAAAZHJzL2Rvd25yZXYueG1sUEsBAhQAFAAAAAgAh07i&#10;QNBRfieSAgAAsAUAAA4AAAAAAAAAAQAgAAAAKQEAAGRycy9lMm9Eb2MueG1sUEsFBgAAAAAGAAYA&#10;WQEAAC0GAAAAAA==&#10;" path="m33,0l0,160,22,225,150,235,161,75,140,10,33,0xe">
                      <v:fill on="f" focussize="0,0"/>
                      <v:stroke weight="1.5pt" color="#00B0F0" joinstyle="round"/>
                      <v:imagedata o:title=""/>
                      <o:lock v:ext="edit" aspectratio="f"/>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3094355</wp:posOffset>
                      </wp:positionH>
                      <wp:positionV relativeFrom="paragraph">
                        <wp:posOffset>1348105</wp:posOffset>
                      </wp:positionV>
                      <wp:extent cx="635635" cy="329565"/>
                      <wp:effectExtent l="0" t="0" r="0" b="0"/>
                      <wp:wrapNone/>
                      <wp:docPr id="58" name="文本框 79"/>
                      <wp:cNvGraphicFramePr/>
                      <a:graphic xmlns:a="http://schemas.openxmlformats.org/drawingml/2006/main">
                        <a:graphicData uri="http://schemas.microsoft.com/office/word/2010/wordprocessingShape">
                          <wps:wsp>
                            <wps:cNvSpPr txBox="1"/>
                            <wps:spPr>
                              <a:xfrm>
                                <a:off x="0" y="0"/>
                                <a:ext cx="635635" cy="329565"/>
                              </a:xfrm>
                              <a:prstGeom prst="rect">
                                <a:avLst/>
                              </a:prstGeom>
                              <a:noFill/>
                              <a:ln w="19050">
                                <a:noFill/>
                              </a:ln>
                            </wps:spPr>
                            <wps:txbx>
                              <w:txbxContent>
                                <w:p>
                                  <w:pPr>
                                    <w:ind w:firstLine="0" w:firstLineChars="0"/>
                                    <w:rPr>
                                      <w:color w:val="FFFF00"/>
                                      <w:sz w:val="21"/>
                                      <w:szCs w:val="21"/>
                                    </w:rPr>
                                  </w:pPr>
                                  <w:r>
                                    <w:rPr>
                                      <w:rFonts w:hint="eastAsia"/>
                                      <w:color w:val="FFFF00"/>
                                      <w:sz w:val="21"/>
                                      <w:szCs w:val="21"/>
                                    </w:rPr>
                                    <w:t>600m</w:t>
                                  </w:r>
                                </w:p>
                              </w:txbxContent>
                            </wps:txbx>
                            <wps:bodyPr wrap="square" upright="1"/>
                          </wps:wsp>
                        </a:graphicData>
                      </a:graphic>
                    </wp:anchor>
                  </w:drawing>
                </mc:Choice>
                <mc:Fallback>
                  <w:pict>
                    <v:shape id="文本框 79" o:spid="_x0000_s1026" o:spt="202" type="#_x0000_t202" style="position:absolute;left:0pt;margin-left:243.65pt;margin-top:106.15pt;height:25.95pt;width:50.05pt;z-index:251702272;mso-width-relative:page;mso-height-relative:page;" filled="f" stroked="f" coordsize="21600,21600" o:gfxdata="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vbPGr2AAAAAsBAAAPAAAAAAAAAAEAIAAAACIAAABkcnMvZG93bnJldi54&#10;bWxQSwECFAAUAAAACACHTuJArglovcEBAABnAwAADgAAAAAAAAABACAAAAAnAQAAZHJzL2Uyb0Rv&#10;Yy54bWxQSwUGAAAAAAYABgBZAQAAWgUAAAAA&#10;">
                      <v:fill on="f" focussize="0,0"/>
                      <v:stroke on="f" weight="1.5pt"/>
                      <v:imagedata o:title=""/>
                      <o:lock v:ext="edit" aspectratio="f"/>
                      <v:textbox>
                        <w:txbxContent>
                          <w:p>
                            <w:pPr>
                              <w:ind w:firstLine="0" w:firstLineChars="0"/>
                              <w:rPr>
                                <w:color w:val="FFFF00"/>
                                <w:sz w:val="21"/>
                                <w:szCs w:val="21"/>
                              </w:rPr>
                            </w:pPr>
                            <w:r>
                              <w:rPr>
                                <w:rFonts w:hint="eastAsia"/>
                                <w:color w:val="FFFF00"/>
                                <w:sz w:val="21"/>
                                <w:szCs w:val="21"/>
                              </w:rPr>
                              <w:t>600m</w:t>
                            </w:r>
                          </w:p>
                        </w:txbxContent>
                      </v:textbox>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2667000</wp:posOffset>
                      </wp:positionH>
                      <wp:positionV relativeFrom="paragraph">
                        <wp:posOffset>1432560</wp:posOffset>
                      </wp:positionV>
                      <wp:extent cx="1645920" cy="508000"/>
                      <wp:effectExtent l="0" t="24130" r="11430" b="39370"/>
                      <wp:wrapNone/>
                      <wp:docPr id="57" name="直线 78"/>
                      <wp:cNvGraphicFramePr/>
                      <a:graphic xmlns:a="http://schemas.openxmlformats.org/drawingml/2006/main">
                        <a:graphicData uri="http://schemas.microsoft.com/office/word/2010/wordprocessingShape">
                          <wps:wsp>
                            <wps:cNvCnPr>
                              <a:endCxn id="17" idx="2"/>
                            </wps:cNvCnPr>
                            <wps:spPr>
                              <a:xfrm>
                                <a:off x="0" y="0"/>
                                <a:ext cx="1645920" cy="508000"/>
                              </a:xfrm>
                              <a:prstGeom prst="line">
                                <a:avLst/>
                              </a:prstGeom>
                              <a:ln w="19050" cap="flat" cmpd="sng">
                                <a:solidFill>
                                  <a:srgbClr val="FFFF00"/>
                                </a:solidFill>
                                <a:prstDash val="solid"/>
                                <a:headEnd type="arrow" w="med" len="med"/>
                                <a:tailEnd type="arrow" w="med" len="med"/>
                              </a:ln>
                            </wps:spPr>
                            <wps:bodyPr/>
                          </wps:wsp>
                        </a:graphicData>
                      </a:graphic>
                    </wp:anchor>
                  </w:drawing>
                </mc:Choice>
                <mc:Fallback>
                  <w:pict>
                    <v:line id="直线 78" o:spid="_x0000_s1026" o:spt="20" style="position:absolute;left:0pt;margin-left:210pt;margin-top:112.8pt;height:40pt;width:129.6pt;z-index:251701248;mso-width-relative:page;mso-height-relative:page;" filled="f" stroked="t" coordsize="21600,21600" o:gfxdata="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9Og/e2gAAAAsBAAAPAAAAAAAAAAEAIAAAACIAAABkcnMvZG93bnJldi54&#10;bWxQSwECFAAUAAAACACHTuJA8aVG9vgBAAABBAAADgAAAAAAAAABACAAAAApAQAAZHJzL2Uyb0Rv&#10;Yy54bWxQSwUGAAAAAAYABgBZAQAAkwUAAAAA&#10;">
                      <v:fill on="f" focussize="0,0"/>
                      <v:stroke weight="1.5pt" color="#FFFF00" joinstyle="round" startarrow="open" endarrow="open"/>
                      <v:imagedata o:title=""/>
                      <o:lock v:ext="edit" aspectratio="f"/>
                    </v:lin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4159885</wp:posOffset>
                      </wp:positionH>
                      <wp:positionV relativeFrom="paragraph">
                        <wp:posOffset>1195705</wp:posOffset>
                      </wp:positionV>
                      <wp:extent cx="635635" cy="329565"/>
                      <wp:effectExtent l="0" t="0" r="0" b="0"/>
                      <wp:wrapNone/>
                      <wp:docPr id="56" name="文本框 77"/>
                      <wp:cNvGraphicFramePr/>
                      <a:graphic xmlns:a="http://schemas.openxmlformats.org/drawingml/2006/main">
                        <a:graphicData uri="http://schemas.microsoft.com/office/word/2010/wordprocessingShape">
                          <wps:wsp>
                            <wps:cNvSpPr txBox="1"/>
                            <wps:spPr>
                              <a:xfrm>
                                <a:off x="0" y="0"/>
                                <a:ext cx="635635" cy="329565"/>
                              </a:xfrm>
                              <a:prstGeom prst="rect">
                                <a:avLst/>
                              </a:prstGeom>
                              <a:noFill/>
                              <a:ln w="19050">
                                <a:noFill/>
                              </a:ln>
                            </wps:spPr>
                            <wps:txbx>
                              <w:txbxContent>
                                <w:p>
                                  <w:pPr>
                                    <w:ind w:firstLine="0" w:firstLineChars="0"/>
                                    <w:rPr>
                                      <w:color w:val="FFFF00"/>
                                      <w:sz w:val="21"/>
                                      <w:szCs w:val="21"/>
                                    </w:rPr>
                                  </w:pPr>
                                  <w:r>
                                    <w:rPr>
                                      <w:rFonts w:hint="eastAsia"/>
                                      <w:color w:val="FFFF00"/>
                                      <w:sz w:val="21"/>
                                      <w:szCs w:val="21"/>
                                    </w:rPr>
                                    <w:t>250m</w:t>
                                  </w:r>
                                </w:p>
                              </w:txbxContent>
                            </wps:txbx>
                            <wps:bodyPr wrap="square" upright="1"/>
                          </wps:wsp>
                        </a:graphicData>
                      </a:graphic>
                    </wp:anchor>
                  </w:drawing>
                </mc:Choice>
                <mc:Fallback>
                  <w:pict>
                    <v:shape id="文本框 77" o:spid="_x0000_s1026" o:spt="202" type="#_x0000_t202" style="position:absolute;left:0pt;margin-left:327.55pt;margin-top:94.15pt;height:25.95pt;width:50.05pt;z-index:251700224;mso-width-relative:page;mso-height-relative:page;" filled="f" stroked="f" coordsize="21600,21600" o:gfxdata="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5N/Y12AAAAAsBAAAPAAAAAAAAAAEAIAAAACIAAABkcnMvZG93bnJldi54&#10;bWxQSwECFAAUAAAACACHTuJATb/amMEBAABnAwAADgAAAAAAAAABACAAAAAnAQAAZHJzL2Uyb0Rv&#10;Yy54bWxQSwUGAAAAAAYABgBZAQAAWgUAAAAA&#10;">
                      <v:fill on="f" focussize="0,0"/>
                      <v:stroke on="f" weight="1.5pt"/>
                      <v:imagedata o:title=""/>
                      <o:lock v:ext="edit" aspectratio="f"/>
                      <v:textbox>
                        <w:txbxContent>
                          <w:p>
                            <w:pPr>
                              <w:ind w:firstLine="0" w:firstLineChars="0"/>
                              <w:rPr>
                                <w:color w:val="FFFF00"/>
                                <w:sz w:val="21"/>
                                <w:szCs w:val="21"/>
                              </w:rPr>
                            </w:pPr>
                            <w:r>
                              <w:rPr>
                                <w:rFonts w:hint="eastAsia"/>
                                <w:color w:val="FFFF00"/>
                                <w:sz w:val="21"/>
                                <w:szCs w:val="21"/>
                              </w:rPr>
                              <w:t>250m</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4065905</wp:posOffset>
                      </wp:positionH>
                      <wp:positionV relativeFrom="paragraph">
                        <wp:posOffset>1149985</wp:posOffset>
                      </wp:positionV>
                      <wp:extent cx="283845" cy="663575"/>
                      <wp:effectExtent l="12700" t="0" r="27305" b="3175"/>
                      <wp:wrapNone/>
                      <wp:docPr id="55" name="直线 76"/>
                      <wp:cNvGraphicFramePr/>
                      <a:graphic xmlns:a="http://schemas.openxmlformats.org/drawingml/2006/main">
                        <a:graphicData uri="http://schemas.microsoft.com/office/word/2010/wordprocessingShape">
                          <wps:wsp>
                            <wps:cNvCnPr>
                              <a:endCxn id="17" idx="1"/>
                            </wps:cNvCnPr>
                            <wps:spPr>
                              <a:xfrm>
                                <a:off x="0" y="0"/>
                                <a:ext cx="283845" cy="663575"/>
                              </a:xfrm>
                              <a:prstGeom prst="line">
                                <a:avLst/>
                              </a:prstGeom>
                              <a:ln w="19050" cap="flat" cmpd="sng">
                                <a:solidFill>
                                  <a:srgbClr val="FFFF00"/>
                                </a:solidFill>
                                <a:prstDash val="solid"/>
                                <a:headEnd type="arrow" w="med" len="med"/>
                                <a:tailEnd type="arrow" w="med" len="med"/>
                              </a:ln>
                            </wps:spPr>
                            <wps:bodyPr/>
                          </wps:wsp>
                        </a:graphicData>
                      </a:graphic>
                    </wp:anchor>
                  </w:drawing>
                </mc:Choice>
                <mc:Fallback>
                  <w:pict>
                    <v:line id="直线 76" o:spid="_x0000_s1026" o:spt="20" style="position:absolute;left:0pt;margin-left:320.15pt;margin-top:90.55pt;height:52.25pt;width:22.35pt;z-index:251699200;mso-width-relative:page;mso-height-relative:page;" filled="f" stroked="t" coordsize="21600,21600" o:gfxdata="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RHkJLaAAAACwEAAA8AAAAAAAAAAQAgAAAAIgAAAGRycy9kb3ducmV2&#10;LnhtbFBLAQIUABQAAAAIAIdO4kCd8teR+gEAAAAEAAAOAAAAAAAAAAEAIAAAACkBAABkcnMvZTJv&#10;RG9jLnhtbFBLBQYAAAAABgAGAFkBAACVBQAAAAA=&#10;">
                      <v:fill on="f" focussize="0,0"/>
                      <v:stroke weight="1.5pt" color="#FFFF00" joinstyle="round" startarrow="open" endarrow="open"/>
                      <v:imagedata o:title=""/>
                      <o:lock v:ext="edit" aspectratio="f"/>
                    </v:lin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1296670</wp:posOffset>
                      </wp:positionH>
                      <wp:positionV relativeFrom="paragraph">
                        <wp:posOffset>925195</wp:posOffset>
                      </wp:positionV>
                      <wp:extent cx="571500" cy="278765"/>
                      <wp:effectExtent l="0" t="0" r="0" b="0"/>
                      <wp:wrapNone/>
                      <wp:docPr id="54" name="自选图形 75"/>
                      <wp:cNvGraphicFramePr/>
                      <a:graphic xmlns:a="http://schemas.openxmlformats.org/drawingml/2006/main">
                        <a:graphicData uri="http://schemas.microsoft.com/office/word/2010/wordprocessingShape">
                          <wps:wsp>
                            <wps:cNvSpPr/>
                            <wps:spPr>
                              <a:xfrm>
                                <a:off x="0" y="0"/>
                                <a:ext cx="571500" cy="278765"/>
                              </a:xfrm>
                              <a:prstGeom prst="wedgeRectCallout">
                                <a:avLst>
                                  <a:gd name="adj1" fmla="val 100222"/>
                                  <a:gd name="adj2" fmla="val 94421"/>
                                </a:avLst>
                              </a:prstGeom>
                              <a:noFill/>
                              <a:ln w="19050" cap="flat" cmpd="sng">
                                <a:solidFill>
                                  <a:srgbClr val="FFFFFF"/>
                                </a:solidFill>
                                <a:prstDash val="solid"/>
                                <a:miter/>
                                <a:headEnd type="none" w="med" len="med"/>
                                <a:tailEnd type="none" w="med" len="med"/>
                              </a:ln>
                            </wps:spPr>
                            <wps:txbx>
                              <w:txbxContent>
                                <w:p>
                                  <w:pPr>
                                    <w:ind w:firstLine="0" w:firstLineChars="0"/>
                                    <w:rPr>
                                      <w:color w:val="FF0000"/>
                                    </w:rPr>
                                  </w:pPr>
                                  <w:r>
                                    <w:rPr>
                                      <w:rFonts w:hint="eastAsia"/>
                                      <w:color w:val="FF0000"/>
                                    </w:rPr>
                                    <w:t>坝址</w:t>
                                  </w:r>
                                </w:p>
                              </w:txbxContent>
                            </wps:txbx>
                            <wps:bodyPr wrap="square" upright="1"/>
                          </wps:wsp>
                        </a:graphicData>
                      </a:graphic>
                    </wp:anchor>
                  </w:drawing>
                </mc:Choice>
                <mc:Fallback>
                  <w:pict>
                    <v:shape id="自选图形 75" o:spid="_x0000_s1026" o:spt="61" type="#_x0000_t61" style="position:absolute;left:0pt;margin-left:102.1pt;margin-top:72.85pt;height:21.95pt;width:45pt;z-index:251698176;mso-width-relative:page;mso-height-relative:page;" filled="f" stroked="t" coordsize="21600,21600" o:gfxdata="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13KA9YAAAALAQAADwAAAAAAAAABACAAAAAiAAAAZHJz&#10;L2Rvd25yZXYueG1sUEsBAhQAFAAAAAgAh07iQBWWb8A/AgAAdAQAAA4AAAAAAAAAAQAgAAAAJQEA&#10;AGRycy9lMm9Eb2MueG1sUEsFBgAAAAAGAAYAWQEAANYFAAAAAA==&#10;" adj="32448,31195">
                      <v:fill on="f" focussize="0,0"/>
                      <v:stroke weight="1.5pt" color="#FFFFFF" joinstyle="miter"/>
                      <v:imagedata o:title=""/>
                      <o:lock v:ext="edit" aspectratio="f"/>
                      <v:textbox>
                        <w:txbxContent>
                          <w:p>
                            <w:pPr>
                              <w:ind w:firstLine="0" w:firstLineChars="0"/>
                              <w:rPr>
                                <w:color w:val="FF0000"/>
                              </w:rPr>
                            </w:pPr>
                            <w:r>
                              <w:rPr>
                                <w:rFonts w:hint="eastAsia"/>
                                <w:color w:val="FF0000"/>
                              </w:rPr>
                              <w:t>坝址</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3889375</wp:posOffset>
                      </wp:positionH>
                      <wp:positionV relativeFrom="paragraph">
                        <wp:posOffset>762000</wp:posOffset>
                      </wp:positionV>
                      <wp:extent cx="527050" cy="329565"/>
                      <wp:effectExtent l="0" t="0" r="0" b="0"/>
                      <wp:wrapNone/>
                      <wp:docPr id="52" name="文本框 73"/>
                      <wp:cNvGraphicFramePr/>
                      <a:graphic xmlns:a="http://schemas.openxmlformats.org/drawingml/2006/main">
                        <a:graphicData uri="http://schemas.microsoft.com/office/word/2010/wordprocessingShape">
                          <wps:wsp>
                            <wps:cNvSpPr txBox="1"/>
                            <wps:spPr>
                              <a:xfrm>
                                <a:off x="0" y="0"/>
                                <a:ext cx="527050" cy="329565"/>
                              </a:xfrm>
                              <a:prstGeom prst="rect">
                                <a:avLst/>
                              </a:prstGeom>
                              <a:noFill/>
                              <a:ln w="19050">
                                <a:noFill/>
                              </a:ln>
                            </wps:spPr>
                            <wps:txbx>
                              <w:txbxContent>
                                <w:p>
                                  <w:pPr>
                                    <w:ind w:firstLine="0" w:firstLineChars="0"/>
                                    <w:rPr>
                                      <w:color w:val="FFFF00"/>
                                      <w:sz w:val="21"/>
                                      <w:szCs w:val="21"/>
                                    </w:rPr>
                                  </w:pPr>
                                  <w:r>
                                    <w:rPr>
                                      <w:rFonts w:hint="eastAsia"/>
                                      <w:color w:val="FFFF00"/>
                                      <w:sz w:val="21"/>
                                      <w:szCs w:val="21"/>
                                    </w:rPr>
                                    <w:t>白溪</w:t>
                                  </w:r>
                                </w:p>
                              </w:txbxContent>
                            </wps:txbx>
                            <wps:bodyPr wrap="square" upright="1"/>
                          </wps:wsp>
                        </a:graphicData>
                      </a:graphic>
                    </wp:anchor>
                  </w:drawing>
                </mc:Choice>
                <mc:Fallback>
                  <w:pict>
                    <v:shape id="文本框 73" o:spid="_x0000_s1026" o:spt="202" type="#_x0000_t202" style="position:absolute;left:0pt;margin-left:306.25pt;margin-top:60pt;height:25.95pt;width:41.5pt;z-index:251696128;mso-width-relative:page;mso-height-relative:page;" filled="f" stroked="f" coordsize="21600,21600" o:gfxdata="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tZXAXXAAAACwEAAA8AAAAAAAAAAQAgAAAAIgAAAGRycy9kb3ducmV2LnhtbFBL&#10;AQIUABQAAAAIAIdO4kDmRlkhvgEAAGcDAAAOAAAAAAAAAAEAIAAAACYBAABkcnMvZTJvRG9jLnht&#10;bFBLBQYAAAAABgAGAFkBAABWBQAAAAA=&#10;">
                      <v:fill on="f" focussize="0,0"/>
                      <v:stroke on="f" weight="1.5pt"/>
                      <v:imagedata o:title=""/>
                      <o:lock v:ext="edit" aspectratio="f"/>
                      <v:textbox>
                        <w:txbxContent>
                          <w:p>
                            <w:pPr>
                              <w:ind w:firstLine="0" w:firstLineChars="0"/>
                              <w:rPr>
                                <w:color w:val="FFFF00"/>
                                <w:sz w:val="21"/>
                                <w:szCs w:val="21"/>
                              </w:rPr>
                            </w:pPr>
                            <w:r>
                              <w:rPr>
                                <w:rFonts w:hint="eastAsia"/>
                                <w:color w:val="FFFF00"/>
                                <w:sz w:val="21"/>
                                <w:szCs w:val="21"/>
                              </w:rPr>
                              <w:t>白溪</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3705225</wp:posOffset>
                      </wp:positionH>
                      <wp:positionV relativeFrom="paragraph">
                        <wp:posOffset>626110</wp:posOffset>
                      </wp:positionV>
                      <wp:extent cx="741680" cy="544195"/>
                      <wp:effectExtent l="0" t="0" r="0" b="0"/>
                      <wp:wrapNone/>
                      <wp:docPr id="51" name="任意多边形 72"/>
                      <wp:cNvGraphicFramePr/>
                      <a:graphic xmlns:a="http://schemas.openxmlformats.org/drawingml/2006/main">
                        <a:graphicData uri="http://schemas.microsoft.com/office/word/2010/wordprocessingShape">
                          <wps:wsp>
                            <wps:cNvSpPr/>
                            <wps:spPr>
                              <a:xfrm>
                                <a:off x="0" y="0"/>
                                <a:ext cx="741680" cy="544195"/>
                              </a:xfrm>
                              <a:custGeom>
                                <a:avLst/>
                                <a:gdLst/>
                                <a:ahLst/>
                                <a:cxnLst/>
                                <a:rect l="0" t="0" r="0" b="0"/>
                                <a:pathLst>
                                  <a:path w="1168" h="857">
                                    <a:moveTo>
                                      <a:pt x="622" y="825"/>
                                    </a:moveTo>
                                    <a:lnTo>
                                      <a:pt x="440" y="857"/>
                                    </a:lnTo>
                                    <a:lnTo>
                                      <a:pt x="268" y="857"/>
                                    </a:lnTo>
                                    <a:lnTo>
                                      <a:pt x="193" y="857"/>
                                    </a:lnTo>
                                    <a:lnTo>
                                      <a:pt x="140" y="760"/>
                                    </a:lnTo>
                                    <a:lnTo>
                                      <a:pt x="0" y="652"/>
                                    </a:lnTo>
                                    <a:lnTo>
                                      <a:pt x="0" y="557"/>
                                    </a:lnTo>
                                    <a:lnTo>
                                      <a:pt x="236" y="385"/>
                                    </a:lnTo>
                                    <a:lnTo>
                                      <a:pt x="365" y="257"/>
                                    </a:lnTo>
                                    <a:lnTo>
                                      <a:pt x="482" y="171"/>
                                    </a:lnTo>
                                    <a:lnTo>
                                      <a:pt x="536" y="127"/>
                                    </a:lnTo>
                                    <a:lnTo>
                                      <a:pt x="515" y="32"/>
                                    </a:lnTo>
                                    <a:lnTo>
                                      <a:pt x="665" y="0"/>
                                    </a:lnTo>
                                    <a:lnTo>
                                      <a:pt x="1168" y="535"/>
                                    </a:lnTo>
                                    <a:lnTo>
                                      <a:pt x="750" y="792"/>
                                    </a:lnTo>
                                    <a:lnTo>
                                      <a:pt x="622" y="825"/>
                                    </a:lnTo>
                                    <a:close/>
                                  </a:path>
                                </a:pathLst>
                              </a:custGeom>
                              <a:noFill/>
                              <a:ln w="19050"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72" o:spid="_x0000_s1026" o:spt="100" style="position:absolute;left:0pt;margin-left:291.75pt;margin-top:49.3pt;height:42.85pt;width:58.4pt;z-index:251695104;mso-width-relative:page;mso-height-relative:page;" filled="f" stroked="t" coordsize="1168,857" o:gfxdata="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DcWZo02AAAAAoBAAAPAAAAAAAAAAEAIAAAACIAAABkcnMvZG93bnJldi54bWxQ&#10;SwECFAAUAAAACACHTuJAuNWyDtsCAAAeBwAADgAAAAAAAAABACAAAAAnAQAAZHJzL2Uyb0RvYy54&#10;bWxQSwUGAAAAAAYABgBZAQAAdAYAAAAA&#10;" path="m622,825l440,857,268,857,193,857,140,760,0,652,0,557,236,385,365,257,482,171,536,127,515,32,665,0,1168,535,750,792,622,825xe">
                      <v:fill on="f" focussize="0,0"/>
                      <v:stroke weight="1.5pt" color="#FFFF00" joinstyle="round"/>
                      <v:imagedata o:title=""/>
                      <o:lock v:ext="edit" aspectratio="f"/>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2209165</wp:posOffset>
                      </wp:positionH>
                      <wp:positionV relativeFrom="paragraph">
                        <wp:posOffset>1352550</wp:posOffset>
                      </wp:positionV>
                      <wp:extent cx="455295" cy="76200"/>
                      <wp:effectExtent l="0" t="0" r="0" b="0"/>
                      <wp:wrapNone/>
                      <wp:docPr id="49" name="矩形 68"/>
                      <wp:cNvGraphicFramePr/>
                      <a:graphic xmlns:a="http://schemas.openxmlformats.org/drawingml/2006/main">
                        <a:graphicData uri="http://schemas.microsoft.com/office/word/2010/wordprocessingShape">
                          <wps:wsp>
                            <wps:cNvSpPr/>
                            <wps:spPr>
                              <a:xfrm>
                                <a:off x="0" y="0"/>
                                <a:ext cx="455295" cy="76200"/>
                              </a:xfrm>
                              <a:prstGeom prst="rect">
                                <a:avLst/>
                              </a:prstGeom>
                              <a:solidFill>
                                <a:srgbClr val="FF0000"/>
                              </a:solidFill>
                              <a:ln w="12700" cap="flat" cmpd="sng">
                                <a:solidFill>
                                  <a:srgbClr val="000000"/>
                                </a:solidFill>
                                <a:prstDash val="solid"/>
                                <a:miter/>
                                <a:headEnd type="none" w="med" len="med"/>
                                <a:tailEnd type="none" w="med" len="med"/>
                              </a:ln>
                            </wps:spPr>
                            <wps:bodyPr wrap="square" upright="1"/>
                          </wps:wsp>
                        </a:graphicData>
                      </a:graphic>
                    </wp:anchor>
                  </w:drawing>
                </mc:Choice>
                <mc:Fallback>
                  <w:pict>
                    <v:rect id="矩形 68" o:spid="_x0000_s1026" o:spt="1" style="position:absolute;left:0pt;margin-left:173.95pt;margin-top:106.5pt;height:6pt;width:35.85pt;z-index:251694080;mso-width-relative:page;mso-height-relative:page;" fillcolor="#FF0000" filled="t" stroked="t" coordsize="21600,21600" o:gfxdata="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D6wDtsAAAALAQAADwAAAAAAAAABACAAAAAi&#10;AAAAZHJzL2Rvd25yZXYueG1sUEsBAhQAFAAAAAgAh07iQKFCjBcHAgAALQQAAA4AAAAAAAAAAQAg&#10;AAAAKgEAAGRycy9lMm9Eb2MueG1sUEsFBgAAAAAGAAYAWQEAAKMFAAAAAA==&#10;">
                      <v:fill on="t" focussize="0,0"/>
                      <v:stroke weight="1pt" color="#000000" joinstyle="miter"/>
                      <v:imagedata o:title=""/>
                      <o:lock v:ext="edit" aspectratio="f"/>
                    </v:rect>
                  </w:pict>
                </mc:Fallback>
              </mc:AlternateContent>
            </w:r>
            <w:r>
              <w:rPr>
                <w:rFonts w:hint="eastAsia"/>
              </w:rPr>
              <w:drawing>
                <wp:inline distT="0" distB="0" distL="114300" distR="114300">
                  <wp:extent cx="4996180" cy="3413125"/>
                  <wp:effectExtent l="0" t="0" r="0" b="0"/>
                  <wp:docPr id="69" name="图片 61"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1" descr="00"/>
                          <pic:cNvPicPr>
                            <a:picLocks noChangeAspect="1"/>
                          </pic:cNvPicPr>
                        </pic:nvPicPr>
                        <pic:blipFill>
                          <a:blip r:embed="rId27"/>
                          <a:stretch>
                            <a:fillRect/>
                          </a:stretch>
                        </pic:blipFill>
                        <pic:spPr>
                          <a:xfrm>
                            <a:off x="0" y="0"/>
                            <a:ext cx="4996180" cy="3413125"/>
                          </a:xfrm>
                          <a:prstGeom prst="rect">
                            <a:avLst/>
                          </a:prstGeom>
                          <a:noFill/>
                          <a:ln>
                            <a:noFill/>
                          </a:ln>
                        </pic:spPr>
                      </pic:pic>
                    </a:graphicData>
                  </a:graphic>
                </wp:inline>
              </w:drawing>
            </w:r>
          </w:p>
        </w:tc>
      </w:tr>
    </w:tbl>
    <w:p>
      <w:pPr>
        <w:autoSpaceDE w:val="0"/>
        <w:autoSpaceDN w:val="0"/>
        <w:adjustRightInd w:val="0"/>
        <w:spacing w:before="120" w:beforeLines="50" w:line="240" w:lineRule="auto"/>
        <w:ind w:firstLine="0" w:firstLineChars="0"/>
        <w:jc w:val="center"/>
        <w:rPr>
          <w:rFonts w:ascii="黑体" w:hAnsi="黑体" w:eastAsia="黑体"/>
        </w:rPr>
      </w:pPr>
      <w:r>
        <w:rPr>
          <w:rFonts w:hint="eastAsia" w:ascii="黑体" w:hAnsi="黑体" w:eastAsia="黑体"/>
        </w:rPr>
        <w:t>图2.10-1  取土场周边环境及其与抬水坝址位置关系示意图</w:t>
      </w:r>
    </w:p>
    <w:p>
      <w:pPr>
        <w:pStyle w:val="7"/>
        <w:spacing w:before="120" w:beforeLines="50"/>
        <w:rPr>
          <w:szCs w:val="24"/>
        </w:rPr>
      </w:pPr>
      <w:r>
        <w:rPr>
          <w:rFonts w:hint="eastAsia"/>
          <w:szCs w:val="24"/>
        </w:rPr>
        <w:t>2.10.2</w:t>
      </w:r>
      <w:r>
        <w:rPr>
          <w:szCs w:val="24"/>
        </w:rPr>
        <w:t>临时表土堆场布设</w:t>
      </w:r>
    </w:p>
    <w:p>
      <w:pPr>
        <w:pStyle w:val="36"/>
        <w:ind w:left="0" w:leftChars="0" w:firstLine="480" w:firstLineChars="200"/>
      </w:pPr>
      <w:r>
        <w:t>根据《</w:t>
      </w:r>
      <w:r>
        <w:rPr>
          <w:rFonts w:hint="eastAsia"/>
        </w:rPr>
        <w:t>上高</w:t>
      </w:r>
      <w:r>
        <w:t>县</w:t>
      </w:r>
      <w:r>
        <w:rPr>
          <w:rFonts w:hint="eastAsia"/>
        </w:rPr>
        <w:t>毛家渡</w:t>
      </w:r>
      <w:r>
        <w:t>抬水工程</w:t>
      </w:r>
      <w:r>
        <w:rPr>
          <w:rFonts w:hint="eastAsia"/>
        </w:rPr>
        <w:t>可行性研究报告</w:t>
      </w:r>
      <w:r>
        <w:t>》，项目表土剥离量</w:t>
      </w:r>
      <w:r>
        <w:rPr>
          <w:rFonts w:hint="eastAsia"/>
        </w:rPr>
        <w:t>0.18</w:t>
      </w:r>
      <w:r>
        <w:t>万m</w:t>
      </w:r>
      <w:r>
        <w:rPr>
          <w:vertAlign w:val="superscript"/>
        </w:rPr>
        <w:t>3</w:t>
      </w:r>
      <w:r>
        <w:t>，共设置有</w:t>
      </w:r>
      <w:r>
        <w:rPr>
          <w:rFonts w:hint="eastAsia"/>
        </w:rPr>
        <w:t>3</w:t>
      </w:r>
      <w:r>
        <w:t>处临时堆土场，占地面积为</w:t>
      </w:r>
      <w:r>
        <w:rPr>
          <w:rFonts w:hint="eastAsia"/>
        </w:rPr>
        <w:t>6亩</w:t>
      </w:r>
      <w:r>
        <w:t>，堆土场总堆土量为</w:t>
      </w:r>
      <w:r>
        <w:rPr>
          <w:rFonts w:hint="eastAsia"/>
        </w:rPr>
        <w:t>0.195</w:t>
      </w:r>
      <w:r>
        <w:t>万m³，采用一次建成，反复堆放，堆高控制在2.5m以内。施工过程中需对表土进行妥善的处理，设置拦挡、排水、苫盖措施，充分保护表土资源，施工结束后用于各场地绿化覆土。</w:t>
      </w:r>
      <w:r>
        <w:rPr>
          <w:rFonts w:hint="eastAsia"/>
        </w:rPr>
        <w:t>临时表土堆场具体情况</w:t>
      </w:r>
      <w:r>
        <w:t>详见表</w:t>
      </w:r>
      <w:r>
        <w:rPr>
          <w:rFonts w:hint="eastAsia"/>
        </w:rPr>
        <w:t>2.10-1及图2.10-2临时表土堆场布置示意图</w:t>
      </w:r>
      <w:r>
        <w:t>。</w:t>
      </w:r>
    </w:p>
    <w:p>
      <w:pPr>
        <w:spacing w:before="120" w:beforeLines="50" w:line="240" w:lineRule="auto"/>
        <w:ind w:firstLine="0" w:firstLineChars="0"/>
        <w:jc w:val="center"/>
        <w:rPr>
          <w:rFonts w:ascii="黑体" w:eastAsia="黑体"/>
          <w:szCs w:val="24"/>
        </w:rPr>
      </w:pPr>
      <w:r>
        <w:rPr>
          <w:rFonts w:ascii="黑体" w:eastAsia="黑体"/>
          <w:szCs w:val="24"/>
        </w:rPr>
        <w:t>表</w:t>
      </w:r>
      <w:r>
        <w:rPr>
          <w:rFonts w:hint="eastAsia" w:ascii="黑体" w:eastAsia="黑体"/>
          <w:szCs w:val="24"/>
        </w:rPr>
        <w:t xml:space="preserve">2.10-1   </w:t>
      </w:r>
      <w:r>
        <w:rPr>
          <w:rFonts w:ascii="黑体" w:eastAsia="黑体"/>
          <w:szCs w:val="24"/>
        </w:rPr>
        <w:t>临时堆土场</w:t>
      </w:r>
      <w:r>
        <w:rPr>
          <w:rFonts w:hint="eastAsia" w:ascii="黑体" w:eastAsia="黑体"/>
          <w:szCs w:val="24"/>
        </w:rPr>
        <w:t>基本情况一览表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86"/>
        <w:gridCol w:w="1117"/>
        <w:gridCol w:w="1297"/>
        <w:gridCol w:w="915"/>
        <w:gridCol w:w="994"/>
        <w:gridCol w:w="1569"/>
        <w:gridCol w:w="19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Merge w:val="restart"/>
            <w:vAlign w:val="center"/>
          </w:tcPr>
          <w:p>
            <w:pPr>
              <w:spacing w:line="340" w:lineRule="exact"/>
              <w:ind w:firstLine="0" w:firstLineChars="0"/>
              <w:jc w:val="center"/>
              <w:rPr>
                <w:sz w:val="21"/>
                <w:szCs w:val="21"/>
              </w:rPr>
            </w:pPr>
            <w:r>
              <w:rPr>
                <w:rFonts w:hAnsi="宋体"/>
                <w:sz w:val="21"/>
                <w:szCs w:val="21"/>
              </w:rPr>
              <w:t>名称</w:t>
            </w:r>
          </w:p>
        </w:tc>
        <w:tc>
          <w:tcPr>
            <w:tcW w:w="583" w:type="pct"/>
            <w:vMerge w:val="restart"/>
            <w:vAlign w:val="center"/>
          </w:tcPr>
          <w:p>
            <w:pPr>
              <w:spacing w:line="340" w:lineRule="exact"/>
              <w:ind w:firstLine="0" w:firstLineChars="0"/>
              <w:jc w:val="center"/>
              <w:rPr>
                <w:sz w:val="21"/>
                <w:szCs w:val="21"/>
              </w:rPr>
            </w:pPr>
            <w:r>
              <w:rPr>
                <w:rFonts w:hAnsi="宋体"/>
                <w:sz w:val="21"/>
                <w:szCs w:val="21"/>
              </w:rPr>
              <w:t>面积</w:t>
            </w:r>
          </w:p>
          <w:p>
            <w:pPr>
              <w:spacing w:line="340" w:lineRule="exact"/>
              <w:ind w:firstLine="0" w:firstLineChars="0"/>
              <w:jc w:val="center"/>
              <w:rPr>
                <w:sz w:val="21"/>
                <w:szCs w:val="21"/>
              </w:rPr>
            </w:pPr>
            <w:r>
              <w:rPr>
                <w:rFonts w:hAnsi="宋体"/>
                <w:sz w:val="21"/>
                <w:szCs w:val="21"/>
              </w:rPr>
              <w:t>（</w:t>
            </w:r>
            <w:r>
              <w:rPr>
                <w:rFonts w:hint="eastAsia"/>
                <w:sz w:val="21"/>
                <w:szCs w:val="21"/>
              </w:rPr>
              <w:t>亩</w:t>
            </w:r>
            <w:r>
              <w:rPr>
                <w:rFonts w:hAnsi="宋体"/>
                <w:sz w:val="21"/>
                <w:szCs w:val="21"/>
              </w:rPr>
              <w:t>）</w:t>
            </w:r>
          </w:p>
        </w:tc>
        <w:tc>
          <w:tcPr>
            <w:tcW w:w="677" w:type="pct"/>
            <w:vMerge w:val="restart"/>
            <w:vAlign w:val="center"/>
          </w:tcPr>
          <w:p>
            <w:pPr>
              <w:spacing w:line="340" w:lineRule="exact"/>
              <w:ind w:firstLine="0" w:firstLineChars="0"/>
              <w:jc w:val="center"/>
              <w:rPr>
                <w:sz w:val="21"/>
                <w:szCs w:val="21"/>
              </w:rPr>
            </w:pPr>
            <w:r>
              <w:rPr>
                <w:rFonts w:hAnsi="宋体"/>
                <w:sz w:val="21"/>
                <w:szCs w:val="21"/>
              </w:rPr>
              <w:t>容量</w:t>
            </w:r>
          </w:p>
          <w:p>
            <w:pPr>
              <w:spacing w:line="340" w:lineRule="exact"/>
              <w:ind w:firstLine="0" w:firstLineChars="0"/>
              <w:jc w:val="center"/>
              <w:rPr>
                <w:sz w:val="21"/>
                <w:szCs w:val="21"/>
              </w:rPr>
            </w:pPr>
            <w:r>
              <w:rPr>
                <w:rFonts w:hAnsi="宋体"/>
                <w:sz w:val="21"/>
                <w:szCs w:val="21"/>
              </w:rPr>
              <w:t>（万</w:t>
            </w:r>
            <w:r>
              <w:rPr>
                <w:sz w:val="21"/>
                <w:szCs w:val="21"/>
              </w:rPr>
              <w:t>m</w:t>
            </w:r>
            <w:r>
              <w:rPr>
                <w:sz w:val="21"/>
                <w:szCs w:val="21"/>
                <w:vertAlign w:val="superscript"/>
              </w:rPr>
              <w:t>3</w:t>
            </w:r>
            <w:r>
              <w:rPr>
                <w:rFonts w:hAnsi="宋体"/>
                <w:sz w:val="21"/>
                <w:szCs w:val="21"/>
              </w:rPr>
              <w:t>）</w:t>
            </w:r>
          </w:p>
        </w:tc>
        <w:tc>
          <w:tcPr>
            <w:tcW w:w="478" w:type="pct"/>
            <w:vMerge w:val="restart"/>
            <w:vAlign w:val="center"/>
          </w:tcPr>
          <w:p>
            <w:pPr>
              <w:spacing w:line="340" w:lineRule="exact"/>
              <w:ind w:firstLine="0" w:firstLineChars="0"/>
              <w:jc w:val="center"/>
              <w:rPr>
                <w:sz w:val="21"/>
                <w:szCs w:val="21"/>
              </w:rPr>
            </w:pPr>
            <w:r>
              <w:rPr>
                <w:rFonts w:hAnsi="宋体"/>
                <w:sz w:val="21"/>
                <w:szCs w:val="21"/>
              </w:rPr>
              <w:t>堆高</w:t>
            </w:r>
          </w:p>
          <w:p>
            <w:pPr>
              <w:spacing w:line="340" w:lineRule="exact"/>
              <w:ind w:firstLine="0" w:firstLineChars="0"/>
              <w:jc w:val="center"/>
              <w:rPr>
                <w:sz w:val="21"/>
                <w:szCs w:val="21"/>
              </w:rPr>
            </w:pPr>
            <w:r>
              <w:rPr>
                <w:rFonts w:hAnsi="宋体"/>
                <w:sz w:val="21"/>
                <w:szCs w:val="21"/>
              </w:rPr>
              <w:t>（</w:t>
            </w:r>
            <w:r>
              <w:rPr>
                <w:sz w:val="21"/>
                <w:szCs w:val="21"/>
              </w:rPr>
              <w:t>m</w:t>
            </w:r>
            <w:r>
              <w:rPr>
                <w:rFonts w:hAnsi="宋体"/>
                <w:sz w:val="21"/>
                <w:szCs w:val="21"/>
              </w:rPr>
              <w:t>）</w:t>
            </w:r>
          </w:p>
        </w:tc>
        <w:tc>
          <w:tcPr>
            <w:tcW w:w="519" w:type="pct"/>
            <w:vMerge w:val="restart"/>
            <w:vAlign w:val="center"/>
          </w:tcPr>
          <w:p>
            <w:pPr>
              <w:spacing w:line="340" w:lineRule="exact"/>
              <w:ind w:firstLine="0" w:firstLineChars="0"/>
              <w:jc w:val="center"/>
              <w:rPr>
                <w:sz w:val="21"/>
                <w:szCs w:val="21"/>
              </w:rPr>
            </w:pPr>
            <w:r>
              <w:rPr>
                <w:rFonts w:hAnsi="宋体"/>
                <w:sz w:val="21"/>
                <w:szCs w:val="21"/>
              </w:rPr>
              <w:t>堆土量</w:t>
            </w:r>
          </w:p>
          <w:p>
            <w:pPr>
              <w:spacing w:line="340" w:lineRule="exact"/>
              <w:ind w:firstLine="0" w:firstLineChars="0"/>
              <w:jc w:val="center"/>
              <w:rPr>
                <w:sz w:val="21"/>
                <w:szCs w:val="21"/>
              </w:rPr>
            </w:pPr>
            <w:r>
              <w:rPr>
                <w:rFonts w:hAnsi="宋体"/>
                <w:sz w:val="21"/>
                <w:szCs w:val="21"/>
              </w:rPr>
              <w:t>（</w:t>
            </w:r>
            <w:r>
              <w:rPr>
                <w:sz w:val="21"/>
                <w:szCs w:val="21"/>
              </w:rPr>
              <w:t>m</w:t>
            </w:r>
            <w:r>
              <w:rPr>
                <w:sz w:val="21"/>
                <w:szCs w:val="21"/>
                <w:vertAlign w:val="superscript"/>
              </w:rPr>
              <w:t>3</w:t>
            </w:r>
            <w:r>
              <w:rPr>
                <w:rFonts w:hAnsi="宋体"/>
                <w:sz w:val="21"/>
                <w:szCs w:val="21"/>
              </w:rPr>
              <w:t>）</w:t>
            </w:r>
          </w:p>
        </w:tc>
        <w:tc>
          <w:tcPr>
            <w:tcW w:w="819" w:type="pct"/>
            <w:vMerge w:val="restart"/>
            <w:vAlign w:val="center"/>
          </w:tcPr>
          <w:p>
            <w:pPr>
              <w:spacing w:line="340" w:lineRule="exact"/>
              <w:ind w:firstLine="0" w:firstLineChars="0"/>
              <w:jc w:val="center"/>
              <w:rPr>
                <w:sz w:val="21"/>
                <w:szCs w:val="21"/>
              </w:rPr>
            </w:pPr>
            <w:r>
              <w:rPr>
                <w:rFonts w:hAnsi="宋体"/>
                <w:sz w:val="21"/>
                <w:szCs w:val="21"/>
              </w:rPr>
              <w:t>占地类型</w:t>
            </w:r>
          </w:p>
        </w:tc>
        <w:tc>
          <w:tcPr>
            <w:tcW w:w="1040" w:type="pct"/>
            <w:vMerge w:val="restart"/>
            <w:vAlign w:val="center"/>
          </w:tcPr>
          <w:p>
            <w:pPr>
              <w:spacing w:line="340" w:lineRule="exact"/>
              <w:ind w:firstLine="0" w:firstLineChars="0"/>
              <w:jc w:val="center"/>
              <w:rPr>
                <w:sz w:val="21"/>
                <w:szCs w:val="21"/>
              </w:rPr>
            </w:pPr>
            <w:r>
              <w:rPr>
                <w:rFonts w:hint="eastAsia"/>
                <w:sz w:val="21"/>
                <w:szCs w:val="21"/>
              </w:rPr>
              <w:t>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Merge w:val="continue"/>
            <w:vAlign w:val="center"/>
          </w:tcPr>
          <w:p>
            <w:pPr>
              <w:spacing w:line="340" w:lineRule="exact"/>
              <w:ind w:firstLine="0" w:firstLineChars="0"/>
              <w:jc w:val="center"/>
              <w:rPr>
                <w:sz w:val="21"/>
                <w:szCs w:val="21"/>
              </w:rPr>
            </w:pPr>
          </w:p>
        </w:tc>
        <w:tc>
          <w:tcPr>
            <w:tcW w:w="583" w:type="pct"/>
            <w:vMerge w:val="continue"/>
            <w:vAlign w:val="center"/>
          </w:tcPr>
          <w:p>
            <w:pPr>
              <w:spacing w:line="340" w:lineRule="exact"/>
              <w:ind w:firstLine="0" w:firstLineChars="0"/>
              <w:jc w:val="center"/>
              <w:rPr>
                <w:sz w:val="21"/>
                <w:szCs w:val="21"/>
              </w:rPr>
            </w:pPr>
          </w:p>
        </w:tc>
        <w:tc>
          <w:tcPr>
            <w:tcW w:w="677" w:type="pct"/>
            <w:vMerge w:val="continue"/>
            <w:vAlign w:val="center"/>
          </w:tcPr>
          <w:p>
            <w:pPr>
              <w:spacing w:line="340" w:lineRule="exact"/>
              <w:ind w:firstLine="0" w:firstLineChars="0"/>
              <w:jc w:val="center"/>
              <w:rPr>
                <w:sz w:val="21"/>
                <w:szCs w:val="21"/>
              </w:rPr>
            </w:pPr>
          </w:p>
        </w:tc>
        <w:tc>
          <w:tcPr>
            <w:tcW w:w="478" w:type="pct"/>
            <w:vMerge w:val="continue"/>
            <w:vAlign w:val="center"/>
          </w:tcPr>
          <w:p>
            <w:pPr>
              <w:spacing w:line="340" w:lineRule="exact"/>
              <w:ind w:firstLine="0" w:firstLineChars="0"/>
              <w:jc w:val="center"/>
              <w:rPr>
                <w:sz w:val="21"/>
                <w:szCs w:val="21"/>
              </w:rPr>
            </w:pPr>
          </w:p>
        </w:tc>
        <w:tc>
          <w:tcPr>
            <w:tcW w:w="519" w:type="pct"/>
            <w:vMerge w:val="continue"/>
            <w:vAlign w:val="center"/>
          </w:tcPr>
          <w:p>
            <w:pPr>
              <w:spacing w:line="340" w:lineRule="exact"/>
              <w:ind w:firstLine="0" w:firstLineChars="0"/>
              <w:jc w:val="center"/>
              <w:rPr>
                <w:sz w:val="21"/>
                <w:szCs w:val="21"/>
              </w:rPr>
            </w:pPr>
          </w:p>
        </w:tc>
        <w:tc>
          <w:tcPr>
            <w:tcW w:w="819" w:type="pct"/>
            <w:vMerge w:val="continue"/>
            <w:vAlign w:val="center"/>
          </w:tcPr>
          <w:p>
            <w:pPr>
              <w:spacing w:line="340" w:lineRule="exact"/>
              <w:ind w:firstLine="0" w:firstLineChars="0"/>
              <w:jc w:val="center"/>
              <w:rPr>
                <w:sz w:val="21"/>
                <w:szCs w:val="21"/>
              </w:rPr>
            </w:pPr>
          </w:p>
        </w:tc>
        <w:tc>
          <w:tcPr>
            <w:tcW w:w="1040" w:type="pct"/>
            <w:vMerge w:val="continue"/>
            <w:vAlign w:val="center"/>
          </w:tcPr>
          <w:p>
            <w:pPr>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Align w:val="center"/>
          </w:tcPr>
          <w:p>
            <w:pPr>
              <w:spacing w:line="340" w:lineRule="exact"/>
              <w:ind w:firstLine="0" w:firstLineChars="0"/>
              <w:jc w:val="center"/>
              <w:rPr>
                <w:sz w:val="21"/>
                <w:szCs w:val="21"/>
              </w:rPr>
            </w:pPr>
            <w:r>
              <w:rPr>
                <w:sz w:val="21"/>
                <w:szCs w:val="21"/>
              </w:rPr>
              <w:t>1#</w:t>
            </w:r>
            <w:r>
              <w:rPr>
                <w:rFonts w:hAnsi="宋体"/>
                <w:sz w:val="21"/>
                <w:szCs w:val="21"/>
              </w:rPr>
              <w:t>临时堆土场</w:t>
            </w:r>
          </w:p>
        </w:tc>
        <w:tc>
          <w:tcPr>
            <w:tcW w:w="583" w:type="pct"/>
            <w:vAlign w:val="center"/>
          </w:tcPr>
          <w:p>
            <w:pPr>
              <w:spacing w:line="340" w:lineRule="exact"/>
              <w:ind w:firstLine="0" w:firstLineChars="0"/>
              <w:jc w:val="center"/>
              <w:rPr>
                <w:sz w:val="21"/>
                <w:szCs w:val="21"/>
              </w:rPr>
            </w:pPr>
            <w:r>
              <w:rPr>
                <w:rFonts w:hint="eastAsia"/>
                <w:sz w:val="21"/>
                <w:szCs w:val="21"/>
              </w:rPr>
              <w:t>2</w:t>
            </w:r>
          </w:p>
        </w:tc>
        <w:tc>
          <w:tcPr>
            <w:tcW w:w="677" w:type="pct"/>
            <w:vAlign w:val="center"/>
          </w:tcPr>
          <w:p>
            <w:pPr>
              <w:spacing w:line="340" w:lineRule="exact"/>
              <w:ind w:firstLine="0" w:firstLineChars="0"/>
              <w:jc w:val="center"/>
              <w:rPr>
                <w:sz w:val="21"/>
                <w:szCs w:val="21"/>
              </w:rPr>
            </w:pPr>
            <w:r>
              <w:rPr>
                <w:rFonts w:hint="eastAsia"/>
                <w:sz w:val="21"/>
                <w:szCs w:val="21"/>
              </w:rPr>
              <w:t>0.065</w:t>
            </w:r>
          </w:p>
        </w:tc>
        <w:tc>
          <w:tcPr>
            <w:tcW w:w="478" w:type="pct"/>
            <w:vMerge w:val="restart"/>
            <w:vAlign w:val="center"/>
          </w:tcPr>
          <w:p>
            <w:pPr>
              <w:spacing w:line="340" w:lineRule="exact"/>
              <w:ind w:firstLine="0" w:firstLineChars="0"/>
              <w:jc w:val="center"/>
              <w:rPr>
                <w:sz w:val="21"/>
                <w:szCs w:val="21"/>
              </w:rPr>
            </w:pPr>
            <w:r>
              <w:rPr>
                <w:sz w:val="21"/>
                <w:szCs w:val="21"/>
              </w:rPr>
              <w:t>2</w:t>
            </w:r>
            <w:r>
              <w:rPr>
                <w:rFonts w:hint="eastAsia" w:hAnsi="宋体"/>
                <w:sz w:val="21"/>
                <w:szCs w:val="21"/>
              </w:rPr>
              <w:t>.</w:t>
            </w:r>
            <w:r>
              <w:rPr>
                <w:sz w:val="21"/>
                <w:szCs w:val="21"/>
              </w:rPr>
              <w:t>5</w:t>
            </w:r>
          </w:p>
        </w:tc>
        <w:tc>
          <w:tcPr>
            <w:tcW w:w="519" w:type="pct"/>
            <w:vAlign w:val="center"/>
          </w:tcPr>
          <w:p>
            <w:pPr>
              <w:spacing w:line="340" w:lineRule="exact"/>
              <w:ind w:firstLine="0" w:firstLineChars="0"/>
              <w:jc w:val="center"/>
              <w:rPr>
                <w:sz w:val="21"/>
                <w:szCs w:val="21"/>
              </w:rPr>
            </w:pPr>
            <w:r>
              <w:rPr>
                <w:rFonts w:hint="eastAsia"/>
                <w:sz w:val="21"/>
                <w:szCs w:val="21"/>
              </w:rPr>
              <w:t>0.06</w:t>
            </w:r>
          </w:p>
        </w:tc>
        <w:tc>
          <w:tcPr>
            <w:tcW w:w="819" w:type="pct"/>
            <w:vMerge w:val="restart"/>
            <w:vAlign w:val="center"/>
          </w:tcPr>
          <w:p>
            <w:pPr>
              <w:spacing w:line="340" w:lineRule="exact"/>
              <w:ind w:firstLine="0" w:firstLineChars="0"/>
              <w:jc w:val="center"/>
              <w:rPr>
                <w:sz w:val="21"/>
                <w:szCs w:val="21"/>
              </w:rPr>
            </w:pPr>
            <w:r>
              <w:rPr>
                <w:rFonts w:hint="eastAsia"/>
                <w:sz w:val="21"/>
                <w:szCs w:val="21"/>
              </w:rPr>
              <w:t>荒草地</w:t>
            </w:r>
          </w:p>
        </w:tc>
        <w:tc>
          <w:tcPr>
            <w:tcW w:w="1040" w:type="pct"/>
            <w:vAlign w:val="center"/>
          </w:tcPr>
          <w:p>
            <w:pPr>
              <w:spacing w:line="340" w:lineRule="exact"/>
              <w:ind w:firstLine="0" w:firstLineChars="0"/>
              <w:jc w:val="center"/>
              <w:rPr>
                <w:sz w:val="21"/>
                <w:szCs w:val="21"/>
              </w:rPr>
            </w:pPr>
            <w:r>
              <w:rPr>
                <w:rFonts w:hint="eastAsia"/>
                <w:sz w:val="21"/>
                <w:szCs w:val="21"/>
              </w:rPr>
              <w:t>如图2.10-2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Align w:val="center"/>
          </w:tcPr>
          <w:p>
            <w:pPr>
              <w:spacing w:line="340" w:lineRule="exact"/>
              <w:ind w:firstLine="0" w:firstLineChars="0"/>
              <w:jc w:val="center"/>
              <w:rPr>
                <w:sz w:val="21"/>
                <w:szCs w:val="21"/>
              </w:rPr>
            </w:pPr>
            <w:r>
              <w:rPr>
                <w:sz w:val="21"/>
                <w:szCs w:val="21"/>
              </w:rPr>
              <w:t>2#</w:t>
            </w:r>
            <w:r>
              <w:rPr>
                <w:rFonts w:hAnsi="宋体"/>
                <w:sz w:val="21"/>
                <w:szCs w:val="21"/>
              </w:rPr>
              <w:t>临时堆土场</w:t>
            </w:r>
          </w:p>
        </w:tc>
        <w:tc>
          <w:tcPr>
            <w:tcW w:w="583" w:type="pct"/>
            <w:vAlign w:val="center"/>
          </w:tcPr>
          <w:p>
            <w:pPr>
              <w:spacing w:line="340" w:lineRule="exact"/>
              <w:ind w:firstLine="0" w:firstLineChars="0"/>
              <w:jc w:val="center"/>
              <w:rPr>
                <w:sz w:val="21"/>
                <w:szCs w:val="21"/>
              </w:rPr>
            </w:pPr>
            <w:r>
              <w:rPr>
                <w:rFonts w:hint="eastAsia"/>
                <w:sz w:val="21"/>
                <w:szCs w:val="21"/>
              </w:rPr>
              <w:t>2</w:t>
            </w:r>
          </w:p>
        </w:tc>
        <w:tc>
          <w:tcPr>
            <w:tcW w:w="677" w:type="pct"/>
            <w:vAlign w:val="center"/>
          </w:tcPr>
          <w:p>
            <w:pPr>
              <w:spacing w:line="340" w:lineRule="exact"/>
              <w:ind w:firstLine="0" w:firstLineChars="0"/>
              <w:jc w:val="center"/>
              <w:rPr>
                <w:sz w:val="21"/>
                <w:szCs w:val="21"/>
              </w:rPr>
            </w:pPr>
            <w:r>
              <w:rPr>
                <w:rFonts w:hint="eastAsia"/>
                <w:sz w:val="21"/>
                <w:szCs w:val="21"/>
              </w:rPr>
              <w:t>0.065</w:t>
            </w:r>
          </w:p>
        </w:tc>
        <w:tc>
          <w:tcPr>
            <w:tcW w:w="478" w:type="pct"/>
            <w:vMerge w:val="continue"/>
            <w:vAlign w:val="center"/>
          </w:tcPr>
          <w:p>
            <w:pPr>
              <w:spacing w:line="340" w:lineRule="exact"/>
              <w:ind w:firstLine="0" w:firstLineChars="0"/>
              <w:jc w:val="center"/>
              <w:rPr>
                <w:sz w:val="21"/>
                <w:szCs w:val="21"/>
              </w:rPr>
            </w:pPr>
          </w:p>
        </w:tc>
        <w:tc>
          <w:tcPr>
            <w:tcW w:w="519" w:type="pct"/>
            <w:vAlign w:val="center"/>
          </w:tcPr>
          <w:p>
            <w:pPr>
              <w:spacing w:line="340" w:lineRule="exact"/>
              <w:ind w:firstLine="0" w:firstLineChars="0"/>
              <w:jc w:val="center"/>
              <w:rPr>
                <w:sz w:val="21"/>
                <w:szCs w:val="21"/>
              </w:rPr>
            </w:pPr>
            <w:r>
              <w:rPr>
                <w:rFonts w:hint="eastAsia"/>
                <w:sz w:val="21"/>
                <w:szCs w:val="21"/>
              </w:rPr>
              <w:t>0.06</w:t>
            </w:r>
          </w:p>
        </w:tc>
        <w:tc>
          <w:tcPr>
            <w:tcW w:w="819" w:type="pct"/>
            <w:vMerge w:val="continue"/>
            <w:vAlign w:val="center"/>
          </w:tcPr>
          <w:p>
            <w:pPr>
              <w:spacing w:line="340" w:lineRule="exact"/>
              <w:ind w:firstLine="0" w:firstLineChars="0"/>
              <w:jc w:val="center"/>
              <w:rPr>
                <w:rFonts w:hAnsi="宋体"/>
                <w:sz w:val="21"/>
                <w:szCs w:val="21"/>
              </w:rPr>
            </w:pPr>
          </w:p>
        </w:tc>
        <w:tc>
          <w:tcPr>
            <w:tcW w:w="1040" w:type="pct"/>
            <w:vAlign w:val="center"/>
          </w:tcPr>
          <w:p>
            <w:pPr>
              <w:spacing w:line="340" w:lineRule="exact"/>
              <w:ind w:firstLine="0" w:firstLineChars="0"/>
              <w:jc w:val="center"/>
              <w:rPr>
                <w:rFonts w:hAnsi="宋体"/>
                <w:sz w:val="21"/>
                <w:szCs w:val="21"/>
              </w:rPr>
            </w:pPr>
            <w:r>
              <w:rPr>
                <w:rFonts w:hint="eastAsia"/>
                <w:sz w:val="21"/>
                <w:szCs w:val="21"/>
              </w:rPr>
              <w:t>如图2.10-2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Align w:val="center"/>
          </w:tcPr>
          <w:p>
            <w:pPr>
              <w:spacing w:line="340" w:lineRule="exact"/>
              <w:ind w:firstLine="0" w:firstLineChars="0"/>
              <w:jc w:val="center"/>
              <w:rPr>
                <w:sz w:val="21"/>
                <w:szCs w:val="21"/>
              </w:rPr>
            </w:pPr>
            <w:r>
              <w:rPr>
                <w:rFonts w:hint="eastAsia"/>
                <w:sz w:val="21"/>
                <w:szCs w:val="21"/>
              </w:rPr>
              <w:t>3</w:t>
            </w:r>
            <w:r>
              <w:rPr>
                <w:sz w:val="21"/>
                <w:szCs w:val="21"/>
              </w:rPr>
              <w:t>#</w:t>
            </w:r>
            <w:r>
              <w:rPr>
                <w:rFonts w:hAnsi="宋体"/>
                <w:sz w:val="21"/>
                <w:szCs w:val="21"/>
              </w:rPr>
              <w:t>临时堆土场</w:t>
            </w:r>
          </w:p>
        </w:tc>
        <w:tc>
          <w:tcPr>
            <w:tcW w:w="583" w:type="pct"/>
            <w:vAlign w:val="center"/>
          </w:tcPr>
          <w:p>
            <w:pPr>
              <w:spacing w:line="340" w:lineRule="exact"/>
              <w:ind w:firstLine="0" w:firstLineChars="0"/>
              <w:jc w:val="center"/>
              <w:rPr>
                <w:sz w:val="21"/>
                <w:szCs w:val="21"/>
              </w:rPr>
            </w:pPr>
            <w:r>
              <w:rPr>
                <w:rFonts w:hint="eastAsia"/>
                <w:sz w:val="21"/>
                <w:szCs w:val="21"/>
              </w:rPr>
              <w:t>2</w:t>
            </w:r>
          </w:p>
        </w:tc>
        <w:tc>
          <w:tcPr>
            <w:tcW w:w="677" w:type="pct"/>
            <w:vAlign w:val="center"/>
          </w:tcPr>
          <w:p>
            <w:pPr>
              <w:spacing w:line="340" w:lineRule="exact"/>
              <w:ind w:firstLine="0" w:firstLineChars="0"/>
              <w:jc w:val="center"/>
              <w:rPr>
                <w:sz w:val="21"/>
                <w:szCs w:val="21"/>
              </w:rPr>
            </w:pPr>
            <w:r>
              <w:rPr>
                <w:rFonts w:hint="eastAsia"/>
                <w:sz w:val="21"/>
                <w:szCs w:val="21"/>
              </w:rPr>
              <w:t>0.065</w:t>
            </w:r>
          </w:p>
        </w:tc>
        <w:tc>
          <w:tcPr>
            <w:tcW w:w="478" w:type="pct"/>
            <w:vMerge w:val="continue"/>
            <w:vAlign w:val="center"/>
          </w:tcPr>
          <w:p>
            <w:pPr>
              <w:spacing w:line="340" w:lineRule="exact"/>
              <w:ind w:firstLine="0" w:firstLineChars="0"/>
              <w:jc w:val="center"/>
              <w:rPr>
                <w:sz w:val="21"/>
                <w:szCs w:val="21"/>
              </w:rPr>
            </w:pPr>
          </w:p>
        </w:tc>
        <w:tc>
          <w:tcPr>
            <w:tcW w:w="519" w:type="pct"/>
            <w:vAlign w:val="center"/>
          </w:tcPr>
          <w:p>
            <w:pPr>
              <w:spacing w:line="340" w:lineRule="exact"/>
              <w:ind w:firstLine="0" w:firstLineChars="0"/>
              <w:jc w:val="center"/>
              <w:rPr>
                <w:sz w:val="21"/>
                <w:szCs w:val="21"/>
              </w:rPr>
            </w:pPr>
            <w:r>
              <w:rPr>
                <w:rFonts w:hint="eastAsia"/>
                <w:sz w:val="21"/>
                <w:szCs w:val="21"/>
              </w:rPr>
              <w:t>0.06</w:t>
            </w:r>
          </w:p>
        </w:tc>
        <w:tc>
          <w:tcPr>
            <w:tcW w:w="819" w:type="pct"/>
            <w:vMerge w:val="continue"/>
            <w:vAlign w:val="center"/>
          </w:tcPr>
          <w:p>
            <w:pPr>
              <w:spacing w:line="340" w:lineRule="exact"/>
              <w:ind w:firstLine="0" w:firstLineChars="0"/>
              <w:jc w:val="center"/>
              <w:rPr>
                <w:sz w:val="21"/>
                <w:szCs w:val="21"/>
              </w:rPr>
            </w:pPr>
          </w:p>
        </w:tc>
        <w:tc>
          <w:tcPr>
            <w:tcW w:w="1040" w:type="pct"/>
            <w:vAlign w:val="center"/>
          </w:tcPr>
          <w:p>
            <w:pPr>
              <w:spacing w:line="340" w:lineRule="exact"/>
              <w:ind w:firstLine="0" w:firstLineChars="0"/>
              <w:jc w:val="center"/>
              <w:rPr>
                <w:sz w:val="21"/>
                <w:szCs w:val="21"/>
              </w:rPr>
            </w:pPr>
            <w:r>
              <w:rPr>
                <w:rFonts w:hint="eastAsia"/>
                <w:sz w:val="21"/>
                <w:szCs w:val="21"/>
              </w:rPr>
              <w:t>如图2.10-2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81" w:type="pct"/>
            <w:vAlign w:val="center"/>
          </w:tcPr>
          <w:p>
            <w:pPr>
              <w:spacing w:line="340" w:lineRule="exact"/>
              <w:ind w:firstLine="0" w:firstLineChars="0"/>
              <w:jc w:val="center"/>
              <w:rPr>
                <w:sz w:val="21"/>
                <w:szCs w:val="21"/>
              </w:rPr>
            </w:pPr>
            <w:r>
              <w:rPr>
                <w:rFonts w:hAnsi="宋体"/>
                <w:sz w:val="21"/>
                <w:szCs w:val="21"/>
              </w:rPr>
              <w:t>合计</w:t>
            </w:r>
          </w:p>
        </w:tc>
        <w:tc>
          <w:tcPr>
            <w:tcW w:w="583" w:type="pct"/>
            <w:vAlign w:val="center"/>
          </w:tcPr>
          <w:p>
            <w:pPr>
              <w:spacing w:line="340" w:lineRule="exact"/>
              <w:ind w:firstLine="0" w:firstLineChars="0"/>
              <w:jc w:val="center"/>
              <w:rPr>
                <w:sz w:val="21"/>
                <w:szCs w:val="21"/>
              </w:rPr>
            </w:pPr>
            <w:r>
              <w:rPr>
                <w:rFonts w:hint="eastAsia"/>
                <w:sz w:val="21"/>
                <w:szCs w:val="21"/>
              </w:rPr>
              <w:t>6</w:t>
            </w:r>
          </w:p>
        </w:tc>
        <w:tc>
          <w:tcPr>
            <w:tcW w:w="677" w:type="pct"/>
            <w:vAlign w:val="center"/>
          </w:tcPr>
          <w:p>
            <w:pPr>
              <w:spacing w:line="340" w:lineRule="exact"/>
              <w:ind w:firstLine="0" w:firstLineChars="0"/>
              <w:jc w:val="center"/>
              <w:rPr>
                <w:sz w:val="21"/>
                <w:szCs w:val="21"/>
              </w:rPr>
            </w:pPr>
            <w:r>
              <w:rPr>
                <w:rFonts w:hint="eastAsia"/>
                <w:sz w:val="21"/>
                <w:szCs w:val="21"/>
              </w:rPr>
              <w:t>0.195</w:t>
            </w:r>
          </w:p>
        </w:tc>
        <w:tc>
          <w:tcPr>
            <w:tcW w:w="478" w:type="pct"/>
            <w:vAlign w:val="center"/>
          </w:tcPr>
          <w:p>
            <w:pPr>
              <w:spacing w:line="340" w:lineRule="exact"/>
              <w:ind w:firstLine="0" w:firstLineChars="0"/>
              <w:jc w:val="center"/>
              <w:rPr>
                <w:sz w:val="21"/>
                <w:szCs w:val="21"/>
              </w:rPr>
            </w:pPr>
            <w:r>
              <w:rPr>
                <w:rFonts w:hint="eastAsia"/>
                <w:sz w:val="21"/>
                <w:szCs w:val="21"/>
              </w:rPr>
              <w:t>/</w:t>
            </w:r>
          </w:p>
        </w:tc>
        <w:tc>
          <w:tcPr>
            <w:tcW w:w="519" w:type="pct"/>
            <w:vAlign w:val="center"/>
          </w:tcPr>
          <w:p>
            <w:pPr>
              <w:spacing w:line="340" w:lineRule="exact"/>
              <w:ind w:firstLine="0" w:firstLineChars="0"/>
              <w:jc w:val="center"/>
              <w:rPr>
                <w:sz w:val="21"/>
                <w:szCs w:val="21"/>
              </w:rPr>
            </w:pPr>
            <w:r>
              <w:rPr>
                <w:rFonts w:hint="eastAsia"/>
                <w:sz w:val="21"/>
                <w:szCs w:val="21"/>
              </w:rPr>
              <w:t>0.18</w:t>
            </w:r>
          </w:p>
        </w:tc>
        <w:tc>
          <w:tcPr>
            <w:tcW w:w="819" w:type="pct"/>
            <w:vAlign w:val="center"/>
          </w:tcPr>
          <w:p>
            <w:pPr>
              <w:spacing w:line="340" w:lineRule="exact"/>
              <w:ind w:firstLine="0" w:firstLineChars="0"/>
              <w:jc w:val="center"/>
              <w:rPr>
                <w:sz w:val="21"/>
                <w:szCs w:val="21"/>
              </w:rPr>
            </w:pPr>
            <w:r>
              <w:rPr>
                <w:rFonts w:hint="eastAsia"/>
                <w:sz w:val="21"/>
                <w:szCs w:val="21"/>
              </w:rPr>
              <w:t>/</w:t>
            </w:r>
          </w:p>
        </w:tc>
        <w:tc>
          <w:tcPr>
            <w:tcW w:w="1040" w:type="pct"/>
            <w:vAlign w:val="center"/>
          </w:tcPr>
          <w:p>
            <w:pPr>
              <w:spacing w:line="340" w:lineRule="exact"/>
              <w:ind w:firstLine="0" w:firstLineChars="0"/>
              <w:jc w:val="center"/>
              <w:rPr>
                <w:sz w:val="21"/>
                <w:szCs w:val="21"/>
              </w:rPr>
            </w:pPr>
            <w:r>
              <w:rPr>
                <w:rFonts w:hint="eastAsia"/>
                <w:sz w:val="21"/>
                <w:szCs w:val="21"/>
              </w:rPr>
              <w:t>/</w:t>
            </w:r>
          </w:p>
        </w:tc>
      </w:tr>
    </w:tbl>
    <w:p>
      <w:pPr>
        <w:pStyle w:val="36"/>
        <w:ind w:left="38" w:leftChars="16" w:firstLine="470" w:firstLineChars="196"/>
        <w:rPr>
          <w:kern w:val="0"/>
          <w:szCs w:val="28"/>
        </w:rPr>
      </w:pPr>
    </w:p>
    <w:p>
      <w:pPr>
        <w:pStyle w:val="573"/>
        <w:spacing w:line="360" w:lineRule="auto"/>
        <w:jc w:val="both"/>
        <w:rPr>
          <w:color w:val="auto"/>
        </w:rPr>
      </w:pPr>
      <w:r>
        <w:drawing>
          <wp:anchor distT="0" distB="0" distL="114300" distR="114300" simplePos="0" relativeHeight="251660288" behindDoc="0" locked="0" layoutInCell="1" allowOverlap="1">
            <wp:simplePos x="0" y="0"/>
            <wp:positionH relativeFrom="column">
              <wp:posOffset>60960</wp:posOffset>
            </wp:positionH>
            <wp:positionV relativeFrom="paragraph">
              <wp:posOffset>43180</wp:posOffset>
            </wp:positionV>
            <wp:extent cx="1245235" cy="782320"/>
            <wp:effectExtent l="0" t="0" r="12065" b="17780"/>
            <wp:wrapNone/>
            <wp:docPr id="50" name="图片 50" descr="上高县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上高县风玫瑰图"/>
                    <pic:cNvPicPr>
                      <a:picLocks noChangeAspect="1"/>
                    </pic:cNvPicPr>
                  </pic:nvPicPr>
                  <pic:blipFill>
                    <a:blip r:embed="rId28"/>
                    <a:stretch>
                      <a:fillRect/>
                    </a:stretch>
                  </pic:blipFill>
                  <pic:spPr>
                    <a:xfrm rot="10800000">
                      <a:off x="0" y="0"/>
                      <a:ext cx="1245235" cy="782320"/>
                    </a:xfrm>
                    <a:prstGeom prst="rect">
                      <a:avLst/>
                    </a:prstGeom>
                  </pic:spPr>
                </pic:pic>
              </a:graphicData>
            </a:graphic>
          </wp:anchor>
        </w:drawing>
      </w:r>
      <w:r>
        <w:rPr>
          <w:color w:val="auto"/>
        </w:rPr>
        <mc:AlternateContent>
          <mc:Choice Requires="wps">
            <w:drawing>
              <wp:anchor distT="0" distB="0" distL="114300" distR="114300" simplePos="0" relativeHeight="251667456" behindDoc="0" locked="0" layoutInCell="1" allowOverlap="1">
                <wp:simplePos x="0" y="0"/>
                <wp:positionH relativeFrom="column">
                  <wp:posOffset>923925</wp:posOffset>
                </wp:positionH>
                <wp:positionV relativeFrom="paragraph">
                  <wp:posOffset>3776980</wp:posOffset>
                </wp:positionV>
                <wp:extent cx="1314450" cy="276225"/>
                <wp:effectExtent l="0" t="0" r="0" b="0"/>
                <wp:wrapNone/>
                <wp:docPr id="9" name="文本框 204"/>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19050">
                          <a:noFill/>
                        </a:ln>
                      </wps:spPr>
                      <wps:txbx>
                        <w:txbxContent>
                          <w:p>
                            <w:pPr>
                              <w:ind w:firstLine="0" w:firstLineChars="0"/>
                              <w:rPr>
                                <w:rFonts w:ascii="黑体" w:hAnsi="黑体" w:eastAsia="黑体"/>
                              </w:rPr>
                            </w:pPr>
                            <w:r>
                              <w:rPr>
                                <w:rFonts w:hint="eastAsia" w:ascii="黑体" w:hAnsi="黑体" w:eastAsia="黑体"/>
                              </w:rPr>
                              <w:t>3#表土临时堆场</w:t>
                            </w:r>
                          </w:p>
                        </w:txbxContent>
                      </wps:txbx>
                      <wps:bodyPr wrap="square" upright="1"/>
                    </wps:wsp>
                  </a:graphicData>
                </a:graphic>
              </wp:anchor>
            </w:drawing>
          </mc:Choice>
          <mc:Fallback>
            <w:pict>
              <v:shape id="文本框 204" o:spid="_x0000_s1026" o:spt="202" type="#_x0000_t202" style="position:absolute;left:0pt;margin-left:72.75pt;margin-top:297.4pt;height:21.75pt;width:103.5pt;z-index:251667456;mso-width-relative:page;mso-height-relative:page;" filled="f" stroked="f" coordsize="21600,21600" o:gfxdata="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rXrcNgAAAALAQAADwAAAAAAAAABACAAAAAiAAAAZHJzL2Rvd25yZXYueG1s&#10;UEsBAhQAFAAAAAgAh07iQCPCR/W/AQAAaAMAAA4AAAAAAAAAAQAgAAAAJwEAAGRycy9lMm9Eb2Mu&#10;eG1sUEsFBgAAAAAGAAYAWQEAAFgFAAAAAA==&#10;">
                <v:fill on="f" focussize="0,0"/>
                <v:stroke on="f" weight="1.5pt"/>
                <v:imagedata o:title=""/>
                <o:lock v:ext="edit" aspectratio="f"/>
                <v:textbox>
                  <w:txbxContent>
                    <w:p>
                      <w:pPr>
                        <w:ind w:firstLine="0" w:firstLineChars="0"/>
                        <w:rPr>
                          <w:rFonts w:ascii="黑体" w:hAnsi="黑体" w:eastAsia="黑体"/>
                        </w:rPr>
                      </w:pPr>
                      <w:r>
                        <w:rPr>
                          <w:rFonts w:hint="eastAsia" w:ascii="黑体" w:hAnsi="黑体" w:eastAsia="黑体"/>
                        </w:rPr>
                        <w:t>3#表土临时堆场</w:t>
                      </w:r>
                    </w:p>
                  </w:txbxContent>
                </v:textbox>
              </v:shape>
            </w:pict>
          </mc:Fallback>
        </mc:AlternateContent>
      </w:r>
      <w:r>
        <w:rPr>
          <w:color w:val="auto"/>
        </w:rPr>
        <mc:AlternateContent>
          <mc:Choice Requires="wps">
            <w:drawing>
              <wp:anchor distT="0" distB="0" distL="114300" distR="114300" simplePos="0" relativeHeight="251705344" behindDoc="0" locked="0" layoutInCell="1" allowOverlap="1">
                <wp:simplePos x="0" y="0"/>
                <wp:positionH relativeFrom="column">
                  <wp:posOffset>1640840</wp:posOffset>
                </wp:positionH>
                <wp:positionV relativeFrom="paragraph">
                  <wp:posOffset>3806825</wp:posOffset>
                </wp:positionV>
                <wp:extent cx="215900" cy="107950"/>
                <wp:effectExtent l="0" t="0" r="0" b="0"/>
                <wp:wrapNone/>
                <wp:docPr id="61" name="矩形 82"/>
                <wp:cNvGraphicFramePr/>
                <a:graphic xmlns:a="http://schemas.openxmlformats.org/drawingml/2006/main">
                  <a:graphicData uri="http://schemas.microsoft.com/office/word/2010/wordprocessingShape">
                    <wps:wsp>
                      <wps:cNvSpPr/>
                      <wps:spPr>
                        <a:xfrm rot="-4392750">
                          <a:off x="0" y="0"/>
                          <a:ext cx="215900" cy="107950"/>
                        </a:xfrm>
                        <a:prstGeom prst="rect">
                          <a:avLst/>
                        </a:prstGeom>
                        <a:solidFill>
                          <a:srgbClr val="92D050"/>
                        </a:solidFill>
                        <a:ln w="19050" cap="flat" cmpd="sng">
                          <a:solidFill>
                            <a:srgbClr val="000000"/>
                          </a:solidFill>
                          <a:prstDash val="solid"/>
                          <a:miter/>
                          <a:headEnd type="none" w="med" len="med"/>
                          <a:tailEnd type="none" w="med" len="med"/>
                        </a:ln>
                      </wps:spPr>
                      <wps:bodyPr wrap="square" upright="1"/>
                    </wps:wsp>
                  </a:graphicData>
                </a:graphic>
              </wp:anchor>
            </w:drawing>
          </mc:Choice>
          <mc:Fallback>
            <w:pict>
              <v:rect id="矩形 82" o:spid="_x0000_s1026" o:spt="1" style="position:absolute;left:0pt;margin-left:129.2pt;margin-top:299.75pt;height:8.5pt;width:17pt;rotation:-4798054f;z-index:251705344;mso-width-relative:page;mso-height-relative:page;" fillcolor="#92D050" filled="t" stroked="t" coordsize="21600,21600" o:gfxdata="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kpnpNsAAAALAQAADwAA&#10;AAAAAAABACAAAAAiAAAAZHJzL2Rvd25yZXYueG1sUEsBAhQAFAAAAAgAh07iQIUYU5cTAgAAPQQA&#10;AA4AAAAAAAAAAQAgAAAAKgEAAGRycy9lMm9Eb2MueG1sUEsFBgAAAAAGAAYAWQEAAK8FAAAAAA==&#10;">
                <v:fill on="t" focussize="0,0"/>
                <v:stroke weight="1.5pt" color="#000000" joinstyle="miter"/>
                <v:imagedata o:title=""/>
                <o:lock v:ext="edit" aspectratio="f"/>
              </v:rect>
            </w:pict>
          </mc:Fallback>
        </mc:AlternateContent>
      </w:r>
      <w:r>
        <w:rPr>
          <w:color w:val="auto"/>
        </w:rPr>
        <mc:AlternateContent>
          <mc:Choice Requires="wps">
            <w:drawing>
              <wp:anchor distT="0" distB="0" distL="114300" distR="114300" simplePos="0" relativeHeight="251710464" behindDoc="0" locked="0" layoutInCell="1" allowOverlap="1">
                <wp:simplePos x="0" y="0"/>
                <wp:positionH relativeFrom="column">
                  <wp:posOffset>4253230</wp:posOffset>
                </wp:positionH>
                <wp:positionV relativeFrom="paragraph">
                  <wp:posOffset>240665</wp:posOffset>
                </wp:positionV>
                <wp:extent cx="215900" cy="107950"/>
                <wp:effectExtent l="0" t="0" r="0" b="0"/>
                <wp:wrapNone/>
                <wp:docPr id="66" name="矩形 198"/>
                <wp:cNvGraphicFramePr/>
                <a:graphic xmlns:a="http://schemas.openxmlformats.org/drawingml/2006/main">
                  <a:graphicData uri="http://schemas.microsoft.com/office/word/2010/wordprocessingShape">
                    <wps:wsp>
                      <wps:cNvSpPr/>
                      <wps:spPr>
                        <a:xfrm rot="-4440000">
                          <a:off x="0" y="0"/>
                          <a:ext cx="215900" cy="107950"/>
                        </a:xfrm>
                        <a:prstGeom prst="rect">
                          <a:avLst/>
                        </a:prstGeom>
                        <a:solidFill>
                          <a:srgbClr val="92D050"/>
                        </a:solidFill>
                        <a:ln w="19050" cap="flat" cmpd="sng">
                          <a:solidFill>
                            <a:srgbClr val="000000"/>
                          </a:solidFill>
                          <a:prstDash val="solid"/>
                          <a:miter/>
                          <a:headEnd type="none" w="med" len="med"/>
                          <a:tailEnd type="none" w="med" len="med"/>
                        </a:ln>
                      </wps:spPr>
                      <wps:bodyPr wrap="square" upright="1"/>
                    </wps:wsp>
                  </a:graphicData>
                </a:graphic>
              </wp:anchor>
            </w:drawing>
          </mc:Choice>
          <mc:Fallback>
            <w:pict>
              <v:rect id="矩形 198" o:spid="_x0000_s1026" o:spt="1" style="position:absolute;left:0pt;margin-left:334.9pt;margin-top:18.95pt;height:8.5pt;width:17pt;rotation:-4849664f;z-index:251710464;mso-width-relative:page;mso-height-relative:page;" fillcolor="#92D050" filled="t" stroked="t" coordsize="21600,21600" o:gfxdata="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4dtVqdoAAAAJAQAADwAA&#10;AAAAAAABACAAAAAiAAAAZHJzL2Rvd25yZXYueG1sUEsBAhQAFAAAAAgAh07iQBzf1+cUAgAAPgQA&#10;AA4AAAAAAAAAAQAgAAAAKQEAAGRycy9lMm9Eb2MueG1sUEsFBgAAAAAGAAYAWQEAAK8FAAAAAA==&#10;">
                <v:fill on="t" focussize="0,0"/>
                <v:stroke weight="1.5pt" color="#000000" joinstyle="miter"/>
                <v:imagedata o:title=""/>
                <o:lock v:ext="edit" aspectratio="f"/>
              </v:rect>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4413885</wp:posOffset>
                </wp:positionH>
                <wp:positionV relativeFrom="paragraph">
                  <wp:posOffset>194310</wp:posOffset>
                </wp:positionV>
                <wp:extent cx="1314450" cy="276225"/>
                <wp:effectExtent l="0" t="0" r="0" b="0"/>
                <wp:wrapNone/>
                <wp:docPr id="8" name="文本框 203"/>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19050">
                          <a:noFill/>
                        </a:ln>
                      </wps:spPr>
                      <wps:txbx>
                        <w:txbxContent>
                          <w:p>
                            <w:pPr>
                              <w:ind w:firstLine="0" w:firstLineChars="0"/>
                              <w:rPr>
                                <w:rFonts w:ascii="黑体" w:hAnsi="黑体" w:eastAsia="黑体"/>
                              </w:rPr>
                            </w:pPr>
                            <w:r>
                              <w:rPr>
                                <w:rFonts w:hint="eastAsia" w:ascii="黑体" w:hAnsi="黑体" w:eastAsia="黑体"/>
                              </w:rPr>
                              <w:t>2#表土临时堆场</w:t>
                            </w:r>
                          </w:p>
                        </w:txbxContent>
                      </wps:txbx>
                      <wps:bodyPr wrap="square" upright="1"/>
                    </wps:wsp>
                  </a:graphicData>
                </a:graphic>
              </wp:anchor>
            </w:drawing>
          </mc:Choice>
          <mc:Fallback>
            <w:pict>
              <v:shape id="文本框 203" o:spid="_x0000_s1026" o:spt="202" type="#_x0000_t202" style="position:absolute;left:0pt;margin-left:347.55pt;margin-top:15.3pt;height:21.75pt;width:103.5pt;z-index:251666432;mso-width-relative:page;mso-height-relative:page;" filled="f" stroked="f" coordsize="21600,21600" o:gfxdata="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GPvIY1wAAAAkBAAAPAAAAAAAAAAEAIAAAACIAAABkcnMvZG93bnJldi54bWxQ&#10;SwECFAAUAAAACACHTuJARL9iab8BAABoAwAADgAAAAAAAAABACAAAAAmAQAAZHJzL2Uyb0RvYy54&#10;bWxQSwUGAAAAAAYABgBZAQAAVwUAAAAA&#10;">
                <v:fill on="f" focussize="0,0"/>
                <v:stroke on="f" weight="1.5pt"/>
                <v:imagedata o:title=""/>
                <o:lock v:ext="edit" aspectratio="f"/>
                <v:textbox>
                  <w:txbxContent>
                    <w:p>
                      <w:pPr>
                        <w:ind w:firstLine="0" w:firstLineChars="0"/>
                        <w:rPr>
                          <w:rFonts w:ascii="黑体" w:hAnsi="黑体" w:eastAsia="黑体"/>
                        </w:rPr>
                      </w:pPr>
                      <w:r>
                        <w:rPr>
                          <w:rFonts w:hint="eastAsia" w:ascii="黑体" w:hAnsi="黑体" w:eastAsia="黑体"/>
                        </w:rPr>
                        <w:t>2#表土临时堆场</w:t>
                      </w:r>
                    </w:p>
                  </w:txbxContent>
                </v:textbox>
              </v:shape>
            </w:pict>
          </mc:Fallback>
        </mc:AlternateContent>
      </w:r>
      <w:r>
        <w:rPr>
          <w:color w:val="auto"/>
        </w:rPr>
        <mc:AlternateContent>
          <mc:Choice Requires="wps">
            <w:drawing>
              <wp:anchor distT="0" distB="0" distL="114300" distR="114300" simplePos="0" relativeHeight="251707392" behindDoc="0" locked="0" layoutInCell="1" allowOverlap="1">
                <wp:simplePos x="0" y="0"/>
                <wp:positionH relativeFrom="column">
                  <wp:posOffset>4137660</wp:posOffset>
                </wp:positionH>
                <wp:positionV relativeFrom="paragraph">
                  <wp:posOffset>453390</wp:posOffset>
                </wp:positionV>
                <wp:extent cx="273685" cy="571500"/>
                <wp:effectExtent l="0" t="0" r="0" b="0"/>
                <wp:wrapNone/>
                <wp:docPr id="63" name="矩形 83"/>
                <wp:cNvGraphicFramePr/>
                <a:graphic xmlns:a="http://schemas.openxmlformats.org/drawingml/2006/main">
                  <a:graphicData uri="http://schemas.microsoft.com/office/word/2010/wordprocessingShape">
                    <wps:wsp>
                      <wps:cNvSpPr/>
                      <wps:spPr>
                        <a:xfrm rot="720000">
                          <a:off x="0" y="0"/>
                          <a:ext cx="273685" cy="571500"/>
                        </a:xfrm>
                        <a:prstGeom prst="rect">
                          <a:avLst/>
                        </a:prstGeom>
                        <a:solidFill>
                          <a:srgbClr val="7030A0"/>
                        </a:solidFill>
                        <a:ln w="6350">
                          <a:noFill/>
                        </a:ln>
                      </wps:spPr>
                      <wps:bodyPr wrap="square" upright="1"/>
                    </wps:wsp>
                  </a:graphicData>
                </a:graphic>
              </wp:anchor>
            </w:drawing>
          </mc:Choice>
          <mc:Fallback>
            <w:pict>
              <v:rect id="矩形 83" o:spid="_x0000_s1026" o:spt="1" style="position:absolute;left:0pt;margin-left:325.8pt;margin-top:35.7pt;height:45pt;width:21.55pt;rotation:786432f;z-index:251707392;mso-width-relative:page;mso-height-relative:page;" fillcolor="#7030A0" filled="t" stroked="f" coordsize="21600,21600" o:gfxdata="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nTybNcAAAAKAQAADwAAAAAAAAABACAAAAAiAAAAZHJz&#10;L2Rvd25yZXYueG1sUEsBAhQAFAAAAAgAh07iQLDh5BfMAQAAhAMAAA4AAAAAAAAAAQAgAAAAJgEA&#10;AGRycy9lMm9Eb2MueG1sUEsFBgAAAAAGAAYAWQEAAGQFAAAAAA==&#10;">
                <v:fill on="t" focussize="0,0"/>
                <v:stroke on="f" weight="0.5pt"/>
                <v:imagedata o:title=""/>
                <o:lock v:ext="edit" aspectratio="f"/>
              </v:rect>
            </w:pict>
          </mc:Fallback>
        </mc:AlternateContent>
      </w:r>
      <w:r>
        <w:rPr>
          <w:color w:val="auto"/>
        </w:rPr>
        <mc:AlternateContent>
          <mc:Choice Requires="wpg">
            <w:drawing>
              <wp:anchor distT="0" distB="0" distL="114300" distR="114300" simplePos="0" relativeHeight="251669504" behindDoc="0" locked="0" layoutInCell="1" allowOverlap="1">
                <wp:simplePos x="0" y="0"/>
                <wp:positionH relativeFrom="column">
                  <wp:posOffset>4599940</wp:posOffset>
                </wp:positionH>
                <wp:positionV relativeFrom="paragraph">
                  <wp:posOffset>3675380</wp:posOffset>
                </wp:positionV>
                <wp:extent cx="1333500" cy="923925"/>
                <wp:effectExtent l="0" t="0" r="0" b="0"/>
                <wp:wrapNone/>
                <wp:docPr id="24" name="组合 218"/>
                <wp:cNvGraphicFramePr/>
                <a:graphic xmlns:a="http://schemas.openxmlformats.org/drawingml/2006/main">
                  <a:graphicData uri="http://schemas.microsoft.com/office/word/2010/wordprocessingGroup">
                    <wpg:wgp>
                      <wpg:cNvGrpSpPr/>
                      <wpg:grpSpPr>
                        <a:xfrm>
                          <a:off x="0" y="0"/>
                          <a:ext cx="1333500" cy="923925"/>
                          <a:chOff x="8505" y="10770"/>
                          <a:chExt cx="2100" cy="1455"/>
                        </a:xfrm>
                      </wpg:grpSpPr>
                      <wps:wsp>
                        <wps:cNvPr id="21" name="文本框 215"/>
                        <wps:cNvSpPr txBox="1"/>
                        <wps:spPr>
                          <a:xfrm>
                            <a:off x="8505" y="10770"/>
                            <a:ext cx="2100" cy="1455"/>
                          </a:xfrm>
                          <a:prstGeom prst="rect">
                            <a:avLst/>
                          </a:prstGeom>
                          <a:noFill/>
                          <a:ln w="19050" cap="flat" cmpd="sng">
                            <a:solidFill>
                              <a:srgbClr val="000000"/>
                            </a:solidFill>
                            <a:prstDash val="solid"/>
                            <a:miter/>
                            <a:headEnd type="none" w="med" len="med"/>
                            <a:tailEnd type="none" w="med" len="med"/>
                          </a:ln>
                        </wps:spPr>
                        <wps:txbx>
                          <w:txbxContent>
                            <w:p>
                              <w:pPr>
                                <w:ind w:firstLine="0" w:firstLineChars="0"/>
                                <w:jc w:val="center"/>
                                <w:rPr>
                                  <w:rFonts w:ascii="黑体" w:hAnsi="黑体" w:eastAsia="黑体"/>
                                </w:rPr>
                              </w:pPr>
                              <w:r>
                                <w:rPr>
                                  <w:rFonts w:hint="eastAsia" w:ascii="黑体" w:hAnsi="黑体" w:eastAsia="黑体"/>
                                </w:rPr>
                                <w:t>图例</w:t>
                              </w:r>
                            </w:p>
                            <w:p>
                              <w:pPr>
                                <w:ind w:firstLine="0" w:firstLineChars="0"/>
                                <w:jc w:val="center"/>
                                <w:rPr>
                                  <w:rFonts w:ascii="黑体" w:hAnsi="黑体" w:eastAsia="黑体"/>
                                </w:rPr>
                              </w:pPr>
                              <w:r>
                                <w:rPr>
                                  <w:rFonts w:hint="eastAsia" w:ascii="黑体" w:hAnsi="黑体" w:eastAsia="黑体"/>
                                </w:rPr>
                                <w:t xml:space="preserve">  表土剥离范围</w:t>
                              </w:r>
                            </w:p>
                            <w:p>
                              <w:pPr>
                                <w:ind w:firstLine="0" w:firstLineChars="0"/>
                                <w:jc w:val="center"/>
                                <w:rPr>
                                  <w:rFonts w:ascii="黑体" w:hAnsi="黑体" w:eastAsia="黑体"/>
                                </w:rPr>
                              </w:pPr>
                              <w:r>
                                <w:rPr>
                                  <w:rFonts w:hint="eastAsia" w:ascii="黑体" w:hAnsi="黑体" w:eastAsia="黑体"/>
                                </w:rPr>
                                <w:t>临时堆场</w:t>
                              </w:r>
                            </w:p>
                          </w:txbxContent>
                        </wps:txbx>
                        <wps:bodyPr wrap="square" upright="1"/>
                      </wps:wsp>
                      <wps:wsp>
                        <wps:cNvPr id="22" name="矩形 216"/>
                        <wps:cNvSpPr/>
                        <wps:spPr>
                          <a:xfrm>
                            <a:off x="8608" y="11870"/>
                            <a:ext cx="340" cy="170"/>
                          </a:xfrm>
                          <a:prstGeom prst="rect">
                            <a:avLst/>
                          </a:prstGeom>
                          <a:solidFill>
                            <a:srgbClr val="92D050"/>
                          </a:solidFill>
                          <a:ln w="19050" cap="flat" cmpd="sng">
                            <a:solidFill>
                              <a:srgbClr val="000000"/>
                            </a:solidFill>
                            <a:prstDash val="solid"/>
                            <a:miter/>
                            <a:headEnd type="none" w="med" len="med"/>
                            <a:tailEnd type="none" w="med" len="med"/>
                          </a:ln>
                        </wps:spPr>
                        <wps:bodyPr wrap="square" upright="1"/>
                      </wps:wsp>
                      <wps:wsp>
                        <wps:cNvPr id="23" name="矩形 217"/>
                        <wps:cNvSpPr/>
                        <wps:spPr>
                          <a:xfrm>
                            <a:off x="8583" y="11410"/>
                            <a:ext cx="340" cy="170"/>
                          </a:xfrm>
                          <a:prstGeom prst="rect">
                            <a:avLst/>
                          </a:prstGeom>
                          <a:solidFill>
                            <a:srgbClr val="00B0F0"/>
                          </a:solidFill>
                          <a:ln w="19050"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218" o:spid="_x0000_s1026" o:spt="203" style="position:absolute;left:0pt;margin-left:362.2pt;margin-top:289.4pt;height:72.75pt;width:105pt;z-index:251669504;mso-width-relative:page;mso-height-relative:page;" coordorigin="8505,10770" coordsize="2100,1455" o:gfxdata="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YtymqNoAAAALAQAADwAAAAAAAAAB&#10;ACAAAAAiAAAAZHJzL2Rvd25yZXYueG1sUEsBAhQAFAAAAAgAh07iQPcuSGzyAgAA+QkAAA4AAAAA&#10;AAAAAQAgAAAAKQEAAGRycy9lMm9Eb2MueG1sUEsFBgAAAAAGAAYAWQEAAI0GAAAAAA==&#10;">
                <o:lock v:ext="edit" aspectratio="f"/>
                <v:shape id="文本框 215" o:spid="_x0000_s1026" o:spt="202" type="#_x0000_t202" style="position:absolute;left:8505;top:10770;height:1455;width:2100;" filled="f" stroked="t" coordsize="21600,21600" o:gfxdata="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Va1NL4A&#10;AADbAAAADwAAAAAAAAABACAAAAAiAAAAZHJzL2Rvd25yZXYueG1sUEsBAhQAFAAAAAgAh07iQDMv&#10;BZ47AAAAOQAAABAAAAAAAAAAAQAgAAAADQEAAGRycy9zaGFwZXhtbC54bWxQSwUGAAAAAAYABgBb&#10;AQAAtwMAAAAA&#10;">
                  <v:fill on="f" focussize="0,0"/>
                  <v:stroke weight="1.5pt" color="#000000" joinstyle="miter"/>
                  <v:imagedata o:title=""/>
                  <o:lock v:ext="edit" aspectratio="f"/>
                  <v:textbox>
                    <w:txbxContent>
                      <w:p>
                        <w:pPr>
                          <w:ind w:firstLine="0" w:firstLineChars="0"/>
                          <w:jc w:val="center"/>
                          <w:rPr>
                            <w:rFonts w:ascii="黑体" w:hAnsi="黑体" w:eastAsia="黑体"/>
                          </w:rPr>
                        </w:pPr>
                        <w:r>
                          <w:rPr>
                            <w:rFonts w:hint="eastAsia" w:ascii="黑体" w:hAnsi="黑体" w:eastAsia="黑体"/>
                          </w:rPr>
                          <w:t>图例</w:t>
                        </w:r>
                      </w:p>
                      <w:p>
                        <w:pPr>
                          <w:ind w:firstLine="0" w:firstLineChars="0"/>
                          <w:jc w:val="center"/>
                          <w:rPr>
                            <w:rFonts w:ascii="黑体" w:hAnsi="黑体" w:eastAsia="黑体"/>
                          </w:rPr>
                        </w:pPr>
                        <w:r>
                          <w:rPr>
                            <w:rFonts w:hint="eastAsia" w:ascii="黑体" w:hAnsi="黑体" w:eastAsia="黑体"/>
                          </w:rPr>
                          <w:t xml:space="preserve">  表土剥离范围</w:t>
                        </w:r>
                      </w:p>
                      <w:p>
                        <w:pPr>
                          <w:ind w:firstLine="0" w:firstLineChars="0"/>
                          <w:jc w:val="center"/>
                          <w:rPr>
                            <w:rFonts w:ascii="黑体" w:hAnsi="黑体" w:eastAsia="黑体"/>
                          </w:rPr>
                        </w:pPr>
                        <w:r>
                          <w:rPr>
                            <w:rFonts w:hint="eastAsia" w:ascii="黑体" w:hAnsi="黑体" w:eastAsia="黑体"/>
                          </w:rPr>
                          <w:t>临时堆场</w:t>
                        </w:r>
                      </w:p>
                    </w:txbxContent>
                  </v:textbox>
                </v:shape>
                <v:rect id="矩形 216" o:spid="_x0000_s1026" o:spt="1" style="position:absolute;left:8608;top:11870;height:170;width:340;" fillcolor="#92D050" filled="t" stroked="t" coordsize="21600,21600" o:gfxdata="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BOD68AAAA&#10;2wAAAA8AAAAAAAAAAQAgAAAAIgAAAGRycy9kb3ducmV2LnhtbFBLAQIUABQAAAAIAIdO4kAzLwWe&#10;OwAAADkAAAAQAAAAAAAAAAEAIAAAAAsBAABkcnMvc2hhcGV4bWwueG1sUEsFBgAAAAAGAAYAWwEA&#10;ALUDAAAAAA==&#10;">
                  <v:fill on="t" focussize="0,0"/>
                  <v:stroke weight="1.5pt" color="#000000" joinstyle="miter"/>
                  <v:imagedata o:title=""/>
                  <o:lock v:ext="edit" aspectratio="f"/>
                </v:rect>
                <v:rect id="矩形 217" o:spid="_x0000_s1026" o:spt="1" style="position:absolute;left:8583;top:11410;height:170;width:340;" fillcolor="#00B0F0" filled="t" stroked="t" coordsize="21600,21600" o:gfxdata="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WpZoL4A&#10;AADb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rect>
              </v:group>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2820670</wp:posOffset>
                </wp:positionH>
                <wp:positionV relativeFrom="paragraph">
                  <wp:posOffset>4159885</wp:posOffset>
                </wp:positionV>
                <wp:extent cx="1314450" cy="276225"/>
                <wp:effectExtent l="0" t="0" r="0" b="0"/>
                <wp:wrapNone/>
                <wp:docPr id="7" name="文本框 202"/>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19050">
                          <a:noFill/>
                        </a:ln>
                      </wps:spPr>
                      <wps:txbx>
                        <w:txbxContent>
                          <w:p>
                            <w:pPr>
                              <w:ind w:firstLine="0" w:firstLineChars="0"/>
                              <w:rPr>
                                <w:rFonts w:ascii="黑体" w:hAnsi="黑体" w:eastAsia="黑体"/>
                              </w:rPr>
                            </w:pPr>
                            <w:r>
                              <w:rPr>
                                <w:rFonts w:hint="eastAsia" w:ascii="黑体" w:hAnsi="黑体" w:eastAsia="黑体"/>
                              </w:rPr>
                              <w:t>1#表土临时堆场</w:t>
                            </w:r>
                          </w:p>
                        </w:txbxContent>
                      </wps:txbx>
                      <wps:bodyPr wrap="square" upright="1"/>
                    </wps:wsp>
                  </a:graphicData>
                </a:graphic>
              </wp:anchor>
            </w:drawing>
          </mc:Choice>
          <mc:Fallback>
            <w:pict>
              <v:shape id="文本框 202" o:spid="_x0000_s1026" o:spt="202" type="#_x0000_t202" style="position:absolute;left:0pt;margin-left:222.1pt;margin-top:327.55pt;height:21.75pt;width:103.5pt;z-index:251664384;mso-width-relative:page;mso-height-relative:page;" filled="f" stroked="f" coordsize="21600,21600" o:gfxdata="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T0dCtgAAAALAQAADwAAAAAAAAABACAAAAAiAAAAZHJzL2Rvd25yZXYueG1s&#10;UEsBAhQAFAAAAAgAh07iQDn9tAa/AQAAaAMAAA4AAAAAAAAAAQAgAAAAJwEAAGRycy9lMm9Eb2Mu&#10;eG1sUEsFBgAAAAAGAAYAWQEAAFgFAAAAAA==&#10;">
                <v:fill on="f" focussize="0,0"/>
                <v:stroke on="f" weight="1.5pt"/>
                <v:imagedata o:title=""/>
                <o:lock v:ext="edit" aspectratio="f"/>
                <v:textbox>
                  <w:txbxContent>
                    <w:p>
                      <w:pPr>
                        <w:ind w:firstLine="0" w:firstLineChars="0"/>
                        <w:rPr>
                          <w:rFonts w:ascii="黑体" w:hAnsi="黑体" w:eastAsia="黑体"/>
                        </w:rPr>
                      </w:pPr>
                      <w:r>
                        <w:rPr>
                          <w:rFonts w:hint="eastAsia" w:ascii="黑体" w:hAnsi="黑体" w:eastAsia="黑体"/>
                        </w:rPr>
                        <w:t>1#表土临时堆场</w:t>
                      </w:r>
                    </w:p>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3648075</wp:posOffset>
                </wp:positionH>
                <wp:positionV relativeFrom="paragraph">
                  <wp:posOffset>4276090</wp:posOffset>
                </wp:positionV>
                <wp:extent cx="215900" cy="107950"/>
                <wp:effectExtent l="0" t="0" r="0" b="0"/>
                <wp:wrapNone/>
                <wp:docPr id="6" name="矩形 199"/>
                <wp:cNvGraphicFramePr/>
                <a:graphic xmlns:a="http://schemas.openxmlformats.org/drawingml/2006/main">
                  <a:graphicData uri="http://schemas.microsoft.com/office/word/2010/wordprocessingShape">
                    <wps:wsp>
                      <wps:cNvSpPr/>
                      <wps:spPr>
                        <a:xfrm rot="-5040000">
                          <a:off x="0" y="0"/>
                          <a:ext cx="215900" cy="107950"/>
                        </a:xfrm>
                        <a:prstGeom prst="rect">
                          <a:avLst/>
                        </a:prstGeom>
                        <a:solidFill>
                          <a:srgbClr val="92D050"/>
                        </a:solidFill>
                        <a:ln w="19050" cap="flat" cmpd="sng">
                          <a:solidFill>
                            <a:srgbClr val="000000"/>
                          </a:solidFill>
                          <a:prstDash val="solid"/>
                          <a:miter/>
                          <a:headEnd type="none" w="med" len="med"/>
                          <a:tailEnd type="none" w="med" len="med"/>
                        </a:ln>
                      </wps:spPr>
                      <wps:bodyPr wrap="square" upright="1"/>
                    </wps:wsp>
                  </a:graphicData>
                </a:graphic>
              </wp:anchor>
            </w:drawing>
          </mc:Choice>
          <mc:Fallback>
            <w:pict>
              <v:rect id="矩形 199" o:spid="_x0000_s1026" o:spt="1" style="position:absolute;left:0pt;margin-left:287.25pt;margin-top:336.7pt;height:8.5pt;width:17pt;rotation:-5505024f;z-index:251663360;mso-width-relative:page;mso-height-relative:page;" fillcolor="#92D050" filled="t" stroked="t" coordsize="21600,21600" o:gfxdata="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WvHVN9wAAAALAQAADwAA&#10;AAAAAAABACAAAAAiAAAAZHJzL2Rvd25yZXYueG1sUEsBAhQAFAAAAAgAh07iQFmyy8YSAgAAPQQA&#10;AA4AAAAAAAAAAQAgAAAAKwEAAGRycy9lMm9Eb2MueG1sUEsFBgAAAAAGAAYAWQEAAK8FAAAAAA==&#10;">
                <v:fill on="t" focussize="0,0"/>
                <v:stroke weight="1.5pt" color="#000000" joinstyle="miter"/>
                <v:imagedata o:title=""/>
                <o:lock v:ext="edit" aspectratio="f"/>
              </v:rect>
            </w:pict>
          </mc:Fallback>
        </mc:AlternateContent>
      </w:r>
      <w:r>
        <w:rPr>
          <w:color w:val="auto"/>
        </w:rPr>
        <mc:AlternateContent>
          <mc:Choice Requires="wps">
            <w:drawing>
              <wp:anchor distT="0" distB="0" distL="114300" distR="114300" simplePos="0" relativeHeight="251709440" behindDoc="0" locked="0" layoutInCell="1" allowOverlap="1">
                <wp:simplePos x="0" y="0"/>
                <wp:positionH relativeFrom="column">
                  <wp:posOffset>3924935</wp:posOffset>
                </wp:positionH>
                <wp:positionV relativeFrom="paragraph">
                  <wp:posOffset>610870</wp:posOffset>
                </wp:positionV>
                <wp:extent cx="848995" cy="284480"/>
                <wp:effectExtent l="0" t="0" r="0" b="0"/>
                <wp:wrapNone/>
                <wp:docPr id="65" name="文本框 87"/>
                <wp:cNvGraphicFramePr/>
                <a:graphic xmlns:a="http://schemas.openxmlformats.org/drawingml/2006/main">
                  <a:graphicData uri="http://schemas.microsoft.com/office/word/2010/wordprocessingShape">
                    <wps:wsp>
                      <wps:cNvSpPr txBox="1"/>
                      <wps:spPr>
                        <a:xfrm>
                          <a:off x="0" y="0"/>
                          <a:ext cx="848995" cy="284480"/>
                        </a:xfrm>
                        <a:prstGeom prst="rect">
                          <a:avLst/>
                        </a:prstGeom>
                        <a:noFill/>
                        <a:ln w="19050">
                          <a:noFill/>
                        </a:ln>
                      </wps:spPr>
                      <wps:txbx>
                        <w:txbxContent>
                          <w:p>
                            <w:pPr>
                              <w:ind w:firstLine="0" w:firstLineChars="0"/>
                            </w:pPr>
                            <w:r>
                              <w:rPr>
                                <w:rFonts w:hint="eastAsia"/>
                              </w:rPr>
                              <w:t>施工场地</w:t>
                            </w:r>
                          </w:p>
                        </w:txbxContent>
                      </wps:txbx>
                      <wps:bodyPr wrap="square" upright="1"/>
                    </wps:wsp>
                  </a:graphicData>
                </a:graphic>
              </wp:anchor>
            </w:drawing>
          </mc:Choice>
          <mc:Fallback>
            <w:pict>
              <v:shape id="文本框 87" o:spid="_x0000_s1026" o:spt="202" type="#_x0000_t202" style="position:absolute;left:0pt;margin-left:309.05pt;margin-top:48.1pt;height:22.4pt;width:66.85pt;z-index:251709440;mso-width-relative:page;mso-height-relative:page;" filled="f" stroked="f" coordsize="21600,21600" o:gfxdata="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D5x1/XAAAACgEAAA8AAAAAAAAAAQAgAAAAIgAAAGRycy9kb3ducmV2Lnht&#10;bFBLAQIUABQAAAAIAIdO4kCBsovVwQEAAGcDAAAOAAAAAAAAAAEAIAAAACYBAABkcnMvZTJvRG9j&#10;LnhtbFBLBQYAAAAABgAGAFkBAABZBQAAAAA=&#10;">
                <v:fill on="f" focussize="0,0"/>
                <v:stroke on="f" weight="1.5pt"/>
                <v:imagedata o:title=""/>
                <o:lock v:ext="edit" aspectratio="f"/>
                <v:textbox>
                  <w:txbxContent>
                    <w:p>
                      <w:pPr>
                        <w:ind w:firstLine="0" w:firstLineChars="0"/>
                      </w:pPr>
                      <w:r>
                        <w:rPr>
                          <w:rFonts w:hint="eastAsia"/>
                        </w:rPr>
                        <w:t>施工场地</w:t>
                      </w:r>
                    </w:p>
                  </w:txbxContent>
                </v:textbox>
              </v:shape>
            </w:pict>
          </mc:Fallback>
        </mc:AlternateContent>
      </w:r>
      <w:r>
        <w:rPr>
          <w:color w:val="auto"/>
        </w:rPr>
        <mc:AlternateContent>
          <mc:Choice Requires="wps">
            <w:drawing>
              <wp:anchor distT="0" distB="0" distL="114300" distR="114300" simplePos="0" relativeHeight="251708416" behindDoc="0" locked="0" layoutInCell="1" allowOverlap="1">
                <wp:simplePos x="0" y="0"/>
                <wp:positionH relativeFrom="column">
                  <wp:posOffset>1584960</wp:posOffset>
                </wp:positionH>
                <wp:positionV relativeFrom="paragraph">
                  <wp:posOffset>253365</wp:posOffset>
                </wp:positionV>
                <wp:extent cx="803910" cy="4326890"/>
                <wp:effectExtent l="0" t="0" r="0" b="0"/>
                <wp:wrapNone/>
                <wp:docPr id="64" name="任意多边形 86"/>
                <wp:cNvGraphicFramePr/>
                <a:graphic xmlns:a="http://schemas.openxmlformats.org/drawingml/2006/main">
                  <a:graphicData uri="http://schemas.microsoft.com/office/word/2010/wordprocessingShape">
                    <wps:wsp>
                      <wps:cNvSpPr/>
                      <wps:spPr>
                        <a:xfrm>
                          <a:off x="0" y="0"/>
                          <a:ext cx="803910" cy="4326890"/>
                        </a:xfrm>
                        <a:custGeom>
                          <a:avLst/>
                          <a:gdLst/>
                          <a:ahLst/>
                          <a:cxnLst/>
                          <a:rect l="0" t="0" r="0" b="0"/>
                          <a:pathLst>
                            <a:path w="1266" h="6814">
                              <a:moveTo>
                                <a:pt x="1041" y="0"/>
                              </a:moveTo>
                              <a:lnTo>
                                <a:pt x="1022" y="329"/>
                              </a:lnTo>
                              <a:lnTo>
                                <a:pt x="985" y="740"/>
                              </a:lnTo>
                              <a:lnTo>
                                <a:pt x="957" y="957"/>
                              </a:lnTo>
                              <a:lnTo>
                                <a:pt x="1022" y="1304"/>
                              </a:lnTo>
                              <a:lnTo>
                                <a:pt x="1069" y="1575"/>
                              </a:lnTo>
                              <a:lnTo>
                                <a:pt x="1069" y="1790"/>
                              </a:lnTo>
                              <a:lnTo>
                                <a:pt x="1041" y="2147"/>
                              </a:lnTo>
                              <a:lnTo>
                                <a:pt x="994" y="2634"/>
                              </a:lnTo>
                              <a:lnTo>
                                <a:pt x="1004" y="2832"/>
                              </a:lnTo>
                              <a:lnTo>
                                <a:pt x="938" y="3515"/>
                              </a:lnTo>
                              <a:lnTo>
                                <a:pt x="825" y="4275"/>
                              </a:lnTo>
                              <a:lnTo>
                                <a:pt x="704" y="4977"/>
                              </a:lnTo>
                              <a:lnTo>
                                <a:pt x="685" y="5099"/>
                              </a:lnTo>
                              <a:lnTo>
                                <a:pt x="582" y="5314"/>
                              </a:lnTo>
                              <a:lnTo>
                                <a:pt x="554" y="5492"/>
                              </a:lnTo>
                              <a:lnTo>
                                <a:pt x="338" y="5942"/>
                              </a:lnTo>
                              <a:lnTo>
                                <a:pt x="0" y="6814"/>
                              </a:lnTo>
                              <a:lnTo>
                                <a:pt x="113" y="6814"/>
                              </a:lnTo>
                              <a:lnTo>
                                <a:pt x="300" y="6354"/>
                              </a:lnTo>
                              <a:lnTo>
                                <a:pt x="554" y="5802"/>
                              </a:lnTo>
                              <a:lnTo>
                                <a:pt x="685" y="5549"/>
                              </a:lnTo>
                              <a:lnTo>
                                <a:pt x="797" y="5089"/>
                              </a:lnTo>
                              <a:lnTo>
                                <a:pt x="863" y="4874"/>
                              </a:lnTo>
                              <a:lnTo>
                                <a:pt x="1097" y="4179"/>
                              </a:lnTo>
                              <a:lnTo>
                                <a:pt x="1135" y="3852"/>
                              </a:lnTo>
                              <a:lnTo>
                                <a:pt x="1125" y="3383"/>
                              </a:lnTo>
                              <a:lnTo>
                                <a:pt x="1154" y="3139"/>
                              </a:lnTo>
                              <a:lnTo>
                                <a:pt x="1163" y="3008"/>
                              </a:lnTo>
                              <a:lnTo>
                                <a:pt x="1219" y="2595"/>
                              </a:lnTo>
                              <a:lnTo>
                                <a:pt x="1238" y="2445"/>
                              </a:lnTo>
                              <a:lnTo>
                                <a:pt x="1266" y="2014"/>
                              </a:lnTo>
                              <a:lnTo>
                                <a:pt x="1182" y="1667"/>
                              </a:lnTo>
                              <a:lnTo>
                                <a:pt x="1210" y="1283"/>
                              </a:lnTo>
                              <a:lnTo>
                                <a:pt x="1182" y="539"/>
                              </a:lnTo>
                              <a:lnTo>
                                <a:pt x="1210" y="99"/>
                              </a:lnTo>
                              <a:lnTo>
                                <a:pt x="1163" y="33"/>
                              </a:lnTo>
                              <a:lnTo>
                                <a:pt x="1041" y="0"/>
                              </a:lnTo>
                              <a:close/>
                            </a:path>
                          </a:pathLst>
                        </a:custGeom>
                        <a:solidFill>
                          <a:srgbClr val="00B0F0"/>
                        </a:solidFill>
                        <a:ln w="19050" cap="flat" cmpd="sng">
                          <a:solidFill>
                            <a:srgbClr val="00B0F0"/>
                          </a:solidFill>
                          <a:prstDash val="solid"/>
                          <a:headEnd type="none" w="med" len="med"/>
                          <a:tailEnd type="none" w="med" len="med"/>
                        </a:ln>
                      </wps:spPr>
                      <wps:bodyPr vert="horz" wrap="square" anchor="t" anchorCtr="0" upright="1"/>
                    </wps:wsp>
                  </a:graphicData>
                </a:graphic>
              </wp:anchor>
            </w:drawing>
          </mc:Choice>
          <mc:Fallback>
            <w:pict>
              <v:shape id="任意多边形 86" o:spid="_x0000_s1026" o:spt="100" style="position:absolute;left:0pt;margin-left:124.8pt;margin-top:19.95pt;height:340.7pt;width:63.3pt;z-index:251708416;mso-width-relative:page;mso-height-relative:page;" fillcolor="#00B0F0" filled="t" stroked="t" coordsize="1266,6814" o:gfxdata="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BZnT652gAAAAoBAAAPAAAAAAAAAAEAIAAAACIA&#10;AABkcnMvZG93bnJldi54bWxQSwECFAAUAAAACACHTuJAooSOtZYDAADqCgAADgAAAAAAAAABACAA&#10;AAApAQAAZHJzL2Uyb0RvYy54bWxQSwUGAAAAAAYABgBZAQAAMQcAAAAA&#10;" path="m1041,0l1022,329,985,740,957,957,1022,1304,1069,1575,1069,1790,1041,2147,994,2634,1004,2832,938,3515,825,4275,704,4977,685,5099,582,5314,554,5492,338,5942,0,6814,113,6814,300,6354,554,5802,685,5549,797,5089,863,4874,1097,4179,1135,3852,1125,3383,1154,3139,1163,3008,1219,2595,1238,2445,1266,2014,1182,1667,1210,1283,1182,539,1210,99,1163,33,1041,0xe">
                <v:fill on="t" focussize="0,0"/>
                <v:stroke weight="1.5pt" color="#00B0F0" joinstyle="round"/>
                <v:imagedata o:title=""/>
                <o:lock v:ext="edit" aspectratio="f"/>
              </v:shape>
            </w:pict>
          </mc:Fallback>
        </mc:AlternateContent>
      </w:r>
      <w:r>
        <w:rPr>
          <w:color w:val="auto"/>
        </w:rPr>
        <mc:AlternateContent>
          <mc:Choice Requires="wps">
            <w:drawing>
              <wp:anchor distT="0" distB="0" distL="114300" distR="114300" simplePos="0" relativeHeight="251706368" behindDoc="0" locked="0" layoutInCell="1" allowOverlap="1">
                <wp:simplePos x="0" y="0"/>
                <wp:positionH relativeFrom="column">
                  <wp:posOffset>3716655</wp:posOffset>
                </wp:positionH>
                <wp:positionV relativeFrom="paragraph">
                  <wp:posOffset>3810</wp:posOffset>
                </wp:positionV>
                <wp:extent cx="767715" cy="4488180"/>
                <wp:effectExtent l="0" t="0" r="0" b="0"/>
                <wp:wrapNone/>
                <wp:docPr id="62" name="任意多边形 85"/>
                <wp:cNvGraphicFramePr/>
                <a:graphic xmlns:a="http://schemas.openxmlformats.org/drawingml/2006/main">
                  <a:graphicData uri="http://schemas.microsoft.com/office/word/2010/wordprocessingShape">
                    <wps:wsp>
                      <wps:cNvSpPr/>
                      <wps:spPr>
                        <a:xfrm>
                          <a:off x="0" y="0"/>
                          <a:ext cx="767715" cy="4488180"/>
                        </a:xfrm>
                        <a:custGeom>
                          <a:avLst/>
                          <a:gdLst/>
                          <a:ahLst/>
                          <a:cxnLst/>
                          <a:rect l="0" t="0" r="0" b="0"/>
                          <a:pathLst>
                            <a:path w="1209" h="7068">
                              <a:moveTo>
                                <a:pt x="956" y="0"/>
                              </a:moveTo>
                              <a:lnTo>
                                <a:pt x="834" y="281"/>
                              </a:lnTo>
                              <a:lnTo>
                                <a:pt x="834" y="365"/>
                              </a:lnTo>
                              <a:lnTo>
                                <a:pt x="787" y="627"/>
                              </a:lnTo>
                              <a:lnTo>
                                <a:pt x="712" y="1058"/>
                              </a:lnTo>
                              <a:lnTo>
                                <a:pt x="647" y="1462"/>
                              </a:lnTo>
                              <a:lnTo>
                                <a:pt x="525" y="1940"/>
                              </a:lnTo>
                              <a:lnTo>
                                <a:pt x="347" y="3187"/>
                              </a:lnTo>
                              <a:lnTo>
                                <a:pt x="365" y="3468"/>
                              </a:lnTo>
                              <a:lnTo>
                                <a:pt x="253" y="3665"/>
                              </a:lnTo>
                              <a:lnTo>
                                <a:pt x="215" y="4443"/>
                              </a:lnTo>
                              <a:lnTo>
                                <a:pt x="159" y="4883"/>
                              </a:lnTo>
                              <a:lnTo>
                                <a:pt x="262" y="5108"/>
                              </a:lnTo>
                              <a:lnTo>
                                <a:pt x="140" y="5123"/>
                              </a:lnTo>
                              <a:lnTo>
                                <a:pt x="28" y="5827"/>
                              </a:lnTo>
                              <a:lnTo>
                                <a:pt x="0" y="6342"/>
                              </a:lnTo>
                              <a:lnTo>
                                <a:pt x="215" y="6572"/>
                              </a:lnTo>
                              <a:lnTo>
                                <a:pt x="262" y="6797"/>
                              </a:lnTo>
                              <a:lnTo>
                                <a:pt x="225" y="7060"/>
                              </a:lnTo>
                              <a:lnTo>
                                <a:pt x="272" y="7068"/>
                              </a:lnTo>
                              <a:lnTo>
                                <a:pt x="328" y="6647"/>
                              </a:lnTo>
                              <a:lnTo>
                                <a:pt x="431" y="5907"/>
                              </a:lnTo>
                              <a:lnTo>
                                <a:pt x="431" y="5737"/>
                              </a:lnTo>
                              <a:lnTo>
                                <a:pt x="412" y="5437"/>
                              </a:lnTo>
                              <a:lnTo>
                                <a:pt x="497" y="5278"/>
                              </a:lnTo>
                              <a:lnTo>
                                <a:pt x="609" y="4632"/>
                              </a:lnTo>
                              <a:lnTo>
                                <a:pt x="553" y="4622"/>
                              </a:lnTo>
                              <a:lnTo>
                                <a:pt x="722" y="3760"/>
                              </a:lnTo>
                              <a:lnTo>
                                <a:pt x="1031" y="1352"/>
                              </a:lnTo>
                              <a:lnTo>
                                <a:pt x="1031" y="1146"/>
                              </a:lnTo>
                              <a:lnTo>
                                <a:pt x="1209" y="7"/>
                              </a:lnTo>
                            </a:path>
                          </a:pathLst>
                        </a:custGeom>
                        <a:solidFill>
                          <a:srgbClr val="00B0F0"/>
                        </a:solidFill>
                        <a:ln w="19050" cap="flat" cmpd="sng">
                          <a:solidFill>
                            <a:srgbClr val="00B0F0"/>
                          </a:solidFill>
                          <a:prstDash val="solid"/>
                          <a:headEnd type="none" w="med" len="med"/>
                          <a:tailEnd type="none" w="med" len="med"/>
                        </a:ln>
                      </wps:spPr>
                      <wps:bodyPr vert="horz" wrap="square" anchor="t" anchorCtr="0" upright="1"/>
                    </wps:wsp>
                  </a:graphicData>
                </a:graphic>
              </wp:anchor>
            </w:drawing>
          </mc:Choice>
          <mc:Fallback>
            <w:pict>
              <v:shape id="任意多边形 85" o:spid="_x0000_s1026" o:spt="100" style="position:absolute;left:0pt;margin-left:292.65pt;margin-top:0.3pt;height:353.4pt;width:60.45pt;z-index:251706368;mso-width-relative:page;mso-height-relative:page;" fillcolor="#00B0F0" filled="t" stroked="t" coordsize="1209,7068" o:gfxdata="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a+gbfNcAAAAIAQAADwAAAAAAAAABACAAAAAiAAAA&#10;ZHJzL2Rvd25yZXYueG1sUEsBAhQAFAAAAAgAh07iQAsAg4leAwAAswkAAA4AAAAAAAAAAQAgAAAA&#10;JgEAAGRycy9lMm9Eb2MueG1sUEsFBgAAAAAGAAYAWQEAAPYGAAAAAA==&#10;" path="m956,0l834,281,834,365,787,627,712,1058,647,1462,525,1940,347,3187,365,3468,253,3665,215,4443,159,4883,262,5108,140,5123,28,5827,0,6342,215,6572,262,6797,225,7060,272,7068,328,6647,431,5907,431,5737,412,5437,497,5278,609,4632,553,4622,722,3760,1031,1352,1031,1146,1209,7e">
                <v:fill on="t" focussize="0,0"/>
                <v:stroke weight="1.5pt" color="#00B0F0" joinstyle="round"/>
                <v:imagedata o:title=""/>
                <o:lock v:ext="edit" aspectratio="f"/>
              </v:shape>
            </w:pict>
          </mc:Fallback>
        </mc:AlternateContent>
      </w:r>
      <w:r>
        <w:rPr>
          <w:color w:val="auto"/>
        </w:rPr>
        <w:drawing>
          <wp:inline distT="0" distB="0" distL="114300" distR="114300">
            <wp:extent cx="5934710" cy="4586605"/>
            <wp:effectExtent l="0" t="0" r="0" b="0"/>
            <wp:docPr id="70" name="图片 6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3" descr="00"/>
                    <pic:cNvPicPr>
                      <a:picLocks noChangeAspect="1"/>
                    </pic:cNvPicPr>
                  </pic:nvPicPr>
                  <pic:blipFill>
                    <a:blip r:embed="rId29"/>
                    <a:stretch>
                      <a:fillRect/>
                    </a:stretch>
                  </pic:blipFill>
                  <pic:spPr>
                    <a:xfrm>
                      <a:off x="0" y="0"/>
                      <a:ext cx="5934710" cy="4586605"/>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rPr>
        <mc:AlternateContent>
          <mc:Choice Requires="wps">
            <w:drawing>
              <wp:anchor distT="0" distB="0" distL="114300" distR="114300" simplePos="0" relativeHeight="251668480" behindDoc="0" locked="0" layoutInCell="1" allowOverlap="1">
                <wp:simplePos x="0" y="0"/>
                <wp:positionH relativeFrom="column">
                  <wp:posOffset>127000</wp:posOffset>
                </wp:positionH>
                <wp:positionV relativeFrom="paragraph">
                  <wp:posOffset>864870</wp:posOffset>
                </wp:positionV>
                <wp:extent cx="1314450" cy="276225"/>
                <wp:effectExtent l="0" t="0" r="0" b="0"/>
                <wp:wrapNone/>
                <wp:docPr id="10" name="文本框 205"/>
                <wp:cNvGraphicFramePr/>
                <a:graphic xmlns:a="http://schemas.openxmlformats.org/drawingml/2006/main">
                  <a:graphicData uri="http://schemas.microsoft.com/office/word/2010/wordprocessingShape">
                    <wps:wsp>
                      <wps:cNvSpPr txBox="1"/>
                      <wps:spPr>
                        <a:xfrm>
                          <a:off x="0" y="0"/>
                          <a:ext cx="1314450" cy="276225"/>
                        </a:xfrm>
                        <a:prstGeom prst="rect">
                          <a:avLst/>
                        </a:prstGeom>
                        <a:noFill/>
                        <a:ln w="19050">
                          <a:noFill/>
                        </a:ln>
                      </wps:spPr>
                      <wps:txbx>
                        <w:txbxContent>
                          <w:p>
                            <w:pPr>
                              <w:ind w:firstLine="0" w:firstLineChars="0"/>
                              <w:rPr>
                                <w:rFonts w:ascii="黑体" w:hAnsi="黑体" w:eastAsia="黑体"/>
                              </w:rPr>
                            </w:pPr>
                            <w:r>
                              <w:rPr>
                                <w:rFonts w:hint="eastAsia" w:ascii="黑体" w:hAnsi="黑体" w:eastAsia="黑体"/>
                              </w:rPr>
                              <w:t>4#表土临时堆场</w:t>
                            </w:r>
                          </w:p>
                        </w:txbxContent>
                      </wps:txbx>
                      <wps:bodyPr wrap="square" upright="1"/>
                    </wps:wsp>
                  </a:graphicData>
                </a:graphic>
              </wp:anchor>
            </w:drawing>
          </mc:Choice>
          <mc:Fallback>
            <w:pict>
              <v:shape id="文本框 205" o:spid="_x0000_s1026" o:spt="202" type="#_x0000_t202" style="position:absolute;left:0pt;margin-left:10pt;margin-top:68.1pt;height:21.75pt;width:103.5pt;z-index:251668480;mso-width-relative:page;mso-height-relative:page;" filled="f" stroked="f" coordsize="21600,21600" o:gfxdata="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aMer/tUAAAAKAQAADwAAAAAAAAABACAAAAAiAAAAZHJzL2Rvd25yZXYueG1sUEsB&#10;AhQAFAAAAAgAh07iQBFYTGi/AQAAaQMAAA4AAAAAAAAAAQAgAAAAJAEAAGRycy9lMm9Eb2MueG1s&#10;UEsFBgAAAAAGAAYAWQEAAFUFAAAAAA==&#10;">
                <v:fill on="f" focussize="0,0"/>
                <v:stroke on="f" weight="1.5pt"/>
                <v:imagedata o:title=""/>
                <o:lock v:ext="edit" aspectratio="f"/>
                <v:textbox>
                  <w:txbxContent>
                    <w:p>
                      <w:pPr>
                        <w:ind w:firstLine="0" w:firstLineChars="0"/>
                        <w:rPr>
                          <w:rFonts w:ascii="黑体" w:hAnsi="黑体" w:eastAsia="黑体"/>
                        </w:rPr>
                      </w:pPr>
                      <w:r>
                        <w:rPr>
                          <w:rFonts w:hint="eastAsia" w:ascii="黑体" w:hAnsi="黑体" w:eastAsia="黑体"/>
                        </w:rPr>
                        <w:t>4#表土临时堆场</w:t>
                      </w:r>
                    </w:p>
                  </w:txbxContent>
                </v:textbox>
              </v:shape>
            </w:pict>
          </mc:Fallback>
        </mc:AlternateContent>
      </w:r>
    </w:p>
    <w:p>
      <w:pPr>
        <w:autoSpaceDE w:val="0"/>
        <w:autoSpaceDN w:val="0"/>
        <w:adjustRightInd w:val="0"/>
        <w:spacing w:before="120" w:beforeLines="50" w:line="240" w:lineRule="auto"/>
        <w:ind w:firstLine="0" w:firstLineChars="0"/>
        <w:jc w:val="center"/>
        <w:rPr>
          <w:rFonts w:ascii="黑体" w:hAnsi="黑体" w:eastAsia="黑体"/>
        </w:rPr>
      </w:pPr>
      <w:r>
        <w:rPr>
          <w:rFonts w:hint="eastAsia" w:ascii="黑体" w:hAnsi="黑体" w:eastAsia="黑体"/>
        </w:rPr>
        <w:t>图2.10-2 工程临时表土堆场布置示意图</w:t>
      </w:r>
    </w:p>
    <w:p>
      <w:pPr>
        <w:pStyle w:val="7"/>
        <w:spacing w:before="120" w:beforeLines="50"/>
        <w:rPr>
          <w:szCs w:val="24"/>
        </w:rPr>
      </w:pPr>
      <w:r>
        <w:rPr>
          <w:rFonts w:hint="eastAsia"/>
          <w:szCs w:val="24"/>
        </w:rPr>
        <w:t>2.10.3弃渣场设置</w:t>
      </w:r>
    </w:p>
    <w:p>
      <w:pPr>
        <w:pStyle w:val="36"/>
        <w:ind w:left="0" w:leftChars="0" w:firstLine="480" w:firstLineChars="200"/>
      </w:pPr>
      <w:r>
        <w:t>根据《上高县毛家渡抬水工程可行性研究报告》，本工程挖填土石方总量为422880.2m</w:t>
      </w:r>
      <w:r>
        <w:rPr>
          <w:vertAlign w:val="superscript"/>
        </w:rPr>
        <w:t>3</w:t>
      </w:r>
      <w:r>
        <w:t>，其中挖方（不含表土）205574.1m</w:t>
      </w:r>
      <w:r>
        <w:rPr>
          <w:vertAlign w:val="superscript"/>
        </w:rPr>
        <w:t>3</w:t>
      </w:r>
      <w:r>
        <w:t>，填方（不含表土）211440.1m</w:t>
      </w:r>
      <w:r>
        <w:rPr>
          <w:vertAlign w:val="superscript"/>
        </w:rPr>
        <w:t>3</w:t>
      </w:r>
      <w:r>
        <w:t>，外借方33310m</w:t>
      </w:r>
      <w:r>
        <w:rPr>
          <w:vertAlign w:val="superscript"/>
        </w:rPr>
        <w:t>3</w:t>
      </w:r>
      <w:r>
        <w:t>，弃方27444m</w:t>
      </w:r>
      <w:r>
        <w:rPr>
          <w:vertAlign w:val="superscript"/>
        </w:rPr>
        <w:t>3</w:t>
      </w:r>
      <w:r>
        <w:t>，需设置弃渣场集中堆放。本工程拟设置1个弃渣场，占地类型为荒草地，可纳弃渣量约6.0×10</w:t>
      </w:r>
      <w:r>
        <w:rPr>
          <w:vertAlign w:val="superscript"/>
        </w:rPr>
        <w:t>4</w:t>
      </w:r>
      <w:r>
        <w:t>m</w:t>
      </w:r>
      <w:r>
        <w:rPr>
          <w:vertAlign w:val="superscript"/>
        </w:rPr>
        <w:t>3</w:t>
      </w:r>
      <w:r>
        <w:t>，最大堆渣高度约4.5m，平均堆渣高度约为3.0m。弃渣场周边环境情况见表2.10-2《弃渣场周边环境情况一览表》和图2.10-3弃渣场及施工场地周边环境分布示意图。</w:t>
      </w:r>
    </w:p>
    <w:p>
      <w:pPr>
        <w:autoSpaceDE w:val="0"/>
        <w:autoSpaceDN w:val="0"/>
        <w:adjustRightInd w:val="0"/>
        <w:spacing w:before="120" w:beforeLines="50" w:line="240" w:lineRule="auto"/>
        <w:ind w:firstLine="0" w:firstLineChars="0"/>
        <w:jc w:val="center"/>
        <w:rPr>
          <w:rFonts w:ascii="黑体" w:hAnsi="黑体" w:eastAsia="黑体"/>
        </w:rPr>
      </w:pPr>
      <w:r>
        <w:rPr>
          <w:rFonts w:ascii="黑体" w:hAnsi="黑体" w:eastAsia="黑体"/>
        </w:rPr>
        <w:t>表</w:t>
      </w:r>
      <w:r>
        <w:rPr>
          <w:rFonts w:hint="eastAsia" w:ascii="黑体" w:hAnsi="黑体" w:eastAsia="黑体"/>
        </w:rPr>
        <w:t xml:space="preserve">2.10-2   </w:t>
      </w:r>
      <w:r>
        <w:rPr>
          <w:rFonts w:ascii="黑体" w:hAnsi="黑体" w:eastAsia="黑体"/>
        </w:rPr>
        <w:t>弃</w:t>
      </w:r>
      <w:r>
        <w:rPr>
          <w:rFonts w:hint="eastAsia" w:ascii="黑体" w:hAnsi="黑体" w:eastAsia="黑体"/>
        </w:rPr>
        <w:t>渣</w:t>
      </w:r>
      <w:r>
        <w:rPr>
          <w:rFonts w:ascii="黑体" w:hAnsi="黑体" w:eastAsia="黑体"/>
        </w:rPr>
        <w:t>场周边环境情况一览表</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D9D9D9"/>
        <w:tblLayout w:type="autofit"/>
        <w:tblCellMar>
          <w:top w:w="0" w:type="dxa"/>
          <w:left w:w="28" w:type="dxa"/>
          <w:bottom w:w="0" w:type="dxa"/>
          <w:right w:w="28" w:type="dxa"/>
        </w:tblCellMar>
      </w:tblPr>
      <w:tblGrid>
        <w:gridCol w:w="330"/>
        <w:gridCol w:w="795"/>
        <w:gridCol w:w="1185"/>
        <w:gridCol w:w="663"/>
        <w:gridCol w:w="812"/>
        <w:gridCol w:w="748"/>
        <w:gridCol w:w="661"/>
        <w:gridCol w:w="648"/>
        <w:gridCol w:w="899"/>
        <w:gridCol w:w="1505"/>
        <w:gridCol w:w="11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D9D9D9"/>
          <w:tblCellMar>
            <w:top w:w="0" w:type="dxa"/>
            <w:left w:w="28" w:type="dxa"/>
            <w:bottom w:w="0" w:type="dxa"/>
            <w:right w:w="28" w:type="dxa"/>
          </w:tblCellMar>
        </w:tblPrEx>
        <w:trPr>
          <w:trHeight w:val="397" w:hRule="atLeast"/>
        </w:trPr>
        <w:tc>
          <w:tcPr>
            <w:tcW w:w="175"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序号</w:t>
            </w:r>
          </w:p>
        </w:tc>
        <w:tc>
          <w:tcPr>
            <w:tcW w:w="422"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名称</w:t>
            </w:r>
          </w:p>
        </w:tc>
        <w:tc>
          <w:tcPr>
            <w:tcW w:w="629"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位置</w:t>
            </w:r>
          </w:p>
        </w:tc>
        <w:tc>
          <w:tcPr>
            <w:tcW w:w="352"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占地面积(</w:t>
            </w:r>
            <w:r>
              <w:rPr>
                <w:rFonts w:hint="eastAsia"/>
                <w:sz w:val="21"/>
                <w:szCs w:val="21"/>
              </w:rPr>
              <w:t>亩</w:t>
            </w:r>
            <w:r>
              <w:rPr>
                <w:sz w:val="21"/>
                <w:szCs w:val="21"/>
              </w:rPr>
              <w:t>)</w:t>
            </w:r>
          </w:p>
        </w:tc>
        <w:tc>
          <w:tcPr>
            <w:tcW w:w="431"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最大堆渣量(万m</w:t>
            </w:r>
            <w:r>
              <w:rPr>
                <w:rFonts w:ascii="Times New Roman" w:cs="Times New Roman"/>
                <w:color w:val="auto"/>
                <w:sz w:val="21"/>
                <w:szCs w:val="21"/>
                <w:vertAlign w:val="superscript"/>
              </w:rPr>
              <w:t>3</w:t>
            </w:r>
            <w:r>
              <w:rPr>
                <w:rFonts w:ascii="Times New Roman" w:cs="Times New Roman"/>
                <w:color w:val="auto"/>
                <w:sz w:val="21"/>
                <w:szCs w:val="21"/>
              </w:rPr>
              <w:t>)</w:t>
            </w:r>
          </w:p>
        </w:tc>
        <w:tc>
          <w:tcPr>
            <w:tcW w:w="397"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堆渣量</w:t>
            </w:r>
          </w:p>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(万m</w:t>
            </w:r>
            <w:r>
              <w:rPr>
                <w:sz w:val="21"/>
                <w:szCs w:val="21"/>
                <w:vertAlign w:val="superscript"/>
              </w:rPr>
              <w:t>3</w:t>
            </w:r>
            <w:r>
              <w:rPr>
                <w:sz w:val="21"/>
                <w:szCs w:val="21"/>
              </w:rPr>
              <w:t>)</w:t>
            </w:r>
          </w:p>
        </w:tc>
        <w:tc>
          <w:tcPr>
            <w:tcW w:w="351"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最大堆高(m</w:t>
            </w:r>
            <w:r>
              <w:rPr>
                <w:rFonts w:hint="eastAsia" w:ascii="Times New Roman" w:cs="Times New Roman"/>
                <w:color w:val="auto"/>
                <w:sz w:val="21"/>
                <w:szCs w:val="21"/>
              </w:rPr>
              <w:t>)</w:t>
            </w:r>
          </w:p>
        </w:tc>
        <w:tc>
          <w:tcPr>
            <w:tcW w:w="344" w:type="pct"/>
            <w:shd w:val="clear" w:color="auto" w:fill="D9D9D9"/>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高程</w:t>
            </w:r>
            <w:r>
              <w:rPr>
                <w:rFonts w:ascii="Times New Roman" w:cs="Times New Roman"/>
                <w:color w:val="auto"/>
                <w:sz w:val="21"/>
                <w:szCs w:val="21"/>
              </w:rPr>
              <w:t>(m</w:t>
            </w:r>
            <w:r>
              <w:rPr>
                <w:rFonts w:hint="eastAsia" w:ascii="Times New Roman" w:cs="Times New Roman"/>
                <w:color w:val="auto"/>
                <w:sz w:val="21"/>
                <w:szCs w:val="21"/>
              </w:rPr>
              <w:t>)</w:t>
            </w:r>
          </w:p>
        </w:tc>
        <w:tc>
          <w:tcPr>
            <w:tcW w:w="477"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类型</w:t>
            </w:r>
          </w:p>
        </w:tc>
        <w:tc>
          <w:tcPr>
            <w:tcW w:w="799"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占地类型</w:t>
            </w:r>
          </w:p>
        </w:tc>
        <w:tc>
          <w:tcPr>
            <w:tcW w:w="618"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敏感点分布</w:t>
            </w:r>
          </w:p>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（500m内）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75"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1</w:t>
            </w:r>
          </w:p>
        </w:tc>
        <w:tc>
          <w:tcPr>
            <w:tcW w:w="422"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弃渣场</w:t>
            </w:r>
          </w:p>
        </w:tc>
        <w:tc>
          <w:tcPr>
            <w:tcW w:w="629" w:type="pct"/>
            <w:shd w:val="clear" w:color="auto" w:fill="D9D9D9"/>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石井闸附近</w:t>
            </w:r>
          </w:p>
        </w:tc>
        <w:tc>
          <w:tcPr>
            <w:tcW w:w="352" w:type="pct"/>
            <w:shd w:val="clear" w:color="auto" w:fill="D9D9D9"/>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59.6</w:t>
            </w:r>
          </w:p>
        </w:tc>
        <w:tc>
          <w:tcPr>
            <w:tcW w:w="431"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rFonts w:hint="eastAsia"/>
                <w:sz w:val="21"/>
                <w:szCs w:val="21"/>
              </w:rPr>
              <w:t>6.0</w:t>
            </w:r>
          </w:p>
        </w:tc>
        <w:tc>
          <w:tcPr>
            <w:tcW w:w="397"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rFonts w:hint="eastAsia"/>
                <w:sz w:val="21"/>
                <w:szCs w:val="21"/>
              </w:rPr>
              <w:t>3.65</w:t>
            </w:r>
          </w:p>
        </w:tc>
        <w:tc>
          <w:tcPr>
            <w:tcW w:w="351"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sz w:val="21"/>
                <w:szCs w:val="21"/>
              </w:rPr>
              <w:t>4.5</w:t>
            </w:r>
          </w:p>
        </w:tc>
        <w:tc>
          <w:tcPr>
            <w:tcW w:w="344" w:type="pct"/>
            <w:shd w:val="clear" w:color="auto" w:fill="D9D9D9"/>
            <w:vAlign w:val="center"/>
          </w:tcPr>
          <w:p>
            <w:pPr>
              <w:tabs>
                <w:tab w:val="left" w:pos="2884"/>
                <w:tab w:val="left" w:pos="3193"/>
              </w:tabs>
              <w:autoSpaceDE w:val="0"/>
              <w:autoSpaceDN w:val="0"/>
              <w:adjustRightInd w:val="0"/>
              <w:spacing w:line="340" w:lineRule="exact"/>
              <w:ind w:firstLine="0" w:firstLineChars="0"/>
              <w:jc w:val="center"/>
              <w:rPr>
                <w:sz w:val="21"/>
                <w:szCs w:val="21"/>
              </w:rPr>
            </w:pPr>
            <w:r>
              <w:rPr>
                <w:rFonts w:hint="eastAsia"/>
                <w:sz w:val="21"/>
                <w:szCs w:val="21"/>
              </w:rPr>
              <w:t>45.8</w:t>
            </w:r>
          </w:p>
        </w:tc>
        <w:tc>
          <w:tcPr>
            <w:tcW w:w="477"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沟道型</w:t>
            </w:r>
          </w:p>
        </w:tc>
        <w:tc>
          <w:tcPr>
            <w:tcW w:w="799" w:type="pct"/>
            <w:shd w:val="clear" w:color="auto" w:fill="D9D9D9"/>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荒草地</w:t>
            </w:r>
          </w:p>
        </w:tc>
        <w:tc>
          <w:tcPr>
            <w:tcW w:w="618" w:type="pct"/>
            <w:shd w:val="clear" w:color="auto" w:fill="D9D9D9"/>
            <w:vAlign w:val="center"/>
          </w:tcPr>
          <w:p>
            <w:pPr>
              <w:spacing w:line="340" w:lineRule="exact"/>
              <w:ind w:firstLine="0" w:firstLineChars="0"/>
              <w:jc w:val="center"/>
              <w:rPr>
                <w:sz w:val="21"/>
                <w:szCs w:val="21"/>
              </w:rPr>
            </w:pPr>
            <w:r>
              <w:rPr>
                <w:rFonts w:hint="eastAsia"/>
                <w:sz w:val="21"/>
                <w:szCs w:val="21"/>
              </w:rPr>
              <w:t>无</w:t>
            </w:r>
          </w:p>
        </w:tc>
      </w:tr>
    </w:tbl>
    <w:p>
      <w:pPr>
        <w:pStyle w:val="36"/>
        <w:spacing w:before="120" w:beforeLines="50" w:line="240" w:lineRule="auto"/>
        <w:ind w:left="0" w:leftChars="0" w:firstLine="0" w:firstLineChars="0"/>
        <w:jc w:val="center"/>
        <w:rPr>
          <w:rFonts w:ascii="黑体" w:hAnsi="黑体" w:eastAsia="黑体"/>
          <w:szCs w:val="24"/>
        </w:rPr>
      </w:pPr>
      <w:r>
        <mc:AlternateContent>
          <mc:Choice Requires="wps">
            <w:drawing>
              <wp:anchor distT="0" distB="0" distL="114300" distR="114300" simplePos="0" relativeHeight="251683840" behindDoc="0" locked="0" layoutInCell="1" allowOverlap="1">
                <wp:simplePos x="0" y="0"/>
                <wp:positionH relativeFrom="column">
                  <wp:posOffset>3925570</wp:posOffset>
                </wp:positionH>
                <wp:positionV relativeFrom="paragraph">
                  <wp:posOffset>2386330</wp:posOffset>
                </wp:positionV>
                <wp:extent cx="585470" cy="229235"/>
                <wp:effectExtent l="0" t="0" r="0" b="0"/>
                <wp:wrapNone/>
                <wp:docPr id="39" name="文本框 1069"/>
                <wp:cNvGraphicFramePr/>
                <a:graphic xmlns:a="http://schemas.openxmlformats.org/drawingml/2006/main">
                  <a:graphicData uri="http://schemas.microsoft.com/office/word/2010/wordprocessingShape">
                    <wps:wsp>
                      <wps:cNvSpPr txBox="1"/>
                      <wps:spPr>
                        <a:xfrm>
                          <a:off x="0" y="0"/>
                          <a:ext cx="585470" cy="229235"/>
                        </a:xfrm>
                        <a:prstGeom prst="rect">
                          <a:avLst/>
                        </a:prstGeom>
                        <a:noFill/>
                        <a:ln w="19050">
                          <a:noFill/>
                        </a:ln>
                      </wps:spPr>
                      <wps:txbx>
                        <w:txbxContent>
                          <w:p>
                            <w:pPr>
                              <w:ind w:firstLine="0" w:firstLineChars="0"/>
                              <w:rPr>
                                <w:color w:val="FFFF00"/>
                                <w:sz w:val="15"/>
                                <w:szCs w:val="15"/>
                              </w:rPr>
                            </w:pPr>
                            <w:r>
                              <w:rPr>
                                <w:rFonts w:hint="eastAsia"/>
                                <w:color w:val="FFFF00"/>
                                <w:sz w:val="15"/>
                                <w:szCs w:val="15"/>
                              </w:rPr>
                              <w:t>1000m</w:t>
                            </w:r>
                          </w:p>
                        </w:txbxContent>
                      </wps:txbx>
                      <wps:bodyPr wrap="square" upright="1"/>
                    </wps:wsp>
                  </a:graphicData>
                </a:graphic>
              </wp:anchor>
            </w:drawing>
          </mc:Choice>
          <mc:Fallback>
            <w:pict>
              <v:shape id="文本框 1069" o:spid="_x0000_s1026" o:spt="202" type="#_x0000_t202" style="position:absolute;left:0pt;margin-left:309.1pt;margin-top:187.9pt;height:18.05pt;width:46.1pt;z-index:251683840;mso-width-relative:page;mso-height-relative:page;" filled="f" stroked="f" coordsize="21600,21600" o:gfxdata="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AkyyhDZAAAACwEAAA8AAAAAAAAAAQAgAAAAIgAAAGRycy9kb3ducmV2&#10;LnhtbFBLAQIUABQAAAAIAIdO4kAiJUvgwgEAAGkDAAAOAAAAAAAAAAEAIAAAACgBAABkcnMvZTJv&#10;RG9jLnhtbFBLBQYAAAAABgAGAFkBAABcBQAAAAA=&#10;">
                <v:fill on="f" focussize="0,0"/>
                <v:stroke on="f" weight="1.5pt"/>
                <v:imagedata o:title=""/>
                <o:lock v:ext="edit" aspectratio="f"/>
                <v:textbox>
                  <w:txbxContent>
                    <w:p>
                      <w:pPr>
                        <w:ind w:firstLine="0" w:firstLineChars="0"/>
                        <w:rPr>
                          <w:color w:val="FFFF00"/>
                          <w:sz w:val="15"/>
                          <w:szCs w:val="15"/>
                        </w:rPr>
                      </w:pPr>
                      <w:r>
                        <w:rPr>
                          <w:rFonts w:hint="eastAsia"/>
                          <w:color w:val="FFFF00"/>
                          <w:sz w:val="15"/>
                          <w:szCs w:val="15"/>
                        </w:rPr>
                        <w:t>1000m</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3324225</wp:posOffset>
                </wp:positionH>
                <wp:positionV relativeFrom="paragraph">
                  <wp:posOffset>1157605</wp:posOffset>
                </wp:positionV>
                <wp:extent cx="92075" cy="316230"/>
                <wp:effectExtent l="0" t="0" r="0" b="0"/>
                <wp:wrapNone/>
                <wp:docPr id="40" name="矩形 1070"/>
                <wp:cNvGraphicFramePr/>
                <a:graphic xmlns:a="http://schemas.openxmlformats.org/drawingml/2006/main">
                  <a:graphicData uri="http://schemas.microsoft.com/office/word/2010/wordprocessingShape">
                    <wps:wsp>
                      <wps:cNvSpPr/>
                      <wps:spPr>
                        <a:xfrm rot="240000">
                          <a:off x="0" y="0"/>
                          <a:ext cx="92075" cy="316230"/>
                        </a:xfrm>
                        <a:prstGeom prst="rect">
                          <a:avLst/>
                        </a:prstGeom>
                        <a:noFill/>
                        <a:ln w="19050"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rect id="矩形 1070" o:spid="_x0000_s1026" o:spt="1" style="position:absolute;left:0pt;margin-left:261.75pt;margin-top:91.15pt;height:24.9pt;width:7.25pt;rotation:262144f;z-index:251684864;mso-width-relative:page;mso-height-relative:page;" filled="f" stroked="t" coordsize="21600,21600" o:gfxdata="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KPUh7WAAAA&#10;CwEAAA8AAAAAAAAAAQAgAAAAIgAAAGRycy9kb3ducmV2LnhtbFBLAQIUABQAAAAIAIdO4kCBT6hO&#10;HwIAADgEAAAOAAAAAAAAAAEAIAAAACUBAABkcnMvZTJvRG9jLnhtbFBLBQYAAAAABgAGAFkBAAC2&#10;BQAAAAA=&#10;">
                <v:fill on="f" focussize="0,0"/>
                <v:stroke weight="1.5pt" color="#00B0F0" joinstyle="miter"/>
                <v:imagedata o:title=""/>
                <o:lock v:ext="edit" aspectratio="f"/>
              </v:rect>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3749675</wp:posOffset>
                </wp:positionH>
                <wp:positionV relativeFrom="paragraph">
                  <wp:posOffset>1623060</wp:posOffset>
                </wp:positionV>
                <wp:extent cx="255270" cy="1552575"/>
                <wp:effectExtent l="0" t="0" r="0" b="0"/>
                <wp:wrapNone/>
                <wp:docPr id="38" name="直线 1068"/>
                <wp:cNvGraphicFramePr/>
                <a:graphic xmlns:a="http://schemas.openxmlformats.org/drawingml/2006/main">
                  <a:graphicData uri="http://schemas.microsoft.com/office/word/2010/wordprocessingShape">
                    <wps:wsp>
                      <wps:cNvCnPr/>
                      <wps:spPr>
                        <a:xfrm flipV="1">
                          <a:off x="0" y="0"/>
                          <a:ext cx="255270" cy="1552575"/>
                        </a:xfrm>
                        <a:prstGeom prst="line">
                          <a:avLst/>
                        </a:prstGeom>
                        <a:ln w="19050" cap="flat" cmpd="sng">
                          <a:solidFill>
                            <a:srgbClr val="000000"/>
                          </a:solidFill>
                          <a:prstDash val="solid"/>
                          <a:headEnd type="none" w="med" len="med"/>
                          <a:tailEnd type="arrow" w="med" len="med"/>
                        </a:ln>
                      </wps:spPr>
                      <wps:bodyPr/>
                    </wps:wsp>
                  </a:graphicData>
                </a:graphic>
              </wp:anchor>
            </w:drawing>
          </mc:Choice>
          <mc:Fallback>
            <w:pict>
              <v:line id="直线 1068" o:spid="_x0000_s1026" o:spt="20" style="position:absolute;left:0pt;flip:y;margin-left:295.25pt;margin-top:127.8pt;height:122.25pt;width:20.1pt;z-index:251682816;mso-width-relative:page;mso-height-relative:page;" filled="f" stroked="t" coordsize="21600,21600" o:gfxdata="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5kzkPXAAAACwEAAA8AAAAAAAAAAQAgAAAAIgAAAGRycy9kb3ducmV2LnhtbFBLAQIUABQA&#10;AAAIAIdO4kBnX0Lv8QEAAOQDAAAOAAAAAAAAAAEAIAAAACYBAABkcnMvZTJvRG9jLnhtbFBLBQYA&#10;AAAABgAGAFkBAACJBQAAAAA=&#10;">
                <v:fill on="f" focussize="0,0"/>
                <v:stroke weight="1.5pt" color="#000000" joinstyle="round" endarrow="open"/>
                <v:imagedata o:title=""/>
                <o:lock v:ext="edit" aspectratio="f"/>
              </v:lin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3587750</wp:posOffset>
                </wp:positionH>
                <wp:positionV relativeFrom="paragraph">
                  <wp:posOffset>3181985</wp:posOffset>
                </wp:positionV>
                <wp:extent cx="291465" cy="500380"/>
                <wp:effectExtent l="0" t="0" r="0" b="0"/>
                <wp:wrapNone/>
                <wp:docPr id="27" name="任意多边形 274"/>
                <wp:cNvGraphicFramePr/>
                <a:graphic xmlns:a="http://schemas.openxmlformats.org/drawingml/2006/main">
                  <a:graphicData uri="http://schemas.microsoft.com/office/word/2010/wordprocessingShape">
                    <wps:wsp>
                      <wps:cNvSpPr/>
                      <wps:spPr>
                        <a:xfrm>
                          <a:off x="0" y="0"/>
                          <a:ext cx="291465" cy="500380"/>
                        </a:xfrm>
                        <a:custGeom>
                          <a:avLst/>
                          <a:gdLst/>
                          <a:ahLst/>
                          <a:cxnLst/>
                          <a:rect l="0" t="0" r="0" b="0"/>
                          <a:pathLst>
                            <a:path w="459" h="788">
                              <a:moveTo>
                                <a:pt x="0" y="515"/>
                              </a:moveTo>
                              <a:lnTo>
                                <a:pt x="187" y="610"/>
                              </a:lnTo>
                              <a:lnTo>
                                <a:pt x="356" y="788"/>
                              </a:lnTo>
                              <a:lnTo>
                                <a:pt x="450" y="685"/>
                              </a:lnTo>
                              <a:lnTo>
                                <a:pt x="459" y="506"/>
                              </a:lnTo>
                              <a:lnTo>
                                <a:pt x="412" y="254"/>
                              </a:lnTo>
                              <a:lnTo>
                                <a:pt x="318" y="0"/>
                              </a:lnTo>
                              <a:lnTo>
                                <a:pt x="197" y="0"/>
                              </a:lnTo>
                              <a:lnTo>
                                <a:pt x="178" y="206"/>
                              </a:lnTo>
                              <a:lnTo>
                                <a:pt x="150" y="356"/>
                              </a:lnTo>
                              <a:lnTo>
                                <a:pt x="0" y="515"/>
                              </a:lnTo>
                              <a:close/>
                            </a:path>
                          </a:pathLst>
                        </a:custGeom>
                        <a:gradFill rotWithShape="0">
                          <a:gsLst>
                            <a:gs pos="0">
                              <a:srgbClr val="FFFF00">
                                <a:alpha val="54999"/>
                              </a:srgbClr>
                            </a:gs>
                            <a:gs pos="100000">
                              <a:srgbClr val="FFFF00">
                                <a:gamma/>
                                <a:shade val="45882"/>
                                <a:invGamma/>
                                <a:alpha val="54999"/>
                              </a:srgbClr>
                            </a:gs>
                          </a:gsLst>
                          <a:lin ang="5400000" scaled="1"/>
                          <a:tileRect/>
                        </a:gradFill>
                        <a:ln w="19050" cap="flat" cmpd="sng">
                          <a:solidFill>
                            <a:srgbClr val="7030A0"/>
                          </a:solidFill>
                          <a:prstDash val="solid"/>
                          <a:headEnd type="none" w="med" len="med"/>
                          <a:tailEnd type="none" w="med" len="med"/>
                        </a:ln>
                      </wps:spPr>
                      <wps:bodyPr vert="horz" wrap="square" anchor="t" anchorCtr="0" upright="1"/>
                    </wps:wsp>
                  </a:graphicData>
                </a:graphic>
              </wp:anchor>
            </w:drawing>
          </mc:Choice>
          <mc:Fallback>
            <w:pict>
              <v:shape id="任意多边形 274" o:spid="_x0000_s1026" o:spt="100" style="position:absolute;left:0pt;margin-left:282.5pt;margin-top:250.55pt;height:39.4pt;width:22.95pt;z-index:251671552;mso-width-relative:page;mso-height-relative:page;" fillcolor="#FFFF00" filled="t" stroked="t" coordsize="459,788" o:gfxdata="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H03C8rbAAAA&#10;CwEAAA8AAAAAAAAAAQAgAAAAIgAAAGRycy9kb3ducmV2LnhtbFBLAQIUABQAAAAIAIdO4kDWhRHx&#10;NwMAAIQHAAAOAAAAAAAAAAEAIAAAACoBAABkcnMvZTJvRG9jLnhtbFBLBQYAAAAABgAGAFkBAADT&#10;BgAAAAA=&#10;" path="m0,515l187,610,356,788,450,685,459,506,412,254,318,0,197,0,178,206,150,356,0,515xe">
                <v:fill type="gradient" on="t" color2="#757500" opacity="36044f" o:opacity2="36044f" focus="100%" focussize="0,0"/>
                <v:stroke weight="1.5pt" color="#7030A0" joinstyle="round"/>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3422015</wp:posOffset>
                </wp:positionH>
                <wp:positionV relativeFrom="paragraph">
                  <wp:posOffset>3221355</wp:posOffset>
                </wp:positionV>
                <wp:extent cx="702945" cy="438785"/>
                <wp:effectExtent l="0" t="0" r="0" b="0"/>
                <wp:wrapNone/>
                <wp:docPr id="28" name="文本框 1053"/>
                <wp:cNvGraphicFramePr/>
                <a:graphic xmlns:a="http://schemas.openxmlformats.org/drawingml/2006/main">
                  <a:graphicData uri="http://schemas.microsoft.com/office/word/2010/wordprocessingShape">
                    <wps:wsp>
                      <wps:cNvSpPr txBox="1"/>
                      <wps:spPr>
                        <a:xfrm>
                          <a:off x="0" y="0"/>
                          <a:ext cx="702945" cy="438785"/>
                        </a:xfrm>
                        <a:prstGeom prst="rect">
                          <a:avLst/>
                        </a:prstGeom>
                        <a:noFill/>
                        <a:ln w="19050">
                          <a:noFill/>
                        </a:ln>
                      </wps:spPr>
                      <wps:txbx>
                        <w:txbxContent>
                          <w:p>
                            <w:pPr>
                              <w:ind w:firstLine="0" w:firstLineChars="0"/>
                              <w:rPr>
                                <w:color w:val="FFFF00"/>
                              </w:rPr>
                            </w:pPr>
                            <w:r>
                              <w:rPr>
                                <w:rFonts w:hint="eastAsia"/>
                                <w:color w:val="FFFF00"/>
                              </w:rPr>
                              <w:t>弃渣场</w:t>
                            </w:r>
                          </w:p>
                        </w:txbxContent>
                      </wps:txbx>
                      <wps:bodyPr wrap="square" upright="1"/>
                    </wps:wsp>
                  </a:graphicData>
                </a:graphic>
              </wp:anchor>
            </w:drawing>
          </mc:Choice>
          <mc:Fallback>
            <w:pict>
              <v:shape id="文本框 1053" o:spid="_x0000_s1026" o:spt="202" type="#_x0000_t202" style="position:absolute;left:0pt;margin-left:269.45pt;margin-top:253.65pt;height:34.55pt;width:55.35pt;z-index:251672576;mso-width-relative:page;mso-height-relative:page;" filled="f" stroked="f" coordsize="21600,21600" o:gfxdata="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EOwa8tkAAAALAQAADwAAAAAAAAABACAAAAAiAAAAZHJzL2Rvd25y&#10;ZXYueG1sUEsBAhQAFAAAAAgAh07iQAqRHP/EAQAAaQMAAA4AAAAAAAAAAQAgAAAAKAEAAGRycy9l&#10;Mm9Eb2MueG1sUEsFBgAAAAAGAAYAWQEAAF4FAAAAAA==&#10;">
                <v:fill on="f" focussize="0,0"/>
                <v:stroke on="f" weight="1.5pt"/>
                <v:imagedata o:title=""/>
                <o:lock v:ext="edit" aspectratio="f"/>
                <v:textbox>
                  <w:txbxContent>
                    <w:p>
                      <w:pPr>
                        <w:ind w:firstLine="0" w:firstLineChars="0"/>
                        <w:rPr>
                          <w:color w:val="FFFF00"/>
                        </w:rPr>
                      </w:pPr>
                      <w:r>
                        <w:rPr>
                          <w:rFonts w:hint="eastAsia"/>
                          <w:color w:val="FFFF00"/>
                        </w:rPr>
                        <w:t>弃渣场</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3342640</wp:posOffset>
                </wp:positionH>
                <wp:positionV relativeFrom="paragraph">
                  <wp:posOffset>850900</wp:posOffset>
                </wp:positionV>
                <wp:extent cx="614680" cy="714375"/>
                <wp:effectExtent l="0" t="0" r="0" b="0"/>
                <wp:wrapNone/>
                <wp:docPr id="36" name="直线 1066"/>
                <wp:cNvGraphicFramePr/>
                <a:graphic xmlns:a="http://schemas.openxmlformats.org/drawingml/2006/main">
                  <a:graphicData uri="http://schemas.microsoft.com/office/word/2010/wordprocessingShape">
                    <wps:wsp>
                      <wps:cNvCnPr/>
                      <wps:spPr>
                        <a:xfrm flipV="1">
                          <a:off x="0" y="0"/>
                          <a:ext cx="614680" cy="714375"/>
                        </a:xfrm>
                        <a:prstGeom prst="line">
                          <a:avLst/>
                        </a:prstGeom>
                        <a:ln w="19050" cap="flat" cmpd="sng">
                          <a:solidFill>
                            <a:srgbClr val="000000"/>
                          </a:solidFill>
                          <a:prstDash val="solid"/>
                          <a:headEnd type="none" w="med" len="med"/>
                          <a:tailEnd type="arrow" w="med" len="med"/>
                        </a:ln>
                      </wps:spPr>
                      <wps:bodyPr/>
                    </wps:wsp>
                  </a:graphicData>
                </a:graphic>
              </wp:anchor>
            </w:drawing>
          </mc:Choice>
          <mc:Fallback>
            <w:pict>
              <v:line id="直线 1066" o:spid="_x0000_s1026" o:spt="20" style="position:absolute;left:0pt;flip:y;margin-left:263.2pt;margin-top:67pt;height:56.25pt;width:48.4pt;z-index:251680768;mso-width-relative:page;mso-height-relative:page;" filled="f" stroked="t" coordsize="21600,21600" o:gfxdata="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uwnAvYAAAACwEAAA8AAAAAAAAAAQAgAAAAIgAAAGRycy9kb3ducmV2LnhtbFBLAQIU&#10;ABQAAAAIAIdO4kCWsLqP8wEAAOMDAAAOAAAAAAAAAAEAIAAAACcBAABkcnMvZTJvRG9jLnhtbFBL&#10;BQYAAAAABgAGAFkBAACMBQAAAAA=&#10;">
                <v:fill on="f" focussize="0,0"/>
                <v:stroke weight="1.5pt" color="#000000" joinstyle="round" endarrow="open"/>
                <v:imagedata o:title=""/>
                <o:lock v:ext="edit" aspectratio="f"/>
              </v:lin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2673350</wp:posOffset>
                </wp:positionH>
                <wp:positionV relativeFrom="paragraph">
                  <wp:posOffset>1028700</wp:posOffset>
                </wp:positionV>
                <wp:extent cx="411480" cy="324485"/>
                <wp:effectExtent l="0" t="0" r="0" b="0"/>
                <wp:wrapNone/>
                <wp:docPr id="33" name="文本框 1062"/>
                <wp:cNvGraphicFramePr/>
                <a:graphic xmlns:a="http://schemas.openxmlformats.org/drawingml/2006/main">
                  <a:graphicData uri="http://schemas.microsoft.com/office/word/2010/wordprocessingShape">
                    <wps:wsp>
                      <wps:cNvSpPr txBox="1"/>
                      <wps:spPr>
                        <a:xfrm>
                          <a:off x="0" y="0"/>
                          <a:ext cx="411480" cy="324485"/>
                        </a:xfrm>
                        <a:prstGeom prst="rect">
                          <a:avLst/>
                        </a:prstGeom>
                        <a:noFill/>
                        <a:ln w="19050">
                          <a:noFill/>
                        </a:ln>
                      </wps:spPr>
                      <wps:txbx>
                        <w:txbxContent>
                          <w:p>
                            <w:pPr>
                              <w:ind w:firstLine="0" w:firstLineChars="0"/>
                              <w:rPr>
                                <w:color w:val="FFFF00"/>
                                <w:sz w:val="15"/>
                                <w:szCs w:val="15"/>
                              </w:rPr>
                            </w:pPr>
                            <w:r>
                              <w:rPr>
                                <w:rFonts w:hint="eastAsia"/>
                                <w:color w:val="FFFF00"/>
                                <w:sz w:val="15"/>
                                <w:szCs w:val="15"/>
                              </w:rPr>
                              <w:t>450m</w:t>
                            </w:r>
                          </w:p>
                        </w:txbxContent>
                      </wps:txbx>
                      <wps:bodyPr wrap="square" upright="1"/>
                    </wps:wsp>
                  </a:graphicData>
                </a:graphic>
              </wp:anchor>
            </w:drawing>
          </mc:Choice>
          <mc:Fallback>
            <w:pict>
              <v:shape id="文本框 1062" o:spid="_x0000_s1026" o:spt="202" type="#_x0000_t202" style="position:absolute;left:0pt;margin-left:210.5pt;margin-top:81pt;height:25.55pt;width:32.4pt;z-index:251677696;mso-width-relative:page;mso-height-relative:page;" filled="f" stroked="f" coordsize="21600,21600" o:gfxdata="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TR8nYNgAAAALAQAADwAAAAAAAAABACAAAAAiAAAAZHJzL2Rvd25yZXYu&#10;eG1sUEsBAhQAFAAAAAgAh07iQK1WScLCAQAAaQMAAA4AAAAAAAAAAQAgAAAAJwEAAGRycy9lMm9E&#10;b2MueG1sUEsFBgAAAAAGAAYAWQEAAFsFAAAAAA==&#10;">
                <v:fill on="f" focussize="0,0"/>
                <v:stroke on="f" weight="1.5pt"/>
                <v:imagedata o:title=""/>
                <o:lock v:ext="edit" aspectratio="f"/>
                <v:textbox>
                  <w:txbxContent>
                    <w:p>
                      <w:pPr>
                        <w:ind w:firstLine="0" w:firstLineChars="0"/>
                        <w:rPr>
                          <w:color w:val="FFFF00"/>
                          <w:sz w:val="15"/>
                          <w:szCs w:val="15"/>
                        </w:rPr>
                      </w:pPr>
                      <w:r>
                        <w:rPr>
                          <w:rFonts w:hint="eastAsia"/>
                          <w:color w:val="FFFF00"/>
                          <w:sz w:val="15"/>
                          <w:szCs w:val="15"/>
                        </w:rPr>
                        <w:t>450m</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3369310</wp:posOffset>
                </wp:positionH>
                <wp:positionV relativeFrom="paragraph">
                  <wp:posOffset>904875</wp:posOffset>
                </wp:positionV>
                <wp:extent cx="440690" cy="324485"/>
                <wp:effectExtent l="0" t="0" r="0" b="0"/>
                <wp:wrapNone/>
                <wp:docPr id="37" name="文本框 1067"/>
                <wp:cNvGraphicFramePr/>
                <a:graphic xmlns:a="http://schemas.openxmlformats.org/drawingml/2006/main">
                  <a:graphicData uri="http://schemas.microsoft.com/office/word/2010/wordprocessingShape">
                    <wps:wsp>
                      <wps:cNvSpPr txBox="1"/>
                      <wps:spPr>
                        <a:xfrm>
                          <a:off x="0" y="0"/>
                          <a:ext cx="440690" cy="324485"/>
                        </a:xfrm>
                        <a:prstGeom prst="rect">
                          <a:avLst/>
                        </a:prstGeom>
                        <a:noFill/>
                        <a:ln w="19050">
                          <a:noFill/>
                        </a:ln>
                      </wps:spPr>
                      <wps:txbx>
                        <w:txbxContent>
                          <w:p>
                            <w:pPr>
                              <w:ind w:firstLine="0" w:firstLineChars="0"/>
                              <w:rPr>
                                <w:color w:val="FFFF00"/>
                                <w:sz w:val="15"/>
                                <w:szCs w:val="15"/>
                              </w:rPr>
                            </w:pPr>
                            <w:r>
                              <w:rPr>
                                <w:rFonts w:hint="eastAsia"/>
                                <w:color w:val="FFFF00"/>
                                <w:sz w:val="15"/>
                                <w:szCs w:val="15"/>
                              </w:rPr>
                              <w:t>630m</w:t>
                            </w:r>
                          </w:p>
                        </w:txbxContent>
                      </wps:txbx>
                      <wps:bodyPr wrap="square" upright="1"/>
                    </wps:wsp>
                  </a:graphicData>
                </a:graphic>
              </wp:anchor>
            </w:drawing>
          </mc:Choice>
          <mc:Fallback>
            <w:pict>
              <v:shape id="文本框 1067" o:spid="_x0000_s1026" o:spt="202" type="#_x0000_t202" style="position:absolute;left:0pt;margin-left:265.3pt;margin-top:71.25pt;height:25.55pt;width:34.7pt;z-index:251681792;mso-width-relative:page;mso-height-relative:page;" filled="f" stroked="f" coordsize="21600,21600" o:gfxdata="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W0JWdcAAAALAQAADwAAAAAAAAABACAAAAAiAAAAZHJzL2Rvd25yZXYu&#10;eG1sUEsBAhQAFAAAAAgAh07iQOYZmUTDAQAAaQMAAA4AAAAAAAAAAQAgAAAAJgEAAGRycy9lMm9E&#10;b2MueG1sUEsFBgAAAAAGAAYAWQEAAFsFAAAAAA==&#10;">
                <v:fill on="f" focussize="0,0"/>
                <v:stroke on="f" weight="1.5pt"/>
                <v:imagedata o:title=""/>
                <o:lock v:ext="edit" aspectratio="f"/>
                <v:textbox>
                  <w:txbxContent>
                    <w:p>
                      <w:pPr>
                        <w:ind w:firstLine="0" w:firstLineChars="0"/>
                        <w:rPr>
                          <w:color w:val="FFFF00"/>
                          <w:sz w:val="15"/>
                          <w:szCs w:val="15"/>
                        </w:rPr>
                      </w:pPr>
                      <w:r>
                        <w:rPr>
                          <w:rFonts w:hint="eastAsia"/>
                          <w:color w:val="FFFF00"/>
                          <w:sz w:val="15"/>
                          <w:szCs w:val="15"/>
                        </w:rPr>
                        <w:t>630m</w:t>
                      </w: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3421380</wp:posOffset>
                </wp:positionH>
                <wp:positionV relativeFrom="paragraph">
                  <wp:posOffset>1338580</wp:posOffset>
                </wp:positionV>
                <wp:extent cx="440055" cy="324485"/>
                <wp:effectExtent l="0" t="0" r="0" b="0"/>
                <wp:wrapNone/>
                <wp:docPr id="35" name="文本框 1065"/>
                <wp:cNvGraphicFramePr/>
                <a:graphic xmlns:a="http://schemas.openxmlformats.org/drawingml/2006/main">
                  <a:graphicData uri="http://schemas.microsoft.com/office/word/2010/wordprocessingShape">
                    <wps:wsp>
                      <wps:cNvSpPr txBox="1"/>
                      <wps:spPr>
                        <a:xfrm>
                          <a:off x="0" y="0"/>
                          <a:ext cx="440055" cy="324485"/>
                        </a:xfrm>
                        <a:prstGeom prst="rect">
                          <a:avLst/>
                        </a:prstGeom>
                        <a:noFill/>
                        <a:ln w="19050">
                          <a:noFill/>
                        </a:ln>
                      </wps:spPr>
                      <wps:txbx>
                        <w:txbxContent>
                          <w:p>
                            <w:pPr>
                              <w:ind w:firstLine="0" w:firstLineChars="0"/>
                              <w:rPr>
                                <w:color w:val="FFFF00"/>
                                <w:sz w:val="15"/>
                                <w:szCs w:val="15"/>
                              </w:rPr>
                            </w:pPr>
                            <w:r>
                              <w:rPr>
                                <w:rFonts w:hint="eastAsia"/>
                                <w:color w:val="FFFF00"/>
                                <w:sz w:val="15"/>
                                <w:szCs w:val="15"/>
                              </w:rPr>
                              <w:t>350m</w:t>
                            </w:r>
                          </w:p>
                        </w:txbxContent>
                      </wps:txbx>
                      <wps:bodyPr wrap="square" upright="1"/>
                    </wps:wsp>
                  </a:graphicData>
                </a:graphic>
              </wp:anchor>
            </w:drawing>
          </mc:Choice>
          <mc:Fallback>
            <w:pict>
              <v:shape id="文本框 1065" o:spid="_x0000_s1026" o:spt="202" type="#_x0000_t202" style="position:absolute;left:0pt;margin-left:269.4pt;margin-top:105.4pt;height:25.55pt;width:34.65pt;z-index:251679744;mso-width-relative:page;mso-height-relative:page;" filled="f" stroked="f" coordsize="21600,21600" o:gfxdata="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rNGRPYAAAACwEAAA8AAAAAAAAAAQAgAAAAIgAAAGRycy9kb3ducmV2&#10;LnhtbFBLAQIUABQAAAAIAIdO4kDc7BB3wwEAAGkDAAAOAAAAAAAAAAEAIAAAACcBAABkcnMvZTJv&#10;RG9jLnhtbFBLBQYAAAAABgAGAFkBAABcBQAAAAA=&#10;">
                <v:fill on="f" focussize="0,0"/>
                <v:stroke on="f" weight="1.5pt"/>
                <v:imagedata o:title=""/>
                <o:lock v:ext="edit" aspectratio="f"/>
                <v:textbox>
                  <w:txbxContent>
                    <w:p>
                      <w:pPr>
                        <w:ind w:firstLine="0" w:firstLineChars="0"/>
                        <w:rPr>
                          <w:color w:val="FFFF00"/>
                          <w:sz w:val="15"/>
                          <w:szCs w:val="15"/>
                        </w:rPr>
                      </w:pPr>
                      <w:r>
                        <w:rPr>
                          <w:rFonts w:hint="eastAsia"/>
                          <w:color w:val="FFFF00"/>
                          <w:sz w:val="15"/>
                          <w:szCs w:val="15"/>
                        </w:rPr>
                        <w:t>350m</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3343275</wp:posOffset>
                </wp:positionH>
                <wp:positionV relativeFrom="paragraph">
                  <wp:posOffset>1474470</wp:posOffset>
                </wp:positionV>
                <wp:extent cx="600075" cy="81280"/>
                <wp:effectExtent l="0" t="0" r="0" b="0"/>
                <wp:wrapNone/>
                <wp:docPr id="34" name="直线 1064"/>
                <wp:cNvGraphicFramePr/>
                <a:graphic xmlns:a="http://schemas.openxmlformats.org/drawingml/2006/main">
                  <a:graphicData uri="http://schemas.microsoft.com/office/word/2010/wordprocessingShape">
                    <wps:wsp>
                      <wps:cNvCnPr/>
                      <wps:spPr>
                        <a:xfrm flipV="1">
                          <a:off x="0" y="0"/>
                          <a:ext cx="600075" cy="81280"/>
                        </a:xfrm>
                        <a:prstGeom prst="line">
                          <a:avLst/>
                        </a:prstGeom>
                        <a:ln w="19050" cap="flat" cmpd="sng">
                          <a:solidFill>
                            <a:srgbClr val="000000"/>
                          </a:solidFill>
                          <a:prstDash val="solid"/>
                          <a:headEnd type="none" w="med" len="med"/>
                          <a:tailEnd type="arrow" w="med" len="med"/>
                        </a:ln>
                      </wps:spPr>
                      <wps:bodyPr/>
                    </wps:wsp>
                  </a:graphicData>
                </a:graphic>
              </wp:anchor>
            </w:drawing>
          </mc:Choice>
          <mc:Fallback>
            <w:pict>
              <v:line id="直线 1064" o:spid="_x0000_s1026" o:spt="20" style="position:absolute;left:0pt;flip:y;margin-left:263.25pt;margin-top:116.1pt;height:6.4pt;width:47.25pt;z-index:251678720;mso-width-relative:page;mso-height-relative:page;" filled="f" stroked="t" coordsize="21600,21600" o:gfxdata="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DO+9L1wAAAAsBAAAPAAAAAAAAAAEAIAAAACIAAABkcnMvZG93bnJldi54bWxQSwEC&#10;FAAUAAAACACHTuJAxqbZBfUBAADiAwAADgAAAAAAAAABACAAAAAmAQAAZHJzL2Uyb0RvYy54bWxQ&#10;SwUGAAAAAAYABgBZAQAAjQUAAAAA&#10;">
                <v:fill on="f" focussize="0,0"/>
                <v:stroke weight="1.5pt" color="#000000" joinstyle="round" endarrow="open"/>
                <v:imagedata o:title=""/>
                <o:lock v:ext="edit" aspectratio="f"/>
              </v:lin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2647950</wp:posOffset>
                </wp:positionH>
                <wp:positionV relativeFrom="paragraph">
                  <wp:posOffset>1012825</wp:posOffset>
                </wp:positionV>
                <wp:extent cx="347345" cy="547370"/>
                <wp:effectExtent l="0" t="0" r="0" b="0"/>
                <wp:wrapNone/>
                <wp:docPr id="32" name="直线 1061"/>
                <wp:cNvGraphicFramePr/>
                <a:graphic xmlns:a="http://schemas.openxmlformats.org/drawingml/2006/main">
                  <a:graphicData uri="http://schemas.microsoft.com/office/word/2010/wordprocessingShape">
                    <wps:wsp>
                      <wps:cNvCnPr/>
                      <wps:spPr>
                        <a:xfrm flipH="1" flipV="1">
                          <a:off x="0" y="0"/>
                          <a:ext cx="347345" cy="547370"/>
                        </a:xfrm>
                        <a:prstGeom prst="line">
                          <a:avLst/>
                        </a:prstGeom>
                        <a:ln w="19050" cap="flat" cmpd="sng">
                          <a:solidFill>
                            <a:srgbClr val="000000"/>
                          </a:solidFill>
                          <a:prstDash val="solid"/>
                          <a:headEnd type="none" w="med" len="med"/>
                          <a:tailEnd type="arrow" w="med" len="med"/>
                        </a:ln>
                      </wps:spPr>
                      <wps:bodyPr/>
                    </wps:wsp>
                  </a:graphicData>
                </a:graphic>
              </wp:anchor>
            </w:drawing>
          </mc:Choice>
          <mc:Fallback>
            <w:pict>
              <v:line id="直线 1061" o:spid="_x0000_s1026" o:spt="20" style="position:absolute;left:0pt;flip:x y;margin-left:208.5pt;margin-top:79.75pt;height:43.1pt;width:27.35pt;z-index:251676672;mso-width-relative:page;mso-height-relative:page;" filled="f" stroked="t" coordsize="21600,21600" o:gfxdata="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olYRT2AAAAAsBAAAPAAAAAAAAAAEAIAAAACIAAABkcnMvZG93bnJldi54&#10;bWxQSwECFAAUAAAACACHTuJA1hH7mvoBAADtAwAADgAAAAAAAAABACAAAAAnAQAAZHJzL2Uyb0Rv&#10;Yy54bWxQSwUGAAAAAAYABgBZAQAAkwUAAAAA&#10;">
                <v:fill on="f" focussize="0,0"/>
                <v:stroke weight="1.5pt" color="#000000" joinstyle="round" endarrow="open"/>
                <v:imagedata o:title=""/>
                <o:lock v:ext="edit" aspectratio="f"/>
              </v:lin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2476500</wp:posOffset>
                </wp:positionH>
                <wp:positionV relativeFrom="paragraph">
                  <wp:posOffset>857885</wp:posOffset>
                </wp:positionV>
                <wp:extent cx="197485" cy="179070"/>
                <wp:effectExtent l="0" t="0" r="0" b="0"/>
                <wp:wrapNone/>
                <wp:docPr id="31" name="任意多边形 1060"/>
                <wp:cNvGraphicFramePr/>
                <a:graphic xmlns:a="http://schemas.openxmlformats.org/drawingml/2006/main">
                  <a:graphicData uri="http://schemas.microsoft.com/office/word/2010/wordprocessingShape">
                    <wps:wsp>
                      <wps:cNvSpPr/>
                      <wps:spPr>
                        <a:xfrm>
                          <a:off x="0" y="0"/>
                          <a:ext cx="197485" cy="179070"/>
                        </a:xfrm>
                        <a:custGeom>
                          <a:avLst/>
                          <a:gdLst/>
                          <a:ahLst/>
                          <a:cxnLst/>
                          <a:rect l="0" t="0" r="0" b="0"/>
                          <a:pathLst>
                            <a:path w="311" h="282">
                              <a:moveTo>
                                <a:pt x="271" y="81"/>
                              </a:moveTo>
                              <a:lnTo>
                                <a:pt x="150" y="0"/>
                              </a:lnTo>
                              <a:lnTo>
                                <a:pt x="109" y="0"/>
                              </a:lnTo>
                              <a:lnTo>
                                <a:pt x="51" y="86"/>
                              </a:lnTo>
                              <a:lnTo>
                                <a:pt x="0" y="144"/>
                              </a:lnTo>
                              <a:lnTo>
                                <a:pt x="40" y="201"/>
                              </a:lnTo>
                              <a:lnTo>
                                <a:pt x="98" y="241"/>
                              </a:lnTo>
                              <a:lnTo>
                                <a:pt x="178" y="282"/>
                              </a:lnTo>
                              <a:lnTo>
                                <a:pt x="271" y="214"/>
                              </a:lnTo>
                              <a:lnTo>
                                <a:pt x="311" y="161"/>
                              </a:lnTo>
                              <a:lnTo>
                                <a:pt x="271" y="81"/>
                              </a:lnTo>
                              <a:close/>
                            </a:path>
                          </a:pathLst>
                        </a:custGeom>
                        <a:noFill/>
                        <a:ln w="12700"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1060" o:spid="_x0000_s1026" o:spt="100" style="position:absolute;left:0pt;margin-left:195pt;margin-top:67.55pt;height:14.1pt;width:15.55pt;z-index:251675648;mso-width-relative:page;mso-height-relative:page;" filled="f" stroked="t" coordsize="311,282" o:gfxdata="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qEYyg2AAAAAsBAAAPAAAAAAAAAAEAIAAA&#10;ACIAAABkcnMvZG93bnJldi54bWxQSwECFAAUAAAACACHTuJATebCxLcCAABRBgAADgAAAAAAAAAB&#10;ACAAAAAnAQAAZHJzL2Uyb0RvYy54bWxQSwUGAAAAAAYABgBZAQAAUAYAAAAA&#10;" path="m271,81l150,0,109,0,51,86,0,144,40,201,98,241,178,282,271,214,311,161,271,81xe">
                <v:fill on="f" focussize="0,0"/>
                <v:stroke weight="1pt" color="#FFFF00" joinstyle="round"/>
                <v:imagedata o:title=""/>
                <o:lock v:ext="edit" aspectratio="f"/>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3937000</wp:posOffset>
                </wp:positionH>
                <wp:positionV relativeFrom="paragraph">
                  <wp:posOffset>1055370</wp:posOffset>
                </wp:positionV>
                <wp:extent cx="552450" cy="567055"/>
                <wp:effectExtent l="0" t="0" r="0" b="0"/>
                <wp:wrapNone/>
                <wp:docPr id="30" name="任意多边形 1059"/>
                <wp:cNvGraphicFramePr/>
                <a:graphic xmlns:a="http://schemas.openxmlformats.org/drawingml/2006/main">
                  <a:graphicData uri="http://schemas.microsoft.com/office/word/2010/wordprocessingShape">
                    <wps:wsp>
                      <wps:cNvSpPr/>
                      <wps:spPr>
                        <a:xfrm>
                          <a:off x="0" y="0"/>
                          <a:ext cx="552450" cy="567055"/>
                        </a:xfrm>
                        <a:custGeom>
                          <a:avLst/>
                          <a:gdLst/>
                          <a:ahLst/>
                          <a:cxnLst/>
                          <a:rect l="0" t="0" r="0" b="0"/>
                          <a:pathLst>
                            <a:path w="870" h="893">
                              <a:moveTo>
                                <a:pt x="375" y="45"/>
                              </a:moveTo>
                              <a:lnTo>
                                <a:pt x="195" y="240"/>
                              </a:lnTo>
                              <a:lnTo>
                                <a:pt x="113" y="345"/>
                              </a:lnTo>
                              <a:lnTo>
                                <a:pt x="38" y="533"/>
                              </a:lnTo>
                              <a:lnTo>
                                <a:pt x="0" y="735"/>
                              </a:lnTo>
                              <a:lnTo>
                                <a:pt x="23" y="863"/>
                              </a:lnTo>
                              <a:lnTo>
                                <a:pt x="158" y="893"/>
                              </a:lnTo>
                              <a:lnTo>
                                <a:pt x="278" y="833"/>
                              </a:lnTo>
                              <a:lnTo>
                                <a:pt x="473" y="788"/>
                              </a:lnTo>
                              <a:lnTo>
                                <a:pt x="533" y="735"/>
                              </a:lnTo>
                              <a:lnTo>
                                <a:pt x="608" y="735"/>
                              </a:lnTo>
                              <a:lnTo>
                                <a:pt x="630" y="660"/>
                              </a:lnTo>
                              <a:lnTo>
                                <a:pt x="788" y="548"/>
                              </a:lnTo>
                              <a:lnTo>
                                <a:pt x="870" y="503"/>
                              </a:lnTo>
                              <a:lnTo>
                                <a:pt x="780" y="390"/>
                              </a:lnTo>
                              <a:lnTo>
                                <a:pt x="638" y="203"/>
                              </a:lnTo>
                              <a:lnTo>
                                <a:pt x="600" y="173"/>
                              </a:lnTo>
                              <a:lnTo>
                                <a:pt x="533" y="90"/>
                              </a:lnTo>
                              <a:lnTo>
                                <a:pt x="428" y="0"/>
                              </a:lnTo>
                              <a:lnTo>
                                <a:pt x="218" y="210"/>
                              </a:lnTo>
                            </a:path>
                          </a:pathLst>
                        </a:custGeom>
                        <a:noFill/>
                        <a:ln w="12700"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1059" o:spid="_x0000_s1026" o:spt="100" style="position:absolute;left:0pt;margin-left:310pt;margin-top:83.1pt;height:44.65pt;width:43.5pt;z-index:251674624;mso-width-relative:page;mso-height-relative:page;" filled="f" stroked="t" coordsize="870,893" o:gfxdata="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EqhkNtcAAAAL&#10;AQAADwAAAAAAAAABACAAAAAiAAAAZHJzL2Rvd25yZXYueG1sUEsBAhQAFAAAAAgAh07iQF6L5aEB&#10;AwAAswcAAA4AAAAAAAAAAQAgAAAAJgEAAGRycy9lMm9Eb2MueG1sUEsFBgAAAAAGAAYAWQEAAJkG&#10;AAAAAA==&#10;" path="m375,45l195,240,113,345,38,533,0,735,23,863,158,893,278,833,473,788,533,735,608,735,630,660,788,548,870,503,780,390,638,203,600,173,533,90,428,0,218,210e">
                <v:fill on="f" focussize="0,0"/>
                <v:stroke weight="1pt" color="#FFFF00" joinstyle="round"/>
                <v:imagedata o:title=""/>
                <o:lock v:ext="edit" aspectratio="f"/>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3964940</wp:posOffset>
                </wp:positionH>
                <wp:positionV relativeFrom="paragraph">
                  <wp:posOffset>655320</wp:posOffset>
                </wp:positionV>
                <wp:extent cx="381000" cy="338455"/>
                <wp:effectExtent l="0" t="0" r="0" b="0"/>
                <wp:wrapNone/>
                <wp:docPr id="29" name="任意多边形 1058"/>
                <wp:cNvGraphicFramePr/>
                <a:graphic xmlns:a="http://schemas.openxmlformats.org/drawingml/2006/main">
                  <a:graphicData uri="http://schemas.microsoft.com/office/word/2010/wordprocessingShape">
                    <wps:wsp>
                      <wps:cNvSpPr/>
                      <wps:spPr>
                        <a:xfrm>
                          <a:off x="0" y="0"/>
                          <a:ext cx="381000" cy="338455"/>
                        </a:xfrm>
                        <a:custGeom>
                          <a:avLst/>
                          <a:gdLst/>
                          <a:ahLst/>
                          <a:cxnLst/>
                          <a:rect l="0" t="0" r="0" b="0"/>
                          <a:pathLst>
                            <a:path w="600" h="533">
                              <a:moveTo>
                                <a:pt x="360" y="15"/>
                              </a:moveTo>
                              <a:lnTo>
                                <a:pt x="262" y="30"/>
                              </a:lnTo>
                              <a:lnTo>
                                <a:pt x="172" y="98"/>
                              </a:lnTo>
                              <a:lnTo>
                                <a:pt x="90" y="165"/>
                              </a:lnTo>
                              <a:lnTo>
                                <a:pt x="15" y="218"/>
                              </a:lnTo>
                              <a:lnTo>
                                <a:pt x="0" y="308"/>
                              </a:lnTo>
                              <a:lnTo>
                                <a:pt x="75" y="360"/>
                              </a:lnTo>
                              <a:lnTo>
                                <a:pt x="112" y="390"/>
                              </a:lnTo>
                              <a:lnTo>
                                <a:pt x="150" y="458"/>
                              </a:lnTo>
                              <a:lnTo>
                                <a:pt x="225" y="488"/>
                              </a:lnTo>
                              <a:lnTo>
                                <a:pt x="247" y="473"/>
                              </a:lnTo>
                              <a:lnTo>
                                <a:pt x="307" y="533"/>
                              </a:lnTo>
                              <a:lnTo>
                                <a:pt x="367" y="518"/>
                              </a:lnTo>
                              <a:lnTo>
                                <a:pt x="465" y="420"/>
                              </a:lnTo>
                              <a:lnTo>
                                <a:pt x="517" y="368"/>
                              </a:lnTo>
                              <a:lnTo>
                                <a:pt x="562" y="315"/>
                              </a:lnTo>
                              <a:lnTo>
                                <a:pt x="600" y="263"/>
                              </a:lnTo>
                              <a:lnTo>
                                <a:pt x="577" y="195"/>
                              </a:lnTo>
                              <a:lnTo>
                                <a:pt x="517" y="158"/>
                              </a:lnTo>
                              <a:lnTo>
                                <a:pt x="495" y="83"/>
                              </a:lnTo>
                              <a:lnTo>
                                <a:pt x="457" y="38"/>
                              </a:lnTo>
                              <a:lnTo>
                                <a:pt x="442" y="0"/>
                              </a:lnTo>
                              <a:lnTo>
                                <a:pt x="360" y="15"/>
                              </a:lnTo>
                              <a:close/>
                            </a:path>
                          </a:pathLst>
                        </a:custGeom>
                        <a:noFill/>
                        <a:ln w="12700" cap="flat" cmpd="sng">
                          <a:solidFill>
                            <a:srgbClr val="FFFF00"/>
                          </a:solidFill>
                          <a:prstDash val="solid"/>
                          <a:headEnd type="none" w="med" len="med"/>
                          <a:tailEnd type="none" w="med" len="med"/>
                        </a:ln>
                      </wps:spPr>
                      <wps:bodyPr vert="horz" wrap="square" anchor="t" anchorCtr="0" upright="1"/>
                    </wps:wsp>
                  </a:graphicData>
                </a:graphic>
              </wp:anchor>
            </w:drawing>
          </mc:Choice>
          <mc:Fallback>
            <w:pict>
              <v:shape id="任意多边形 1058" o:spid="_x0000_s1026" o:spt="100" style="position:absolute;left:0pt;margin-left:312.2pt;margin-top:51.6pt;height:26.65pt;width:30pt;z-index:251673600;mso-width-relative:page;mso-height-relative:page;" filled="f" stroked="t" coordsize="600,533" o:gfxdata="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QXwuPdUAAAALAQAADwAAAAAAAAABACAAAAAiAAAAZHJzL2Rvd25yZXYueG1sUEsB&#10;AhQAFAAAAAgAh07iQL38m2YVAwAAMAgAAA4AAAAAAAAAAQAgAAAAJAEAAGRycy9lMm9Eb2MueG1s&#10;UEsFBgAAAAAGAAYAWQEAAKsGAAAAAA==&#10;" path="m360,15l262,30,172,98,90,165,15,218,0,308,75,360,112,390,150,458,225,488,247,473,307,533,367,518,465,420,517,368,562,315,600,263,577,195,517,158,495,83,457,38,442,0,360,15xe">
                <v:fill on="f" focussize="0,0"/>
                <v:stroke weight="1pt" color="#FFFF00" joinstyle="round"/>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3002915</wp:posOffset>
                </wp:positionH>
                <wp:positionV relativeFrom="paragraph">
                  <wp:posOffset>1568450</wp:posOffset>
                </wp:positionV>
                <wp:extent cx="334010" cy="76835"/>
                <wp:effectExtent l="0" t="0" r="0" b="0"/>
                <wp:wrapNone/>
                <wp:docPr id="26" name="矩形 272"/>
                <wp:cNvGraphicFramePr/>
                <a:graphic xmlns:a="http://schemas.openxmlformats.org/drawingml/2006/main">
                  <a:graphicData uri="http://schemas.microsoft.com/office/word/2010/wordprocessingShape">
                    <wps:wsp>
                      <wps:cNvSpPr/>
                      <wps:spPr>
                        <a:xfrm>
                          <a:off x="0" y="0"/>
                          <a:ext cx="334010" cy="76835"/>
                        </a:xfrm>
                        <a:prstGeom prst="rect">
                          <a:avLst/>
                        </a:prstGeom>
                        <a:solidFill>
                          <a:srgbClr val="FF0000"/>
                        </a:solidFill>
                        <a:ln w="19050" cap="flat" cmpd="sng">
                          <a:solidFill>
                            <a:srgbClr val="FF0000"/>
                          </a:solidFill>
                          <a:prstDash val="solid"/>
                          <a:miter/>
                          <a:headEnd type="none" w="med" len="med"/>
                          <a:tailEnd type="none" w="med" len="med"/>
                        </a:ln>
                      </wps:spPr>
                      <wps:bodyPr wrap="square" upright="1"/>
                    </wps:wsp>
                  </a:graphicData>
                </a:graphic>
              </wp:anchor>
            </w:drawing>
          </mc:Choice>
          <mc:Fallback>
            <w:pict>
              <v:rect id="矩形 272" o:spid="_x0000_s1026" o:spt="1" style="position:absolute;left:0pt;margin-left:236.45pt;margin-top:123.5pt;height:6.05pt;width:26.3pt;z-index:251670528;mso-width-relative:page;mso-height-relative:page;" fillcolor="#FF0000" filled="t" stroked="t" coordsize="21600,21600" o:gfxdata="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niHkc2wAAAAsBAAAPAAAAAAAAAAEAIAAAACIAAABk&#10;cnMvZG93bnJldi54bWxQSwECFAAUAAAACACHTuJA8+xrlgMCAAAuBAAADgAAAAAAAAABACAAAAAq&#10;AQAAZHJzL2Uyb0RvYy54bWxQSwUGAAAAAAYABgBZAQAAnwUAAAAA&#10;">
                <v:fill on="t" focussize="0,0"/>
                <v:stroke weight="1.5pt" color="#FF0000" joinstyle="miter"/>
                <v:imagedata o:title=""/>
                <o:lock v:ext="edit" aspectratio="f"/>
              </v:rect>
            </w:pict>
          </mc:Fallback>
        </mc:AlternateContent>
      </w:r>
      <w:r>
        <w:rPr>
          <w:rFonts w:hint="eastAsia" w:ascii="黑体" w:hAnsi="黑体" w:eastAsia="黑体"/>
          <w:szCs w:val="24"/>
        </w:rPr>
        <w:drawing>
          <wp:inline distT="0" distB="0" distL="114300" distR="114300">
            <wp:extent cx="5937885" cy="4408805"/>
            <wp:effectExtent l="0" t="0" r="0" b="0"/>
            <wp:docPr id="71" name="图片 4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6" descr="01"/>
                    <pic:cNvPicPr>
                      <a:picLocks noChangeAspect="1"/>
                    </pic:cNvPicPr>
                  </pic:nvPicPr>
                  <pic:blipFill>
                    <a:blip r:embed="rId30"/>
                    <a:stretch>
                      <a:fillRect/>
                    </a:stretch>
                  </pic:blipFill>
                  <pic:spPr>
                    <a:xfrm>
                      <a:off x="0" y="0"/>
                      <a:ext cx="5937885" cy="440880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36"/>
        <w:tabs>
          <w:tab w:val="left" w:pos="2191"/>
        </w:tabs>
        <w:spacing w:before="120" w:beforeLines="50" w:line="240" w:lineRule="auto"/>
        <w:ind w:left="0" w:leftChars="0" w:firstLine="0" w:firstLineChars="0"/>
        <w:jc w:val="left"/>
        <w:rPr>
          <w:rFonts w:ascii="黑体" w:hAnsi="黑体" w:eastAsia="黑体"/>
          <w:szCs w:val="24"/>
        </w:rPr>
      </w:pPr>
      <w:r>
        <w:rPr>
          <w:rFonts w:hint="eastAsia" w:ascii="黑体" w:hAnsi="黑体" w:eastAsia="黑体"/>
          <w:szCs w:val="24"/>
        </w:rPr>
        <w:tab/>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6"/>
        <w:gridCol w:w="4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5" w:type="dxa"/>
          </w:tcPr>
          <w:p>
            <w:pPr>
              <w:pStyle w:val="36"/>
              <w:tabs>
                <w:tab w:val="left" w:pos="2191"/>
              </w:tabs>
              <w:spacing w:before="120" w:beforeLines="50" w:line="240" w:lineRule="auto"/>
              <w:ind w:left="960" w:hanging="480"/>
              <w:jc w:val="left"/>
              <w:rPr>
                <w:rFonts w:ascii="黑体" w:hAnsi="黑体" w:eastAsia="黑体"/>
                <w:szCs w:val="24"/>
              </w:rPr>
            </w:pPr>
            <w:r>
              <w:rPr>
                <w:rFonts w:hint="eastAsia" w:ascii="黑体" w:hAnsi="黑体" w:eastAsia="黑体"/>
                <w:szCs w:val="24"/>
              </w:rPr>
              <w:drawing>
                <wp:inline distT="0" distB="0" distL="114300" distR="114300">
                  <wp:extent cx="2626360" cy="1969135"/>
                  <wp:effectExtent l="0" t="0" r="2540" b="12065"/>
                  <wp:docPr id="99" name="图片 99" descr="6b119a6007eda11a1c82bd575003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6b119a6007eda11a1c82bd57500319f"/>
                          <pic:cNvPicPr>
                            <a:picLocks noChangeAspect="1"/>
                          </pic:cNvPicPr>
                        </pic:nvPicPr>
                        <pic:blipFill>
                          <a:blip r:embed="rId31"/>
                          <a:stretch>
                            <a:fillRect/>
                          </a:stretch>
                        </pic:blipFill>
                        <pic:spPr>
                          <a:xfrm>
                            <a:off x="0" y="0"/>
                            <a:ext cx="2626360" cy="1969135"/>
                          </a:xfrm>
                          <a:prstGeom prst="rect">
                            <a:avLst/>
                          </a:prstGeom>
                        </pic:spPr>
                      </pic:pic>
                    </a:graphicData>
                  </a:graphic>
                </wp:inline>
              </w:drawing>
            </w:r>
          </w:p>
        </w:tc>
        <w:tc>
          <w:tcPr>
            <w:tcW w:w="4785" w:type="dxa"/>
          </w:tcPr>
          <w:p>
            <w:pPr>
              <w:pStyle w:val="36"/>
              <w:tabs>
                <w:tab w:val="left" w:pos="2191"/>
              </w:tabs>
              <w:spacing w:before="120" w:beforeLines="50" w:line="240" w:lineRule="auto"/>
              <w:ind w:left="0" w:leftChars="0" w:firstLine="0" w:firstLineChars="0"/>
              <w:jc w:val="left"/>
              <w:rPr>
                <w:rFonts w:ascii="黑体" w:hAnsi="黑体" w:eastAsia="黑体"/>
                <w:szCs w:val="24"/>
              </w:rPr>
            </w:pPr>
            <w:r>
              <w:rPr>
                <w:rFonts w:hint="eastAsia" w:ascii="黑体" w:hAnsi="黑体" w:eastAsia="黑体"/>
                <w:szCs w:val="24"/>
              </w:rPr>
              <w:drawing>
                <wp:inline distT="0" distB="0" distL="114300" distR="114300">
                  <wp:extent cx="2593975" cy="1944370"/>
                  <wp:effectExtent l="0" t="0" r="15875" b="17780"/>
                  <wp:docPr id="101" name="图片 101" descr="fa104863860f4d516c80ff22a59e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fa104863860f4d516c80ff22a59e2d2"/>
                          <pic:cNvPicPr>
                            <a:picLocks noChangeAspect="1"/>
                          </pic:cNvPicPr>
                        </pic:nvPicPr>
                        <pic:blipFill>
                          <a:blip r:embed="rId32"/>
                          <a:stretch>
                            <a:fillRect/>
                          </a:stretch>
                        </pic:blipFill>
                        <pic:spPr>
                          <a:xfrm>
                            <a:off x="0" y="0"/>
                            <a:ext cx="2593975" cy="1944370"/>
                          </a:xfrm>
                          <a:prstGeom prst="rect">
                            <a:avLst/>
                          </a:prstGeom>
                        </pic:spPr>
                      </pic:pic>
                    </a:graphicData>
                  </a:graphic>
                </wp:inline>
              </w:drawing>
            </w:r>
          </w:p>
        </w:tc>
      </w:tr>
    </w:tbl>
    <w:p>
      <w:pPr>
        <w:pStyle w:val="36"/>
        <w:spacing w:before="120" w:beforeLines="50" w:line="240" w:lineRule="auto"/>
        <w:ind w:left="0" w:leftChars="0" w:firstLine="0" w:firstLineChars="0"/>
        <w:jc w:val="center"/>
        <w:rPr>
          <w:rFonts w:ascii="黑体" w:hAnsi="黑体" w:eastAsia="黑体"/>
          <w:szCs w:val="24"/>
        </w:rPr>
      </w:pPr>
      <w:r>
        <w:rPr>
          <w:rFonts w:ascii="黑体" w:hAnsi="黑体" w:eastAsia="黑体"/>
          <w:szCs w:val="24"/>
        </w:rPr>
        <w:t>图2.</w:t>
      </w:r>
      <w:r>
        <w:rPr>
          <w:rFonts w:hint="eastAsia" w:ascii="黑体" w:hAnsi="黑体" w:eastAsia="黑体"/>
          <w:szCs w:val="24"/>
        </w:rPr>
        <w:t>10</w:t>
      </w:r>
      <w:r>
        <w:rPr>
          <w:rFonts w:ascii="黑体" w:hAnsi="黑体" w:eastAsia="黑体"/>
          <w:szCs w:val="24"/>
        </w:rPr>
        <w:t>-</w:t>
      </w:r>
      <w:r>
        <w:rPr>
          <w:rFonts w:hint="eastAsia" w:ascii="黑体" w:hAnsi="黑体" w:eastAsia="黑体"/>
          <w:szCs w:val="24"/>
        </w:rPr>
        <w:t xml:space="preserve">3 </w:t>
      </w:r>
      <w:r>
        <w:rPr>
          <w:rFonts w:ascii="黑体" w:hAnsi="黑体" w:eastAsia="黑体"/>
          <w:szCs w:val="24"/>
        </w:rPr>
        <w:t>弃</w:t>
      </w:r>
      <w:r>
        <w:rPr>
          <w:rFonts w:hint="eastAsia" w:ascii="黑体" w:hAnsi="黑体" w:eastAsia="黑体"/>
          <w:szCs w:val="24"/>
        </w:rPr>
        <w:t>渣</w:t>
      </w:r>
      <w:r>
        <w:rPr>
          <w:rFonts w:ascii="黑体" w:hAnsi="黑体" w:eastAsia="黑体"/>
          <w:szCs w:val="24"/>
        </w:rPr>
        <w:t>场</w:t>
      </w:r>
      <w:r>
        <w:rPr>
          <w:rFonts w:hint="eastAsia" w:ascii="黑体" w:hAnsi="黑体" w:eastAsia="黑体"/>
          <w:szCs w:val="24"/>
        </w:rPr>
        <w:t>及施工场地</w:t>
      </w:r>
      <w:r>
        <w:rPr>
          <w:rFonts w:ascii="黑体" w:hAnsi="黑体" w:eastAsia="黑体"/>
          <w:szCs w:val="24"/>
        </w:rPr>
        <w:t>周边环境分布</w:t>
      </w:r>
      <w:r>
        <w:rPr>
          <w:rFonts w:hint="eastAsia" w:ascii="黑体" w:hAnsi="黑体" w:eastAsia="黑体"/>
          <w:szCs w:val="24"/>
        </w:rPr>
        <w:t>示意</w:t>
      </w:r>
      <w:r>
        <w:rPr>
          <w:rFonts w:ascii="黑体" w:hAnsi="黑体" w:eastAsia="黑体"/>
          <w:szCs w:val="24"/>
        </w:rPr>
        <w:t>图</w:t>
      </w:r>
    </w:p>
    <w:p>
      <w:pPr>
        <w:pStyle w:val="7"/>
        <w:spacing w:before="120" w:beforeLines="50"/>
        <w:rPr>
          <w:szCs w:val="24"/>
        </w:rPr>
      </w:pPr>
      <w:r>
        <w:rPr>
          <w:rFonts w:hint="eastAsia"/>
          <w:szCs w:val="24"/>
        </w:rPr>
        <w:t>2.10.4</w:t>
      </w:r>
      <w:r>
        <w:rPr>
          <w:szCs w:val="24"/>
        </w:rPr>
        <w:t>施工场地设置</w:t>
      </w:r>
    </w:p>
    <w:p>
      <w:pPr>
        <w:ind w:firstLine="480"/>
        <w:rPr>
          <w:rFonts w:hAnsi="宋体"/>
          <w:szCs w:val="24"/>
        </w:rPr>
      </w:pPr>
      <w:r>
        <w:rPr>
          <w:rFonts w:hint="eastAsia" w:hAnsi="宋体"/>
          <w:szCs w:val="24"/>
        </w:rPr>
        <w:t>(1)施工生产场地</w:t>
      </w:r>
    </w:p>
    <w:p>
      <w:pPr>
        <w:ind w:firstLine="480"/>
        <w:rPr>
          <w:szCs w:val="24"/>
        </w:rPr>
      </w:pPr>
      <w:r>
        <w:rPr>
          <w:rFonts w:hAnsi="宋体"/>
          <w:szCs w:val="24"/>
        </w:rPr>
        <w:t>施工生产场地布置主要有骨料堆放场地、综合加工厂（钢筋木材综合加工）、机械</w:t>
      </w:r>
      <w:r>
        <w:rPr>
          <w:rFonts w:hint="eastAsia" w:hAnsi="宋体"/>
          <w:szCs w:val="24"/>
        </w:rPr>
        <w:t>及车辆</w:t>
      </w:r>
      <w:r>
        <w:rPr>
          <w:rFonts w:hAnsi="宋体"/>
          <w:szCs w:val="24"/>
        </w:rPr>
        <w:t>维修站、综合仓库及施工生活区等</w:t>
      </w:r>
      <w:r>
        <w:rPr>
          <w:rFonts w:hint="eastAsia" w:hAnsi="宋体"/>
          <w:szCs w:val="24"/>
        </w:rPr>
        <w:t>，施工场地内不设砂石料加工及混凝土拌和系统。</w:t>
      </w:r>
      <w:r>
        <w:rPr>
          <w:rFonts w:hAnsi="宋体"/>
          <w:szCs w:val="24"/>
        </w:rPr>
        <w:t>按照施工需要，设置1个施工生产场地，位于坝址右岸，施工场地占地面积约</w:t>
      </w:r>
      <w:r>
        <w:rPr>
          <w:rFonts w:hint="eastAsia" w:hAnsi="宋体"/>
          <w:szCs w:val="24"/>
        </w:rPr>
        <w:t>6亩</w:t>
      </w:r>
      <w:r>
        <w:rPr>
          <w:rFonts w:hAnsi="宋体"/>
          <w:szCs w:val="24"/>
        </w:rPr>
        <w:t>，占地类型为荒草地。由于工程处于</w:t>
      </w:r>
      <w:r>
        <w:rPr>
          <w:rFonts w:hint="eastAsia" w:hAnsi="宋体"/>
          <w:szCs w:val="24"/>
        </w:rPr>
        <w:t>上高</w:t>
      </w:r>
      <w:r>
        <w:rPr>
          <w:rFonts w:hAnsi="宋体"/>
          <w:szCs w:val="24"/>
        </w:rPr>
        <w:t>县县城，施工生活区采用租赁附近民房和宾馆的方法解决，不另设施工生活区。施工场地内设有的生活区仅用于施工生产场地1~2名看护人员休息。施工场地应尽量设在工程附近地势平缓处，便于施工材料和物资运输，有利于加快施工进度，缩短工期，待工程建设完工后清理场地进行复耕或绿化。施工场地基本情况见表2.</w:t>
      </w:r>
      <w:r>
        <w:rPr>
          <w:rFonts w:hint="eastAsia" w:hAnsi="宋体"/>
          <w:szCs w:val="24"/>
        </w:rPr>
        <w:t>10</w:t>
      </w:r>
      <w:r>
        <w:rPr>
          <w:rFonts w:hAnsi="宋体"/>
          <w:szCs w:val="24"/>
        </w:rPr>
        <w:t>-3及图2.</w:t>
      </w:r>
      <w:r>
        <w:rPr>
          <w:rFonts w:hint="eastAsia" w:hAnsi="宋体"/>
          <w:szCs w:val="24"/>
        </w:rPr>
        <w:t>10</w:t>
      </w:r>
      <w:r>
        <w:rPr>
          <w:rFonts w:hAnsi="宋体"/>
          <w:szCs w:val="24"/>
        </w:rPr>
        <w:t>-3弃渣场及施工场地周边环境分布示意图。</w:t>
      </w:r>
    </w:p>
    <w:p>
      <w:pPr>
        <w:spacing w:before="120" w:beforeLines="50" w:line="240" w:lineRule="auto"/>
        <w:ind w:firstLine="480"/>
        <w:jc w:val="center"/>
        <w:rPr>
          <w:rFonts w:ascii="黑体" w:hAnsi="黑体" w:eastAsia="黑体" w:cs="黑体"/>
        </w:rPr>
      </w:pPr>
      <w:r>
        <w:rPr>
          <w:rFonts w:hint="eastAsia" w:ascii="黑体" w:hAnsi="黑体" w:eastAsia="黑体" w:cs="黑体"/>
        </w:rPr>
        <w:t>表2.10-3 施工场地基本情况</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85"/>
        <w:gridCol w:w="1450"/>
        <w:gridCol w:w="1107"/>
        <w:gridCol w:w="1379"/>
        <w:gridCol w:w="1311"/>
        <w:gridCol w:w="36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58"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编号</w:t>
            </w:r>
          </w:p>
        </w:tc>
        <w:tc>
          <w:tcPr>
            <w:tcW w:w="770" w:type="pct"/>
            <w:tcBorders>
              <w:top w:val="single" w:color="auto" w:sz="12" w:space="0"/>
              <w:bottom w:val="single" w:color="auto" w:sz="4" w:space="0"/>
            </w:tcBorders>
            <w:vAlign w:val="center"/>
          </w:tcPr>
          <w:p>
            <w:pPr>
              <w:widowControl/>
              <w:spacing w:line="340" w:lineRule="exact"/>
              <w:ind w:firstLine="0" w:firstLineChars="0"/>
              <w:jc w:val="center"/>
              <w:rPr>
                <w:bCs/>
                <w:kern w:val="0"/>
                <w:sz w:val="21"/>
                <w:szCs w:val="21"/>
              </w:rPr>
            </w:pPr>
            <w:r>
              <w:rPr>
                <w:bCs/>
                <w:kern w:val="0"/>
                <w:sz w:val="21"/>
                <w:szCs w:val="21"/>
              </w:rPr>
              <w:t>场地名称</w:t>
            </w:r>
          </w:p>
        </w:tc>
        <w:tc>
          <w:tcPr>
            <w:tcW w:w="588" w:type="pct"/>
            <w:tcBorders>
              <w:top w:val="single" w:color="auto" w:sz="12" w:space="0"/>
              <w:bottom w:val="single" w:color="auto" w:sz="4" w:space="0"/>
            </w:tcBorders>
            <w:vAlign w:val="center"/>
          </w:tcPr>
          <w:p>
            <w:pPr>
              <w:widowControl/>
              <w:spacing w:line="340" w:lineRule="exact"/>
              <w:ind w:firstLine="0" w:firstLineChars="0"/>
              <w:jc w:val="center"/>
              <w:rPr>
                <w:bCs/>
                <w:kern w:val="0"/>
                <w:sz w:val="21"/>
                <w:szCs w:val="21"/>
              </w:rPr>
            </w:pPr>
            <w:r>
              <w:rPr>
                <w:rFonts w:hint="eastAsia"/>
                <w:bCs/>
                <w:kern w:val="0"/>
                <w:sz w:val="21"/>
                <w:szCs w:val="21"/>
              </w:rPr>
              <w:t>位置</w:t>
            </w:r>
          </w:p>
        </w:tc>
        <w:tc>
          <w:tcPr>
            <w:tcW w:w="732" w:type="pct"/>
            <w:tcBorders>
              <w:top w:val="single" w:color="auto" w:sz="12" w:space="0"/>
              <w:bottom w:val="single" w:color="auto" w:sz="4" w:space="0"/>
            </w:tcBorders>
            <w:vAlign w:val="center"/>
          </w:tcPr>
          <w:p>
            <w:pPr>
              <w:widowControl/>
              <w:spacing w:line="340" w:lineRule="exact"/>
              <w:ind w:firstLine="0" w:firstLineChars="0"/>
              <w:jc w:val="center"/>
              <w:rPr>
                <w:bCs/>
                <w:kern w:val="0"/>
                <w:sz w:val="21"/>
                <w:szCs w:val="21"/>
              </w:rPr>
            </w:pPr>
            <w:r>
              <w:rPr>
                <w:bCs/>
                <w:kern w:val="0"/>
                <w:sz w:val="21"/>
                <w:szCs w:val="21"/>
              </w:rPr>
              <w:t>占地面积（</w:t>
            </w:r>
            <w:r>
              <w:rPr>
                <w:rFonts w:hint="eastAsia"/>
                <w:bCs/>
                <w:kern w:val="0"/>
                <w:sz w:val="21"/>
                <w:szCs w:val="21"/>
              </w:rPr>
              <w:t>亩</w:t>
            </w:r>
            <w:r>
              <w:rPr>
                <w:bCs/>
                <w:kern w:val="0"/>
                <w:sz w:val="21"/>
                <w:szCs w:val="21"/>
              </w:rPr>
              <w:t>）</w:t>
            </w:r>
          </w:p>
        </w:tc>
        <w:tc>
          <w:tcPr>
            <w:tcW w:w="696"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占地类型</w:t>
            </w:r>
          </w:p>
        </w:tc>
        <w:tc>
          <w:tcPr>
            <w:tcW w:w="1953" w:type="pct"/>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敏感点分布（500m内）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58" w:type="pct"/>
            <w:tcBorders>
              <w:top w:val="single" w:color="auto" w:sz="4" w:space="0"/>
              <w:bottom w:val="single" w:color="auto" w:sz="12" w:space="0"/>
            </w:tcBorders>
            <w:vAlign w:val="center"/>
          </w:tcPr>
          <w:p>
            <w:pPr>
              <w:spacing w:line="340" w:lineRule="exact"/>
              <w:ind w:firstLine="0" w:firstLineChars="0"/>
              <w:jc w:val="center"/>
              <w:rPr>
                <w:sz w:val="21"/>
                <w:szCs w:val="21"/>
              </w:rPr>
            </w:pPr>
            <w:r>
              <w:rPr>
                <w:sz w:val="21"/>
                <w:szCs w:val="21"/>
              </w:rPr>
              <w:t>1</w:t>
            </w:r>
          </w:p>
        </w:tc>
        <w:tc>
          <w:tcPr>
            <w:tcW w:w="770" w:type="pct"/>
            <w:tcBorders>
              <w:top w:val="single" w:color="auto" w:sz="4" w:space="0"/>
              <w:bottom w:val="single" w:color="auto" w:sz="12" w:space="0"/>
            </w:tcBorders>
            <w:vAlign w:val="center"/>
          </w:tcPr>
          <w:p>
            <w:pPr>
              <w:widowControl/>
              <w:spacing w:line="340" w:lineRule="exact"/>
              <w:ind w:firstLine="0" w:firstLineChars="0"/>
              <w:jc w:val="center"/>
              <w:rPr>
                <w:bCs/>
                <w:kern w:val="0"/>
                <w:sz w:val="21"/>
                <w:szCs w:val="21"/>
              </w:rPr>
            </w:pPr>
            <w:r>
              <w:rPr>
                <w:bCs/>
                <w:kern w:val="0"/>
                <w:sz w:val="21"/>
                <w:szCs w:val="21"/>
              </w:rPr>
              <w:t>施工场地</w:t>
            </w:r>
          </w:p>
        </w:tc>
        <w:tc>
          <w:tcPr>
            <w:tcW w:w="588" w:type="pct"/>
            <w:tcBorders>
              <w:top w:val="single" w:color="auto" w:sz="4" w:space="0"/>
              <w:bottom w:val="single" w:color="auto" w:sz="12" w:space="0"/>
            </w:tcBorders>
            <w:vAlign w:val="center"/>
          </w:tcPr>
          <w:p>
            <w:pPr>
              <w:widowControl/>
              <w:spacing w:line="340" w:lineRule="exact"/>
              <w:ind w:firstLine="0" w:firstLineChars="0"/>
              <w:jc w:val="center"/>
              <w:rPr>
                <w:bCs/>
                <w:kern w:val="0"/>
                <w:sz w:val="21"/>
                <w:szCs w:val="21"/>
              </w:rPr>
            </w:pPr>
            <w:r>
              <w:rPr>
                <w:sz w:val="21"/>
                <w:szCs w:val="21"/>
              </w:rPr>
              <w:t>坝址右岸</w:t>
            </w:r>
          </w:p>
        </w:tc>
        <w:tc>
          <w:tcPr>
            <w:tcW w:w="732" w:type="pct"/>
            <w:tcBorders>
              <w:top w:val="single" w:color="auto" w:sz="4" w:space="0"/>
              <w:bottom w:val="single" w:color="auto" w:sz="12" w:space="0"/>
            </w:tcBorders>
            <w:vAlign w:val="center"/>
          </w:tcPr>
          <w:p>
            <w:pPr>
              <w:widowControl/>
              <w:spacing w:line="340" w:lineRule="exact"/>
              <w:ind w:firstLine="0" w:firstLineChars="0"/>
              <w:jc w:val="center"/>
              <w:rPr>
                <w:bCs/>
                <w:kern w:val="0"/>
                <w:sz w:val="21"/>
                <w:szCs w:val="21"/>
              </w:rPr>
            </w:pPr>
            <w:r>
              <w:rPr>
                <w:rFonts w:hint="eastAsia"/>
                <w:bCs/>
                <w:kern w:val="0"/>
                <w:sz w:val="21"/>
                <w:szCs w:val="21"/>
              </w:rPr>
              <w:t>6</w:t>
            </w:r>
          </w:p>
        </w:tc>
        <w:tc>
          <w:tcPr>
            <w:tcW w:w="696" w:type="pct"/>
            <w:tcBorders>
              <w:top w:val="single" w:color="auto" w:sz="4" w:space="0"/>
              <w:bottom w:val="single" w:color="auto" w:sz="12" w:space="0"/>
            </w:tcBorders>
            <w:vAlign w:val="center"/>
          </w:tcPr>
          <w:p>
            <w:pPr>
              <w:widowControl/>
              <w:spacing w:line="340" w:lineRule="exact"/>
              <w:ind w:firstLine="0" w:firstLineChars="0"/>
              <w:jc w:val="center"/>
              <w:rPr>
                <w:bCs/>
                <w:kern w:val="0"/>
                <w:sz w:val="21"/>
                <w:szCs w:val="21"/>
              </w:rPr>
            </w:pPr>
            <w:r>
              <w:rPr>
                <w:bCs/>
                <w:kern w:val="0"/>
                <w:sz w:val="21"/>
                <w:szCs w:val="21"/>
              </w:rPr>
              <w:t>荒草地</w:t>
            </w:r>
          </w:p>
        </w:tc>
        <w:tc>
          <w:tcPr>
            <w:tcW w:w="1953" w:type="pct"/>
            <w:tcBorders>
              <w:top w:val="single" w:color="auto" w:sz="4" w:space="0"/>
              <w:bottom w:val="single" w:color="auto" w:sz="12" w:space="0"/>
            </w:tcBorders>
            <w:vAlign w:val="center"/>
          </w:tcPr>
          <w:p>
            <w:pPr>
              <w:spacing w:line="340" w:lineRule="exact"/>
              <w:ind w:firstLine="0" w:firstLineChars="0"/>
              <w:jc w:val="center"/>
              <w:rPr>
                <w:sz w:val="21"/>
                <w:szCs w:val="21"/>
              </w:rPr>
            </w:pPr>
            <w:r>
              <w:rPr>
                <w:rFonts w:hint="eastAsia"/>
                <w:sz w:val="21"/>
                <w:szCs w:val="21"/>
              </w:rPr>
              <w:t>施工场地</w:t>
            </w:r>
            <w:r>
              <w:rPr>
                <w:sz w:val="21"/>
                <w:szCs w:val="21"/>
              </w:rPr>
              <w:t>东侧</w:t>
            </w:r>
            <w:r>
              <w:rPr>
                <w:rFonts w:hint="eastAsia"/>
                <w:sz w:val="21"/>
                <w:szCs w:val="21"/>
              </w:rPr>
              <w:t>380</w:t>
            </w:r>
            <w:r>
              <w:rPr>
                <w:sz w:val="21"/>
                <w:szCs w:val="21"/>
              </w:rPr>
              <w:t>m处有</w:t>
            </w:r>
            <w:r>
              <w:rPr>
                <w:rFonts w:hint="eastAsia"/>
                <w:sz w:val="21"/>
                <w:szCs w:val="21"/>
              </w:rPr>
              <w:t>白溪</w:t>
            </w:r>
            <w:r>
              <w:rPr>
                <w:sz w:val="21"/>
                <w:szCs w:val="21"/>
              </w:rPr>
              <w:t>，约</w:t>
            </w:r>
            <w:r>
              <w:rPr>
                <w:rFonts w:hint="eastAsia"/>
                <w:sz w:val="21"/>
                <w:szCs w:val="21"/>
              </w:rPr>
              <w:t>200</w:t>
            </w:r>
            <w:r>
              <w:rPr>
                <w:sz w:val="21"/>
                <w:szCs w:val="21"/>
              </w:rPr>
              <w:t>人，均位于</w:t>
            </w:r>
            <w:r>
              <w:rPr>
                <w:rFonts w:hint="eastAsia"/>
                <w:sz w:val="21"/>
                <w:szCs w:val="21"/>
              </w:rPr>
              <w:t>施工场地上</w:t>
            </w:r>
            <w:r>
              <w:rPr>
                <w:sz w:val="21"/>
                <w:szCs w:val="21"/>
              </w:rPr>
              <w:t>风向。</w:t>
            </w:r>
          </w:p>
        </w:tc>
      </w:tr>
    </w:tbl>
    <w:p>
      <w:pPr>
        <w:ind w:firstLine="480"/>
      </w:pPr>
      <w:r>
        <w:rPr>
          <w:szCs w:val="24"/>
        </w:rPr>
        <w:t>(</w:t>
      </w:r>
      <w:r>
        <w:rPr>
          <w:rFonts w:hint="eastAsia"/>
          <w:szCs w:val="24"/>
        </w:rPr>
        <w:t>2</w:t>
      </w:r>
      <w:r>
        <w:rPr>
          <w:szCs w:val="24"/>
        </w:rPr>
        <w:t>)</w:t>
      </w:r>
      <w:r>
        <w:t>拌和站</w:t>
      </w:r>
    </w:p>
    <w:p>
      <w:pPr>
        <w:autoSpaceDE w:val="0"/>
        <w:autoSpaceDN w:val="0"/>
        <w:adjustRightInd w:val="0"/>
        <w:ind w:firstLine="480"/>
      </w:pPr>
      <w:r>
        <w:t>根据</w:t>
      </w:r>
      <w:r>
        <w:rPr>
          <w:rFonts w:hint="eastAsia"/>
        </w:rPr>
        <w:t>可行性研究报告可知，</w:t>
      </w:r>
      <w:r>
        <w:t>项目主体工程砼总量为</w:t>
      </w:r>
      <w:r>
        <w:rPr>
          <w:rFonts w:hint="eastAsia"/>
        </w:rPr>
        <w:t>5.69</w:t>
      </w:r>
      <w:r>
        <w:t>m</w:t>
      </w:r>
      <w:r>
        <w:rPr>
          <w:vertAlign w:val="superscript"/>
        </w:rPr>
        <w:t>3</w:t>
      </w:r>
      <w:r>
        <w:t>，一期基坑砼量为</w:t>
      </w:r>
      <w:r>
        <w:rPr>
          <w:rFonts w:hint="eastAsia"/>
        </w:rPr>
        <w:t>3.02</w:t>
      </w:r>
      <w:r>
        <w:t>万m</w:t>
      </w:r>
      <w:r>
        <w:rPr>
          <w:vertAlign w:val="superscript"/>
        </w:rPr>
        <w:t>3</w:t>
      </w:r>
      <w:r>
        <w:t>，二期基坑砼量为</w:t>
      </w:r>
      <w:r>
        <w:rPr>
          <w:rFonts w:hint="eastAsia"/>
        </w:rPr>
        <w:t>2.67</w:t>
      </w:r>
      <w:r>
        <w:t>万m</w:t>
      </w:r>
      <w:r>
        <w:rPr>
          <w:vertAlign w:val="superscript"/>
        </w:rPr>
        <w:t>3</w:t>
      </w:r>
      <w:r>
        <w:t>，由于工程处于城区，不设置</w:t>
      </w:r>
      <w:r>
        <w:rPr>
          <w:rFonts w:hint="eastAsia"/>
        </w:rPr>
        <w:t>拌合站</w:t>
      </w:r>
      <w:r>
        <w:t>，工程施工过程中需要用到的混凝土外购。</w:t>
      </w:r>
    </w:p>
    <w:p>
      <w:pPr>
        <w:pStyle w:val="7"/>
        <w:spacing w:before="120" w:beforeLines="50"/>
        <w:rPr>
          <w:szCs w:val="24"/>
        </w:rPr>
      </w:pPr>
      <w:bookmarkStart w:id="454" w:name="_Toc425434446"/>
      <w:r>
        <w:rPr>
          <w:rFonts w:hint="eastAsia"/>
          <w:szCs w:val="24"/>
        </w:rPr>
        <w:t>2.10.5施工便道</w:t>
      </w:r>
      <w:bookmarkEnd w:id="454"/>
    </w:p>
    <w:p>
      <w:pPr>
        <w:autoSpaceDE w:val="0"/>
        <w:autoSpaceDN w:val="0"/>
        <w:adjustRightInd w:val="0"/>
        <w:ind w:firstLine="480"/>
      </w:pPr>
      <w:r>
        <w:rPr>
          <w:rFonts w:hint="eastAsia"/>
        </w:rPr>
        <w:t>根据</w:t>
      </w:r>
      <w:r>
        <w:t>《上高县毛家渡抬水工程可行性研究报告》</w:t>
      </w:r>
      <w:r>
        <w:rPr>
          <w:rFonts w:hint="eastAsia"/>
        </w:rPr>
        <w:t>，施工道路充分利用项目周边道路。</w:t>
      </w:r>
      <w:r>
        <w:t>为方便沿线土石方调配、取土、材料运输、施工机械设备进出场，</w:t>
      </w:r>
      <w:r>
        <w:rPr>
          <w:rFonts w:hint="eastAsia"/>
        </w:rPr>
        <w:t>需分别修建</w:t>
      </w:r>
      <w:r>
        <w:t>1.0</w:t>
      </w:r>
      <w:r>
        <w:rPr>
          <w:rFonts w:hint="eastAsia"/>
        </w:rPr>
        <w:t>km的临时道路至拦河坝左、右岸，建</w:t>
      </w:r>
      <w:r>
        <w:t>1.0</w:t>
      </w:r>
      <w:r>
        <w:rPr>
          <w:rFonts w:hint="eastAsia"/>
        </w:rPr>
        <w:t>km的临时道路至土料场，合计临时道路长</w:t>
      </w:r>
      <w:r>
        <w:t>2.0</w:t>
      </w:r>
      <w:r>
        <w:rPr>
          <w:rFonts w:hint="eastAsia"/>
        </w:rPr>
        <w:t>km。</w:t>
      </w:r>
      <w:r>
        <w:t>占地性质为临时占地，施工结束后，对施工便道进行植被恢复。</w:t>
      </w:r>
    </w:p>
    <w:bookmarkEnd w:id="446"/>
    <w:bookmarkEnd w:id="447"/>
    <w:bookmarkEnd w:id="448"/>
    <w:bookmarkEnd w:id="449"/>
    <w:bookmarkEnd w:id="450"/>
    <w:p>
      <w:pPr>
        <w:pStyle w:val="6"/>
      </w:pPr>
      <w:bookmarkStart w:id="455" w:name="_Toc529279015"/>
      <w:bookmarkStart w:id="456" w:name="_Toc252288928"/>
      <w:bookmarkStart w:id="457" w:name="_Toc224879296"/>
      <w:bookmarkStart w:id="458" w:name="_Toc334643165"/>
      <w:bookmarkStart w:id="459" w:name="_Toc223843241"/>
      <w:bookmarkStart w:id="460" w:name="_Toc224879002"/>
      <w:bookmarkStart w:id="461" w:name="_Toc3903227"/>
      <w:bookmarkStart w:id="462" w:name="_Toc534807006"/>
      <w:bookmarkStart w:id="463" w:name="_Toc534386247"/>
      <w:bookmarkStart w:id="464" w:name="_Toc536265090"/>
      <w:bookmarkStart w:id="465" w:name="_Toc534895224"/>
      <w:bookmarkStart w:id="466" w:name="_Toc21000"/>
      <w:r>
        <w:t>2.</w:t>
      </w:r>
      <w:bookmarkEnd w:id="455"/>
      <w:bookmarkEnd w:id="456"/>
      <w:bookmarkEnd w:id="457"/>
      <w:bookmarkEnd w:id="458"/>
      <w:bookmarkEnd w:id="459"/>
      <w:bookmarkEnd w:id="460"/>
      <w:r>
        <w:rPr>
          <w:rFonts w:hint="eastAsia"/>
        </w:rPr>
        <w:t>11</w:t>
      </w:r>
      <w:r>
        <w:t>淹没、占地与移民安置规划</w:t>
      </w:r>
      <w:bookmarkEnd w:id="461"/>
      <w:bookmarkEnd w:id="462"/>
      <w:bookmarkEnd w:id="463"/>
      <w:bookmarkEnd w:id="464"/>
      <w:bookmarkEnd w:id="465"/>
      <w:bookmarkEnd w:id="466"/>
    </w:p>
    <w:p>
      <w:pPr>
        <w:pStyle w:val="7"/>
        <w:rPr>
          <w:szCs w:val="24"/>
          <w:shd w:val="clear" w:color="auto" w:fill="FFFFFF"/>
        </w:rPr>
      </w:pPr>
      <w:bookmarkStart w:id="467" w:name="_Toc252288930"/>
      <w:bookmarkStart w:id="468" w:name="_Toc529279016"/>
      <w:bookmarkStart w:id="469" w:name="_Toc224879298"/>
      <w:bookmarkStart w:id="470" w:name="_Toc224879004"/>
      <w:bookmarkStart w:id="471" w:name="_Toc223843243"/>
      <w:bookmarkStart w:id="472" w:name="_Toc534386248"/>
      <w:bookmarkStart w:id="473" w:name="_Toc536265091"/>
      <w:bookmarkStart w:id="474" w:name="_Toc534895225"/>
      <w:bookmarkStart w:id="475" w:name="_Toc3903228"/>
      <w:bookmarkStart w:id="476" w:name="_Toc534807007"/>
      <w:r>
        <w:rPr>
          <w:szCs w:val="24"/>
          <w:shd w:val="clear" w:color="auto" w:fill="FFFFFF"/>
        </w:rPr>
        <w:t>2.</w:t>
      </w:r>
      <w:r>
        <w:rPr>
          <w:rFonts w:hint="eastAsia"/>
          <w:szCs w:val="24"/>
          <w:shd w:val="clear" w:color="auto" w:fill="FFFFFF"/>
        </w:rPr>
        <w:t>11</w:t>
      </w:r>
      <w:r>
        <w:rPr>
          <w:szCs w:val="24"/>
          <w:shd w:val="clear" w:color="auto" w:fill="FFFFFF"/>
        </w:rPr>
        <w:t>.1</w:t>
      </w:r>
      <w:bookmarkEnd w:id="467"/>
      <w:bookmarkEnd w:id="468"/>
      <w:bookmarkEnd w:id="469"/>
      <w:bookmarkEnd w:id="470"/>
      <w:bookmarkEnd w:id="471"/>
      <w:r>
        <w:rPr>
          <w:szCs w:val="24"/>
          <w:shd w:val="clear" w:color="auto" w:fill="FFFFFF"/>
        </w:rPr>
        <w:t>淹没</w:t>
      </w:r>
      <w:bookmarkEnd w:id="472"/>
      <w:bookmarkEnd w:id="473"/>
      <w:bookmarkEnd w:id="474"/>
      <w:bookmarkEnd w:id="475"/>
      <w:bookmarkEnd w:id="476"/>
    </w:p>
    <w:p>
      <w:pPr>
        <w:ind w:firstLine="480"/>
        <w:rPr>
          <w:color w:val="0000FF"/>
        </w:rPr>
      </w:pPr>
      <w:bookmarkStart w:id="477" w:name="_Toc223843242"/>
      <w:bookmarkStart w:id="478" w:name="_Toc224879003"/>
      <w:bookmarkStart w:id="479" w:name="_Toc252288929"/>
      <w:bookmarkStart w:id="480" w:name="_Toc224879297"/>
      <w:r>
        <w:rPr>
          <w:rFonts w:hint="eastAsia"/>
          <w:color w:val="0000FF"/>
        </w:rPr>
        <w:t>(1)回水计算</w:t>
      </w:r>
    </w:p>
    <w:p>
      <w:pPr>
        <w:ind w:firstLine="480"/>
        <w:rPr>
          <w:color w:val="0000FF"/>
        </w:rPr>
      </w:pPr>
      <w:r>
        <w:rPr>
          <w:rFonts w:hint="eastAsia"/>
          <w:color w:val="0000FF"/>
        </w:rPr>
        <w:t>根据本工程的可行性研究报告，本工程位于上高县城区边沿，近坝库岸还有部分村庄和农田，为了确保工程建成后不影响上高县城区防洪安全，以及明确沿河两岸及上游的淹（浸）没范围，根据《水利水电工程建设征地移民安置规划设计规范》（SL290-2009）规定，中等城市淹没处理标准为20年一遇洪水，因此本阶段计算了二十年一遇洪水期和多年平均流量时正常蓄水位下的回水。水面线计算是从毛家渡抬水坝断面推求至石湖大桥断面，整个推求过程中采用了河道水面曲线计算程序。水面线推求成果见表2.11-1，该成果用于调查建坝后，库岸的浸没范围。</w:t>
      </w:r>
    </w:p>
    <w:p>
      <w:pPr>
        <w:spacing w:before="120" w:beforeLines="50" w:line="240" w:lineRule="auto"/>
        <w:ind w:firstLine="480"/>
        <w:jc w:val="center"/>
        <w:rPr>
          <w:color w:val="0000FF"/>
        </w:rPr>
      </w:pPr>
      <w:r>
        <w:rPr>
          <w:rFonts w:hint="eastAsia" w:ascii="黑体" w:hAnsi="黑体" w:eastAsia="黑体" w:cs="黑体"/>
          <w:color w:val="0000FF"/>
        </w:rPr>
        <w:t>表2.11-1  毛家渡抬水坝回水水面线成果表</w:t>
      </w:r>
    </w:p>
    <w:tbl>
      <w:tblPr>
        <w:tblStyle w:val="8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0"/>
        <w:gridCol w:w="900"/>
        <w:gridCol w:w="1037"/>
        <w:gridCol w:w="1275"/>
        <w:gridCol w:w="888"/>
        <w:gridCol w:w="1412"/>
        <w:gridCol w:w="1375"/>
        <w:gridCol w:w="13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1330" w:type="dxa"/>
            <w:vMerge w:val="restart"/>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断面编号</w:t>
            </w:r>
          </w:p>
        </w:tc>
        <w:tc>
          <w:tcPr>
            <w:tcW w:w="900" w:type="dxa"/>
            <w:vMerge w:val="restart"/>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累计距离（m）</w:t>
            </w:r>
          </w:p>
        </w:tc>
        <w:tc>
          <w:tcPr>
            <w:tcW w:w="1037" w:type="dxa"/>
            <w:vMerge w:val="restart"/>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河底高程（m）</w:t>
            </w:r>
          </w:p>
        </w:tc>
        <w:tc>
          <w:tcPr>
            <w:tcW w:w="2163" w:type="dxa"/>
            <w:gridSpan w:val="2"/>
            <w:tcBorders>
              <w:tl2br w:val="nil"/>
              <w:tr2bl w:val="nil"/>
            </w:tcBorders>
            <w:vAlign w:val="center"/>
          </w:tcPr>
          <w:p>
            <w:pPr>
              <w:spacing w:line="340" w:lineRule="exact"/>
              <w:ind w:firstLine="420"/>
              <w:jc w:val="center"/>
              <w:rPr>
                <w:color w:val="0000FF"/>
                <w:sz w:val="21"/>
                <w:szCs w:val="21"/>
              </w:rPr>
            </w:pPr>
            <w:r>
              <w:rPr>
                <w:rFonts w:hint="eastAsia"/>
                <w:color w:val="0000FF"/>
                <w:sz w:val="21"/>
                <w:szCs w:val="21"/>
              </w:rPr>
              <w:t>P=5%水位</w:t>
            </w:r>
          </w:p>
        </w:tc>
        <w:tc>
          <w:tcPr>
            <w:tcW w:w="2787" w:type="dxa"/>
            <w:gridSpan w:val="2"/>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多年平均水位（抬水坝蓄水）</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亲水平台高程（m）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vMerge w:val="continue"/>
            <w:tcBorders>
              <w:tl2br w:val="nil"/>
              <w:tr2bl w:val="nil"/>
            </w:tcBorders>
            <w:vAlign w:val="center"/>
          </w:tcPr>
          <w:p>
            <w:pPr>
              <w:spacing w:line="340" w:lineRule="exact"/>
              <w:ind w:firstLine="0" w:firstLineChars="0"/>
              <w:jc w:val="center"/>
              <w:rPr>
                <w:color w:val="0000FF"/>
                <w:sz w:val="21"/>
                <w:szCs w:val="21"/>
              </w:rPr>
            </w:pPr>
          </w:p>
        </w:tc>
        <w:tc>
          <w:tcPr>
            <w:tcW w:w="900" w:type="dxa"/>
            <w:vMerge w:val="continue"/>
            <w:tcBorders>
              <w:tl2br w:val="nil"/>
              <w:tr2bl w:val="nil"/>
            </w:tcBorders>
            <w:vAlign w:val="center"/>
          </w:tcPr>
          <w:p>
            <w:pPr>
              <w:spacing w:line="340" w:lineRule="exact"/>
              <w:ind w:firstLine="420"/>
              <w:jc w:val="center"/>
              <w:rPr>
                <w:color w:val="0000FF"/>
                <w:sz w:val="21"/>
                <w:szCs w:val="21"/>
              </w:rPr>
            </w:pPr>
          </w:p>
        </w:tc>
        <w:tc>
          <w:tcPr>
            <w:tcW w:w="1037" w:type="dxa"/>
            <w:vMerge w:val="continue"/>
            <w:tcBorders>
              <w:tl2br w:val="nil"/>
              <w:tr2bl w:val="nil"/>
            </w:tcBorders>
            <w:vAlign w:val="center"/>
          </w:tcPr>
          <w:p>
            <w:pPr>
              <w:spacing w:line="340" w:lineRule="exact"/>
              <w:ind w:firstLine="420"/>
              <w:jc w:val="center"/>
              <w:rPr>
                <w:color w:val="0000FF"/>
                <w:sz w:val="21"/>
                <w:szCs w:val="21"/>
              </w:rPr>
            </w:pP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现状</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回水</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44..5m水位</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44..8m水位</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下坝址</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0</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36.42</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48.50</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48.68</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44.50</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44.80</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cs8</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420</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35.29</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48.61</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48.70</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44.51</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44.81</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上坝址</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723</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36.15</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48.68</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48.74</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44.52</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44.82</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sw15</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837</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35.01</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48.71</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48.75</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44.52</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44.82</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sw14</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1475</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37.24</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48.83</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48.83</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44.53</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44.83</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sw13</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1612</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37.31</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48.89</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48.89</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44.53</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44.83</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锦河大桥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1831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36.64</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48.95</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48.95</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44.54</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44.84</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sw11</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2292</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37.66</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49.05</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49.05</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44.55</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44.85</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锦阳大桥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2834</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44.501</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49.15</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49.15</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44.56</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44.86</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sw9</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3403</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38.01</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49.32</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49.32</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44.57</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44.87</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sw8</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3911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36.78</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49.42</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49.42</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44.59</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44.89</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镜山大桥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4061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37.25</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49.50</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49.50</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44.59</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44.89</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sw6</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4350</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38.14</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49.57</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49.57</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44.60</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44.90</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sw5</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4451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38.05</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49.64</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49.64</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44.60</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44.90</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sw4</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5052</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37.58</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49.72</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49.72</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44.61</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44.91</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青阳大桥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5373</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37.46</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49.78</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49.78</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44.62</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44.92</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sw3</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5571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37.42</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49.85</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49.85</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44.62</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44.92</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sw2</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6001</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37.79</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49.90</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49.90</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44.63</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44.93</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拱桥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6348</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38.80</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49.97</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49.97</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44.64</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44.94</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上高水文站</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6597</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38.84</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49.99</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49.99</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44.65</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44.95</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廊桥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7049</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38.17</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50.23</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50.23</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44.66</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44.96</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cs48</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7176</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36.71</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50.27</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50.27</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44.66</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44.96</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cs31</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7978</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39.26</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50.50</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50.50</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44.68</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44.98</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石湖大桥</w:t>
            </w:r>
          </w:p>
        </w:tc>
        <w:tc>
          <w:tcPr>
            <w:tcW w:w="900"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8778</w:t>
            </w:r>
          </w:p>
        </w:tc>
        <w:tc>
          <w:tcPr>
            <w:tcW w:w="1037"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40.06</w:t>
            </w:r>
          </w:p>
        </w:tc>
        <w:tc>
          <w:tcPr>
            <w:tcW w:w="12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50.73</w:t>
            </w:r>
          </w:p>
        </w:tc>
        <w:tc>
          <w:tcPr>
            <w:tcW w:w="888"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50.73</w:t>
            </w:r>
          </w:p>
        </w:tc>
        <w:tc>
          <w:tcPr>
            <w:tcW w:w="1412"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44.70</w:t>
            </w:r>
          </w:p>
        </w:tc>
        <w:tc>
          <w:tcPr>
            <w:tcW w:w="1375"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45.00</w:t>
            </w:r>
          </w:p>
        </w:tc>
        <w:tc>
          <w:tcPr>
            <w:tcW w:w="1353" w:type="dxa"/>
            <w:tcBorders>
              <w:tl2br w:val="nil"/>
              <w:tr2bl w:val="nil"/>
            </w:tcBorders>
            <w:vAlign w:val="center"/>
          </w:tcPr>
          <w:p>
            <w:pPr>
              <w:spacing w:line="340" w:lineRule="exact"/>
              <w:ind w:firstLine="0" w:firstLineChars="0"/>
              <w:jc w:val="center"/>
              <w:rPr>
                <w:color w:val="0000FF"/>
                <w:sz w:val="21"/>
                <w:szCs w:val="21"/>
              </w:rPr>
            </w:pPr>
            <w:r>
              <w:rPr>
                <w:rFonts w:hint="eastAsia"/>
                <w:color w:val="0000FF"/>
                <w:sz w:val="21"/>
                <w:szCs w:val="21"/>
              </w:rPr>
              <w:t>45.50</w:t>
            </w:r>
          </w:p>
        </w:tc>
      </w:tr>
    </w:tbl>
    <w:p>
      <w:pPr>
        <w:ind w:firstLine="480"/>
        <w:rPr>
          <w:color w:val="0000FF"/>
        </w:rPr>
      </w:pPr>
      <w:r>
        <w:rPr>
          <w:rFonts w:hint="eastAsia"/>
          <w:color w:val="0000FF"/>
        </w:rPr>
        <w:t>注：亲水平台已建长度约11km，已批复待建长度约6km。</w:t>
      </w:r>
    </w:p>
    <w:p>
      <w:pPr>
        <w:widowControl/>
        <w:ind w:firstLine="480"/>
        <w:jc w:val="center"/>
        <w:rPr>
          <w:rFonts w:ascii="宋体" w:hAnsi="宋体" w:cs="宋体"/>
          <w:kern w:val="0"/>
          <w:szCs w:val="24"/>
          <w:lang w:bidi="ar"/>
        </w:rPr>
      </w:pPr>
      <w:r>
        <w:rPr>
          <w:rFonts w:ascii="宋体" w:hAnsi="宋体" w:cs="宋体"/>
          <w:kern w:val="0"/>
          <w:szCs w:val="24"/>
          <w:lang w:bidi="ar"/>
        </w:rPr>
        <w:drawing>
          <wp:inline distT="0" distB="0" distL="114300" distR="114300">
            <wp:extent cx="4735830" cy="3009900"/>
            <wp:effectExtent l="0" t="0" r="7620" b="0"/>
            <wp:docPr id="87"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6" descr="IMG_256"/>
                    <pic:cNvPicPr>
                      <a:picLocks noChangeAspect="1"/>
                    </pic:cNvPicPr>
                  </pic:nvPicPr>
                  <pic:blipFill>
                    <a:blip r:embed="rId33"/>
                    <a:stretch>
                      <a:fillRect/>
                    </a:stretch>
                  </pic:blipFill>
                  <pic:spPr>
                    <a:xfrm>
                      <a:off x="0" y="0"/>
                      <a:ext cx="4735830" cy="3009900"/>
                    </a:xfrm>
                    <a:prstGeom prst="rect">
                      <a:avLst/>
                    </a:prstGeom>
                    <a:noFill/>
                    <a:ln w="9525">
                      <a:noFill/>
                    </a:ln>
                  </pic:spPr>
                </pic:pic>
              </a:graphicData>
            </a:graphic>
          </wp:inline>
        </w:drawing>
      </w:r>
    </w:p>
    <w:p>
      <w:pPr>
        <w:ind w:firstLine="480"/>
        <w:rPr>
          <w:color w:val="0000FF"/>
        </w:rPr>
      </w:pPr>
      <w:r>
        <w:rPr>
          <w:rFonts w:hint="eastAsia"/>
          <w:color w:val="0000FF"/>
        </w:rPr>
        <w:t>(2)淹没</w:t>
      </w:r>
    </w:p>
    <w:p>
      <w:pPr>
        <w:ind w:firstLine="480"/>
        <w:rPr>
          <w:color w:val="0000FF"/>
        </w:rPr>
      </w:pPr>
      <w:r>
        <w:rPr>
          <w:rFonts w:hint="eastAsia"/>
          <w:color w:val="0000FF"/>
        </w:rPr>
        <w:t>库区在水位44.5m 以下，无村庄和耕地，未发现重要文物及有重要价值的矿产资源。在锦河右岸原种场附近有一自排涵，其进出口高程为39.97m～39.68m，因此该涵在正常蓄水位44.5m 高程时存在淹没问题。此外锦河河岸边局部滩地其地面高程小于44.5m，抬水坝蓄水后将被水淹；总体淹没范围较小。</w:t>
      </w:r>
    </w:p>
    <w:p>
      <w:pPr>
        <w:ind w:firstLine="480"/>
        <w:rPr>
          <w:color w:val="0000FF"/>
        </w:rPr>
      </w:pPr>
      <w:r>
        <w:rPr>
          <w:rFonts w:hint="eastAsia"/>
          <w:color w:val="0000FF"/>
        </w:rPr>
        <w:t>(3)浸没</w:t>
      </w:r>
    </w:p>
    <w:p>
      <w:pPr>
        <w:autoSpaceDE w:val="0"/>
        <w:autoSpaceDN w:val="0"/>
        <w:adjustRightInd w:val="0"/>
        <w:ind w:firstLine="480"/>
        <w:rPr>
          <w:color w:val="0000FF"/>
        </w:rPr>
      </w:pPr>
      <w:r>
        <w:rPr>
          <w:rFonts w:hint="eastAsia" w:ascii="宋体" w:hAnsi="宋体" w:cs="宋体"/>
          <w:color w:val="0000FF"/>
        </w:rPr>
        <w:t>①</w:t>
      </w:r>
      <w:r>
        <w:rPr>
          <w:rFonts w:hint="eastAsia"/>
          <w:color w:val="0000FF"/>
        </w:rPr>
        <w:t>据《水利水电工程地质勘察规范》(GB50487-2008)，由于工程区地处湿润性气候区，地下水矿化度低，为不可能次生盐渍化地段。</w:t>
      </w:r>
    </w:p>
    <w:p>
      <w:pPr>
        <w:autoSpaceDE w:val="0"/>
        <w:autoSpaceDN w:val="0"/>
        <w:adjustRightInd w:val="0"/>
        <w:ind w:firstLine="480"/>
        <w:rPr>
          <w:color w:val="0000FF"/>
        </w:rPr>
      </w:pPr>
      <w:r>
        <w:rPr>
          <w:rFonts w:hint="eastAsia" w:ascii="宋体" w:hAnsi="宋体" w:cs="宋体"/>
          <w:color w:val="0000FF"/>
        </w:rPr>
        <w:t>②</w:t>
      </w:r>
      <w:r>
        <w:rPr>
          <w:rFonts w:hint="eastAsia"/>
          <w:color w:val="0000FF"/>
        </w:rPr>
        <w:t>据《水利水电工程地质勘察规范》(GB50487-2008)附录D，蓄水后浸没地下水埋深临界值Hcr=Hk+⊿H，其中Hk为土的毛管水上升高度，壤土取Hk=1.5m，⊿H 为安全超高；通过当地农民调查，综合其它相似工程经验，农村房屋取地下水埋深临界值Hcr 取2.5m，城市房屋地下水埋深临界值Hcr 取3.5m。</w:t>
      </w:r>
    </w:p>
    <w:p>
      <w:pPr>
        <w:autoSpaceDE w:val="0"/>
        <w:autoSpaceDN w:val="0"/>
        <w:adjustRightInd w:val="0"/>
        <w:ind w:firstLine="480"/>
        <w:rPr>
          <w:color w:val="0000FF"/>
        </w:rPr>
      </w:pPr>
      <w:r>
        <w:rPr>
          <w:rFonts w:hint="eastAsia"/>
          <w:color w:val="0000FF"/>
        </w:rPr>
        <w:t>库区两岸地层主要为填土、壤土、砂壤土，细砂及砂卵砾石，其中壤土具弱透水性，填土、砂壤土、细砂具中等透水性，砂卵砾石透水性强，根据本院对工程区多年勘察成果，本区未发现黄土，本区建筑物持力层一般不选用淤泥（软土）、膨胀土等在土体含水率变化引起持力层变形及强度变化敏感的土层。本次浸没调查利用本院《上高县城防洪工程（镜山大桥-毛家渡左岸段）工程地质勘察报告成果（该工程现已基本完成施工），在田北村附近（地势相对较低处）布置有二排勘察剖面，闸坝蓄水后正常水位为44.5m，根据钻孔内所测量的稳定地下水位，通过计算可得雍高后田北村的地下水位为45.0m~45.1m。把该水位作为整个城区蓄水后的地下水位，城区除田北村外，城镇其余地段左右岸地面高程据本院最近测量上高滨江公园地形图，其高程一般为49.35m~50.99m，城市房屋Hcr 取3.5m，高程 45.1 m+3.5＝48.6 m，因此城市大部分地段不会产生浸没问题，若局部地面高程小于 48.6 m 情况下将产生浸没问题。锦河右岸田北村的地下水位为45.0m~45.1m，Hcr 取2.5m（农村房屋），高程45.1 m+2.5＝47.6 m，田北村局部地面高程为46.33m 左右，故田北村局部地段将产生浸没问题。</w:t>
      </w:r>
    </w:p>
    <w:p>
      <w:pPr>
        <w:autoSpaceDE w:val="0"/>
        <w:autoSpaceDN w:val="0"/>
        <w:adjustRightInd w:val="0"/>
        <w:ind w:firstLine="480"/>
        <w:rPr>
          <w:color w:val="0000FF"/>
        </w:rPr>
      </w:pPr>
      <w:r>
        <w:rPr>
          <w:rFonts w:hint="eastAsia"/>
          <w:color w:val="0000FF"/>
        </w:rPr>
        <w:t>锦河右侧原种场段(锦惠渠石井泄洪闸附近)有小块农田（25 亩左右），主要种植水稻，本次勘察通过五m 钻揭露，稻田表层为厚2.7m～4m 为壤土层，该层具弱透水性。根据钻孔内所测量的地下水稳定水位计算，当河水位为闸坝正常蓄水位44.5 m 时，计算可得雍高后钻孔位置（稻田）的地下水位为44.8m。水稻为喜水农作物，参考相关资料，适宜的地下水位埋深为0.3 m～0.6m，本工程取0.4m；该稻田地面高程44.66m～45.60m，稻田局部水位将高于现地面，局部地下水位长期过高将影响产量；整个场地地下水位埋深均小于1.0 m，对机耕机收有一定影响。根据上高县城市总体规划，锦河右侧原种场段(锦惠渠石井泄洪闸附近)淹没农田地段规划为住宅，现已完成土地征收工作。</w:t>
      </w:r>
    </w:p>
    <w:p>
      <w:pPr>
        <w:pStyle w:val="2"/>
        <w:numPr>
          <w:ilvl w:val="0"/>
          <w:numId w:val="5"/>
        </w:numPr>
        <w:spacing w:after="0"/>
        <w:ind w:left="0" w:leftChars="0" w:firstLine="480"/>
        <w:rPr>
          <w:color w:val="0000FF"/>
        </w:rPr>
      </w:pPr>
      <w:r>
        <w:rPr>
          <w:rFonts w:hint="eastAsia"/>
          <w:color w:val="0000FF"/>
        </w:rPr>
        <w:t>工程淹没区对生态红线影响情况</w:t>
      </w:r>
    </w:p>
    <w:p>
      <w:pPr>
        <w:ind w:firstLine="480"/>
        <w:rPr>
          <w:color w:val="0000FF"/>
          <w:shd w:val="clear" w:color="auto" w:fill="FFFFFF"/>
        </w:rPr>
      </w:pPr>
      <w:r>
        <w:rPr>
          <w:rFonts w:hint="eastAsia"/>
          <w:color w:val="0000FF"/>
        </w:rPr>
        <w:t>本工程选址位于锦河大桥下游1.8km，根据可行性研究报告结论，本工程回水影响至石湖大桥上游团结水库退水段段，根据上高县生态保护红线图 ，本工程坝址及回水影响区均不在生态红线范围内，</w:t>
      </w:r>
      <w:r>
        <w:rPr>
          <w:rFonts w:hint="eastAsia"/>
          <w:color w:val="0000FF"/>
          <w:shd w:val="clear" w:color="auto" w:fill="FFFFFF"/>
        </w:rPr>
        <w:t>因此符合生态保护红线管理要求，具体见附图十八。</w:t>
      </w:r>
    </w:p>
    <w:p>
      <w:pPr>
        <w:pStyle w:val="2"/>
        <w:ind w:left="480" w:firstLine="480"/>
      </w:pPr>
    </w:p>
    <w:p>
      <w:pPr>
        <w:pStyle w:val="7"/>
        <w:spacing w:before="120" w:beforeLines="50"/>
        <w:jc w:val="both"/>
        <w:rPr>
          <w:szCs w:val="24"/>
        </w:rPr>
      </w:pPr>
      <w:bookmarkStart w:id="481" w:name="_Toc529279017"/>
      <w:bookmarkStart w:id="482" w:name="_Toc3903229"/>
      <w:bookmarkStart w:id="483" w:name="_Toc534807008"/>
      <w:bookmarkStart w:id="484" w:name="_Toc534386249"/>
      <w:bookmarkStart w:id="485" w:name="_Toc534895226"/>
      <w:bookmarkStart w:id="486" w:name="_Toc536265092"/>
      <w:r>
        <w:rPr>
          <w:szCs w:val="24"/>
        </w:rPr>
        <w:t>2.</w:t>
      </w:r>
      <w:r>
        <w:rPr>
          <w:rFonts w:hint="eastAsia"/>
          <w:szCs w:val="24"/>
        </w:rPr>
        <w:t>11</w:t>
      </w:r>
      <w:r>
        <w:rPr>
          <w:szCs w:val="24"/>
        </w:rPr>
        <w:t>.2工程</w:t>
      </w:r>
      <w:bookmarkEnd w:id="477"/>
      <w:bookmarkEnd w:id="478"/>
      <w:bookmarkEnd w:id="479"/>
      <w:bookmarkEnd w:id="480"/>
      <w:bookmarkEnd w:id="481"/>
      <w:r>
        <w:rPr>
          <w:szCs w:val="24"/>
        </w:rPr>
        <w:t>占地</w:t>
      </w:r>
      <w:bookmarkEnd w:id="482"/>
      <w:bookmarkEnd w:id="483"/>
      <w:bookmarkEnd w:id="484"/>
      <w:bookmarkEnd w:id="485"/>
      <w:bookmarkEnd w:id="486"/>
      <w:r>
        <w:rPr>
          <w:rFonts w:hint="eastAsia"/>
          <w:szCs w:val="24"/>
        </w:rPr>
        <w:t>及拆迁</w:t>
      </w:r>
    </w:p>
    <w:p>
      <w:pPr>
        <w:pStyle w:val="284"/>
        <w:ind w:firstLine="480"/>
        <w:rPr>
          <w:color w:val="0000FF"/>
          <w:szCs w:val="24"/>
        </w:rPr>
      </w:pPr>
      <w:r>
        <w:rPr>
          <w:color w:val="0000FF"/>
          <w:szCs w:val="24"/>
        </w:rPr>
        <w:t>根据</w:t>
      </w:r>
      <w:r>
        <w:rPr>
          <w:color w:val="0000FF"/>
        </w:rPr>
        <w:t>《上高县毛家渡抬水工程可行性研究报告》</w:t>
      </w:r>
      <w:r>
        <w:rPr>
          <w:color w:val="0000FF"/>
          <w:szCs w:val="24"/>
        </w:rPr>
        <w:t>，</w:t>
      </w:r>
      <w:r>
        <w:rPr>
          <w:rFonts w:hint="eastAsia"/>
          <w:color w:val="0000FF"/>
          <w:szCs w:val="24"/>
        </w:rPr>
        <w:t>工程占地包括工程永久占地及临时占地，</w:t>
      </w:r>
      <w:r>
        <w:rPr>
          <w:color w:val="0000FF"/>
          <w:szCs w:val="24"/>
        </w:rPr>
        <w:t>永久性占地面积为</w:t>
      </w:r>
      <w:r>
        <w:rPr>
          <w:rFonts w:hint="eastAsia"/>
          <w:color w:val="0000FF"/>
          <w:szCs w:val="24"/>
        </w:rPr>
        <w:t>85亩</w:t>
      </w:r>
      <w:r>
        <w:rPr>
          <w:color w:val="0000FF"/>
          <w:szCs w:val="24"/>
        </w:rPr>
        <w:t>，</w:t>
      </w:r>
      <w:r>
        <w:rPr>
          <w:rFonts w:hint="eastAsia"/>
          <w:color w:val="0000FF"/>
          <w:szCs w:val="24"/>
        </w:rPr>
        <w:t>主要为水工主体建筑物、护坡等占地，占地</w:t>
      </w:r>
      <w:r>
        <w:rPr>
          <w:color w:val="0000FF"/>
          <w:szCs w:val="24"/>
        </w:rPr>
        <w:t>类型为</w:t>
      </w:r>
      <w:r>
        <w:rPr>
          <w:rFonts w:hint="eastAsia"/>
          <w:color w:val="0000FF"/>
          <w:szCs w:val="24"/>
        </w:rPr>
        <w:t>荒地、水田</w:t>
      </w:r>
      <w:r>
        <w:rPr>
          <w:color w:val="0000FF"/>
          <w:szCs w:val="24"/>
        </w:rPr>
        <w:t>，其中</w:t>
      </w:r>
      <w:r>
        <w:rPr>
          <w:rFonts w:hint="eastAsia"/>
          <w:color w:val="0000FF"/>
          <w:szCs w:val="24"/>
        </w:rPr>
        <w:t>荒地占地70.8亩，水田占地14.2亩</w:t>
      </w:r>
      <w:r>
        <w:rPr>
          <w:color w:val="0000FF"/>
          <w:szCs w:val="24"/>
        </w:rPr>
        <w:t>。</w:t>
      </w:r>
    </w:p>
    <w:p>
      <w:pPr>
        <w:pStyle w:val="284"/>
        <w:ind w:firstLine="480"/>
        <w:rPr>
          <w:color w:val="0000FF"/>
          <w:szCs w:val="24"/>
        </w:rPr>
      </w:pPr>
      <w:r>
        <w:rPr>
          <w:rFonts w:hint="eastAsia"/>
          <w:color w:val="0000FF"/>
          <w:szCs w:val="24"/>
        </w:rPr>
        <w:t>工程</w:t>
      </w:r>
      <w:r>
        <w:rPr>
          <w:color w:val="0000FF"/>
          <w:szCs w:val="24"/>
        </w:rPr>
        <w:t>临时占地面积为</w:t>
      </w:r>
      <w:r>
        <w:rPr>
          <w:rFonts w:hint="eastAsia"/>
          <w:color w:val="0000FF"/>
          <w:szCs w:val="24"/>
        </w:rPr>
        <w:t>90.6亩</w:t>
      </w:r>
      <w:r>
        <w:rPr>
          <w:color w:val="0000FF"/>
          <w:szCs w:val="24"/>
        </w:rPr>
        <w:t>，类型主要为</w:t>
      </w:r>
      <w:r>
        <w:rPr>
          <w:rFonts w:hint="eastAsia"/>
          <w:color w:val="0000FF"/>
          <w:szCs w:val="24"/>
        </w:rPr>
        <w:t>荒地</w:t>
      </w:r>
      <w:r>
        <w:rPr>
          <w:color w:val="0000FF"/>
          <w:szCs w:val="24"/>
        </w:rPr>
        <w:t>、</w:t>
      </w:r>
      <w:r>
        <w:rPr>
          <w:rFonts w:hint="eastAsia"/>
          <w:color w:val="0000FF"/>
          <w:szCs w:val="24"/>
        </w:rPr>
        <w:t>水田</w:t>
      </w:r>
      <w:r>
        <w:rPr>
          <w:color w:val="0000FF"/>
          <w:szCs w:val="24"/>
        </w:rPr>
        <w:t>和</w:t>
      </w:r>
      <w:r>
        <w:rPr>
          <w:rFonts w:hint="eastAsia"/>
          <w:color w:val="0000FF"/>
          <w:szCs w:val="24"/>
        </w:rPr>
        <w:t>荒草地</w:t>
      </w:r>
      <w:r>
        <w:rPr>
          <w:color w:val="0000FF"/>
          <w:szCs w:val="24"/>
        </w:rPr>
        <w:t>，包括弃渣场、施工临时道路区、施工场地区、土料场和围堰，其中</w:t>
      </w:r>
      <w:r>
        <w:rPr>
          <w:rFonts w:hint="eastAsia"/>
          <w:color w:val="0000FF"/>
          <w:szCs w:val="24"/>
        </w:rPr>
        <w:t>其中临时道路占地15.0亩（水田2.3亩，荒地12.7亩），取料场占地为荒草地10亩，弃渣场临时占地为荒草地59.6亩，施工临时设施占地为荒草地6亩</w:t>
      </w:r>
      <w:r>
        <w:rPr>
          <w:color w:val="0000FF"/>
          <w:szCs w:val="24"/>
        </w:rPr>
        <w:t>。</w:t>
      </w:r>
    </w:p>
    <w:p>
      <w:pPr>
        <w:pStyle w:val="284"/>
        <w:ind w:firstLine="480"/>
        <w:rPr>
          <w:color w:val="0000FF"/>
          <w:szCs w:val="24"/>
        </w:rPr>
      </w:pPr>
      <w:r>
        <w:rPr>
          <w:rFonts w:hint="eastAsia"/>
          <w:color w:val="0000FF"/>
          <w:szCs w:val="24"/>
        </w:rPr>
        <w:t>依据上高县二调湿地红线，毛家渡抬水坝工程（永久用地）占用锦江流域（一般湿地）湿地面积为3.8297 公顷（57.5 亩），抬水坝工程与锦江流域位置如图2.11-1。</w:t>
      </w:r>
    </w:p>
    <w:p>
      <w:pPr>
        <w:pStyle w:val="284"/>
        <w:ind w:firstLine="480"/>
        <w:rPr>
          <w:color w:val="0000FF"/>
          <w:szCs w:val="24"/>
          <w:shd w:val="clear" w:color="auto" w:fill="FFFFFF"/>
        </w:rPr>
      </w:pPr>
      <w:r>
        <w:rPr>
          <w:color w:val="0000FF"/>
          <w:szCs w:val="24"/>
          <w:shd w:val="clear" w:color="auto" w:fill="FFFFFF"/>
        </w:rPr>
        <w:t>项目占地情况详见表2.</w:t>
      </w:r>
      <w:r>
        <w:rPr>
          <w:rFonts w:hint="eastAsia"/>
          <w:color w:val="0000FF"/>
          <w:szCs w:val="24"/>
          <w:shd w:val="clear" w:color="auto" w:fill="FFFFFF"/>
        </w:rPr>
        <w:t>11</w:t>
      </w:r>
      <w:r>
        <w:rPr>
          <w:color w:val="0000FF"/>
          <w:szCs w:val="24"/>
          <w:shd w:val="clear" w:color="auto" w:fill="FFFFFF"/>
        </w:rPr>
        <w:t>-</w:t>
      </w:r>
      <w:r>
        <w:rPr>
          <w:rFonts w:hint="eastAsia"/>
          <w:color w:val="0000FF"/>
          <w:szCs w:val="24"/>
          <w:shd w:val="clear" w:color="auto" w:fill="FFFFFF"/>
        </w:rPr>
        <w:t>2</w:t>
      </w:r>
      <w:r>
        <w:rPr>
          <w:color w:val="0000FF"/>
          <w:szCs w:val="24"/>
          <w:shd w:val="clear" w:color="auto" w:fill="FFFFFF"/>
        </w:rPr>
        <w:t>。</w:t>
      </w:r>
    </w:p>
    <w:p>
      <w:pPr>
        <w:pStyle w:val="36"/>
        <w:spacing w:before="120" w:beforeLines="50" w:line="240" w:lineRule="auto"/>
        <w:ind w:left="0" w:leftChars="0" w:firstLine="480" w:firstLineChars="200"/>
        <w:jc w:val="center"/>
        <w:rPr>
          <w:rFonts w:ascii="黑体" w:hAnsi="黑体" w:eastAsia="黑体" w:cs="黑体"/>
          <w:color w:val="0000FF"/>
          <w:shd w:val="clear" w:color="auto" w:fill="FFFFFF"/>
        </w:rPr>
      </w:pPr>
      <w:r>
        <w:rPr>
          <w:rFonts w:hint="eastAsia" w:ascii="黑体" w:hAnsi="黑体" w:eastAsia="黑体" w:cs="黑体"/>
          <w:color w:val="0000FF"/>
          <w:shd w:val="clear" w:color="auto" w:fill="FFFFFF"/>
        </w:rPr>
        <w:t>表2.11-2  项目占地情况一览表  (单位：</w:t>
      </w:r>
      <w:r>
        <w:rPr>
          <w:rFonts w:hint="eastAsia" w:ascii="黑体" w:hAnsi="黑体" w:eastAsia="黑体" w:cs="黑体"/>
          <w:color w:val="0000FF"/>
          <w:kern w:val="0"/>
          <w:szCs w:val="24"/>
        </w:rPr>
        <w:t>亩)</w:t>
      </w:r>
    </w:p>
    <w:tbl>
      <w:tblPr>
        <w:tblStyle w:val="82"/>
        <w:tblW w:w="499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85" w:type="dxa"/>
          <w:bottom w:w="15" w:type="dxa"/>
          <w:right w:w="85" w:type="dxa"/>
        </w:tblCellMar>
      </w:tblPr>
      <w:tblGrid>
        <w:gridCol w:w="1350"/>
        <w:gridCol w:w="1783"/>
        <w:gridCol w:w="874"/>
        <w:gridCol w:w="777"/>
        <w:gridCol w:w="864"/>
        <w:gridCol w:w="902"/>
        <w:gridCol w:w="1650"/>
        <w:gridCol w:w="13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restart"/>
            <w:vAlign w:val="center"/>
          </w:tcPr>
          <w:p>
            <w:pPr>
              <w:widowControl/>
              <w:spacing w:line="340" w:lineRule="exact"/>
              <w:ind w:firstLine="0" w:firstLineChars="0"/>
              <w:jc w:val="center"/>
              <w:rPr>
                <w:bCs/>
                <w:color w:val="0000FF"/>
                <w:kern w:val="0"/>
                <w:sz w:val="21"/>
                <w:szCs w:val="21"/>
                <w:shd w:val="clear" w:color="auto" w:fill="FFFFFF"/>
              </w:rPr>
            </w:pPr>
            <w:r>
              <w:rPr>
                <w:rFonts w:hint="eastAsia"/>
                <w:bCs/>
                <w:color w:val="0000FF"/>
                <w:kern w:val="0"/>
                <w:sz w:val="21"/>
                <w:szCs w:val="21"/>
                <w:shd w:val="clear" w:color="auto" w:fill="FFFFFF"/>
              </w:rPr>
              <w:t>占地性质</w:t>
            </w:r>
          </w:p>
        </w:tc>
        <w:tc>
          <w:tcPr>
            <w:tcW w:w="937" w:type="pct"/>
            <w:vMerge w:val="restart"/>
            <w:vAlign w:val="center"/>
          </w:tcPr>
          <w:p>
            <w:pPr>
              <w:pStyle w:val="573"/>
              <w:spacing w:line="340" w:lineRule="exact"/>
              <w:jc w:val="center"/>
              <w:rPr>
                <w:color w:val="0000FF"/>
                <w:sz w:val="21"/>
                <w:szCs w:val="21"/>
              </w:rPr>
            </w:pPr>
            <w:r>
              <w:rPr>
                <w:rFonts w:hint="eastAsia"/>
                <w:color w:val="0000FF"/>
                <w:sz w:val="21"/>
                <w:szCs w:val="21"/>
              </w:rPr>
              <w:t>工程区</w:t>
            </w:r>
          </w:p>
        </w:tc>
        <w:tc>
          <w:tcPr>
            <w:tcW w:w="459" w:type="pct"/>
            <w:tcBorders>
              <w:right w:val="single" w:color="auto" w:sz="4" w:space="0"/>
            </w:tcBorders>
            <w:vAlign w:val="center"/>
          </w:tcPr>
          <w:p>
            <w:pPr>
              <w:widowControl/>
              <w:spacing w:line="340" w:lineRule="exact"/>
              <w:ind w:firstLine="0" w:firstLineChars="0"/>
              <w:jc w:val="center"/>
              <w:rPr>
                <w:rFonts w:ascii="宋体" w:cs="宋体"/>
                <w:color w:val="0000FF"/>
                <w:kern w:val="0"/>
                <w:sz w:val="21"/>
                <w:szCs w:val="21"/>
              </w:rPr>
            </w:pPr>
          </w:p>
        </w:tc>
        <w:tc>
          <w:tcPr>
            <w:tcW w:w="2203" w:type="pct"/>
            <w:gridSpan w:val="4"/>
            <w:tcBorders>
              <w:right w:val="single" w:color="auto" w:sz="4" w:space="0"/>
            </w:tcBorders>
            <w:vAlign w:val="center"/>
          </w:tcPr>
          <w:p>
            <w:pPr>
              <w:widowControl/>
              <w:spacing w:line="340" w:lineRule="exact"/>
              <w:ind w:firstLine="0" w:firstLineChars="0"/>
              <w:jc w:val="center"/>
              <w:rPr>
                <w:rFonts w:ascii="宋体" w:cs="宋体"/>
                <w:color w:val="0000FF"/>
                <w:kern w:val="0"/>
                <w:sz w:val="21"/>
                <w:szCs w:val="21"/>
              </w:rPr>
            </w:pPr>
            <w:r>
              <w:rPr>
                <w:rFonts w:ascii="宋体" w:cs="宋体"/>
                <w:color w:val="0000FF"/>
                <w:kern w:val="0"/>
                <w:sz w:val="21"/>
                <w:szCs w:val="21"/>
              </w:rPr>
              <w:t>占地类型</w:t>
            </w:r>
          </w:p>
        </w:tc>
        <w:tc>
          <w:tcPr>
            <w:tcW w:w="690" w:type="pct"/>
            <w:vMerge w:val="restart"/>
            <w:tcBorders>
              <w:left w:val="single" w:color="auto" w:sz="4" w:space="0"/>
            </w:tcBorders>
            <w:vAlign w:val="center"/>
          </w:tcPr>
          <w:p>
            <w:pPr>
              <w:widowControl/>
              <w:spacing w:line="340" w:lineRule="exact"/>
              <w:ind w:firstLine="0" w:firstLineChars="0"/>
              <w:jc w:val="center"/>
              <w:rPr>
                <w:rFonts w:ascii="宋体" w:cs="宋体"/>
                <w:color w:val="0000FF"/>
                <w:kern w:val="0"/>
                <w:sz w:val="21"/>
                <w:szCs w:val="21"/>
              </w:rPr>
            </w:pPr>
            <w:r>
              <w:rPr>
                <w:rFonts w:hint="eastAsia" w:ascii="宋体" w:cs="宋体"/>
                <w:color w:val="0000FF"/>
                <w:kern w:val="0"/>
                <w:sz w:val="21"/>
                <w:szCs w:val="21"/>
              </w:rPr>
              <w:t>小计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Merge w:val="continue"/>
            <w:vAlign w:val="center"/>
          </w:tcPr>
          <w:p>
            <w:pPr>
              <w:pStyle w:val="573"/>
              <w:spacing w:line="340" w:lineRule="exact"/>
              <w:jc w:val="center"/>
              <w:rPr>
                <w:color w:val="0000FF"/>
                <w:sz w:val="21"/>
                <w:szCs w:val="21"/>
              </w:rPr>
            </w:pP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水田</w:t>
            </w:r>
          </w:p>
        </w:tc>
        <w:tc>
          <w:tcPr>
            <w:tcW w:w="408"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林地</w:t>
            </w:r>
          </w:p>
        </w:tc>
        <w:tc>
          <w:tcPr>
            <w:tcW w:w="454"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旱地</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荒草地</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一般湿地</w:t>
            </w:r>
          </w:p>
        </w:tc>
        <w:tc>
          <w:tcPr>
            <w:tcW w:w="690" w:type="pct"/>
            <w:vMerge w:val="continue"/>
            <w:tcBorders>
              <w:left w:val="single" w:color="auto" w:sz="4" w:space="0"/>
            </w:tcBorders>
            <w:vAlign w:val="center"/>
          </w:tcPr>
          <w:p>
            <w:pPr>
              <w:pStyle w:val="573"/>
              <w:spacing w:line="340" w:lineRule="exact"/>
              <w:jc w:val="center"/>
              <w:rPr>
                <w:rFonts w:ascii="Times New Roman" w:cs="Times New Roman"/>
                <w:color w:val="0000FF"/>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532" w:hRule="atLeast"/>
          <w:jc w:val="center"/>
        </w:trPr>
        <w:tc>
          <w:tcPr>
            <w:tcW w:w="709" w:type="pct"/>
            <w:vMerge w:val="restart"/>
            <w:vAlign w:val="center"/>
          </w:tcPr>
          <w:p>
            <w:pPr>
              <w:pStyle w:val="573"/>
              <w:spacing w:line="340" w:lineRule="exact"/>
              <w:jc w:val="center"/>
              <w:rPr>
                <w:bCs/>
                <w:color w:val="0000FF"/>
                <w:sz w:val="21"/>
                <w:szCs w:val="21"/>
                <w:shd w:val="clear" w:color="auto" w:fill="FFFFFF"/>
              </w:rPr>
            </w:pPr>
            <w:r>
              <w:rPr>
                <w:rFonts w:hint="eastAsia"/>
                <w:color w:val="0000FF"/>
                <w:sz w:val="21"/>
                <w:szCs w:val="21"/>
              </w:rPr>
              <w:t>永久占地</w:t>
            </w:r>
          </w:p>
        </w:tc>
        <w:tc>
          <w:tcPr>
            <w:tcW w:w="937" w:type="pct"/>
            <w:vAlign w:val="center"/>
          </w:tcPr>
          <w:p>
            <w:pPr>
              <w:pStyle w:val="573"/>
              <w:spacing w:line="340" w:lineRule="exact"/>
              <w:jc w:val="center"/>
              <w:rPr>
                <w:color w:val="0000FF"/>
                <w:sz w:val="21"/>
                <w:szCs w:val="21"/>
              </w:rPr>
            </w:pPr>
            <w:r>
              <w:rPr>
                <w:rFonts w:hint="eastAsia"/>
                <w:color w:val="0000FF"/>
                <w:sz w:val="21"/>
                <w:szCs w:val="21"/>
              </w:rPr>
              <w:t>主体工程区</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14.2</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70.8</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532" w:hRule="atLeast"/>
          <w:jc w:val="center"/>
        </w:trPr>
        <w:tc>
          <w:tcPr>
            <w:tcW w:w="709" w:type="pct"/>
            <w:vMerge w:val="continue"/>
            <w:vAlign w:val="center"/>
          </w:tcPr>
          <w:p>
            <w:pPr>
              <w:pStyle w:val="573"/>
              <w:spacing w:line="340" w:lineRule="exact"/>
              <w:jc w:val="center"/>
              <w:rPr>
                <w:color w:val="0000FF"/>
                <w:sz w:val="21"/>
                <w:szCs w:val="21"/>
              </w:rPr>
            </w:pPr>
          </w:p>
        </w:tc>
        <w:tc>
          <w:tcPr>
            <w:tcW w:w="937" w:type="pct"/>
            <w:vAlign w:val="center"/>
          </w:tcPr>
          <w:p>
            <w:pPr>
              <w:pStyle w:val="573"/>
              <w:spacing w:line="340" w:lineRule="exact"/>
              <w:jc w:val="center"/>
              <w:rPr>
                <w:color w:val="0000FF"/>
                <w:sz w:val="21"/>
                <w:szCs w:val="21"/>
              </w:rPr>
            </w:pPr>
            <w:r>
              <w:rPr>
                <w:rFonts w:hint="eastAsia"/>
                <w:color w:val="0000FF"/>
                <w:sz w:val="21"/>
                <w:szCs w:val="21"/>
              </w:rPr>
              <w:t>淹没区</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25</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Align w:val="center"/>
          </w:tcPr>
          <w:p>
            <w:pPr>
              <w:pStyle w:val="573"/>
              <w:spacing w:line="340" w:lineRule="exact"/>
              <w:jc w:val="center"/>
              <w:rPr>
                <w:color w:val="0000FF"/>
                <w:sz w:val="21"/>
                <w:szCs w:val="21"/>
              </w:rPr>
            </w:pPr>
            <w:r>
              <w:rPr>
                <w:rFonts w:hint="eastAsia"/>
                <w:color w:val="0000FF"/>
                <w:sz w:val="21"/>
                <w:szCs w:val="21"/>
              </w:rPr>
              <w:t>小计</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39.2</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70.8</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167.5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462" w:hRule="atLeast"/>
          <w:jc w:val="center"/>
        </w:trPr>
        <w:tc>
          <w:tcPr>
            <w:tcW w:w="709" w:type="pct"/>
            <w:vMerge w:val="restart"/>
            <w:vAlign w:val="center"/>
          </w:tcPr>
          <w:p>
            <w:pPr>
              <w:widowControl/>
              <w:spacing w:line="340" w:lineRule="exact"/>
              <w:ind w:firstLine="0" w:firstLineChars="0"/>
              <w:jc w:val="center"/>
              <w:rPr>
                <w:bCs/>
                <w:color w:val="0000FF"/>
                <w:kern w:val="0"/>
                <w:sz w:val="21"/>
                <w:szCs w:val="21"/>
                <w:shd w:val="clear" w:color="auto" w:fill="FFFFFF"/>
              </w:rPr>
            </w:pPr>
            <w:r>
              <w:rPr>
                <w:rFonts w:hint="eastAsia"/>
                <w:bCs/>
                <w:color w:val="0000FF"/>
                <w:kern w:val="0"/>
                <w:sz w:val="21"/>
                <w:szCs w:val="21"/>
                <w:shd w:val="clear" w:color="auto" w:fill="FFFFFF"/>
              </w:rPr>
              <w:t>临时占地</w:t>
            </w:r>
          </w:p>
        </w:tc>
        <w:tc>
          <w:tcPr>
            <w:tcW w:w="937" w:type="pct"/>
            <w:vAlign w:val="center"/>
          </w:tcPr>
          <w:p>
            <w:pPr>
              <w:pStyle w:val="573"/>
              <w:spacing w:line="340" w:lineRule="exact"/>
              <w:jc w:val="center"/>
              <w:rPr>
                <w:bCs/>
                <w:color w:val="0000FF"/>
                <w:sz w:val="21"/>
                <w:szCs w:val="21"/>
                <w:shd w:val="clear" w:color="auto" w:fill="FFFFFF"/>
              </w:rPr>
            </w:pPr>
            <w:r>
              <w:rPr>
                <w:rFonts w:hint="eastAsia"/>
                <w:color w:val="0000FF"/>
                <w:sz w:val="21"/>
                <w:szCs w:val="21"/>
              </w:rPr>
              <w:t>弃渣场</w:t>
            </w:r>
          </w:p>
        </w:tc>
        <w:tc>
          <w:tcPr>
            <w:tcW w:w="459"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59.6</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59.6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Align w:val="center"/>
          </w:tcPr>
          <w:p>
            <w:pPr>
              <w:pStyle w:val="573"/>
              <w:spacing w:line="340" w:lineRule="exact"/>
              <w:jc w:val="center"/>
              <w:rPr>
                <w:bCs/>
                <w:color w:val="0000FF"/>
                <w:sz w:val="21"/>
                <w:szCs w:val="21"/>
                <w:shd w:val="clear" w:color="auto" w:fill="FFFFFF"/>
              </w:rPr>
            </w:pPr>
            <w:r>
              <w:rPr>
                <w:rFonts w:hint="eastAsia"/>
                <w:color w:val="0000FF"/>
                <w:sz w:val="21"/>
                <w:szCs w:val="21"/>
              </w:rPr>
              <w:t>临时道路</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2.3</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12.7</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Align w:val="center"/>
          </w:tcPr>
          <w:p>
            <w:pPr>
              <w:pStyle w:val="573"/>
              <w:spacing w:line="340" w:lineRule="exact"/>
              <w:jc w:val="center"/>
              <w:rPr>
                <w:bCs/>
                <w:color w:val="0000FF"/>
                <w:sz w:val="21"/>
                <w:szCs w:val="21"/>
                <w:shd w:val="clear" w:color="auto" w:fill="FFFFFF"/>
              </w:rPr>
            </w:pPr>
            <w:r>
              <w:rPr>
                <w:rFonts w:hint="eastAsia"/>
                <w:color w:val="0000FF"/>
                <w:sz w:val="21"/>
                <w:szCs w:val="21"/>
              </w:rPr>
              <w:t>施工场地区</w:t>
            </w:r>
          </w:p>
        </w:tc>
        <w:tc>
          <w:tcPr>
            <w:tcW w:w="459"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6.0</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Align w:val="center"/>
          </w:tcPr>
          <w:p>
            <w:pPr>
              <w:pStyle w:val="573"/>
              <w:spacing w:line="340" w:lineRule="exact"/>
              <w:jc w:val="center"/>
              <w:rPr>
                <w:bCs/>
                <w:color w:val="0000FF"/>
                <w:sz w:val="21"/>
                <w:szCs w:val="21"/>
                <w:shd w:val="clear" w:color="auto" w:fill="FFFFFF"/>
              </w:rPr>
            </w:pPr>
            <w:r>
              <w:rPr>
                <w:rFonts w:hint="eastAsia"/>
                <w:color w:val="0000FF"/>
                <w:sz w:val="21"/>
                <w:szCs w:val="21"/>
              </w:rPr>
              <w:t>取料场</w:t>
            </w:r>
          </w:p>
        </w:tc>
        <w:tc>
          <w:tcPr>
            <w:tcW w:w="459"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10</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color w:val="0000FF"/>
                <w:kern w:val="0"/>
                <w:sz w:val="21"/>
                <w:szCs w:val="21"/>
                <w:shd w:val="clear" w:color="auto" w:fill="FFFFFF"/>
              </w:rPr>
            </w:pPr>
          </w:p>
        </w:tc>
        <w:tc>
          <w:tcPr>
            <w:tcW w:w="937" w:type="pct"/>
            <w:vAlign w:val="center"/>
          </w:tcPr>
          <w:p>
            <w:pPr>
              <w:widowControl/>
              <w:spacing w:line="340" w:lineRule="exact"/>
              <w:ind w:firstLine="0" w:firstLineChars="0"/>
              <w:jc w:val="center"/>
              <w:rPr>
                <w:bCs/>
                <w:color w:val="0000FF"/>
                <w:kern w:val="0"/>
                <w:sz w:val="21"/>
                <w:szCs w:val="21"/>
                <w:shd w:val="clear" w:color="auto" w:fill="FFFFFF"/>
              </w:rPr>
            </w:pPr>
            <w:r>
              <w:rPr>
                <w:rFonts w:hint="eastAsia"/>
                <w:bCs/>
                <w:color w:val="0000FF"/>
                <w:kern w:val="0"/>
                <w:sz w:val="21"/>
                <w:szCs w:val="21"/>
                <w:shd w:val="clear" w:color="auto" w:fill="FFFFFF"/>
              </w:rPr>
              <w:t>小</w:t>
            </w:r>
            <w:r>
              <w:rPr>
                <w:bCs/>
                <w:color w:val="0000FF"/>
                <w:kern w:val="0"/>
                <w:sz w:val="21"/>
                <w:szCs w:val="21"/>
                <w:shd w:val="clear" w:color="auto" w:fill="FFFFFF"/>
              </w:rPr>
              <w:t>计</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2.3</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88.3</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color w:val="0000FF"/>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90.6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1646" w:type="pct"/>
            <w:gridSpan w:val="2"/>
            <w:vAlign w:val="center"/>
          </w:tcPr>
          <w:p>
            <w:pPr>
              <w:widowControl/>
              <w:spacing w:line="340" w:lineRule="exact"/>
              <w:ind w:firstLine="0" w:firstLineChars="0"/>
              <w:jc w:val="center"/>
              <w:rPr>
                <w:bCs/>
                <w:color w:val="0000FF"/>
                <w:kern w:val="0"/>
                <w:sz w:val="21"/>
                <w:szCs w:val="21"/>
                <w:shd w:val="clear" w:color="auto" w:fill="FFFFFF"/>
              </w:rPr>
            </w:pPr>
            <w:r>
              <w:rPr>
                <w:rFonts w:hint="eastAsia"/>
                <w:bCs/>
                <w:color w:val="0000FF"/>
                <w:kern w:val="0"/>
                <w:sz w:val="21"/>
                <w:szCs w:val="21"/>
                <w:shd w:val="clear" w:color="auto" w:fill="FFFFFF"/>
              </w:rPr>
              <w:t>合计</w:t>
            </w:r>
          </w:p>
        </w:tc>
        <w:tc>
          <w:tcPr>
            <w:tcW w:w="459" w:type="pct"/>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41.5</w:t>
            </w:r>
          </w:p>
        </w:tc>
        <w:tc>
          <w:tcPr>
            <w:tcW w:w="408"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54" w:type="pct"/>
            <w:vAlign w:val="center"/>
          </w:tcPr>
          <w:p>
            <w:pPr>
              <w:pStyle w:val="573"/>
              <w:spacing w:line="340" w:lineRule="exact"/>
              <w:jc w:val="center"/>
              <w:rPr>
                <w:rFonts w:ascii="Times New Roman" w:cs="Times New Roman"/>
                <w:color w:val="0000FF"/>
                <w:sz w:val="21"/>
                <w:szCs w:val="21"/>
              </w:rPr>
            </w:pPr>
            <w:r>
              <w:rPr>
                <w:rFonts w:ascii="Times New Roman" w:cs="Times New Roman"/>
                <w:color w:val="0000FF"/>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159.1</w:t>
            </w:r>
          </w:p>
        </w:tc>
        <w:tc>
          <w:tcPr>
            <w:tcW w:w="866" w:type="pct"/>
            <w:tcBorders>
              <w:righ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0000FF"/>
                <w:sz w:val="21"/>
                <w:szCs w:val="21"/>
              </w:rPr>
            </w:pPr>
            <w:r>
              <w:rPr>
                <w:rFonts w:hint="eastAsia" w:ascii="Times New Roman" w:cs="Times New Roman"/>
                <w:color w:val="0000FF"/>
                <w:sz w:val="21"/>
                <w:szCs w:val="21"/>
              </w:rPr>
              <w:t>258.1</w:t>
            </w:r>
          </w:p>
        </w:tc>
      </w:tr>
    </w:tbl>
    <w:p>
      <w:pPr>
        <w:spacing w:before="120" w:beforeLines="50"/>
        <w:ind w:firstLine="480"/>
        <w:jc w:val="center"/>
        <w:rPr>
          <w:rFonts w:ascii="宋体" w:hAnsi="宋体" w:cs="宋体"/>
          <w:szCs w:val="24"/>
        </w:rPr>
      </w:pPr>
      <w:bookmarkStart w:id="487" w:name="_Toc534807009"/>
      <w:bookmarkStart w:id="488" w:name="_Toc3903230"/>
      <w:bookmarkStart w:id="489" w:name="_Toc534386250"/>
      <w:bookmarkStart w:id="490" w:name="_Toc534895227"/>
      <w:bookmarkStart w:id="491" w:name="_Toc536265093"/>
      <w:r>
        <w:rPr>
          <w:rFonts w:ascii="宋体" w:hAnsi="宋体" w:cs="宋体"/>
          <w:szCs w:val="24"/>
        </w:rPr>
        <w:drawing>
          <wp:inline distT="0" distB="0" distL="114300" distR="114300">
            <wp:extent cx="4601845" cy="3906520"/>
            <wp:effectExtent l="0" t="0" r="8255" b="17780"/>
            <wp:docPr id="7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descr="IMG_256"/>
                    <pic:cNvPicPr>
                      <a:picLocks noChangeAspect="1"/>
                    </pic:cNvPicPr>
                  </pic:nvPicPr>
                  <pic:blipFill>
                    <a:blip r:embed="rId34"/>
                    <a:srcRect r="6755"/>
                    <a:stretch>
                      <a:fillRect/>
                    </a:stretch>
                  </pic:blipFill>
                  <pic:spPr>
                    <a:xfrm>
                      <a:off x="0" y="0"/>
                      <a:ext cx="4601845" cy="3906520"/>
                    </a:xfrm>
                    <a:prstGeom prst="rect">
                      <a:avLst/>
                    </a:prstGeom>
                    <a:noFill/>
                    <a:ln w="9525">
                      <a:noFill/>
                    </a:ln>
                  </pic:spPr>
                </pic:pic>
              </a:graphicData>
            </a:graphic>
          </wp:inline>
        </w:drawing>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图2.11-1  毛家渡抬水坝红线与二调湿地红线位置图</w:t>
      </w:r>
    </w:p>
    <w:p>
      <w:pPr>
        <w:pStyle w:val="7"/>
        <w:spacing w:before="120" w:beforeLines="50"/>
        <w:jc w:val="both"/>
        <w:rPr>
          <w:szCs w:val="24"/>
        </w:rPr>
      </w:pPr>
      <w:r>
        <w:rPr>
          <w:szCs w:val="24"/>
        </w:rPr>
        <w:t>2.</w:t>
      </w:r>
      <w:r>
        <w:rPr>
          <w:rFonts w:hint="eastAsia"/>
          <w:szCs w:val="24"/>
        </w:rPr>
        <w:t>11</w:t>
      </w:r>
      <w:r>
        <w:rPr>
          <w:szCs w:val="24"/>
        </w:rPr>
        <w:t>.3</w:t>
      </w:r>
      <w:r>
        <w:rPr>
          <w:rFonts w:hint="eastAsia"/>
          <w:szCs w:val="24"/>
        </w:rPr>
        <w:t>拆迁及</w:t>
      </w:r>
      <w:r>
        <w:rPr>
          <w:szCs w:val="24"/>
        </w:rPr>
        <w:t>移民安置规划</w:t>
      </w:r>
      <w:bookmarkEnd w:id="487"/>
      <w:bookmarkEnd w:id="488"/>
      <w:bookmarkEnd w:id="489"/>
      <w:bookmarkEnd w:id="490"/>
      <w:bookmarkEnd w:id="491"/>
    </w:p>
    <w:p>
      <w:pPr>
        <w:pStyle w:val="297"/>
        <w:spacing w:line="360" w:lineRule="auto"/>
        <w:rPr>
          <w:rFonts w:ascii="Times New Roman" w:hAnsi="Times New Roman"/>
          <w:color w:val="auto"/>
          <w:lang w:val="zh-CN"/>
        </w:rPr>
      </w:pPr>
      <w:r>
        <w:rPr>
          <w:rFonts w:ascii="Times New Roman" w:hAnsi="Times New Roman"/>
          <w:color w:val="auto"/>
          <w:lang w:val="zh-CN"/>
        </w:rPr>
        <w:t>本项目不涉及</w:t>
      </w:r>
      <w:r>
        <w:rPr>
          <w:rFonts w:hint="eastAsia" w:ascii="Times New Roman" w:hAnsi="Times New Roman"/>
          <w:color w:val="auto"/>
          <w:lang w:val="zh-CN"/>
        </w:rPr>
        <w:t>拆迁，无</w:t>
      </w:r>
      <w:r>
        <w:rPr>
          <w:rFonts w:ascii="Times New Roman" w:hAnsi="Times New Roman"/>
          <w:color w:val="auto"/>
          <w:lang w:val="zh-CN"/>
        </w:rPr>
        <w:t>移民安置。</w:t>
      </w:r>
    </w:p>
    <w:p>
      <w:pPr>
        <w:pStyle w:val="6"/>
      </w:pPr>
      <w:bookmarkStart w:id="492" w:name="_Toc31503"/>
      <w:r>
        <w:rPr>
          <w:rFonts w:hint="eastAsia"/>
        </w:rPr>
        <w:t>2.12</w:t>
      </w:r>
      <w:r>
        <w:t>土石方平衡</w:t>
      </w:r>
      <w:bookmarkEnd w:id="492"/>
    </w:p>
    <w:p>
      <w:pPr>
        <w:pStyle w:val="36"/>
        <w:ind w:left="0" w:leftChars="0" w:firstLine="480" w:firstLineChars="200"/>
        <w:rPr>
          <w:szCs w:val="24"/>
        </w:rPr>
      </w:pPr>
      <w:r>
        <w:rPr>
          <w:szCs w:val="24"/>
        </w:rPr>
        <w:t>根据</w:t>
      </w:r>
      <w:r>
        <w:rPr>
          <w:rFonts w:hint="eastAsia"/>
          <w:szCs w:val="24"/>
        </w:rPr>
        <w:t>工程可研报告</w:t>
      </w:r>
      <w:r>
        <w:rPr>
          <w:szCs w:val="24"/>
        </w:rPr>
        <w:t>，</w:t>
      </w:r>
      <w:r>
        <w:t>根据《上高县毛家渡抬水工程可行性研究报告》，本工程挖填土石方总量为422880.2m</w:t>
      </w:r>
      <w:r>
        <w:rPr>
          <w:vertAlign w:val="superscript"/>
        </w:rPr>
        <w:t>3</w:t>
      </w:r>
      <w:r>
        <w:t>，其中挖方（不含表土）205574.1m</w:t>
      </w:r>
      <w:r>
        <w:rPr>
          <w:vertAlign w:val="superscript"/>
        </w:rPr>
        <w:t>3</w:t>
      </w:r>
      <w:r>
        <w:t>，填方（不含表土）211440.1m</w:t>
      </w:r>
      <w:r>
        <w:rPr>
          <w:vertAlign w:val="superscript"/>
        </w:rPr>
        <w:t>3</w:t>
      </w:r>
      <w:r>
        <w:t>，外借方33310m</w:t>
      </w:r>
      <w:r>
        <w:rPr>
          <w:vertAlign w:val="superscript"/>
        </w:rPr>
        <w:t>3</w:t>
      </w:r>
      <w:r>
        <w:t>，弃方27444m</w:t>
      </w:r>
      <w:r>
        <w:rPr>
          <w:vertAlign w:val="superscript"/>
        </w:rPr>
        <w:t>3</w:t>
      </w:r>
      <w:r>
        <w:rPr>
          <w:szCs w:val="24"/>
        </w:rPr>
        <w:t>。本工程范围内清理表土数量共</w:t>
      </w:r>
      <w:r>
        <w:rPr>
          <w:rFonts w:hint="eastAsia"/>
          <w:szCs w:val="24"/>
        </w:rPr>
        <w:t>0.18</w:t>
      </w:r>
      <w:r>
        <w:rPr>
          <w:szCs w:val="24"/>
        </w:rPr>
        <w:t>万m</w:t>
      </w:r>
      <w:r>
        <w:rPr>
          <w:szCs w:val="24"/>
          <w:vertAlign w:val="superscript"/>
        </w:rPr>
        <w:t>3</w:t>
      </w:r>
      <w:r>
        <w:rPr>
          <w:szCs w:val="24"/>
        </w:rPr>
        <w:t>，这部分表土将分堆集中堆置在</w:t>
      </w:r>
      <w:r>
        <w:rPr>
          <w:rFonts w:hint="eastAsia"/>
          <w:szCs w:val="24"/>
        </w:rPr>
        <w:t>工程临时占地</w:t>
      </w:r>
      <w:r>
        <w:rPr>
          <w:szCs w:val="24"/>
        </w:rPr>
        <w:t>范围内，采用临时覆盖和遮挡等措施进行防护，待施工结束后将用于</w:t>
      </w:r>
      <w:r>
        <w:rPr>
          <w:rFonts w:hint="eastAsia"/>
          <w:szCs w:val="24"/>
        </w:rPr>
        <w:t>取土场</w:t>
      </w:r>
      <w:r>
        <w:rPr>
          <w:szCs w:val="24"/>
        </w:rPr>
        <w:t>及弃</w:t>
      </w:r>
      <w:r>
        <w:rPr>
          <w:rFonts w:hint="eastAsia"/>
          <w:szCs w:val="24"/>
        </w:rPr>
        <w:t>渣</w:t>
      </w:r>
      <w:r>
        <w:rPr>
          <w:szCs w:val="24"/>
        </w:rPr>
        <w:t>场生态恢复用。本着多利用少弃方、力争经济合理，尽量节约用地的原则，综合考虑运距、运输条件和对环境的影响，对项目建设土石方进行平衡调配。对多余的弃方，运往弃渣场集中堆置，同时做好水土保持工作。工程土石方平衡见表2.</w:t>
      </w:r>
      <w:r>
        <w:rPr>
          <w:rFonts w:hint="eastAsia"/>
          <w:szCs w:val="24"/>
        </w:rPr>
        <w:t>12</w:t>
      </w:r>
      <w:r>
        <w:rPr>
          <w:szCs w:val="24"/>
        </w:rPr>
        <w:t>-1。</w:t>
      </w:r>
    </w:p>
    <w:p>
      <w:pPr>
        <w:spacing w:before="120" w:beforeLines="50" w:line="240" w:lineRule="auto"/>
        <w:ind w:firstLine="480"/>
        <w:jc w:val="center"/>
        <w:rPr>
          <w:rFonts w:ascii="黑体" w:hAnsi="黑体" w:eastAsia="黑体" w:cs="黑体"/>
          <w:vertAlign w:val="superscript"/>
        </w:rPr>
      </w:pPr>
      <w:r>
        <w:rPr>
          <w:rFonts w:hint="eastAsia" w:ascii="黑体" w:hAnsi="黑体" w:eastAsia="黑体" w:cs="黑体"/>
        </w:rPr>
        <w:t>表2.12-1  项目土石方平衡表    单位：万m</w:t>
      </w:r>
      <w:r>
        <w:rPr>
          <w:rFonts w:hint="eastAsia" w:ascii="黑体" w:hAnsi="黑体" w:eastAsia="黑体" w:cs="黑体"/>
          <w:vertAlign w:val="superscript"/>
        </w:rPr>
        <w:t>3</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004"/>
        <w:gridCol w:w="899"/>
        <w:gridCol w:w="1004"/>
        <w:gridCol w:w="1004"/>
        <w:gridCol w:w="956"/>
        <w:gridCol w:w="899"/>
        <w:gridCol w:w="697"/>
        <w:gridCol w:w="697"/>
        <w:gridCol w:w="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Merge w:val="restart"/>
            <w:vAlign w:val="center"/>
          </w:tcPr>
          <w:p>
            <w:pPr>
              <w:pStyle w:val="154"/>
              <w:spacing w:line="340" w:lineRule="exact"/>
              <w:ind w:firstLine="0" w:firstLineChars="0"/>
              <w:jc w:val="both"/>
              <w:rPr>
                <w:rFonts w:eastAsia="宋体"/>
                <w:sz w:val="21"/>
                <w:szCs w:val="21"/>
              </w:rPr>
            </w:pPr>
            <w:r>
              <w:rPr>
                <w:rFonts w:eastAsia="宋体"/>
                <w:sz w:val="21"/>
                <w:szCs w:val="21"/>
              </w:rPr>
              <w:t>项目</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土方</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石方</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土方</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土方</w:t>
            </w:r>
          </w:p>
        </w:tc>
        <w:tc>
          <w:tcPr>
            <w:tcW w:w="499" w:type="pct"/>
            <w:vAlign w:val="center"/>
          </w:tcPr>
          <w:p>
            <w:pPr>
              <w:pStyle w:val="154"/>
              <w:spacing w:line="340" w:lineRule="exact"/>
              <w:ind w:firstLine="0" w:firstLineChars="0"/>
              <w:jc w:val="both"/>
              <w:rPr>
                <w:rFonts w:eastAsia="宋体"/>
                <w:sz w:val="21"/>
                <w:szCs w:val="21"/>
              </w:rPr>
            </w:pPr>
            <w:r>
              <w:rPr>
                <w:rFonts w:eastAsia="宋体"/>
                <w:sz w:val="21"/>
                <w:szCs w:val="21"/>
              </w:rPr>
              <w:t>块石砌</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土料场</w:t>
            </w:r>
          </w:p>
        </w:tc>
        <w:tc>
          <w:tcPr>
            <w:tcW w:w="364" w:type="pct"/>
            <w:vAlign w:val="center"/>
          </w:tcPr>
          <w:p>
            <w:pPr>
              <w:pStyle w:val="154"/>
              <w:spacing w:line="340" w:lineRule="exact"/>
              <w:ind w:firstLine="0" w:firstLineChars="0"/>
              <w:jc w:val="both"/>
              <w:rPr>
                <w:rFonts w:eastAsia="宋体"/>
                <w:sz w:val="21"/>
                <w:szCs w:val="21"/>
              </w:rPr>
            </w:pPr>
            <w:r>
              <w:rPr>
                <w:rFonts w:eastAsia="宋体"/>
                <w:sz w:val="21"/>
                <w:szCs w:val="21"/>
              </w:rPr>
              <w:t>外运</w:t>
            </w:r>
          </w:p>
        </w:tc>
        <w:tc>
          <w:tcPr>
            <w:tcW w:w="833" w:type="pct"/>
            <w:gridSpan w:val="2"/>
            <w:vAlign w:val="center"/>
          </w:tcPr>
          <w:p>
            <w:pPr>
              <w:pStyle w:val="154"/>
              <w:spacing w:line="340" w:lineRule="exact"/>
              <w:ind w:firstLine="0" w:firstLineChars="0"/>
              <w:jc w:val="both"/>
              <w:rPr>
                <w:rFonts w:eastAsia="宋体"/>
                <w:sz w:val="21"/>
                <w:szCs w:val="21"/>
              </w:rPr>
            </w:pPr>
            <w:r>
              <w:rPr>
                <w:rFonts w:eastAsia="宋体"/>
                <w:sz w:val="21"/>
                <w:szCs w:val="21"/>
              </w:rPr>
              <w:t>弃碴量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Merge w:val="continue"/>
            <w:vAlign w:val="center"/>
          </w:tcPr>
          <w:p>
            <w:pPr>
              <w:pStyle w:val="154"/>
              <w:spacing w:line="340" w:lineRule="exact"/>
              <w:ind w:firstLine="420"/>
              <w:rPr>
                <w:rFonts w:eastAsia="宋体"/>
                <w:sz w:val="21"/>
                <w:szCs w:val="21"/>
              </w:rPr>
            </w:pP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开挖</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开挖</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填筑</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利用量</w:t>
            </w:r>
          </w:p>
        </w:tc>
        <w:tc>
          <w:tcPr>
            <w:tcW w:w="499" w:type="pct"/>
            <w:vAlign w:val="center"/>
          </w:tcPr>
          <w:p>
            <w:pPr>
              <w:pStyle w:val="154"/>
              <w:spacing w:line="340" w:lineRule="exact"/>
              <w:ind w:firstLine="0" w:firstLineChars="0"/>
              <w:jc w:val="both"/>
              <w:rPr>
                <w:rFonts w:eastAsia="宋体"/>
                <w:sz w:val="21"/>
                <w:szCs w:val="21"/>
              </w:rPr>
            </w:pPr>
            <w:r>
              <w:rPr>
                <w:rFonts w:eastAsia="宋体"/>
                <w:sz w:val="21"/>
                <w:szCs w:val="21"/>
              </w:rPr>
              <w:t>筑利用量</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开挖</w:t>
            </w:r>
          </w:p>
        </w:tc>
        <w:tc>
          <w:tcPr>
            <w:tcW w:w="364" w:type="pct"/>
            <w:vAlign w:val="center"/>
          </w:tcPr>
          <w:p>
            <w:pPr>
              <w:pStyle w:val="154"/>
              <w:spacing w:line="340" w:lineRule="exact"/>
              <w:ind w:firstLine="0" w:firstLineChars="0"/>
              <w:jc w:val="both"/>
              <w:rPr>
                <w:rFonts w:eastAsia="宋体"/>
                <w:sz w:val="21"/>
                <w:szCs w:val="21"/>
              </w:rPr>
            </w:pPr>
            <w:r>
              <w:rPr>
                <w:rFonts w:eastAsia="宋体"/>
                <w:sz w:val="21"/>
                <w:szCs w:val="21"/>
              </w:rPr>
              <w:t>石料</w:t>
            </w:r>
          </w:p>
        </w:tc>
        <w:tc>
          <w:tcPr>
            <w:tcW w:w="364" w:type="pct"/>
            <w:vAlign w:val="center"/>
          </w:tcPr>
          <w:p>
            <w:pPr>
              <w:pStyle w:val="154"/>
              <w:spacing w:line="340" w:lineRule="exact"/>
              <w:ind w:firstLine="0" w:firstLineChars="0"/>
              <w:jc w:val="both"/>
              <w:rPr>
                <w:rFonts w:eastAsia="宋体"/>
                <w:sz w:val="21"/>
                <w:szCs w:val="21"/>
              </w:rPr>
            </w:pPr>
            <w:r>
              <w:rPr>
                <w:rFonts w:eastAsia="宋体"/>
                <w:sz w:val="21"/>
                <w:szCs w:val="21"/>
              </w:rPr>
              <w:t>石碴</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弃土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Align w:val="center"/>
          </w:tcPr>
          <w:p>
            <w:pPr>
              <w:pStyle w:val="154"/>
              <w:spacing w:line="340" w:lineRule="exact"/>
              <w:ind w:firstLine="0" w:firstLineChars="0"/>
              <w:jc w:val="both"/>
              <w:rPr>
                <w:rFonts w:eastAsia="宋体"/>
                <w:sz w:val="21"/>
                <w:szCs w:val="21"/>
              </w:rPr>
            </w:pPr>
            <w:r>
              <w:rPr>
                <w:rFonts w:eastAsia="宋体"/>
                <w:sz w:val="21"/>
                <w:szCs w:val="21"/>
              </w:rPr>
              <w:t>闸坝工程</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63928.2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14751.2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26139.8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23829.8 </w:t>
            </w:r>
          </w:p>
        </w:tc>
        <w:tc>
          <w:tcPr>
            <w:tcW w:w="499"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2310.0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420"/>
              <w:rPr>
                <w:rFonts w:eastAsia="宋体"/>
                <w:sz w:val="21"/>
                <w:szCs w:val="21"/>
              </w:rPr>
            </w:pPr>
            <w:r>
              <w:rPr>
                <w:rFonts w:eastAsia="宋体"/>
                <w:sz w:val="21"/>
                <w:szCs w:val="21"/>
              </w:rPr>
              <w:t>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Align w:val="center"/>
          </w:tcPr>
          <w:p>
            <w:pPr>
              <w:pStyle w:val="154"/>
              <w:spacing w:line="340" w:lineRule="exact"/>
              <w:ind w:firstLine="0" w:firstLineChars="0"/>
              <w:jc w:val="both"/>
              <w:rPr>
                <w:rFonts w:eastAsia="宋体"/>
                <w:sz w:val="21"/>
                <w:szCs w:val="21"/>
              </w:rPr>
            </w:pPr>
            <w:r>
              <w:rPr>
                <w:rFonts w:eastAsia="宋体"/>
                <w:sz w:val="21"/>
                <w:szCs w:val="21"/>
              </w:rPr>
              <w:t>上下游护岸工程</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101321.8 </w:t>
            </w:r>
          </w:p>
        </w:tc>
        <w:tc>
          <w:tcPr>
            <w:tcW w:w="469" w:type="pct"/>
            <w:vAlign w:val="center"/>
          </w:tcPr>
          <w:p>
            <w:pPr>
              <w:pStyle w:val="154"/>
              <w:spacing w:line="340" w:lineRule="exact"/>
              <w:ind w:firstLine="0" w:firstLineChars="0"/>
              <w:rPr>
                <w:rFonts w:eastAsia="宋体"/>
                <w:sz w:val="21"/>
                <w:szCs w:val="21"/>
              </w:rPr>
            </w:pPr>
            <w:r>
              <w:rPr>
                <w:rFonts w:eastAsia="宋体"/>
                <w:sz w:val="21"/>
                <w:szCs w:val="21"/>
              </w:rPr>
              <w:t>572.9</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60719.3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60719.3 </w:t>
            </w:r>
          </w:p>
        </w:tc>
        <w:tc>
          <w:tcPr>
            <w:tcW w:w="499"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420"/>
              <w:rPr>
                <w:rFonts w:eastAsia="宋体"/>
                <w:sz w:val="21"/>
                <w:szCs w:val="21"/>
              </w:rPr>
            </w:pPr>
            <w:r>
              <w:rPr>
                <w:rFonts w:eastAsia="宋体"/>
                <w:sz w:val="21"/>
                <w:szCs w:val="21"/>
              </w:rPr>
              <w:t>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420"/>
              <w:rPr>
                <w:rFonts w:eastAsia="宋体"/>
                <w:sz w:val="21"/>
                <w:szCs w:val="21"/>
              </w:rPr>
            </w:pPr>
            <w:r>
              <w:rPr>
                <w:rFonts w:eastAsia="宋体"/>
                <w:sz w:val="21"/>
                <w:szCs w:val="21"/>
              </w:rPr>
              <w:t>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Align w:val="center"/>
          </w:tcPr>
          <w:p>
            <w:pPr>
              <w:pStyle w:val="154"/>
              <w:spacing w:line="340" w:lineRule="exact"/>
              <w:ind w:firstLine="0" w:firstLineChars="0"/>
              <w:jc w:val="both"/>
              <w:rPr>
                <w:rFonts w:eastAsia="宋体"/>
                <w:sz w:val="21"/>
                <w:szCs w:val="21"/>
              </w:rPr>
            </w:pPr>
            <w:r>
              <w:rPr>
                <w:rFonts w:eastAsia="宋体"/>
                <w:sz w:val="21"/>
                <w:szCs w:val="21"/>
              </w:rPr>
              <w:t>一期围堰</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17750</w:t>
            </w:r>
          </w:p>
        </w:tc>
        <w:tc>
          <w:tcPr>
            <w:tcW w:w="469" w:type="pct"/>
            <w:vAlign w:val="center"/>
          </w:tcPr>
          <w:p>
            <w:pPr>
              <w:pStyle w:val="154"/>
              <w:spacing w:line="340" w:lineRule="exact"/>
              <w:ind w:firstLine="420"/>
              <w:rPr>
                <w:rFonts w:eastAsia="宋体"/>
                <w:sz w:val="21"/>
                <w:szCs w:val="21"/>
              </w:rPr>
            </w:pPr>
            <w:r>
              <w:rPr>
                <w:rFonts w:eastAsia="宋体"/>
                <w:sz w:val="21"/>
                <w:szCs w:val="21"/>
              </w:rPr>
              <w:t>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81988.2</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57615.0 </w:t>
            </w:r>
          </w:p>
        </w:tc>
        <w:tc>
          <w:tcPr>
            <w:tcW w:w="499"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24373.2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364" w:type="pct"/>
            <w:vAlign w:val="center"/>
          </w:tcPr>
          <w:p>
            <w:pPr>
              <w:pStyle w:val="154"/>
              <w:spacing w:line="340" w:lineRule="exact"/>
              <w:ind w:firstLine="420"/>
              <w:rPr>
                <w:rFonts w:eastAsia="宋体"/>
                <w:sz w:val="21"/>
                <w:szCs w:val="21"/>
              </w:rPr>
            </w:pPr>
            <w:r>
              <w:rPr>
                <w:rFonts w:eastAsia="宋体"/>
                <w:sz w:val="21"/>
                <w:szCs w:val="21"/>
              </w:rPr>
              <w:t>　</w:t>
            </w:r>
          </w:p>
        </w:tc>
        <w:tc>
          <w:tcPr>
            <w:tcW w:w="469" w:type="pct"/>
            <w:vAlign w:val="center"/>
          </w:tcPr>
          <w:p>
            <w:pPr>
              <w:pStyle w:val="154"/>
              <w:spacing w:line="340" w:lineRule="exact"/>
              <w:ind w:firstLine="420"/>
              <w:rPr>
                <w:rFonts w:eastAsia="宋体"/>
                <w:sz w:val="21"/>
                <w:szCs w:val="21"/>
              </w:rPr>
            </w:pPr>
            <w:r>
              <w:rPr>
                <w:rFonts w:eastAsia="宋体"/>
                <w:sz w:val="21"/>
                <w:szCs w:val="21"/>
              </w:rPr>
              <w:t>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noWrap/>
            <w:vAlign w:val="center"/>
          </w:tcPr>
          <w:p>
            <w:pPr>
              <w:pStyle w:val="154"/>
              <w:spacing w:line="340" w:lineRule="exact"/>
              <w:ind w:firstLine="0" w:firstLineChars="0"/>
              <w:jc w:val="both"/>
              <w:rPr>
                <w:rFonts w:eastAsia="宋体"/>
                <w:sz w:val="21"/>
                <w:szCs w:val="21"/>
              </w:rPr>
            </w:pPr>
            <w:r>
              <w:rPr>
                <w:rFonts w:eastAsia="宋体"/>
                <w:sz w:val="21"/>
                <w:szCs w:val="21"/>
              </w:rPr>
              <w:t>二期围堰</w:t>
            </w:r>
          </w:p>
        </w:tc>
        <w:tc>
          <w:tcPr>
            <w:tcW w:w="524" w:type="pct"/>
            <w:noWrap/>
            <w:vAlign w:val="center"/>
          </w:tcPr>
          <w:p>
            <w:pPr>
              <w:pStyle w:val="154"/>
              <w:spacing w:line="340" w:lineRule="exact"/>
              <w:ind w:firstLine="0" w:firstLineChars="0"/>
              <w:jc w:val="both"/>
              <w:rPr>
                <w:rFonts w:eastAsia="宋体"/>
                <w:sz w:val="21"/>
                <w:szCs w:val="21"/>
              </w:rPr>
            </w:pPr>
            <w:r>
              <w:rPr>
                <w:rFonts w:eastAsia="宋体"/>
                <w:sz w:val="21"/>
                <w:szCs w:val="21"/>
              </w:rPr>
              <w:t>7250</w:t>
            </w:r>
          </w:p>
        </w:tc>
        <w:tc>
          <w:tcPr>
            <w:tcW w:w="469" w:type="pct"/>
            <w:noWrap/>
            <w:vAlign w:val="center"/>
          </w:tcPr>
          <w:p>
            <w:pPr>
              <w:pStyle w:val="154"/>
              <w:spacing w:line="340" w:lineRule="exact"/>
              <w:ind w:firstLine="420"/>
              <w:rPr>
                <w:rFonts w:eastAsia="宋体"/>
                <w:sz w:val="21"/>
                <w:szCs w:val="21"/>
              </w:rPr>
            </w:pPr>
            <w:r>
              <w:rPr>
                <w:rFonts w:eastAsia="宋体"/>
                <w:sz w:val="21"/>
                <w:szCs w:val="21"/>
              </w:rPr>
              <w:t>　</w:t>
            </w:r>
          </w:p>
        </w:tc>
        <w:tc>
          <w:tcPr>
            <w:tcW w:w="524" w:type="pct"/>
            <w:noWrap/>
            <w:vAlign w:val="center"/>
          </w:tcPr>
          <w:p>
            <w:pPr>
              <w:pStyle w:val="154"/>
              <w:spacing w:line="340" w:lineRule="exact"/>
              <w:ind w:firstLine="0" w:firstLineChars="0"/>
              <w:jc w:val="both"/>
              <w:rPr>
                <w:rFonts w:eastAsia="宋体"/>
                <w:sz w:val="21"/>
                <w:szCs w:val="21"/>
              </w:rPr>
            </w:pPr>
            <w:r>
              <w:rPr>
                <w:rFonts w:eastAsia="宋体"/>
                <w:sz w:val="21"/>
                <w:szCs w:val="21"/>
              </w:rPr>
              <w:t>100207.8</w:t>
            </w:r>
          </w:p>
        </w:tc>
        <w:tc>
          <w:tcPr>
            <w:tcW w:w="524" w:type="pct"/>
            <w:noWrap/>
            <w:vAlign w:val="center"/>
          </w:tcPr>
          <w:p>
            <w:pPr>
              <w:pStyle w:val="154"/>
              <w:spacing w:line="340" w:lineRule="exact"/>
              <w:ind w:firstLine="0" w:firstLineChars="0"/>
              <w:jc w:val="both"/>
              <w:rPr>
                <w:rFonts w:eastAsia="宋体"/>
                <w:sz w:val="21"/>
                <w:szCs w:val="21"/>
              </w:rPr>
            </w:pPr>
            <w:r>
              <w:rPr>
                <w:rFonts w:eastAsia="宋体"/>
                <w:sz w:val="21"/>
                <w:szCs w:val="21"/>
              </w:rPr>
              <w:t xml:space="preserve">93581.0 </w:t>
            </w:r>
          </w:p>
        </w:tc>
        <w:tc>
          <w:tcPr>
            <w:tcW w:w="499" w:type="pct"/>
            <w:noWrap/>
            <w:vAlign w:val="center"/>
          </w:tcPr>
          <w:p>
            <w:pPr>
              <w:pStyle w:val="154"/>
              <w:spacing w:line="340" w:lineRule="exact"/>
              <w:ind w:firstLine="420"/>
              <w:rPr>
                <w:rFonts w:eastAsia="宋体"/>
                <w:sz w:val="21"/>
                <w:szCs w:val="21"/>
              </w:rPr>
            </w:pPr>
            <w:r>
              <w:rPr>
                <w:rFonts w:eastAsia="宋体"/>
                <w:sz w:val="21"/>
                <w:szCs w:val="21"/>
              </w:rPr>
              <w:t>　</w:t>
            </w:r>
          </w:p>
        </w:tc>
        <w:tc>
          <w:tcPr>
            <w:tcW w:w="469" w:type="pct"/>
            <w:noWrap/>
            <w:vAlign w:val="center"/>
          </w:tcPr>
          <w:p>
            <w:pPr>
              <w:pStyle w:val="154"/>
              <w:spacing w:line="340" w:lineRule="exact"/>
              <w:ind w:firstLine="0" w:firstLineChars="0"/>
              <w:jc w:val="both"/>
              <w:rPr>
                <w:rFonts w:eastAsia="宋体"/>
                <w:sz w:val="21"/>
                <w:szCs w:val="21"/>
              </w:rPr>
            </w:pPr>
            <w:r>
              <w:rPr>
                <w:rFonts w:eastAsia="宋体"/>
                <w:sz w:val="21"/>
                <w:szCs w:val="21"/>
              </w:rPr>
              <w:t xml:space="preserve">6626.8 </w:t>
            </w:r>
          </w:p>
        </w:tc>
        <w:tc>
          <w:tcPr>
            <w:tcW w:w="364" w:type="pct"/>
            <w:noWrap/>
            <w:vAlign w:val="center"/>
          </w:tcPr>
          <w:p>
            <w:pPr>
              <w:pStyle w:val="154"/>
              <w:spacing w:line="340" w:lineRule="exact"/>
              <w:ind w:firstLine="420"/>
              <w:rPr>
                <w:rFonts w:eastAsia="宋体"/>
                <w:sz w:val="21"/>
                <w:szCs w:val="21"/>
              </w:rPr>
            </w:pPr>
            <w:r>
              <w:rPr>
                <w:rFonts w:eastAsia="宋体"/>
                <w:sz w:val="21"/>
                <w:szCs w:val="21"/>
              </w:rPr>
              <w:t>　</w:t>
            </w:r>
          </w:p>
        </w:tc>
        <w:tc>
          <w:tcPr>
            <w:tcW w:w="364" w:type="pct"/>
            <w:noWrap/>
            <w:vAlign w:val="center"/>
          </w:tcPr>
          <w:p>
            <w:pPr>
              <w:pStyle w:val="154"/>
              <w:spacing w:line="340" w:lineRule="exact"/>
              <w:ind w:firstLine="0" w:firstLineChars="0"/>
              <w:jc w:val="both"/>
              <w:rPr>
                <w:rFonts w:eastAsia="宋体"/>
                <w:sz w:val="21"/>
                <w:szCs w:val="21"/>
              </w:rPr>
            </w:pPr>
            <w:r>
              <w:rPr>
                <w:rFonts w:eastAsia="宋体"/>
                <w:sz w:val="21"/>
                <w:szCs w:val="21"/>
              </w:rPr>
              <w:t>0</w:t>
            </w:r>
          </w:p>
        </w:tc>
        <w:tc>
          <w:tcPr>
            <w:tcW w:w="469" w:type="pct"/>
            <w:noWrap/>
            <w:vAlign w:val="center"/>
          </w:tcPr>
          <w:p>
            <w:pPr>
              <w:pStyle w:val="154"/>
              <w:spacing w:line="340" w:lineRule="exact"/>
              <w:ind w:firstLine="0" w:firstLineChars="0"/>
              <w:jc w:val="both"/>
              <w:rPr>
                <w:rFonts w:eastAsia="宋体"/>
                <w:sz w:val="21"/>
                <w:szCs w:val="21"/>
              </w:rPr>
            </w:pPr>
            <w:r>
              <w:rPr>
                <w:rFonts w:eastAsia="宋体"/>
                <w:sz w:val="21"/>
                <w:szCs w:val="21"/>
              </w:rPr>
              <w:t xml:space="preserve">27444.0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89" w:type="pct"/>
            <w:vAlign w:val="center"/>
          </w:tcPr>
          <w:p>
            <w:pPr>
              <w:pStyle w:val="154"/>
              <w:spacing w:line="340" w:lineRule="exact"/>
              <w:ind w:firstLine="0" w:firstLineChars="0"/>
              <w:jc w:val="both"/>
              <w:rPr>
                <w:rFonts w:eastAsia="宋体"/>
                <w:sz w:val="21"/>
                <w:szCs w:val="21"/>
              </w:rPr>
            </w:pPr>
            <w:r>
              <w:rPr>
                <w:rFonts w:eastAsia="宋体"/>
                <w:sz w:val="21"/>
                <w:szCs w:val="21"/>
              </w:rPr>
              <w:t>合计</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190250.0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15324.1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269055.1 </w:t>
            </w:r>
          </w:p>
        </w:tc>
        <w:tc>
          <w:tcPr>
            <w:tcW w:w="52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178130.1 </w:t>
            </w:r>
          </w:p>
        </w:tc>
        <w:tc>
          <w:tcPr>
            <w:tcW w:w="49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0.0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33310.0 </w:t>
            </w:r>
          </w:p>
        </w:tc>
        <w:tc>
          <w:tcPr>
            <w:tcW w:w="36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0.0 </w:t>
            </w:r>
          </w:p>
        </w:tc>
        <w:tc>
          <w:tcPr>
            <w:tcW w:w="364"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0.0 </w:t>
            </w:r>
          </w:p>
        </w:tc>
        <w:tc>
          <w:tcPr>
            <w:tcW w:w="469" w:type="pct"/>
            <w:vAlign w:val="center"/>
          </w:tcPr>
          <w:p>
            <w:pPr>
              <w:pStyle w:val="154"/>
              <w:spacing w:line="340" w:lineRule="exact"/>
              <w:ind w:firstLine="0" w:firstLineChars="0"/>
              <w:jc w:val="both"/>
              <w:rPr>
                <w:rFonts w:eastAsia="宋体"/>
                <w:sz w:val="21"/>
                <w:szCs w:val="21"/>
              </w:rPr>
            </w:pPr>
            <w:r>
              <w:rPr>
                <w:rFonts w:eastAsia="宋体"/>
                <w:sz w:val="21"/>
                <w:szCs w:val="21"/>
              </w:rPr>
              <w:t xml:space="preserve">27444.0 </w:t>
            </w:r>
          </w:p>
        </w:tc>
      </w:tr>
    </w:tbl>
    <w:p>
      <w:pPr>
        <w:pStyle w:val="6"/>
      </w:pPr>
      <w:bookmarkStart w:id="493" w:name="_Toc534807005"/>
      <w:bookmarkStart w:id="494" w:name="_Toc534895223"/>
      <w:bookmarkStart w:id="495" w:name="_Toc3903226"/>
      <w:bookmarkStart w:id="496" w:name="_Toc534386246"/>
      <w:bookmarkStart w:id="497" w:name="_Toc19201"/>
      <w:bookmarkStart w:id="498" w:name="_Toc536265089"/>
      <w:r>
        <w:t>2.</w:t>
      </w:r>
      <w:r>
        <w:rPr>
          <w:rFonts w:hint="eastAsia"/>
        </w:rPr>
        <w:t>13</w:t>
      </w:r>
      <w:r>
        <w:t>施工总进度</w:t>
      </w:r>
      <w:bookmarkEnd w:id="493"/>
      <w:bookmarkEnd w:id="494"/>
      <w:bookmarkEnd w:id="495"/>
      <w:bookmarkEnd w:id="496"/>
      <w:bookmarkEnd w:id="497"/>
      <w:bookmarkEnd w:id="498"/>
    </w:p>
    <w:p>
      <w:pPr>
        <w:ind w:firstLine="480"/>
      </w:pPr>
      <w:r>
        <w:t>根据工程</w:t>
      </w:r>
      <w:r>
        <w:rPr>
          <w:rFonts w:hint="eastAsia"/>
        </w:rPr>
        <w:t>可行性研究报告</w:t>
      </w:r>
      <w:r>
        <w:t>，本工程施工期安排为18个月，</w:t>
      </w:r>
      <w:r>
        <w:rPr>
          <w:szCs w:val="24"/>
        </w:rPr>
        <w:t>施工期高峰人数</w:t>
      </w:r>
      <w:r>
        <w:rPr>
          <w:rFonts w:hint="eastAsia"/>
          <w:szCs w:val="24"/>
        </w:rPr>
        <w:t>为</w:t>
      </w:r>
      <w:r>
        <w:rPr>
          <w:szCs w:val="24"/>
        </w:rPr>
        <w:t>200人</w:t>
      </w:r>
      <w:r>
        <w:rPr>
          <w:rFonts w:hint="eastAsia"/>
          <w:szCs w:val="24"/>
        </w:rPr>
        <w:t>，</w:t>
      </w:r>
      <w:r>
        <w:t>自20</w:t>
      </w:r>
      <w:r>
        <w:rPr>
          <w:rFonts w:hint="eastAsia"/>
        </w:rPr>
        <w:t>22</w:t>
      </w:r>
      <w:r>
        <w:t>年</w:t>
      </w:r>
      <w:r>
        <w:rPr>
          <w:rFonts w:hint="eastAsia"/>
        </w:rPr>
        <w:t>12</w:t>
      </w:r>
      <w:r>
        <w:t>月动工，至20</w:t>
      </w:r>
      <w:r>
        <w:rPr>
          <w:rFonts w:hint="eastAsia"/>
        </w:rPr>
        <w:t>24</w:t>
      </w:r>
      <w:r>
        <w:t>年</w:t>
      </w:r>
      <w:r>
        <w:rPr>
          <w:rFonts w:hint="eastAsia"/>
        </w:rPr>
        <w:t>5</w:t>
      </w:r>
      <w:r>
        <w:t>月竣工</w:t>
      </w:r>
      <w:r>
        <w:rPr>
          <w:rFonts w:hint="eastAsia"/>
          <w:szCs w:val="24"/>
        </w:rPr>
        <w:t>。</w:t>
      </w:r>
      <w:r>
        <w:t>施工工期具体安排详见表2.1</w:t>
      </w:r>
      <w:r>
        <w:rPr>
          <w:rFonts w:hint="eastAsia"/>
        </w:rPr>
        <w:t>3</w:t>
      </w:r>
      <w:r>
        <w:t>-1。</w:t>
      </w:r>
    </w:p>
    <w:p>
      <w:pPr>
        <w:spacing w:before="120" w:beforeLines="50" w:line="240" w:lineRule="auto"/>
        <w:ind w:firstLine="480"/>
        <w:jc w:val="center"/>
        <w:rPr>
          <w:rFonts w:ascii="黑体" w:hAnsi="黑体" w:eastAsia="黑体" w:cs="黑体"/>
        </w:rPr>
      </w:pPr>
      <w:r>
        <w:rPr>
          <w:rFonts w:hint="eastAsia" w:ascii="黑体" w:hAnsi="黑体" w:eastAsia="黑体" w:cs="黑体"/>
        </w:rPr>
        <w:t>表2.13-1  工期安排表</w:t>
      </w:r>
    </w:p>
    <w:tbl>
      <w:tblPr>
        <w:tblStyle w:val="8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3"/>
        <w:gridCol w:w="3400"/>
        <w:gridCol w:w="39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7" w:type="pct"/>
            <w:vAlign w:val="center"/>
          </w:tcPr>
          <w:p>
            <w:pPr>
              <w:spacing w:line="340" w:lineRule="exact"/>
              <w:ind w:firstLine="0" w:firstLineChars="0"/>
              <w:jc w:val="center"/>
              <w:rPr>
                <w:sz w:val="21"/>
                <w:szCs w:val="21"/>
              </w:rPr>
            </w:pPr>
            <w:r>
              <w:rPr>
                <w:sz w:val="21"/>
                <w:szCs w:val="21"/>
              </w:rPr>
              <w:t>阶段名称</w:t>
            </w:r>
          </w:p>
        </w:tc>
        <w:tc>
          <w:tcPr>
            <w:tcW w:w="1777" w:type="pct"/>
            <w:vAlign w:val="center"/>
          </w:tcPr>
          <w:p>
            <w:pPr>
              <w:spacing w:line="340" w:lineRule="exact"/>
              <w:ind w:firstLine="0" w:firstLineChars="0"/>
              <w:jc w:val="center"/>
              <w:rPr>
                <w:sz w:val="21"/>
                <w:szCs w:val="21"/>
              </w:rPr>
            </w:pPr>
            <w:r>
              <w:rPr>
                <w:sz w:val="21"/>
                <w:szCs w:val="21"/>
              </w:rPr>
              <w:t>主要内容</w:t>
            </w:r>
          </w:p>
        </w:tc>
        <w:tc>
          <w:tcPr>
            <w:tcW w:w="2055" w:type="pct"/>
            <w:vAlign w:val="center"/>
          </w:tcPr>
          <w:p>
            <w:pPr>
              <w:spacing w:line="340" w:lineRule="exact"/>
              <w:ind w:firstLine="0" w:firstLineChars="0"/>
              <w:jc w:val="center"/>
              <w:rPr>
                <w:sz w:val="21"/>
                <w:szCs w:val="21"/>
              </w:rPr>
            </w:pPr>
            <w:r>
              <w:rPr>
                <w:sz w:val="21"/>
                <w:szCs w:val="21"/>
              </w:rPr>
              <w:t>时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167" w:type="pct"/>
            <w:vAlign w:val="center"/>
          </w:tcPr>
          <w:p>
            <w:pPr>
              <w:spacing w:line="340" w:lineRule="exact"/>
              <w:ind w:firstLine="0" w:firstLineChars="0"/>
              <w:jc w:val="center"/>
              <w:rPr>
                <w:sz w:val="21"/>
                <w:szCs w:val="21"/>
              </w:rPr>
            </w:pPr>
            <w:r>
              <w:rPr>
                <w:rFonts w:hint="eastAsia"/>
                <w:sz w:val="21"/>
                <w:szCs w:val="21"/>
              </w:rPr>
              <w:t>工程</w:t>
            </w:r>
            <w:r>
              <w:rPr>
                <w:sz w:val="21"/>
                <w:szCs w:val="21"/>
              </w:rPr>
              <w:t>前期</w:t>
            </w:r>
            <w:r>
              <w:rPr>
                <w:rFonts w:hint="eastAsia"/>
                <w:sz w:val="21"/>
                <w:szCs w:val="21"/>
              </w:rPr>
              <w:t>准备</w:t>
            </w:r>
            <w:r>
              <w:rPr>
                <w:sz w:val="21"/>
                <w:szCs w:val="21"/>
              </w:rPr>
              <w:t>阶段</w:t>
            </w:r>
          </w:p>
        </w:tc>
        <w:tc>
          <w:tcPr>
            <w:tcW w:w="1777" w:type="pct"/>
            <w:vAlign w:val="center"/>
          </w:tcPr>
          <w:p>
            <w:pPr>
              <w:spacing w:line="340" w:lineRule="exact"/>
              <w:ind w:firstLine="0" w:firstLineChars="0"/>
              <w:jc w:val="center"/>
              <w:rPr>
                <w:sz w:val="21"/>
                <w:szCs w:val="21"/>
              </w:rPr>
            </w:pPr>
            <w:r>
              <w:rPr>
                <w:sz w:val="21"/>
                <w:szCs w:val="21"/>
              </w:rPr>
              <w:t>完成工程可行性研究、初步设计和施工图设计及施工招标等工作</w:t>
            </w:r>
          </w:p>
        </w:tc>
        <w:tc>
          <w:tcPr>
            <w:tcW w:w="2055" w:type="pct"/>
            <w:vAlign w:val="center"/>
          </w:tcPr>
          <w:p>
            <w:pPr>
              <w:spacing w:line="340" w:lineRule="exact"/>
              <w:ind w:firstLine="0" w:firstLineChars="0"/>
              <w:jc w:val="center"/>
              <w:rPr>
                <w:sz w:val="21"/>
                <w:szCs w:val="21"/>
              </w:rPr>
            </w:pPr>
            <w:r>
              <w:rPr>
                <w:sz w:val="21"/>
                <w:szCs w:val="21"/>
              </w:rPr>
              <w:t>20</w:t>
            </w:r>
            <w:r>
              <w:rPr>
                <w:rFonts w:hint="eastAsia"/>
                <w:sz w:val="21"/>
                <w:szCs w:val="21"/>
              </w:rPr>
              <w:t>22</w:t>
            </w:r>
            <w:r>
              <w:rPr>
                <w:sz w:val="21"/>
                <w:szCs w:val="21"/>
              </w:rPr>
              <w:t>年</w:t>
            </w:r>
            <w:r>
              <w:rPr>
                <w:rFonts w:hint="eastAsia"/>
                <w:sz w:val="21"/>
                <w:szCs w:val="21"/>
              </w:rPr>
              <w:t>10</w:t>
            </w:r>
            <w:r>
              <w:rPr>
                <w:sz w:val="21"/>
                <w:szCs w:val="21"/>
              </w:rPr>
              <w:t>月~20</w:t>
            </w:r>
            <w:r>
              <w:rPr>
                <w:rFonts w:hint="eastAsia"/>
                <w:sz w:val="21"/>
                <w:szCs w:val="21"/>
              </w:rPr>
              <w:t>22</w:t>
            </w:r>
            <w:r>
              <w:rPr>
                <w:sz w:val="21"/>
                <w:szCs w:val="21"/>
              </w:rPr>
              <w:t>年</w:t>
            </w:r>
            <w:r>
              <w:rPr>
                <w:rFonts w:hint="eastAsia"/>
                <w:sz w:val="21"/>
                <w:szCs w:val="21"/>
              </w:rPr>
              <w:t>12</w:t>
            </w:r>
            <w:r>
              <w:rPr>
                <w:sz w:val="21"/>
                <w:szCs w:val="21"/>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7" w:type="pct"/>
            <w:vAlign w:val="center"/>
          </w:tcPr>
          <w:p>
            <w:pPr>
              <w:spacing w:line="340" w:lineRule="exact"/>
              <w:ind w:firstLine="0" w:firstLineChars="0"/>
              <w:jc w:val="center"/>
              <w:rPr>
                <w:sz w:val="21"/>
                <w:szCs w:val="21"/>
              </w:rPr>
            </w:pPr>
            <w:r>
              <w:rPr>
                <w:sz w:val="21"/>
                <w:szCs w:val="21"/>
              </w:rPr>
              <w:t>施工工期</w:t>
            </w:r>
          </w:p>
        </w:tc>
        <w:tc>
          <w:tcPr>
            <w:tcW w:w="1777" w:type="pct"/>
            <w:vAlign w:val="center"/>
          </w:tcPr>
          <w:p>
            <w:pPr>
              <w:spacing w:line="340" w:lineRule="exact"/>
              <w:ind w:firstLine="0" w:firstLineChars="0"/>
              <w:jc w:val="center"/>
              <w:rPr>
                <w:sz w:val="21"/>
                <w:szCs w:val="21"/>
              </w:rPr>
            </w:pPr>
            <w:r>
              <w:rPr>
                <w:sz w:val="21"/>
                <w:szCs w:val="21"/>
              </w:rPr>
              <w:t>工程施工</w:t>
            </w:r>
          </w:p>
        </w:tc>
        <w:tc>
          <w:tcPr>
            <w:tcW w:w="2055" w:type="pct"/>
            <w:vAlign w:val="center"/>
          </w:tcPr>
          <w:p>
            <w:pPr>
              <w:spacing w:line="340" w:lineRule="exact"/>
              <w:ind w:firstLine="0" w:firstLineChars="0"/>
              <w:jc w:val="center"/>
              <w:rPr>
                <w:sz w:val="21"/>
                <w:szCs w:val="21"/>
              </w:rPr>
            </w:pPr>
            <w:r>
              <w:rPr>
                <w:sz w:val="21"/>
                <w:szCs w:val="21"/>
              </w:rPr>
              <w:t>20</w:t>
            </w:r>
            <w:r>
              <w:rPr>
                <w:rFonts w:hint="eastAsia"/>
                <w:sz w:val="21"/>
                <w:szCs w:val="21"/>
              </w:rPr>
              <w:t>23</w:t>
            </w:r>
            <w:r>
              <w:rPr>
                <w:sz w:val="21"/>
                <w:szCs w:val="21"/>
              </w:rPr>
              <w:t>年</w:t>
            </w:r>
            <w:r>
              <w:rPr>
                <w:rFonts w:hint="eastAsia"/>
                <w:sz w:val="21"/>
                <w:szCs w:val="21"/>
              </w:rPr>
              <w:t>01</w:t>
            </w:r>
            <w:r>
              <w:rPr>
                <w:sz w:val="21"/>
                <w:szCs w:val="21"/>
              </w:rPr>
              <w:t>月～20</w:t>
            </w:r>
            <w:r>
              <w:rPr>
                <w:rFonts w:hint="eastAsia"/>
                <w:sz w:val="21"/>
                <w:szCs w:val="21"/>
              </w:rPr>
              <w:t>24</w:t>
            </w:r>
            <w:r>
              <w:rPr>
                <w:sz w:val="21"/>
                <w:szCs w:val="21"/>
              </w:rPr>
              <w:t>年</w:t>
            </w:r>
            <w:r>
              <w:rPr>
                <w:rFonts w:hint="eastAsia"/>
                <w:sz w:val="21"/>
                <w:szCs w:val="21"/>
              </w:rPr>
              <w:t>5</w:t>
            </w:r>
            <w:r>
              <w:rPr>
                <w:sz w:val="21"/>
                <w:szCs w:val="21"/>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7" w:type="pct"/>
            <w:vAlign w:val="center"/>
          </w:tcPr>
          <w:p>
            <w:pPr>
              <w:spacing w:line="340" w:lineRule="exact"/>
              <w:ind w:firstLine="0" w:firstLineChars="0"/>
              <w:jc w:val="center"/>
              <w:rPr>
                <w:sz w:val="21"/>
                <w:szCs w:val="21"/>
              </w:rPr>
            </w:pPr>
            <w:r>
              <w:rPr>
                <w:sz w:val="21"/>
                <w:szCs w:val="21"/>
              </w:rPr>
              <w:t>运营阶段</w:t>
            </w:r>
          </w:p>
        </w:tc>
        <w:tc>
          <w:tcPr>
            <w:tcW w:w="1777" w:type="pct"/>
            <w:vAlign w:val="center"/>
          </w:tcPr>
          <w:p>
            <w:pPr>
              <w:spacing w:line="340" w:lineRule="exact"/>
              <w:ind w:firstLine="0" w:firstLineChars="0"/>
              <w:jc w:val="center"/>
              <w:rPr>
                <w:sz w:val="21"/>
                <w:szCs w:val="21"/>
              </w:rPr>
            </w:pPr>
            <w:r>
              <w:rPr>
                <w:rFonts w:hint="eastAsia"/>
                <w:sz w:val="21"/>
                <w:szCs w:val="21"/>
              </w:rPr>
              <w:t>运行</w:t>
            </w:r>
          </w:p>
        </w:tc>
        <w:tc>
          <w:tcPr>
            <w:tcW w:w="2055" w:type="pct"/>
            <w:vAlign w:val="center"/>
          </w:tcPr>
          <w:p>
            <w:pPr>
              <w:spacing w:line="340" w:lineRule="exact"/>
              <w:ind w:firstLine="0" w:firstLineChars="0"/>
              <w:jc w:val="center"/>
              <w:rPr>
                <w:sz w:val="21"/>
                <w:szCs w:val="21"/>
              </w:rPr>
            </w:pPr>
            <w:r>
              <w:rPr>
                <w:sz w:val="21"/>
                <w:szCs w:val="21"/>
              </w:rPr>
              <w:t>20</w:t>
            </w:r>
            <w:r>
              <w:rPr>
                <w:rFonts w:hint="eastAsia"/>
                <w:sz w:val="21"/>
                <w:szCs w:val="21"/>
              </w:rPr>
              <w:t>24</w:t>
            </w:r>
            <w:r>
              <w:rPr>
                <w:sz w:val="21"/>
                <w:szCs w:val="21"/>
              </w:rPr>
              <w:t>年</w:t>
            </w:r>
            <w:r>
              <w:rPr>
                <w:rFonts w:hint="eastAsia"/>
                <w:sz w:val="21"/>
                <w:szCs w:val="21"/>
              </w:rPr>
              <w:t>6</w:t>
            </w:r>
            <w:r>
              <w:rPr>
                <w:sz w:val="21"/>
                <w:szCs w:val="21"/>
              </w:rPr>
              <w:t>月</w:t>
            </w:r>
          </w:p>
        </w:tc>
      </w:tr>
    </w:tbl>
    <w:p>
      <w:pPr>
        <w:ind w:firstLine="480"/>
        <w:rPr>
          <w:szCs w:val="24"/>
        </w:rPr>
      </w:pPr>
    </w:p>
    <w:p>
      <w:pPr>
        <w:ind w:firstLine="480"/>
        <w:rPr>
          <w:szCs w:val="24"/>
        </w:rPr>
      </w:pPr>
    </w:p>
    <w:p>
      <w:pPr>
        <w:pStyle w:val="5"/>
        <w:numPr>
          <w:ilvl w:val="0"/>
          <w:numId w:val="0"/>
        </w:numPr>
        <w:rPr>
          <w:rFonts w:ascii="Times New Roman"/>
        </w:rPr>
        <w:sectPr>
          <w:headerReference r:id="rId14" w:type="default"/>
          <w:pgSz w:w="11906" w:h="16838"/>
          <w:pgMar w:top="1814" w:right="1134" w:bottom="1701" w:left="1418" w:header="1134" w:footer="1021" w:gutter="0"/>
          <w:cols w:space="720" w:num="1"/>
          <w:docGrid w:linePitch="326" w:charSpace="0"/>
        </w:sectPr>
      </w:pPr>
      <w:bookmarkStart w:id="499" w:name="_Toc3903235"/>
      <w:bookmarkStart w:id="500" w:name="_Toc534386254"/>
      <w:bookmarkStart w:id="501" w:name="_Toc534807013"/>
      <w:bookmarkStart w:id="502" w:name="_Toc536265098"/>
      <w:bookmarkStart w:id="503" w:name="_Toc534895231"/>
      <w:bookmarkStart w:id="504" w:name="_Toc529279029"/>
    </w:p>
    <w:p>
      <w:pPr>
        <w:pStyle w:val="5"/>
        <w:numPr>
          <w:ilvl w:val="0"/>
          <w:numId w:val="0"/>
        </w:numPr>
        <w:rPr>
          <w:rFonts w:ascii="Times New Roman"/>
        </w:rPr>
      </w:pPr>
      <w:bookmarkStart w:id="505" w:name="_Toc8649"/>
      <w:r>
        <w:rPr>
          <w:rFonts w:ascii="Times New Roman"/>
        </w:rPr>
        <w:t>第三章 工程分析</w:t>
      </w:r>
      <w:bookmarkEnd w:id="499"/>
      <w:bookmarkEnd w:id="500"/>
      <w:bookmarkEnd w:id="501"/>
      <w:bookmarkEnd w:id="502"/>
      <w:bookmarkEnd w:id="503"/>
      <w:bookmarkEnd w:id="504"/>
      <w:bookmarkEnd w:id="505"/>
    </w:p>
    <w:p>
      <w:pPr>
        <w:pStyle w:val="6"/>
        <w:spacing w:beforeLines="50" w:afterLines="50"/>
        <w:rPr>
          <w:szCs w:val="28"/>
        </w:rPr>
      </w:pPr>
      <w:bookmarkStart w:id="506" w:name="_Toc529279030"/>
      <w:bookmarkStart w:id="507" w:name="_Toc334643168"/>
      <w:bookmarkStart w:id="508" w:name="_Toc534807014"/>
      <w:bookmarkStart w:id="509" w:name="_Toc534895232"/>
      <w:bookmarkStart w:id="510" w:name="_Toc534386255"/>
      <w:bookmarkStart w:id="511" w:name="_Toc3903236"/>
      <w:bookmarkStart w:id="512" w:name="_Toc536265099"/>
      <w:bookmarkStart w:id="513" w:name="_Toc4744"/>
      <w:r>
        <w:rPr>
          <w:szCs w:val="28"/>
        </w:rPr>
        <w:t>3.1</w:t>
      </w:r>
      <w:bookmarkEnd w:id="506"/>
      <w:bookmarkEnd w:id="507"/>
      <w:r>
        <w:rPr>
          <w:szCs w:val="28"/>
        </w:rPr>
        <w:t>政策</w:t>
      </w:r>
      <w:r>
        <w:rPr>
          <w:rFonts w:hint="eastAsia"/>
          <w:szCs w:val="28"/>
        </w:rPr>
        <w:t>、规划</w:t>
      </w:r>
      <w:r>
        <w:rPr>
          <w:szCs w:val="28"/>
        </w:rPr>
        <w:t>符合性分析</w:t>
      </w:r>
      <w:bookmarkEnd w:id="508"/>
      <w:bookmarkEnd w:id="509"/>
      <w:bookmarkEnd w:id="510"/>
      <w:bookmarkEnd w:id="511"/>
      <w:bookmarkEnd w:id="512"/>
      <w:bookmarkEnd w:id="513"/>
    </w:p>
    <w:p>
      <w:pPr>
        <w:pStyle w:val="7"/>
        <w:spacing w:before="120" w:beforeLines="50"/>
        <w:jc w:val="both"/>
        <w:rPr>
          <w:szCs w:val="24"/>
        </w:rPr>
      </w:pPr>
      <w:r>
        <w:rPr>
          <w:rFonts w:hint="eastAsia"/>
          <w:szCs w:val="24"/>
        </w:rPr>
        <w:t>3.1.1与国家政策、法规的符合性分析</w:t>
      </w:r>
    </w:p>
    <w:p>
      <w:pPr>
        <w:ind w:firstLine="480"/>
      </w:pPr>
      <w:r>
        <w:rPr>
          <w:rFonts w:hint="eastAsia"/>
        </w:rPr>
        <w:t>(1)与国家产业政策符合性分析</w:t>
      </w:r>
    </w:p>
    <w:p>
      <w:pPr>
        <w:ind w:firstLine="480"/>
      </w:pPr>
      <w:r>
        <w:t>根据《产业结构调整指导目录（2019年本）》，本项目属于鼓励类“二、水利—综合利用水利枢纽工程”。因此，项目的建设符合国家产业政策。</w:t>
      </w:r>
    </w:p>
    <w:p>
      <w:pPr>
        <w:ind w:firstLine="480"/>
      </w:pPr>
      <w:r>
        <w:rPr>
          <w:rFonts w:hint="eastAsia"/>
        </w:rPr>
        <w:t>(2)与国家水利政策的符合性分析</w:t>
      </w:r>
    </w:p>
    <w:p>
      <w:pPr>
        <w:autoSpaceDE w:val="0"/>
        <w:autoSpaceDN w:val="0"/>
        <w:adjustRightInd w:val="0"/>
        <w:ind w:firstLine="480"/>
      </w:pPr>
      <w:r>
        <w:rPr>
          <w:rFonts w:hint="eastAsia"/>
        </w:rPr>
        <w:t>根据《中共中央国务院关于加快水利改革发展的决定》（</w:t>
      </w:r>
      <w:r>
        <w:t>2010</w:t>
      </w:r>
      <w:r>
        <w:rPr>
          <w:rFonts w:hint="eastAsia"/>
        </w:rPr>
        <w:t>年</w:t>
      </w:r>
      <w:r>
        <w:t>12</w:t>
      </w:r>
      <w:r>
        <w:rPr>
          <w:rFonts w:hint="eastAsia"/>
        </w:rPr>
        <w:t>月</w:t>
      </w:r>
      <w:r>
        <w:t>31</w:t>
      </w:r>
      <w:r>
        <w:rPr>
          <w:rFonts w:hint="eastAsia"/>
        </w:rPr>
        <w:t>日），“抓紧解决工程性缺水问题。加快推进西南等工程性缺水地区重点水源工程建设，坚持蓄引提与合理开采地下水相结合，以县域为单元，尽快建设一批中小型水库、引提水和连通工程，支持农民兴建小微型水利设施，显著提高雨洪资源利用和供水保障能力，基本解决缺城镇、人口较集中乡村的供水问题”。“加强水资源配置工程建设。完善优化水资源战略配置格局，在保护生态前提下，尽快建设一批骨干水源工程和河湖水系连通工程，提高水资源调控水平和供水保障能力。”</w:t>
      </w:r>
    </w:p>
    <w:p>
      <w:pPr>
        <w:autoSpaceDE w:val="0"/>
        <w:autoSpaceDN w:val="0"/>
        <w:adjustRightInd w:val="0"/>
        <w:ind w:firstLine="480"/>
      </w:pPr>
      <w:r>
        <w:rPr>
          <w:rFonts w:hint="eastAsia"/>
        </w:rPr>
        <w:t>上高</w:t>
      </w:r>
      <w:r>
        <w:t>县</w:t>
      </w:r>
      <w:r>
        <w:rPr>
          <w:rFonts w:hint="eastAsia"/>
        </w:rPr>
        <w:t>毛家渡</w:t>
      </w:r>
      <w:r>
        <w:t>抬水工程</w:t>
      </w:r>
      <w:r>
        <w:rPr>
          <w:rFonts w:hint="eastAsia"/>
        </w:rPr>
        <w:t>的建设将</w:t>
      </w:r>
      <w:r>
        <w:t>抬高</w:t>
      </w:r>
      <w:r>
        <w:rPr>
          <w:rFonts w:hint="eastAsia"/>
        </w:rPr>
        <w:t>上高县城区锦河</w:t>
      </w:r>
      <w:r>
        <w:t>河段枯水位</w:t>
      </w:r>
      <w:r>
        <w:rPr>
          <w:rFonts w:hint="eastAsia"/>
        </w:rPr>
        <w:t>，</w:t>
      </w:r>
      <w:r>
        <w:t>抬高上游城区水位，达到保障上游水厂水源、改善</w:t>
      </w:r>
      <w:r>
        <w:rPr>
          <w:rFonts w:hint="eastAsia"/>
        </w:rPr>
        <w:t>锦河</w:t>
      </w:r>
      <w:r>
        <w:t>水体景观、改善城市景观的目的。</w:t>
      </w:r>
      <w:r>
        <w:rPr>
          <w:rFonts w:hint="eastAsia"/>
        </w:rPr>
        <w:t>因此本工程建设符合《中共中央国务院关于加快水利改革发展的决定》。</w:t>
      </w:r>
    </w:p>
    <w:p>
      <w:pPr>
        <w:pStyle w:val="7"/>
        <w:rPr>
          <w:szCs w:val="24"/>
        </w:rPr>
      </w:pPr>
      <w:r>
        <w:rPr>
          <w:szCs w:val="24"/>
        </w:rPr>
        <w:t>3.1.</w:t>
      </w:r>
      <w:r>
        <w:rPr>
          <w:rFonts w:hint="eastAsia"/>
          <w:szCs w:val="24"/>
        </w:rPr>
        <w:t>2与主体功能区划的符合性分析</w:t>
      </w:r>
    </w:p>
    <w:p>
      <w:pPr>
        <w:autoSpaceDE w:val="0"/>
        <w:autoSpaceDN w:val="0"/>
        <w:adjustRightInd w:val="0"/>
        <w:ind w:firstLine="480"/>
        <w:rPr>
          <w:b/>
          <w:szCs w:val="24"/>
        </w:rPr>
      </w:pPr>
      <w:r>
        <w:rPr>
          <w:rFonts w:hint="eastAsia"/>
          <w:szCs w:val="24"/>
        </w:rPr>
        <w:t>(1)</w:t>
      </w:r>
      <w:r>
        <w:rPr>
          <w:szCs w:val="24"/>
        </w:rPr>
        <w:t>与《全国主体功能区规划》的符合性</w:t>
      </w:r>
    </w:p>
    <w:p>
      <w:pPr>
        <w:autoSpaceDE w:val="0"/>
        <w:autoSpaceDN w:val="0"/>
        <w:adjustRightInd w:val="0"/>
        <w:ind w:firstLine="480"/>
        <w:rPr>
          <w:szCs w:val="24"/>
        </w:rPr>
      </w:pPr>
      <w:r>
        <w:rPr>
          <w:rFonts w:hint="eastAsia"/>
          <w:szCs w:val="24"/>
        </w:rPr>
        <w:t>根据《全国主体功能区规划》将国土空间划分为优化开发区域、重点开发区域、限制开发区域和禁止开发区域。优化开发、重点开发和限制开发区域原则上以县级行政区为基本单元；禁止开发区域以自然或法定边界为基本单元，分布在其他类型主体功能区域之中。</w:t>
      </w:r>
    </w:p>
    <w:p>
      <w:pPr>
        <w:ind w:firstLine="480"/>
        <w:rPr>
          <w:szCs w:val="24"/>
        </w:rPr>
      </w:pPr>
      <w:r>
        <w:rPr>
          <w:rFonts w:hint="eastAsia"/>
          <w:szCs w:val="24"/>
        </w:rPr>
        <w:t>上高</w:t>
      </w:r>
      <w:r>
        <w:rPr>
          <w:szCs w:val="24"/>
        </w:rPr>
        <w:t>县</w:t>
      </w:r>
      <w:r>
        <w:rPr>
          <w:rFonts w:hint="eastAsia"/>
          <w:szCs w:val="24"/>
        </w:rPr>
        <w:t>毛家渡</w:t>
      </w:r>
      <w:r>
        <w:rPr>
          <w:szCs w:val="24"/>
        </w:rPr>
        <w:t>抬水工程位于“鄱阳湖生态经济区”， 属于</w:t>
      </w:r>
      <w:r>
        <w:rPr>
          <w:bCs/>
          <w:szCs w:val="24"/>
        </w:rPr>
        <w:t>国家层面的重点开发区域</w:t>
      </w:r>
      <w:r>
        <w:rPr>
          <w:szCs w:val="24"/>
        </w:rPr>
        <w:t>。该区域的功能定位为“全国大湖流域综合开发示范区，长江中下游水生态安全保障区，国际生态经济合作重要平台，区域性的优质农产品、生态旅游、光电、新能源、生物、航空和铜产业基地”。发展方向为“巩固和加强粮食主产区地位，加强农业综合生产能力建设，重视农业生态环境保护，建成畜禽水产养殖主产区和生态农业示范区”。</w:t>
      </w:r>
    </w:p>
    <w:p>
      <w:pPr>
        <w:autoSpaceDE w:val="0"/>
        <w:autoSpaceDN w:val="0"/>
        <w:adjustRightInd w:val="0"/>
        <w:ind w:firstLine="480"/>
        <w:rPr>
          <w:szCs w:val="24"/>
        </w:rPr>
      </w:pPr>
      <w:r>
        <w:rPr>
          <w:rFonts w:hint="eastAsia"/>
          <w:szCs w:val="24"/>
        </w:rPr>
        <w:t>上高</w:t>
      </w:r>
      <w:r>
        <w:rPr>
          <w:szCs w:val="24"/>
        </w:rPr>
        <w:t>县</w:t>
      </w:r>
      <w:r>
        <w:rPr>
          <w:rFonts w:hint="eastAsia"/>
          <w:szCs w:val="24"/>
        </w:rPr>
        <w:t>毛家渡</w:t>
      </w:r>
      <w:r>
        <w:rPr>
          <w:szCs w:val="24"/>
        </w:rPr>
        <w:t>抬水工程</w:t>
      </w:r>
      <w:r>
        <w:rPr>
          <w:rFonts w:hint="eastAsia"/>
          <w:szCs w:val="24"/>
        </w:rPr>
        <w:t>的建设旨在</w:t>
      </w:r>
      <w:r>
        <w:rPr>
          <w:szCs w:val="24"/>
        </w:rPr>
        <w:t>抬高</w:t>
      </w:r>
      <w:r>
        <w:rPr>
          <w:rFonts w:hint="eastAsia"/>
          <w:szCs w:val="24"/>
        </w:rPr>
        <w:t>上高县城区锦河</w:t>
      </w:r>
      <w:r>
        <w:rPr>
          <w:szCs w:val="24"/>
        </w:rPr>
        <w:t>河段枯水位</w:t>
      </w:r>
      <w:r>
        <w:rPr>
          <w:rFonts w:hint="eastAsia"/>
          <w:szCs w:val="24"/>
        </w:rPr>
        <w:t>，</w:t>
      </w:r>
      <w:r>
        <w:rPr>
          <w:szCs w:val="24"/>
        </w:rPr>
        <w:t>达到保障上游水厂水源、改善</w:t>
      </w:r>
      <w:r>
        <w:rPr>
          <w:rFonts w:hint="eastAsia"/>
          <w:szCs w:val="24"/>
        </w:rPr>
        <w:t>锦河</w:t>
      </w:r>
      <w:r>
        <w:rPr>
          <w:szCs w:val="24"/>
        </w:rPr>
        <w:t>水体景观。</w:t>
      </w:r>
      <w:r>
        <w:rPr>
          <w:rFonts w:hint="eastAsia"/>
          <w:szCs w:val="24"/>
        </w:rPr>
        <w:t>因此本工程建设符合《中共中央国务院关于加快水利改革发展的决定》。同时本次环评对项目可能产生的不利生态影响进行了预测评价，提出了可行的生态保护与恢复措施，满足主体功能区规划的要求。</w:t>
      </w:r>
    </w:p>
    <w:p>
      <w:pPr>
        <w:ind w:firstLine="480"/>
        <w:jc w:val="left"/>
      </w:pPr>
      <w:r>
        <w:rPr>
          <w:rFonts w:hint="eastAsia"/>
          <w:szCs w:val="24"/>
        </w:rPr>
        <w:t>(2)与江西省主体功能区规划的符合性</w:t>
      </w:r>
    </w:p>
    <w:p>
      <w:pPr>
        <w:ind w:firstLine="480"/>
        <w:jc w:val="left"/>
        <w:rPr>
          <w:szCs w:val="24"/>
        </w:rPr>
      </w:pPr>
      <w:r>
        <w:rPr>
          <w:rFonts w:hint="eastAsia"/>
          <w:szCs w:val="24"/>
        </w:rPr>
        <w:t>根据《江西省主体功能区规划》，全省国</w:t>
      </w:r>
      <w:r>
        <w:rPr>
          <w:rFonts w:hint="eastAsia"/>
          <w:szCs w:val="24"/>
          <w:lang w:eastAsia="zh-CN"/>
        </w:rPr>
        <w:t>土</w:t>
      </w:r>
      <w:r>
        <w:rPr>
          <w:rFonts w:hint="eastAsia"/>
          <w:szCs w:val="24"/>
        </w:rPr>
        <w:t>空间划分为重</w:t>
      </w:r>
      <w:bookmarkStart w:id="1519" w:name="_GoBack"/>
      <w:bookmarkEnd w:id="1519"/>
      <w:r>
        <w:rPr>
          <w:rFonts w:hint="eastAsia"/>
          <w:szCs w:val="24"/>
        </w:rPr>
        <w:t>点开发区域、限制开发区域和禁止开发区域三类主体功能区，重点开发区域包括35个县(市、区)，国土面积34043平方公里，占全省的20.40%，含列入国家重点开发区域的鄱阳湖生态经济区的18个县(市、区)。限制开发区域包括65个县(市、区)，国土面积132857平方公里，占全省79.60%，含列入国家限制开发区域的南岭山地丘陵森林生态及生物多样性功能区的9个县(市)。上高</w:t>
      </w:r>
      <w:r>
        <w:rPr>
          <w:szCs w:val="24"/>
        </w:rPr>
        <w:t>县</w:t>
      </w:r>
      <w:r>
        <w:rPr>
          <w:rFonts w:hint="eastAsia"/>
          <w:szCs w:val="24"/>
        </w:rPr>
        <w:t>毛家渡</w:t>
      </w:r>
      <w:r>
        <w:rPr>
          <w:szCs w:val="24"/>
        </w:rPr>
        <w:t>抬水工程</w:t>
      </w:r>
      <w:r>
        <w:rPr>
          <w:rFonts w:hint="eastAsia"/>
          <w:szCs w:val="24"/>
        </w:rPr>
        <w:t>位于限制开发区域(农产品主产区)，工程实施可以</w:t>
      </w:r>
      <w:r>
        <w:t>保障</w:t>
      </w:r>
      <w:r>
        <w:rPr>
          <w:rFonts w:hint="eastAsia"/>
        </w:rPr>
        <w:t>坝址</w:t>
      </w:r>
      <w:r>
        <w:t>上游水厂水源、改善</w:t>
      </w:r>
      <w:r>
        <w:rPr>
          <w:rFonts w:hint="eastAsia"/>
        </w:rPr>
        <w:t>锦河</w:t>
      </w:r>
      <w:r>
        <w:t>水体景观、改善城市景观的目的</w:t>
      </w:r>
      <w:r>
        <w:rPr>
          <w:rFonts w:hint="eastAsia"/>
        </w:rPr>
        <w:t>，</w:t>
      </w:r>
      <w:r>
        <w:t>不会影响</w:t>
      </w:r>
      <w:r>
        <w:rPr>
          <w:rFonts w:hint="eastAsia"/>
        </w:rPr>
        <w:t>所</w:t>
      </w:r>
      <w:r>
        <w:t>在区域的农业，</w:t>
      </w:r>
      <w:r>
        <w:rPr>
          <w:rFonts w:hint="eastAsia"/>
          <w:szCs w:val="24"/>
        </w:rPr>
        <w:t>符合《江西省主体功能区规划》。</w:t>
      </w:r>
    </w:p>
    <w:p>
      <w:pPr>
        <w:pStyle w:val="7"/>
        <w:rPr>
          <w:szCs w:val="24"/>
        </w:rPr>
      </w:pPr>
      <w:bookmarkStart w:id="514" w:name="_Toc536265108"/>
      <w:bookmarkStart w:id="515" w:name="_Toc534386265"/>
      <w:bookmarkStart w:id="516" w:name="_Toc534807024"/>
      <w:bookmarkStart w:id="517" w:name="_Toc534895241"/>
      <w:bookmarkStart w:id="518" w:name="_Toc3903245"/>
      <w:r>
        <w:rPr>
          <w:szCs w:val="24"/>
        </w:rPr>
        <w:t>3.</w:t>
      </w:r>
      <w:r>
        <w:rPr>
          <w:rFonts w:hint="eastAsia"/>
          <w:szCs w:val="24"/>
        </w:rPr>
        <w:t>1.3与生态功能区规划的符合性分析</w:t>
      </w:r>
    </w:p>
    <w:p>
      <w:pPr>
        <w:autoSpaceDE w:val="0"/>
        <w:autoSpaceDN w:val="0"/>
        <w:adjustRightInd w:val="0"/>
        <w:ind w:firstLine="480"/>
        <w:rPr>
          <w:szCs w:val="24"/>
        </w:rPr>
      </w:pPr>
      <w:r>
        <w:rPr>
          <w:rFonts w:hint="eastAsia"/>
          <w:szCs w:val="24"/>
        </w:rPr>
        <w:t>(1)</w:t>
      </w:r>
      <w:r>
        <w:rPr>
          <w:rFonts w:hint="eastAsia" w:hAnsi="宋体"/>
          <w:szCs w:val="24"/>
        </w:rPr>
        <w:t>与</w:t>
      </w:r>
      <w:r>
        <w:rPr>
          <w:rFonts w:hAnsi="宋体"/>
          <w:szCs w:val="24"/>
        </w:rPr>
        <w:t>全国生态功能区划符合性分析</w:t>
      </w:r>
    </w:p>
    <w:p>
      <w:pPr>
        <w:autoSpaceDE w:val="0"/>
        <w:autoSpaceDN w:val="0"/>
        <w:adjustRightInd w:val="0"/>
        <w:ind w:firstLine="480"/>
        <w:rPr>
          <w:szCs w:val="24"/>
        </w:rPr>
      </w:pPr>
      <w:r>
        <w:rPr>
          <w:rFonts w:hAnsi="宋体"/>
          <w:szCs w:val="24"/>
        </w:rPr>
        <w:t>根据《全国生态功能区划》（</w:t>
      </w:r>
      <w:r>
        <w:rPr>
          <w:szCs w:val="24"/>
        </w:rPr>
        <w:t>2015</w:t>
      </w:r>
      <w:r>
        <w:rPr>
          <w:rFonts w:hAnsi="宋体"/>
          <w:szCs w:val="24"/>
        </w:rPr>
        <w:t>年修编版），工程位于水源涵养区，该区洪水调蓄功能和生物多样性保护功能极为重要，同时还是我国重要的水产品生产区。</w:t>
      </w:r>
    </w:p>
    <w:p>
      <w:pPr>
        <w:autoSpaceDE w:val="0"/>
        <w:autoSpaceDN w:val="0"/>
        <w:adjustRightInd w:val="0"/>
        <w:ind w:firstLine="480"/>
        <w:rPr>
          <w:rFonts w:hAnsi="宋体"/>
          <w:szCs w:val="24"/>
        </w:rPr>
      </w:pPr>
      <w:r>
        <w:rPr>
          <w:rFonts w:hint="eastAsia" w:hAnsi="宋体"/>
          <w:szCs w:val="24"/>
        </w:rPr>
        <w:t>毛家渡</w:t>
      </w:r>
      <w:r>
        <w:rPr>
          <w:rFonts w:hAnsi="宋体"/>
          <w:szCs w:val="24"/>
        </w:rPr>
        <w:t>抬水工程不是该生态功能区严格禁止的开发建设项目，工程的建设重新分配了当地水资源的空间分布，提高了水资源利用率，保障上游水厂水源、改善</w:t>
      </w:r>
      <w:r>
        <w:rPr>
          <w:rFonts w:hint="eastAsia" w:hAnsi="宋体"/>
          <w:szCs w:val="24"/>
        </w:rPr>
        <w:t>锦河</w:t>
      </w:r>
      <w:r>
        <w:rPr>
          <w:rFonts w:hAnsi="宋体"/>
          <w:szCs w:val="24"/>
        </w:rPr>
        <w:t>水体景观，能够有效促进发展生态农业，有利于生态恢复。因此，本工程的建设与《全国生态功能区划》相协调。</w:t>
      </w:r>
    </w:p>
    <w:p>
      <w:pPr>
        <w:autoSpaceDE w:val="0"/>
        <w:autoSpaceDN w:val="0"/>
        <w:adjustRightInd w:val="0"/>
        <w:ind w:firstLine="0" w:firstLineChars="0"/>
      </w:pPr>
      <w:r>
        <mc:AlternateContent>
          <mc:Choice Requires="wps">
            <w:drawing>
              <wp:anchor distT="0" distB="0" distL="114300" distR="114300" simplePos="0" relativeHeight="251662336" behindDoc="0" locked="0" layoutInCell="1" allowOverlap="1">
                <wp:simplePos x="0" y="0"/>
                <wp:positionH relativeFrom="column">
                  <wp:posOffset>3996690</wp:posOffset>
                </wp:positionH>
                <wp:positionV relativeFrom="paragraph">
                  <wp:posOffset>2554605</wp:posOffset>
                </wp:positionV>
                <wp:extent cx="137160" cy="100965"/>
                <wp:effectExtent l="0" t="0" r="0" b="0"/>
                <wp:wrapNone/>
                <wp:docPr id="5" name="自选图形 89"/>
                <wp:cNvGraphicFramePr/>
                <a:graphic xmlns:a="http://schemas.openxmlformats.org/drawingml/2006/main">
                  <a:graphicData uri="http://schemas.microsoft.com/office/word/2010/wordprocessingShape">
                    <wps:wsp>
                      <wps:cNvSpPr/>
                      <wps:spPr>
                        <a:xfrm>
                          <a:off x="0" y="0"/>
                          <a:ext cx="137160" cy="100965"/>
                        </a:xfrm>
                        <a:prstGeom prst="star5">
                          <a:avLst/>
                        </a:prstGeom>
                        <a:solidFill>
                          <a:srgbClr val="FF0000"/>
                        </a:solidFill>
                        <a:ln w="19050"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9" o:spid="_x0000_s1026" style="position:absolute;left:0pt;margin-left:314.7pt;margin-top:201.15pt;height:7.95pt;width:10.8pt;z-index:251662336;mso-width-relative:page;mso-height-relative:page;" fillcolor="#FF0000" filled="t" stroked="t" coordsize="137160,100965" o:gfxdata="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8S9apNkAAAALAQAADwAAAAAA&#10;AAABACAAAAAiAAAAZHJzL2Rvd25yZXYueG1sUEsBAhQAFAAAAAgAh07iQNgjWvQSAgAANAQAAA4A&#10;AAAAAAAAAQAgAAAAKAEAAGRycy9lMm9Eb2MueG1sUEsFBgAAAAAGAAYAWQEAAKwFAAAAAA==&#10;" path="m0,38565l52390,38565,68580,0,84769,38565,137159,38565,94774,62399,110964,100964,68580,77129,26195,100964,42385,62399xe">
                <v:path o:connectlocs="68580,0;0,38565;26195,100964;110964,100964;137159,38565" o:connectangles="247,164,82,82,0"/>
                <v:fill on="t" focussize="0,0"/>
                <v:stroke weight="1.5pt" color="#000000" joinstyle="miter"/>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3127375</wp:posOffset>
                </wp:positionH>
                <wp:positionV relativeFrom="paragraph">
                  <wp:posOffset>2188210</wp:posOffset>
                </wp:positionV>
                <wp:extent cx="828040" cy="274320"/>
                <wp:effectExtent l="0" t="0" r="0" b="0"/>
                <wp:wrapNone/>
                <wp:docPr id="4" name="自选图形 88"/>
                <wp:cNvGraphicFramePr/>
                <a:graphic xmlns:a="http://schemas.openxmlformats.org/drawingml/2006/main">
                  <a:graphicData uri="http://schemas.microsoft.com/office/word/2010/wordprocessingShape">
                    <wps:wsp>
                      <wps:cNvSpPr/>
                      <wps:spPr>
                        <a:xfrm>
                          <a:off x="0" y="0"/>
                          <a:ext cx="828040" cy="274320"/>
                        </a:xfrm>
                        <a:prstGeom prst="wedgeRectCallout">
                          <a:avLst>
                            <a:gd name="adj1" fmla="val 57745"/>
                            <a:gd name="adj2" fmla="val 99306"/>
                          </a:avLst>
                        </a:prstGeom>
                        <a:noFill/>
                        <a:ln w="9525" cap="flat" cmpd="sng">
                          <a:solidFill>
                            <a:srgbClr val="000000"/>
                          </a:solidFill>
                          <a:prstDash val="solid"/>
                          <a:miter/>
                          <a:headEnd type="none" w="med" len="med"/>
                          <a:tailEnd type="none" w="med" len="med"/>
                        </a:ln>
                      </wps:spPr>
                      <wps:txbx>
                        <w:txbxContent>
                          <w:p>
                            <w:pPr>
                              <w:ind w:firstLine="0" w:firstLineChars="0"/>
                              <w:jc w:val="center"/>
                              <w:rPr>
                                <w:rFonts w:ascii="黑体" w:hAnsi="黑体" w:eastAsia="黑体"/>
                              </w:rPr>
                            </w:pPr>
                            <w:r>
                              <w:rPr>
                                <w:rFonts w:hint="eastAsia" w:ascii="黑体" w:hAnsi="黑体" w:eastAsia="黑体"/>
                              </w:rPr>
                              <w:t>项目所在地</w:t>
                            </w:r>
                          </w:p>
                        </w:txbxContent>
                      </wps:txbx>
                      <wps:bodyPr wrap="square" lIns="18000" tIns="10800" rIns="18000" bIns="10800" upright="1"/>
                    </wps:wsp>
                  </a:graphicData>
                </a:graphic>
              </wp:anchor>
            </w:drawing>
          </mc:Choice>
          <mc:Fallback>
            <w:pict>
              <v:shape id="自选图形 88" o:spid="_x0000_s1026" o:spt="61" type="#_x0000_t61" style="position:absolute;left:0pt;margin-left:246.25pt;margin-top:172.3pt;height:21.6pt;width:65.2pt;z-index:251661312;mso-width-relative:page;mso-height-relative:page;" filled="f" stroked="t" coordsize="21600,21600" o:gfxdata="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s12e9kAAAAL&#10;AQAADwAAAAAAAAABACAAAAAiAAAAZHJzL2Rvd25yZXYueG1sUEsBAhQAFAAAAAgAh07iQODxpllU&#10;AgAApQQAAA4AAAAAAAAAAQAgAAAAKAEAAGRycy9lMm9Eb2MueG1sUEsFBgAAAAAGAAYAWQEAAO4F&#10;AAAAAA==&#10;" adj="23273,32250">
                <v:fill on="f" focussize="0,0"/>
                <v:stroke color="#000000" joinstyle="miter"/>
                <v:imagedata o:title=""/>
                <o:lock v:ext="edit" aspectratio="f"/>
                <v:textbox inset="0.5mm,0.3mm,0.5mm,0.3mm">
                  <w:txbxContent>
                    <w:p>
                      <w:pPr>
                        <w:ind w:firstLine="0" w:firstLineChars="0"/>
                        <w:jc w:val="center"/>
                        <w:rPr>
                          <w:rFonts w:ascii="黑体" w:hAnsi="黑体" w:eastAsia="黑体"/>
                        </w:rPr>
                      </w:pPr>
                      <w:r>
                        <w:rPr>
                          <w:rFonts w:hint="eastAsia" w:ascii="黑体" w:hAnsi="黑体" w:eastAsia="黑体"/>
                        </w:rPr>
                        <w:t>项目所在地</w:t>
                      </w:r>
                    </w:p>
                  </w:txbxContent>
                </v:textbox>
              </v:shape>
            </w:pict>
          </mc:Fallback>
        </mc:AlternateContent>
      </w:r>
      <w:r>
        <w:drawing>
          <wp:inline distT="0" distB="0" distL="114300" distR="114300">
            <wp:extent cx="5939790" cy="3660140"/>
            <wp:effectExtent l="0" t="0" r="0" b="0"/>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35"/>
                    <a:stretch>
                      <a:fillRect/>
                    </a:stretch>
                  </pic:blipFill>
                  <pic:spPr>
                    <a:xfrm>
                      <a:off x="0" y="0"/>
                      <a:ext cx="5939790" cy="3660140"/>
                    </a:xfrm>
                    <a:prstGeom prst="rect">
                      <a:avLst/>
                    </a:prstGeom>
                    <a:noFill/>
                    <a:ln>
                      <a:noFill/>
                    </a:ln>
                  </pic:spPr>
                </pic:pic>
              </a:graphicData>
            </a:graphic>
          </wp:inline>
        </w:drawing>
      </w:r>
    </w:p>
    <w:p>
      <w:pPr>
        <w:autoSpaceDE w:val="0"/>
        <w:autoSpaceDN w:val="0"/>
        <w:adjustRightInd w:val="0"/>
        <w:spacing w:before="120" w:beforeLines="50" w:line="240" w:lineRule="auto"/>
        <w:ind w:firstLine="480"/>
        <w:jc w:val="center"/>
        <w:rPr>
          <w:rFonts w:ascii="黑体" w:hAnsi="黑体" w:eastAsia="黑体"/>
        </w:rPr>
      </w:pPr>
      <w:r>
        <w:rPr>
          <w:rFonts w:hint="eastAsia" w:ascii="黑体" w:hAnsi="黑体" w:eastAsia="黑体" w:cs="CIDFont+F5"/>
          <w:kern w:val="0"/>
          <w:szCs w:val="24"/>
        </w:rPr>
        <w:t>图</w:t>
      </w:r>
      <w:r>
        <w:rPr>
          <w:rFonts w:ascii="黑体" w:hAnsi="黑体" w:eastAsia="黑体" w:cs="CIDFont+F6"/>
          <w:kern w:val="0"/>
          <w:szCs w:val="24"/>
        </w:rPr>
        <w:t>3.</w:t>
      </w:r>
      <w:r>
        <w:rPr>
          <w:rFonts w:hint="eastAsia" w:ascii="黑体" w:hAnsi="黑体" w:eastAsia="黑体" w:cs="CIDFont+F6"/>
          <w:kern w:val="0"/>
          <w:szCs w:val="24"/>
        </w:rPr>
        <w:t>1</w:t>
      </w:r>
      <w:r>
        <w:rPr>
          <w:rFonts w:ascii="黑体" w:hAnsi="黑体" w:eastAsia="黑体" w:cs="CIDFont+F6"/>
          <w:kern w:val="0"/>
          <w:szCs w:val="24"/>
        </w:rPr>
        <w:t>-</w:t>
      </w:r>
      <w:r>
        <w:rPr>
          <w:rFonts w:hint="eastAsia" w:ascii="黑体" w:hAnsi="黑体" w:eastAsia="黑体" w:cs="CIDFont+F6"/>
          <w:kern w:val="0"/>
          <w:szCs w:val="24"/>
        </w:rPr>
        <w:t>1</w:t>
      </w:r>
      <w:r>
        <w:rPr>
          <w:rFonts w:ascii="黑体" w:hAnsi="黑体" w:eastAsia="黑体" w:cs="CIDFont+F6"/>
          <w:kern w:val="0"/>
          <w:szCs w:val="24"/>
        </w:rPr>
        <w:t xml:space="preserve"> </w:t>
      </w:r>
      <w:r>
        <w:rPr>
          <w:rFonts w:hint="eastAsia" w:ascii="黑体" w:hAnsi="黑体" w:eastAsia="黑体" w:cs="CIDFont+F5"/>
          <w:kern w:val="0"/>
          <w:szCs w:val="24"/>
        </w:rPr>
        <w:t>工程与全国生态功能区划位置关系图</w:t>
      </w:r>
    </w:p>
    <w:p>
      <w:pPr>
        <w:autoSpaceDE w:val="0"/>
        <w:autoSpaceDN w:val="0"/>
        <w:adjustRightInd w:val="0"/>
        <w:spacing w:before="120" w:beforeLines="50"/>
        <w:ind w:firstLine="480"/>
        <w:rPr>
          <w:rFonts w:hAnsi="宋体"/>
          <w:szCs w:val="24"/>
        </w:rPr>
      </w:pPr>
      <w:r>
        <w:rPr>
          <w:rFonts w:hint="eastAsia"/>
          <w:szCs w:val="24"/>
        </w:rPr>
        <w:t>(2)</w:t>
      </w:r>
      <w:r>
        <w:rPr>
          <w:rFonts w:hAnsi="宋体"/>
          <w:szCs w:val="24"/>
        </w:rPr>
        <w:t>与</w:t>
      </w:r>
      <w:r>
        <w:rPr>
          <w:rFonts w:hint="eastAsia" w:hAnsi="宋体"/>
          <w:szCs w:val="24"/>
        </w:rPr>
        <w:t>江西省</w:t>
      </w:r>
      <w:r>
        <w:rPr>
          <w:rFonts w:hAnsi="宋体"/>
          <w:szCs w:val="24"/>
        </w:rPr>
        <w:t>生态功能区划符合性分析</w:t>
      </w:r>
      <w:bookmarkEnd w:id="514"/>
      <w:bookmarkEnd w:id="515"/>
      <w:bookmarkEnd w:id="516"/>
      <w:bookmarkEnd w:id="517"/>
      <w:bookmarkEnd w:id="518"/>
    </w:p>
    <w:p>
      <w:pPr>
        <w:ind w:firstLine="480"/>
      </w:pPr>
      <w:r>
        <w:t>根据附图</w:t>
      </w:r>
      <w:r>
        <w:rPr>
          <w:rFonts w:hint="eastAsia"/>
        </w:rPr>
        <w:t>十五</w:t>
      </w:r>
      <w:r>
        <w:t>可知，项目位于</w:t>
      </w:r>
      <w:r>
        <w:rPr>
          <w:rFonts w:hint="eastAsia" w:ascii="宋体" w:hAnsi="宋体" w:cs="宋体"/>
        </w:rPr>
        <w:t>Ⅳ</w:t>
      </w:r>
      <w:r>
        <w:t>-1-4</w:t>
      </w:r>
      <w:r>
        <w:rPr>
          <w:rFonts w:hint="eastAsia"/>
        </w:rPr>
        <w:t>锦河</w:t>
      </w:r>
      <w:r>
        <w:t>上游水源涵养与水质保护生态功能区。该区生态系统主要服务功能为水源涵养和水质保护和生物多样性保护，其他功能还有农业环境保护和防洪功能。主要发展方向是在维持生态功能服务的前提下，实施生态保护和修复；引导发展生态农业、生态林业和生态旅游业。</w:t>
      </w:r>
    </w:p>
    <w:p>
      <w:pPr>
        <w:ind w:firstLine="480"/>
      </w:pPr>
      <w:r>
        <w:t>项目为基础设施建设项目，属于非污染生态类。本项目不涉及水源保护区，且施工期的生产废水经处理后用于施工场地洒水降尘等，回用不外排，施工生活污水经处理后用于周边农田灌溉，不外排；运营期生活污水</w:t>
      </w:r>
      <w:r>
        <w:rPr>
          <w:rFonts w:hint="eastAsia" w:ascii="宋体" w:cs="宋体"/>
          <w:kern w:val="0"/>
          <w:szCs w:val="24"/>
        </w:rPr>
        <w:t>经</w:t>
      </w:r>
      <w:r>
        <w:rPr>
          <w:rFonts w:hint="eastAsia"/>
        </w:rPr>
        <w:t>化粪池处理</w:t>
      </w:r>
      <w:r>
        <w:rPr>
          <w:rFonts w:hint="eastAsia" w:hAnsi="宋体"/>
        </w:rPr>
        <w:t>达</w:t>
      </w:r>
      <w:r>
        <w:t>《农田灌溉水质标准》（GB5084-2005）中旱作标准</w:t>
      </w:r>
      <w:r>
        <w:rPr>
          <w:rFonts w:hAnsi="宋体"/>
          <w:kern w:val="10"/>
        </w:rPr>
        <w:t>后</w:t>
      </w:r>
      <w:r>
        <w:t>用于周边农田菜地施肥，</w:t>
      </w:r>
      <w:r>
        <w:rPr>
          <w:rFonts w:hint="eastAsia" w:hAnsi="宋体"/>
          <w:kern w:val="10"/>
        </w:rPr>
        <w:t>不外排</w:t>
      </w:r>
      <w:r>
        <w:t>。本项目不会对周边的地表水体产生不利影响，因此，对功能区的主要服务功能无不利影响。项目工程建设符合生态环境功能区的建设开发活动的环境保护要求和生态保护要求，只要工程建设活动中做好植被恢复、水土保持、生产废水处置等生态保护工作，工程建设符合生态环境功能区划要求。</w:t>
      </w:r>
    </w:p>
    <w:p>
      <w:pPr>
        <w:pStyle w:val="7"/>
        <w:spacing w:before="120" w:beforeLines="50"/>
        <w:jc w:val="both"/>
        <w:rPr>
          <w:szCs w:val="24"/>
        </w:rPr>
      </w:pPr>
      <w:bookmarkStart w:id="519" w:name="_Toc529279032"/>
      <w:bookmarkStart w:id="520" w:name="_Toc534895235"/>
      <w:bookmarkStart w:id="521" w:name="_Toc536265102"/>
      <w:bookmarkStart w:id="522" w:name="_Toc534807017"/>
      <w:bookmarkStart w:id="523" w:name="_Toc534386258"/>
      <w:bookmarkStart w:id="524" w:name="_Toc3903239"/>
      <w:r>
        <w:rPr>
          <w:szCs w:val="24"/>
        </w:rPr>
        <w:t>3.</w:t>
      </w:r>
      <w:bookmarkEnd w:id="519"/>
      <w:r>
        <w:rPr>
          <w:rFonts w:hint="eastAsia"/>
          <w:szCs w:val="24"/>
        </w:rPr>
        <w:t>1.4</w:t>
      </w:r>
      <w:r>
        <w:rPr>
          <w:szCs w:val="24"/>
        </w:rPr>
        <w:t>与相关规划符合性分析</w:t>
      </w:r>
      <w:bookmarkEnd w:id="520"/>
      <w:bookmarkEnd w:id="521"/>
      <w:bookmarkEnd w:id="522"/>
      <w:bookmarkEnd w:id="523"/>
      <w:bookmarkEnd w:id="524"/>
    </w:p>
    <w:p>
      <w:pPr>
        <w:ind w:firstLine="0" w:firstLineChars="0"/>
        <w:rPr>
          <w:b/>
        </w:rPr>
      </w:pPr>
      <w:bookmarkStart w:id="525" w:name="_Toc529279033"/>
      <w:bookmarkStart w:id="526" w:name="_Toc534386259"/>
      <w:bookmarkStart w:id="527" w:name="_Toc534895236"/>
      <w:bookmarkStart w:id="528" w:name="_Toc3903240"/>
      <w:bookmarkStart w:id="529" w:name="_Toc534807018"/>
      <w:bookmarkStart w:id="530" w:name="_Toc536265103"/>
      <w:r>
        <w:rPr>
          <w:b/>
        </w:rPr>
        <w:t>3.</w:t>
      </w:r>
      <w:r>
        <w:rPr>
          <w:rFonts w:hint="eastAsia"/>
          <w:b/>
        </w:rPr>
        <w:t>1.4</w:t>
      </w:r>
      <w:r>
        <w:rPr>
          <w:b/>
        </w:rPr>
        <w:t>.</w:t>
      </w:r>
      <w:bookmarkEnd w:id="525"/>
      <w:r>
        <w:rPr>
          <w:b/>
        </w:rPr>
        <w:t>1</w:t>
      </w:r>
      <w:r>
        <w:rPr>
          <w:rFonts w:hint="eastAsia"/>
          <w:b/>
        </w:rPr>
        <w:t>与</w:t>
      </w:r>
      <w:r>
        <w:rPr>
          <w:b/>
        </w:rPr>
        <w:t>国民经济与社会发展规划</w:t>
      </w:r>
      <w:bookmarkEnd w:id="526"/>
      <w:bookmarkEnd w:id="527"/>
      <w:bookmarkEnd w:id="528"/>
      <w:bookmarkEnd w:id="529"/>
      <w:bookmarkEnd w:id="530"/>
      <w:r>
        <w:rPr>
          <w:rFonts w:hint="eastAsia"/>
          <w:b/>
        </w:rPr>
        <w:t>协调性分析</w:t>
      </w:r>
    </w:p>
    <w:p>
      <w:pPr>
        <w:ind w:firstLine="480"/>
        <w:rPr>
          <w:szCs w:val="24"/>
        </w:rPr>
      </w:pPr>
      <w:r>
        <w:rPr>
          <w:szCs w:val="24"/>
        </w:rPr>
        <w:t>《中华人民共和国国民经济和社会发展第十</w:t>
      </w:r>
      <w:r>
        <w:rPr>
          <w:rFonts w:hint="eastAsia"/>
          <w:szCs w:val="24"/>
        </w:rPr>
        <w:t>四</w:t>
      </w:r>
      <w:r>
        <w:rPr>
          <w:szCs w:val="24"/>
        </w:rPr>
        <w:t>个五年规划纲要》明确指出：</w:t>
      </w:r>
      <w:r>
        <w:rPr>
          <w:rFonts w:hint="eastAsia"/>
          <w:szCs w:val="24"/>
        </w:rPr>
        <w:t>“</w:t>
      </w:r>
      <w:r>
        <w:rPr>
          <w:rFonts w:ascii="Arial" w:hAnsi="Arial" w:cs="Arial"/>
          <w:szCs w:val="24"/>
          <w:shd w:val="clear" w:color="auto" w:fill="FFFFFF"/>
        </w:rPr>
        <w:t>立足流域整体和水资源空间均衡配置，加强跨行政区河流水系治理保护和骨干工程建设，强化大中小微水利设施协调配套，提升水资源优化配置和水旱灾害防御能力。坚持节水优先，完善水资源配置体系，建设水资源配置骨干项目，加强重点水源和城市应急备用水源工程建设。实施防洪提升工程，解决防汛薄弱环节，加快防洪控制性枢纽工程建设和中小河流治理、病险水库除险加固，全面推进堤防和蓄滞洪区建设。加强水源涵养区保护修复，加大重点河湖保护和综合治理力度，恢复水清岸绿的水生态体系。</w:t>
      </w:r>
      <w:r>
        <w:rPr>
          <w:rFonts w:hint="eastAsia"/>
          <w:szCs w:val="24"/>
        </w:rPr>
        <w:t>”</w:t>
      </w:r>
    </w:p>
    <w:p>
      <w:pPr>
        <w:ind w:firstLine="480"/>
        <w:rPr>
          <w:szCs w:val="24"/>
        </w:rPr>
      </w:pPr>
      <w:r>
        <w:rPr>
          <w:szCs w:val="24"/>
        </w:rPr>
        <w:t>《江西省国民经济和社会发展第十</w:t>
      </w:r>
      <w:r>
        <w:rPr>
          <w:rFonts w:hint="eastAsia"/>
          <w:szCs w:val="24"/>
        </w:rPr>
        <w:t>四</w:t>
      </w:r>
      <w:r>
        <w:rPr>
          <w:szCs w:val="24"/>
        </w:rPr>
        <w:t>个五年规划纲要》明确指出：</w:t>
      </w:r>
      <w:r>
        <w:rPr>
          <w:rFonts w:hint="eastAsia"/>
          <w:szCs w:val="24"/>
        </w:rPr>
        <w:t>“</w:t>
      </w:r>
      <w:r>
        <w:rPr>
          <w:szCs w:val="24"/>
        </w:rPr>
        <w:t>围绕防灾减灾、改善民生、促进发展，着力构建集防洪安全、供水安全、水生态安全和保障能力建设于一体的水利体系，不断提高水安全保障能力、水资源和水环境承载能力。</w:t>
      </w:r>
      <w:r>
        <w:rPr>
          <w:rFonts w:hint="eastAsia"/>
          <w:szCs w:val="24"/>
        </w:rPr>
        <w:t>”“</w:t>
      </w:r>
      <w:r>
        <w:rPr>
          <w:szCs w:val="24"/>
        </w:rPr>
        <w:t>开展长江干流（江西段）河势控制和河道整治，实施五河防洪治理和中小河流治理、鄱阳湖综合治理，全面提升重要江河湖泊及支流防洪减灾能力，推动南昌、九江等重要防洪城市和重点地区达到国家防洪标准。加快流域控制性枢纽工程建设，积极推进鄱阳湖水利枢纽工程。加强山洪灾害防治，实施病险水库（闸）除险加固工程。建设重点城镇、圩垸和粮食主产区排涝设施。加强灾害监测、预警预报和应急处置能力建设。</w:t>
      </w:r>
      <w:r>
        <w:rPr>
          <w:rFonts w:hint="eastAsia"/>
          <w:szCs w:val="24"/>
        </w:rPr>
        <w:t>”</w:t>
      </w:r>
    </w:p>
    <w:p>
      <w:pPr>
        <w:ind w:firstLine="480"/>
        <w:rPr>
          <w:szCs w:val="24"/>
        </w:rPr>
      </w:pPr>
      <w:r>
        <w:rPr>
          <w:szCs w:val="24"/>
        </w:rPr>
        <w:t>本项目是一座以城市景观抬水为主，兼顾防洪的水利工程</w:t>
      </w:r>
      <w:r>
        <w:rPr>
          <w:rFonts w:hint="eastAsia"/>
          <w:szCs w:val="24"/>
        </w:rPr>
        <w:t>，</w:t>
      </w:r>
      <w:r>
        <w:rPr>
          <w:szCs w:val="24"/>
        </w:rPr>
        <w:t>属中型水闸建设，与《中华人民共和国国民经济和社会发展第十</w:t>
      </w:r>
      <w:r>
        <w:rPr>
          <w:rFonts w:hint="eastAsia"/>
          <w:szCs w:val="24"/>
        </w:rPr>
        <w:t>四</w:t>
      </w:r>
      <w:r>
        <w:rPr>
          <w:szCs w:val="24"/>
        </w:rPr>
        <w:t>个五年规划》、《江西省国民经济和社会发展第十</w:t>
      </w:r>
      <w:r>
        <w:rPr>
          <w:rFonts w:hint="eastAsia"/>
          <w:szCs w:val="24"/>
        </w:rPr>
        <w:t>四</w:t>
      </w:r>
      <w:r>
        <w:rPr>
          <w:szCs w:val="24"/>
        </w:rPr>
        <w:t>个五年规划纲要》相符。</w:t>
      </w:r>
    </w:p>
    <w:p>
      <w:pPr>
        <w:ind w:firstLine="0" w:firstLineChars="0"/>
        <w:rPr>
          <w:b/>
        </w:rPr>
      </w:pPr>
      <w:bookmarkStart w:id="531" w:name="_Toc281507019"/>
      <w:bookmarkStart w:id="532" w:name="_Toc529279034"/>
      <w:bookmarkStart w:id="533" w:name="_Toc534807019"/>
      <w:bookmarkStart w:id="534" w:name="_Toc534386260"/>
      <w:bookmarkStart w:id="535" w:name="_Toc534895237"/>
      <w:bookmarkStart w:id="536" w:name="_Toc536265104"/>
      <w:bookmarkStart w:id="537" w:name="_Toc3903241"/>
      <w:r>
        <w:rPr>
          <w:b/>
        </w:rPr>
        <w:t>3.</w:t>
      </w:r>
      <w:r>
        <w:rPr>
          <w:rFonts w:hint="eastAsia"/>
          <w:b/>
        </w:rPr>
        <w:t>1.4</w:t>
      </w:r>
      <w:r>
        <w:rPr>
          <w:b/>
        </w:rPr>
        <w:t>.</w:t>
      </w:r>
      <w:bookmarkEnd w:id="531"/>
      <w:bookmarkEnd w:id="532"/>
      <w:r>
        <w:rPr>
          <w:rFonts w:hint="eastAsia"/>
          <w:b/>
        </w:rPr>
        <w:t>2与</w:t>
      </w:r>
      <w:r>
        <w:rPr>
          <w:b/>
        </w:rPr>
        <w:t>相关水利规划</w:t>
      </w:r>
      <w:bookmarkEnd w:id="533"/>
      <w:bookmarkEnd w:id="534"/>
      <w:bookmarkEnd w:id="535"/>
      <w:bookmarkEnd w:id="536"/>
      <w:bookmarkEnd w:id="537"/>
      <w:r>
        <w:rPr>
          <w:rFonts w:hint="eastAsia"/>
          <w:b/>
        </w:rPr>
        <w:t>符合性分析</w:t>
      </w:r>
    </w:p>
    <w:p>
      <w:pPr>
        <w:ind w:firstLine="480"/>
        <w:rPr>
          <w:szCs w:val="24"/>
        </w:rPr>
      </w:pPr>
      <w:r>
        <w:rPr>
          <w:rFonts w:hint="eastAsia" w:ascii="宋体" w:hAnsi="宋体" w:cs="宋体"/>
          <w:szCs w:val="24"/>
        </w:rPr>
        <w:t>⑴</w:t>
      </w:r>
      <w:r>
        <w:rPr>
          <w:szCs w:val="24"/>
        </w:rPr>
        <w:t>“十</w:t>
      </w:r>
      <w:r>
        <w:rPr>
          <w:rFonts w:hint="eastAsia"/>
          <w:szCs w:val="24"/>
        </w:rPr>
        <w:t>四</w:t>
      </w:r>
      <w:r>
        <w:rPr>
          <w:szCs w:val="24"/>
        </w:rPr>
        <w:t>五”</w:t>
      </w:r>
      <w:r>
        <w:rPr>
          <w:rFonts w:hint="eastAsia"/>
          <w:szCs w:val="24"/>
        </w:rPr>
        <w:t>水利科技创新规划</w:t>
      </w:r>
    </w:p>
    <w:p>
      <w:pPr>
        <w:ind w:firstLine="480"/>
        <w:rPr>
          <w:szCs w:val="24"/>
        </w:rPr>
      </w:pPr>
      <w:r>
        <w:rPr>
          <w:szCs w:val="24"/>
        </w:rPr>
        <w:t>根据《“十</w:t>
      </w:r>
      <w:r>
        <w:rPr>
          <w:rFonts w:hint="eastAsia"/>
          <w:szCs w:val="24"/>
        </w:rPr>
        <w:t>四</w:t>
      </w:r>
      <w:r>
        <w:rPr>
          <w:szCs w:val="24"/>
        </w:rPr>
        <w:t>五”</w:t>
      </w:r>
      <w:r>
        <w:rPr>
          <w:rFonts w:hint="eastAsia"/>
          <w:szCs w:val="24"/>
        </w:rPr>
        <w:t>水利科技创新规划</w:t>
      </w:r>
      <w:r>
        <w:rPr>
          <w:szCs w:val="24"/>
        </w:rPr>
        <w:t>》，“十</w:t>
      </w:r>
      <w:r>
        <w:rPr>
          <w:rFonts w:hint="eastAsia"/>
          <w:szCs w:val="24"/>
        </w:rPr>
        <w:t>四</w:t>
      </w:r>
      <w:r>
        <w:rPr>
          <w:szCs w:val="24"/>
        </w:rPr>
        <w:t>五”期间水利建设的主要任务是：</w:t>
      </w:r>
      <w:r>
        <w:rPr>
          <w:rFonts w:hint="eastAsia" w:ascii="Arial" w:hAnsi="Arial" w:eastAsia="Arial" w:cs="Arial"/>
          <w:szCs w:val="24"/>
          <w:shd w:val="clear" w:color="auto" w:fill="FFFFFF"/>
        </w:rPr>
        <w:t>深入落实《中华人民共和国国民经济和社会发展第十四个五年规划和2035年远景目标纲要》和国家有关科技规划，积极践行“节水优先、空间均衡、系统治理、两手发力”的治水思路和以创新为第一动力的发展要求，坚持“面向世界科技前沿、面向经济主战场、面向国家重大需求、面向人民生命健康”，围绕全面提升水旱灾害防御能力、水资源集约节约利用能力、水资源优化配置能力、大江大河大湖生态保护治理能力和推动新阶段水利高质量发展的六条实施路径，加强顶层设计，深化体制改革，强化水利战略科技力量，切实加强先进适用科技成果推广转化，继续夯实创新基础条件，不断提升科技创新能力和科技攻关水平，以高水平的科技自立自强支撑引领新阶段水利高质量发展</w:t>
      </w:r>
      <w:r>
        <w:rPr>
          <w:rFonts w:hint="eastAsia"/>
          <w:szCs w:val="24"/>
        </w:rPr>
        <w:t>。</w:t>
      </w:r>
      <w:r>
        <w:rPr>
          <w:szCs w:val="24"/>
        </w:rPr>
        <w:t>本项目建成后，在有效保障下游生态用水的前提下，提高受水区域的水资源调控</w:t>
      </w:r>
      <w:r>
        <w:rPr>
          <w:rFonts w:hint="eastAsia"/>
          <w:szCs w:val="24"/>
        </w:rPr>
        <w:t>、</w:t>
      </w:r>
      <w:r>
        <w:rPr>
          <w:rFonts w:hint="eastAsia" w:ascii="Arial" w:hAnsi="Arial" w:eastAsia="Arial" w:cs="Arial"/>
          <w:szCs w:val="24"/>
          <w:shd w:val="clear" w:color="auto" w:fill="FFFFFF"/>
        </w:rPr>
        <w:t>空间均衡</w:t>
      </w:r>
      <w:r>
        <w:rPr>
          <w:szCs w:val="24"/>
        </w:rPr>
        <w:t>水平</w:t>
      </w:r>
      <w:r>
        <w:rPr>
          <w:rFonts w:hint="eastAsia"/>
          <w:szCs w:val="24"/>
        </w:rPr>
        <w:t>、</w:t>
      </w:r>
      <w:r>
        <w:rPr>
          <w:rFonts w:hint="eastAsia" w:ascii="Arial" w:hAnsi="Arial" w:eastAsia="Arial" w:cs="Arial"/>
          <w:szCs w:val="24"/>
          <w:shd w:val="clear" w:color="auto" w:fill="FFFFFF"/>
        </w:rPr>
        <w:t>水资源优化配置能力</w:t>
      </w:r>
      <w:r>
        <w:rPr>
          <w:szCs w:val="24"/>
        </w:rPr>
        <w:t>和工业、农业的供水保障能力，其建设符合《“十</w:t>
      </w:r>
      <w:r>
        <w:rPr>
          <w:rFonts w:hint="eastAsia"/>
          <w:szCs w:val="24"/>
        </w:rPr>
        <w:t>四</w:t>
      </w:r>
      <w:r>
        <w:rPr>
          <w:szCs w:val="24"/>
        </w:rPr>
        <w:t>五”</w:t>
      </w:r>
      <w:r>
        <w:rPr>
          <w:rFonts w:hint="eastAsia"/>
          <w:szCs w:val="24"/>
        </w:rPr>
        <w:t>水利科技创新规划</w:t>
      </w:r>
      <w:r>
        <w:rPr>
          <w:szCs w:val="24"/>
        </w:rPr>
        <w:t>》的相关要求。</w:t>
      </w:r>
    </w:p>
    <w:p>
      <w:pPr>
        <w:ind w:firstLine="480"/>
        <w:rPr>
          <w:szCs w:val="24"/>
        </w:rPr>
      </w:pPr>
      <w:r>
        <w:rPr>
          <w:rFonts w:hint="eastAsia" w:ascii="宋体" w:hAnsi="宋体" w:cs="宋体"/>
          <w:szCs w:val="24"/>
        </w:rPr>
        <w:t>⑵</w:t>
      </w:r>
      <w:r>
        <w:rPr>
          <w:rFonts w:ascii="Arial" w:hAnsi="Arial" w:cs="Arial"/>
          <w:szCs w:val="24"/>
          <w:shd w:val="clear" w:color="auto" w:fill="FFFFFF"/>
        </w:rPr>
        <w:t>江西省“十四五”水安全保障规划</w:t>
      </w:r>
    </w:p>
    <w:p>
      <w:pPr>
        <w:ind w:firstLine="480"/>
        <w:rPr>
          <w:szCs w:val="24"/>
        </w:rPr>
      </w:pPr>
      <w:r>
        <w:rPr>
          <w:szCs w:val="24"/>
        </w:rPr>
        <w:t>《</w:t>
      </w:r>
      <w:r>
        <w:rPr>
          <w:szCs w:val="24"/>
          <w:shd w:val="clear" w:color="auto" w:fill="FFFFFF"/>
        </w:rPr>
        <w:t>江西省“十四五”水安全保障规划</w:t>
      </w:r>
      <w:r>
        <w:rPr>
          <w:szCs w:val="24"/>
        </w:rPr>
        <w:t>》明确指出：“</w:t>
      </w:r>
      <w:r>
        <w:rPr>
          <w:szCs w:val="24"/>
          <w:shd w:val="clear" w:color="auto" w:fill="FFFFFF"/>
        </w:rPr>
        <w:t>《规划》提出“十四五”水安全保障重点任务，从建设现代水利设施体系、提高涉水事务管理水平、激发水利发展创新能力、提升水利行业管理能力四个方面，提出建设、管理、改革和行业能力提升重点任务。水利建设任务主要包括防洪、供水、生态“三大安全工程”和智慧水利建设。防洪安全工程建设方面，围绕防洪薄弱环节和构建现代防洪体系，优化沿江滨湖防洪布局，综合提升河道行洪能力、枢纽调洪能力以及工程防洪能力</w:t>
      </w:r>
      <w:r>
        <w:rPr>
          <w:szCs w:val="24"/>
        </w:rPr>
        <w:t>”。</w:t>
      </w:r>
    </w:p>
    <w:p>
      <w:pPr>
        <w:ind w:firstLine="480"/>
        <w:rPr>
          <w:szCs w:val="24"/>
        </w:rPr>
      </w:pPr>
      <w:r>
        <w:t>抬水工程</w:t>
      </w:r>
      <w:r>
        <w:rPr>
          <w:rFonts w:hint="eastAsia" w:ascii="宋体" w:hAnsi="宋体"/>
          <w:szCs w:val="24"/>
        </w:rPr>
        <w:t>建成后，</w:t>
      </w:r>
      <w:r>
        <w:t>抬高上游城区水位，</w:t>
      </w:r>
      <w:r>
        <w:rPr>
          <w:rFonts w:hint="eastAsia"/>
        </w:rPr>
        <w:t>属于</w:t>
      </w:r>
      <w:r>
        <w:rPr>
          <w:szCs w:val="24"/>
        </w:rPr>
        <w:t>加强水资源配置工程建设，</w:t>
      </w:r>
      <w:r>
        <w:t>保障上游水厂水源</w:t>
      </w:r>
      <w:r>
        <w:rPr>
          <w:rFonts w:hint="eastAsia"/>
        </w:rPr>
        <w:t>，提升上高县城水利发展保障能力，</w:t>
      </w:r>
      <w:r>
        <w:rPr>
          <w:szCs w:val="24"/>
        </w:rPr>
        <w:t>初步建成水资源合理配置和高效利用的现代水利体系</w:t>
      </w:r>
      <w:r>
        <w:rPr>
          <w:rFonts w:hint="eastAsia"/>
        </w:rPr>
        <w:t>，</w:t>
      </w:r>
      <w:r>
        <w:rPr>
          <w:szCs w:val="24"/>
        </w:rPr>
        <w:t>其建设符合《</w:t>
      </w:r>
      <w:r>
        <w:rPr>
          <w:szCs w:val="24"/>
          <w:shd w:val="clear" w:color="auto" w:fill="FFFFFF"/>
        </w:rPr>
        <w:t>江西省“十四五”水安全保障规划</w:t>
      </w:r>
      <w:r>
        <w:rPr>
          <w:szCs w:val="24"/>
        </w:rPr>
        <w:t>》的相关要求。</w:t>
      </w:r>
    </w:p>
    <w:p>
      <w:pPr>
        <w:ind w:firstLine="0" w:firstLineChars="0"/>
        <w:rPr>
          <w:b/>
        </w:rPr>
      </w:pPr>
      <w:r>
        <w:rPr>
          <w:rFonts w:hint="eastAsia"/>
          <w:b/>
        </w:rPr>
        <w:t>3.1.4.3与锦河</w:t>
      </w:r>
      <w:r>
        <w:rPr>
          <w:b/>
        </w:rPr>
        <w:t>流域规划</w:t>
      </w:r>
      <w:r>
        <w:rPr>
          <w:rFonts w:hint="eastAsia"/>
          <w:b/>
        </w:rPr>
        <w:t>符合性分析</w:t>
      </w:r>
    </w:p>
    <w:p>
      <w:pPr>
        <w:pStyle w:val="44"/>
        <w:spacing w:line="360" w:lineRule="auto"/>
        <w:ind w:firstLine="480" w:firstLineChars="200"/>
        <w:rPr>
          <w:rFonts w:ascii="Times New Roman" w:hAnsi="Times New Roman"/>
          <w:color w:val="0000FF"/>
          <w:sz w:val="24"/>
          <w:szCs w:val="24"/>
        </w:rPr>
      </w:pPr>
      <w:r>
        <w:rPr>
          <w:rFonts w:ascii="Times New Roman" w:hAnsi="Times New Roman"/>
          <w:sz w:val="24"/>
          <w:szCs w:val="24"/>
        </w:rPr>
        <w:t>根据中铁水利水电规划设计集团有限公司编制完成的《江西省锦河流域综合规划修编报告》：”锦江系赣江一级支流，发源于江西、湖南两省交界的幕阜山脉东麓的坪子岭，主河道长307.0km，流域面积7884km</w:t>
      </w:r>
      <w:r>
        <w:rPr>
          <w:rFonts w:ascii="Times New Roman" w:hAnsi="Times New Roman"/>
          <w:sz w:val="24"/>
          <w:szCs w:val="24"/>
          <w:vertAlign w:val="superscript"/>
        </w:rPr>
        <w:t>2</w:t>
      </w:r>
      <w:r>
        <w:rPr>
          <w:rFonts w:ascii="Times New Roman" w:hAnsi="Times New Roman"/>
          <w:sz w:val="24"/>
          <w:szCs w:val="24"/>
        </w:rPr>
        <w:t>，分属宜春市的万载县、上高县、宜丰县、高安市、丰城市、袁州区，南昌市的新建区，2016年流域总人口218.67万人，耕地面积279.48万亩，地区生产总值707.08亿元。在原流域规划指导下，流域内进行了较大规模的水利建设，基本形成了防洪、灌溉、供水、治涝、航运、水力发电、水土保持等组成的防洪减灾和水资源综合利用体系，为保障和促进流域经济社会的发展发挥了巨大作用”。</w:t>
      </w:r>
      <w:r>
        <w:rPr>
          <w:rFonts w:ascii="Times New Roman" w:hAnsi="Times New Roman"/>
          <w:color w:val="0000FF"/>
          <w:sz w:val="24"/>
          <w:szCs w:val="24"/>
        </w:rPr>
        <w:t>毛家渡抬水工程纳入锦河流域规划中，属于有利于城市景观抬水、防洪的水利工程，同时</w:t>
      </w:r>
      <w:r>
        <w:rPr>
          <w:rStyle w:val="96"/>
          <w:rFonts w:ascii="Times New Roman" w:hAnsi="Times New Roman"/>
          <w:color w:val="0000FF"/>
          <w:spacing w:val="20"/>
          <w:kern w:val="10"/>
          <w:sz w:val="24"/>
          <w:szCs w:val="24"/>
        </w:rPr>
        <w:t>划内航道主要为服务区域内短距离的货物运输和水上旅游客运，本抬水坝</w:t>
      </w:r>
      <w:r>
        <w:rPr>
          <w:rFonts w:ascii="Times New Roman" w:hAnsi="Times New Roman"/>
          <w:color w:val="0000FF"/>
          <w:sz w:val="24"/>
          <w:szCs w:val="24"/>
        </w:rPr>
        <w:t>坝址右岸滩地较宽，利于远期有航道要求时新建船闸，</w:t>
      </w:r>
      <w:r>
        <w:rPr>
          <w:rStyle w:val="96"/>
          <w:rFonts w:ascii="Times New Roman" w:hAnsi="Times New Roman"/>
          <w:color w:val="0000FF"/>
          <w:spacing w:val="20"/>
          <w:kern w:val="10"/>
          <w:sz w:val="24"/>
          <w:szCs w:val="24"/>
        </w:rPr>
        <w:t>因此本工程对航运影响较小</w:t>
      </w:r>
      <w:r>
        <w:rPr>
          <w:rFonts w:ascii="Times New Roman" w:hAnsi="Times New Roman"/>
          <w:color w:val="0000FF"/>
          <w:sz w:val="24"/>
          <w:szCs w:val="24"/>
        </w:rPr>
        <w:t>。</w:t>
      </w:r>
    </w:p>
    <w:p>
      <w:pPr>
        <w:ind w:firstLine="480"/>
        <w:rPr>
          <w:color w:val="0000FF"/>
        </w:rPr>
      </w:pPr>
      <w:r>
        <w:rPr>
          <w:szCs w:val="24"/>
        </w:rPr>
        <w:t>根据《江西省生态环境厅关于江西省锦江流域综合规划修编环境影响报告书审查意见的函》（赣环环评函[2022]3号）中提到“进一步开展万载县、上高县进一步开展万载县、上高县景观抬水坝工程建设的必要性研究和可行性专题论证，并优化调整，避让生态敏感区”。</w:t>
      </w:r>
      <w:r>
        <w:rPr>
          <w:rFonts w:hint="eastAsia" w:ascii="宋体" w:hAnsi="宋体"/>
          <w:color w:val="0000FF"/>
          <w:szCs w:val="28"/>
        </w:rPr>
        <w:t>根据江西省生态环境厅关于《江西省锦江流域综合规划修编报告环境影响报告书》的审查意见的函：“进一步开展万载县、上高县景观抬水坝工程建设的必要性研究和可行性专题论证，并优化调整，避让生态敏感区。”本工程可行性研究报告从国民经济与社会发展、航运预留、选址等对此进行了专题论证，首先，</w:t>
      </w:r>
      <w:r>
        <w:rPr>
          <w:color w:val="0000FF"/>
          <w:szCs w:val="28"/>
        </w:rPr>
        <w:t>国民经济与社会发展对本工程建设的要求，城市健康有序、生态有机、可持续地发展，营造城区河道水体景观及人水和谐的亲水环境，助力幸福河湖建设，提升城市品位，急需将上高县城区锦河水位抬高，同时也是上高县滨水滨江公园项目顺利开展的需要；其次，本工程的建设，可大大抬高锦河上高段约14km 河道水位，主航道内水深普遍都在4m 以上，远高于《内河通航标准》GB 50139-2014 规范所规定的航道水深1.4m 的要求，且船舶通行河面宽度也大为拓宽，通航条件明显得到改善；最后，从地形地质条件、水流条件、防洪等优化选址，本工程位于锦河大桥下游1.8km，不在生态敏感区。</w:t>
      </w:r>
      <w:r>
        <w:rPr>
          <w:rFonts w:hint="eastAsia" w:ascii="宋体" w:hAnsi="宋体"/>
          <w:color w:val="0000FF"/>
          <w:szCs w:val="28"/>
        </w:rPr>
        <w:t>同时项目可行性研究报告已获得上高县发展和改革委员会关于《上高县毛家渡抬水坝工程可行性研究报告的批复》（批复号：上发改农字[2022]13号）</w:t>
      </w:r>
      <w:r>
        <w:rPr>
          <w:rFonts w:hint="eastAsia"/>
          <w:color w:val="0000FF"/>
        </w:rPr>
        <w:t>。</w:t>
      </w:r>
    </w:p>
    <w:p>
      <w:pPr>
        <w:ind w:firstLine="480"/>
        <w:rPr>
          <w:szCs w:val="24"/>
        </w:rPr>
      </w:pPr>
      <w:r>
        <w:rPr>
          <w:szCs w:val="24"/>
        </w:rPr>
        <w:t>综上所述，拟建毛家渡抬水工程符合锦河流域规划。</w:t>
      </w:r>
    </w:p>
    <w:p>
      <w:pPr>
        <w:ind w:firstLine="0" w:firstLineChars="0"/>
        <w:rPr>
          <w:b/>
        </w:rPr>
      </w:pPr>
      <w:bookmarkStart w:id="538" w:name="_Toc3903243"/>
      <w:bookmarkStart w:id="539" w:name="_Toc534807022"/>
      <w:bookmarkStart w:id="540" w:name="_Toc536265106"/>
      <w:bookmarkStart w:id="541" w:name="_Toc534895239"/>
      <w:bookmarkStart w:id="542" w:name="_Toc534386263"/>
      <w:r>
        <w:rPr>
          <w:b/>
        </w:rPr>
        <w:t>3.</w:t>
      </w:r>
      <w:r>
        <w:rPr>
          <w:rFonts w:hint="eastAsia"/>
          <w:b/>
        </w:rPr>
        <w:t>1</w:t>
      </w:r>
      <w:r>
        <w:rPr>
          <w:b/>
        </w:rPr>
        <w:t>.4</w:t>
      </w:r>
      <w:r>
        <w:rPr>
          <w:rFonts w:hint="eastAsia"/>
          <w:b/>
        </w:rPr>
        <w:t>.4</w:t>
      </w:r>
      <w:r>
        <w:rPr>
          <w:b/>
        </w:rPr>
        <w:t>与《</w:t>
      </w:r>
      <w:r>
        <w:rPr>
          <w:rFonts w:hint="eastAsia"/>
          <w:b/>
        </w:rPr>
        <w:t>上高</w:t>
      </w:r>
      <w:r>
        <w:rPr>
          <w:b/>
        </w:rPr>
        <w:t>县城市总体规划（201</w:t>
      </w:r>
      <w:r>
        <w:rPr>
          <w:rFonts w:hint="eastAsia"/>
          <w:b/>
        </w:rPr>
        <w:t>5</w:t>
      </w:r>
      <w:r>
        <w:rPr>
          <w:b/>
        </w:rPr>
        <w:t>～2030）》符合性分析</w:t>
      </w:r>
      <w:bookmarkEnd w:id="538"/>
      <w:bookmarkEnd w:id="539"/>
      <w:bookmarkEnd w:id="540"/>
      <w:bookmarkEnd w:id="541"/>
      <w:bookmarkEnd w:id="542"/>
    </w:p>
    <w:p>
      <w:pPr>
        <w:ind w:firstLine="480"/>
      </w:pPr>
      <w:r>
        <w:t>根据《</w:t>
      </w:r>
      <w:r>
        <w:rPr>
          <w:rFonts w:hint="eastAsia"/>
          <w:szCs w:val="24"/>
        </w:rPr>
        <w:t>上高</w:t>
      </w:r>
      <w:r>
        <w:rPr>
          <w:szCs w:val="24"/>
        </w:rPr>
        <w:t>县城市总体规划（201</w:t>
      </w:r>
      <w:r>
        <w:rPr>
          <w:rFonts w:hint="eastAsia"/>
          <w:szCs w:val="24"/>
        </w:rPr>
        <w:t>5</w:t>
      </w:r>
      <w:r>
        <w:rPr>
          <w:szCs w:val="24"/>
        </w:rPr>
        <w:t>～2030）</w:t>
      </w:r>
      <w:r>
        <w:t>》，</w:t>
      </w:r>
      <w:r>
        <w:rPr>
          <w:rFonts w:hint="eastAsia"/>
        </w:rPr>
        <w:t>上高</w:t>
      </w:r>
      <w:r>
        <w:t>县规划加强城市特色研究，充分考虑“山、水、绿”城市特色的塑造，构筑完善的城市绿地和景观系统，创建与自然有机统一的绿色生态城市。随着县城规划范围的扩大，一河两岸滨河景观视廊相应向东西两侧延伸。</w:t>
      </w:r>
      <w:r>
        <w:rPr>
          <w:rFonts w:hint="eastAsia"/>
        </w:rPr>
        <w:t>锦河</w:t>
      </w:r>
      <w:r>
        <w:t>自西向东从</w:t>
      </w:r>
      <w:r>
        <w:rPr>
          <w:rFonts w:hint="eastAsia"/>
        </w:rPr>
        <w:t>上高</w:t>
      </w:r>
      <w:r>
        <w:t>县城区穿城而过，对</w:t>
      </w:r>
      <w:r>
        <w:rPr>
          <w:rFonts w:hint="eastAsia"/>
        </w:rPr>
        <w:t>上高</w:t>
      </w:r>
      <w:r>
        <w:t>的城市格局与市容环境有着重大影响。由于枯水季节</w:t>
      </w:r>
      <w:r>
        <w:rPr>
          <w:rFonts w:hint="eastAsia"/>
        </w:rPr>
        <w:t>锦河</w:t>
      </w:r>
      <w:r>
        <w:t>来水量锐减，部分河床显露，与高标准建设美化、绿化、亮化的两岸城市环境极不协调，极大地影响了城市形象。</w:t>
      </w:r>
    </w:p>
    <w:p>
      <w:pPr>
        <w:autoSpaceDE w:val="0"/>
        <w:autoSpaceDN w:val="0"/>
        <w:adjustRightInd w:val="0"/>
        <w:ind w:firstLine="480"/>
      </w:pPr>
      <w:r>
        <w:t>根据新形势下发展的需要，为了促进城市健康有序、生态有机、可持续地发展，营造城区河道水体景观，提升城市品位，在适当的位置兴建抬水工程，以抬高城区河段的枯水位显得十分重要。因此，选择在城区规划末端下游的</w:t>
      </w:r>
      <w:r>
        <w:rPr>
          <w:rFonts w:hint="eastAsia"/>
        </w:rPr>
        <w:t>毛家渡建设毛家渡</w:t>
      </w:r>
      <w:r>
        <w:t>抬水工程，</w:t>
      </w:r>
      <w:r>
        <w:rPr>
          <w:szCs w:val="24"/>
        </w:rPr>
        <w:t>项目</w:t>
      </w:r>
      <w:r>
        <w:rPr>
          <w:rFonts w:hint="eastAsia" w:ascii="宋体" w:hAnsi="宋体"/>
          <w:szCs w:val="24"/>
        </w:rPr>
        <w:t>建成后可</w:t>
      </w:r>
      <w:r>
        <w:t>抬高上游城区水位，达到保障上游水厂水源、改善</w:t>
      </w:r>
      <w:r>
        <w:rPr>
          <w:rFonts w:hint="eastAsia"/>
        </w:rPr>
        <w:t>锦河</w:t>
      </w:r>
      <w:r>
        <w:t>水体景观</w:t>
      </w:r>
      <w:r>
        <w:rPr>
          <w:rFonts w:hint="eastAsia"/>
        </w:rPr>
        <w:t>，</w:t>
      </w:r>
      <w:r>
        <w:rPr>
          <w:rFonts w:hint="eastAsia" w:ascii="宋体" w:hAnsi="宋体"/>
          <w:szCs w:val="24"/>
        </w:rPr>
        <w:t>与</w:t>
      </w:r>
      <w:r>
        <w:rPr>
          <w:szCs w:val="24"/>
        </w:rPr>
        <w:t>《</w:t>
      </w:r>
      <w:r>
        <w:rPr>
          <w:rFonts w:hint="eastAsia"/>
          <w:szCs w:val="24"/>
        </w:rPr>
        <w:t>上高</w:t>
      </w:r>
      <w:r>
        <w:rPr>
          <w:szCs w:val="24"/>
        </w:rPr>
        <w:t>县城市总体规划（201</w:t>
      </w:r>
      <w:r>
        <w:rPr>
          <w:rFonts w:hint="eastAsia"/>
          <w:szCs w:val="24"/>
        </w:rPr>
        <w:t>5</w:t>
      </w:r>
      <w:r>
        <w:rPr>
          <w:szCs w:val="24"/>
        </w:rPr>
        <w:t>～2030）》</w:t>
      </w:r>
      <w:r>
        <w:rPr>
          <w:rFonts w:hint="eastAsia"/>
          <w:szCs w:val="24"/>
        </w:rPr>
        <w:t>相符合。</w:t>
      </w:r>
    </w:p>
    <w:p>
      <w:pPr>
        <w:ind w:firstLine="0" w:firstLineChars="0"/>
        <w:rPr>
          <w:b/>
        </w:rPr>
      </w:pPr>
      <w:bookmarkStart w:id="543" w:name="_Toc3903244"/>
      <w:bookmarkStart w:id="544" w:name="_Toc534807023"/>
      <w:bookmarkStart w:id="545" w:name="_Toc536265107"/>
      <w:bookmarkStart w:id="546" w:name="_Toc534895240"/>
      <w:bookmarkStart w:id="547" w:name="_Toc534386264"/>
      <w:r>
        <w:rPr>
          <w:b/>
        </w:rPr>
        <w:t>3.</w:t>
      </w:r>
      <w:r>
        <w:rPr>
          <w:rFonts w:hint="eastAsia"/>
          <w:b/>
        </w:rPr>
        <w:t>1</w:t>
      </w:r>
      <w:r>
        <w:rPr>
          <w:b/>
        </w:rPr>
        <w:t>.4</w:t>
      </w:r>
      <w:r>
        <w:rPr>
          <w:rFonts w:hint="eastAsia"/>
          <w:b/>
        </w:rPr>
        <w:t>.5</w:t>
      </w:r>
      <w:r>
        <w:rPr>
          <w:b/>
        </w:rPr>
        <w:t>工程与饮用水源保护区规划符合性分析</w:t>
      </w:r>
      <w:bookmarkEnd w:id="543"/>
      <w:bookmarkEnd w:id="544"/>
      <w:bookmarkEnd w:id="545"/>
      <w:bookmarkEnd w:id="546"/>
      <w:bookmarkEnd w:id="547"/>
    </w:p>
    <w:p>
      <w:pPr>
        <w:ind w:firstLine="480"/>
      </w:pPr>
      <w:r>
        <w:t>目前上高县集中饮用水水源取水口有1个，为上高县第二水厂钟家渡取水口，本项目坝址位于上高县第二水厂钟家渡取水口下游约22.0km，距离上高县第二水厂二级保护区的距离约22.0km，本项目不处在上高县第二水厂钟家渡取水口的保护区范围内，（见附图七本项目与上高县饮用水源保护区位置关系图）。</w:t>
      </w:r>
    </w:p>
    <w:p>
      <w:pPr>
        <w:ind w:firstLine="480"/>
      </w:pPr>
      <w:r>
        <w:t>因此，本项目符合饮用水水源保护的规划。</w:t>
      </w:r>
    </w:p>
    <w:p>
      <w:pPr>
        <w:pStyle w:val="7"/>
        <w:snapToGrid w:val="0"/>
        <w:rPr>
          <w:rFonts w:ascii="宋体" w:hAnsi="宋体"/>
          <w:szCs w:val="24"/>
        </w:rPr>
      </w:pPr>
      <w:r>
        <w:rPr>
          <w:szCs w:val="24"/>
        </w:rPr>
        <w:t>3.</w:t>
      </w:r>
      <w:r>
        <w:rPr>
          <w:rFonts w:hint="eastAsia"/>
          <w:szCs w:val="24"/>
        </w:rPr>
        <w:t>1.5</w:t>
      </w:r>
      <w:r>
        <w:rPr>
          <w:rFonts w:hint="eastAsia" w:ascii="宋体" w:hAnsi="宋体"/>
          <w:szCs w:val="24"/>
        </w:rPr>
        <w:t>与《中华人民共和国湿地保护法》、《湿地保护管理规定》的符合性分析</w:t>
      </w:r>
    </w:p>
    <w:p>
      <w:pPr>
        <w:pStyle w:val="1341"/>
        <w:spacing w:line="360" w:lineRule="auto"/>
        <w:ind w:firstLine="480"/>
        <w:rPr>
          <w:color w:val="auto"/>
        </w:rPr>
      </w:pPr>
      <w:r>
        <w:rPr>
          <w:rFonts w:hint="eastAsia" w:ascii="宋体" w:hAnsi="宋体"/>
          <w:color w:val="auto"/>
        </w:rPr>
        <w:t>《中华人民共和国湿地保护法》、</w:t>
      </w:r>
      <w:r>
        <w:rPr>
          <w:rFonts w:hint="eastAsia"/>
          <w:color w:val="auto"/>
        </w:rPr>
        <w:t>《湿地保护管理规定》（国家林业局令第32号，2013.3）、《国家湿地公园管理办法（试行）》（林湿发〔2010〕1号）以及《江西省湿地保护条例》（2012.3）均指出，各类工程建设应当不占或者少占湿地，禁止随意侵占和破坏湿地的行为。严格控制开发占用自然湿地，凡是列入国际重要湿地和国家重要湿地名录，以及位于自然保护区内的自然湿地，一律禁止开垦占用或随意改变用途。要强化对自然湿地开发利用的管理，对涉及向自然湿地区域排污或改变湿地自然状态，以及建设项目占用自然湿地的，行政审批部门要会同相关部门按照《中华人民共和国环境影响评价法》等法律法规进行环境影响评价和严格审批。</w:t>
      </w:r>
    </w:p>
    <w:p>
      <w:pPr>
        <w:ind w:firstLine="480"/>
        <w:rPr>
          <w:rFonts w:hint="eastAsia" w:eastAsia="宋体"/>
          <w:color w:val="0000FF"/>
          <w:lang w:eastAsia="zh-CN"/>
        </w:rPr>
      </w:pPr>
      <w:r>
        <w:rPr>
          <w:rFonts w:hint="eastAsia"/>
          <w:color w:val="0000FF"/>
        </w:rPr>
        <w:t>根据《江西上高锦河省级湿地公园总体规划》，上高县毛家渡抬水工程位于上高锦河省级湿地公园范围之外（详见附图十一），但是抬水工程建成后，会抬高坝址上游河道内水位，根据本工程的可行性研究报告，本工程会抬高湿地公园的宣教展示区和合理利用区河道内水位，水域面积会增加，同时通过开展护岸工程，河岸林植被恢复，能进一步提高锦河的生态效益、社会效益、经济效益，实现锦河“河水清、两岸绿、城乡美”的愿景，提升上高县城区的品位，因此，抬水工程的实施，对提升江西上高锦河省级湿地公园的资源和价值有一定作用。上高县毛家渡抬水工程主要任务为景观抬水，兼顾防洪和航运功能，为《中华人民共和国湿地保护法》第十九条中国家严格控制占用湿地行为；不属于《中华人民共和国湿地保护法》、《江西湿地公园管理办法》等法律法规中明令禁止的活动。建设单位在施工过程中要严格限定施工范围，禁止在湿地公园范围内倾倒有毒有害物质、废弃物、垃圾及其他破坏湿地及其生态功能的活动，并采取必要措施减轻项目建设过程中对湿地生态功能的不利影响。</w:t>
      </w:r>
    </w:p>
    <w:p>
      <w:pPr>
        <w:ind w:firstLine="480"/>
        <w:rPr>
          <w:color w:val="0000FF"/>
          <w:szCs w:val="24"/>
        </w:rPr>
      </w:pPr>
      <w:r>
        <w:rPr>
          <w:rFonts w:hint="eastAsia"/>
          <w:color w:val="0000FF"/>
        </w:rPr>
        <w:t xml:space="preserve">    </w:t>
      </w:r>
      <w:r>
        <w:rPr>
          <w:rFonts w:hint="eastAsia" w:ascii="宋体" w:hAnsi="宋体"/>
          <w:color w:val="0000FF"/>
          <w:szCs w:val="24"/>
        </w:rPr>
        <w:t>因此，</w:t>
      </w:r>
      <w:r>
        <w:rPr>
          <w:rFonts w:hint="eastAsia"/>
          <w:color w:val="0000FF"/>
        </w:rPr>
        <w:t>上高</w:t>
      </w:r>
      <w:r>
        <w:rPr>
          <w:color w:val="0000FF"/>
        </w:rPr>
        <w:t>县</w:t>
      </w:r>
      <w:r>
        <w:rPr>
          <w:rFonts w:hint="eastAsia"/>
          <w:color w:val="0000FF"/>
        </w:rPr>
        <w:t>毛家渡</w:t>
      </w:r>
      <w:r>
        <w:rPr>
          <w:color w:val="0000FF"/>
        </w:rPr>
        <w:t>抬水工程</w:t>
      </w:r>
      <w:r>
        <w:rPr>
          <w:rFonts w:hint="eastAsia" w:ascii="宋体" w:hAnsi="宋体"/>
          <w:color w:val="0000FF"/>
          <w:szCs w:val="24"/>
        </w:rPr>
        <w:t>经采取有</w:t>
      </w:r>
      <w:r>
        <w:rPr>
          <w:rFonts w:hint="eastAsia"/>
          <w:color w:val="0000FF"/>
        </w:rPr>
        <w:t>效减缓措施及落实湿地“占补平衡”要求后，符合</w:t>
      </w:r>
      <w:r>
        <w:rPr>
          <w:rFonts w:hint="eastAsia" w:ascii="宋体" w:hAnsi="宋体"/>
          <w:color w:val="0000FF"/>
          <w:szCs w:val="24"/>
        </w:rPr>
        <w:t>国家</w:t>
      </w:r>
      <w:r>
        <w:rPr>
          <w:rFonts w:hint="eastAsia"/>
          <w:color w:val="0000FF"/>
        </w:rPr>
        <w:t>《</w:t>
      </w:r>
      <w:r>
        <w:rPr>
          <w:color w:val="0000FF"/>
        </w:rPr>
        <w:t>江西</w:t>
      </w:r>
      <w:r>
        <w:rPr>
          <w:rFonts w:hint="eastAsia"/>
          <w:color w:val="0000FF"/>
        </w:rPr>
        <w:t>上高锦</w:t>
      </w:r>
      <w:r>
        <w:rPr>
          <w:color w:val="0000FF"/>
        </w:rPr>
        <w:t>河省级湿地公园</w:t>
      </w:r>
      <w:r>
        <w:rPr>
          <w:rFonts w:hint="eastAsia"/>
          <w:color w:val="0000FF"/>
        </w:rPr>
        <w:t>总体规划》</w:t>
      </w:r>
      <w:r>
        <w:rPr>
          <w:rFonts w:hint="eastAsia"/>
          <w:color w:val="0000FF"/>
          <w:szCs w:val="24"/>
        </w:rPr>
        <w:t>的相关要求。</w:t>
      </w:r>
    </w:p>
    <w:p>
      <w:pPr>
        <w:pStyle w:val="7"/>
        <w:rPr>
          <w:szCs w:val="24"/>
        </w:rPr>
      </w:pPr>
      <w:r>
        <w:rPr>
          <w:szCs w:val="24"/>
        </w:rPr>
        <w:t>3.</w:t>
      </w:r>
      <w:r>
        <w:rPr>
          <w:rFonts w:hint="eastAsia"/>
          <w:szCs w:val="24"/>
        </w:rPr>
        <w:t>1.6与赣长江办[2022]7号的相符性分析</w:t>
      </w:r>
    </w:p>
    <w:p>
      <w:pPr>
        <w:ind w:firstLine="480"/>
        <w:rPr>
          <w:szCs w:val="24"/>
        </w:rPr>
      </w:pPr>
      <w:r>
        <w:rPr>
          <w:szCs w:val="24"/>
        </w:rPr>
        <w:t>项目与《江西省长江经济带发展负面清单实施细则（试行）(2022年版）》（赣长江办</w:t>
      </w:r>
      <w:r>
        <w:rPr>
          <w:rFonts w:hint="eastAsia"/>
          <w:szCs w:val="24"/>
        </w:rPr>
        <w:t>[</w:t>
      </w:r>
      <w:r>
        <w:rPr>
          <w:szCs w:val="24"/>
        </w:rPr>
        <w:t>2022]7号）相符性分析详见下表。</w:t>
      </w:r>
    </w:p>
    <w:p>
      <w:pPr>
        <w:spacing w:before="120" w:beforeLines="50" w:line="240" w:lineRule="auto"/>
        <w:ind w:firstLine="480"/>
        <w:jc w:val="center"/>
        <w:rPr>
          <w:rFonts w:ascii="黑体" w:hAnsi="黑体" w:eastAsia="黑体"/>
          <w:szCs w:val="24"/>
        </w:rPr>
      </w:pPr>
      <w:r>
        <w:rPr>
          <w:rFonts w:hint="eastAsia" w:ascii="黑体" w:hAnsi="黑体" w:eastAsia="黑体"/>
          <w:szCs w:val="24"/>
        </w:rPr>
        <w:t>表3.1-1  与江西省长江经济带发展负面清单相符性分析</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5333"/>
        <w:gridCol w:w="2461"/>
        <w:gridCol w:w="9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pPr>
              <w:spacing w:line="340" w:lineRule="exact"/>
              <w:ind w:firstLine="0" w:firstLineChars="0"/>
              <w:jc w:val="center"/>
              <w:rPr>
                <w:sz w:val="21"/>
                <w:szCs w:val="21"/>
              </w:rPr>
            </w:pPr>
            <w:r>
              <w:rPr>
                <w:sz w:val="21"/>
                <w:szCs w:val="21"/>
              </w:rPr>
              <w:t>项目</w:t>
            </w:r>
          </w:p>
        </w:tc>
        <w:tc>
          <w:tcPr>
            <w:tcW w:w="2785" w:type="pct"/>
            <w:vAlign w:val="center"/>
          </w:tcPr>
          <w:p>
            <w:pPr>
              <w:spacing w:line="340" w:lineRule="exact"/>
              <w:ind w:firstLine="0" w:firstLineChars="0"/>
              <w:jc w:val="center"/>
              <w:rPr>
                <w:sz w:val="21"/>
                <w:szCs w:val="21"/>
              </w:rPr>
            </w:pPr>
            <w:r>
              <w:rPr>
                <w:sz w:val="21"/>
                <w:szCs w:val="21"/>
              </w:rPr>
              <w:t>内容</w:t>
            </w:r>
          </w:p>
        </w:tc>
        <w:tc>
          <w:tcPr>
            <w:tcW w:w="1285" w:type="pct"/>
            <w:vAlign w:val="center"/>
          </w:tcPr>
          <w:p>
            <w:pPr>
              <w:spacing w:line="340" w:lineRule="exact"/>
              <w:ind w:firstLine="0" w:firstLineChars="0"/>
              <w:jc w:val="center"/>
              <w:rPr>
                <w:sz w:val="21"/>
                <w:szCs w:val="21"/>
              </w:rPr>
            </w:pPr>
            <w:r>
              <w:rPr>
                <w:sz w:val="21"/>
                <w:szCs w:val="21"/>
              </w:rPr>
              <w:t>本项目情况</w:t>
            </w:r>
          </w:p>
        </w:tc>
        <w:tc>
          <w:tcPr>
            <w:tcW w:w="497" w:type="pct"/>
            <w:vAlign w:val="center"/>
          </w:tcPr>
          <w:p>
            <w:pPr>
              <w:spacing w:line="340" w:lineRule="exact"/>
              <w:ind w:firstLine="0" w:firstLineChars="0"/>
              <w:jc w:val="center"/>
              <w:rPr>
                <w:sz w:val="21"/>
                <w:szCs w:val="21"/>
              </w:rPr>
            </w:pPr>
            <w:r>
              <w:rPr>
                <w:sz w:val="21"/>
                <w:szCs w:val="21"/>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restart"/>
            <w:vAlign w:val="center"/>
          </w:tcPr>
          <w:p>
            <w:pPr>
              <w:spacing w:line="340" w:lineRule="exact"/>
              <w:ind w:firstLine="0" w:firstLineChars="0"/>
              <w:jc w:val="center"/>
              <w:rPr>
                <w:sz w:val="21"/>
                <w:szCs w:val="21"/>
              </w:rPr>
            </w:pPr>
            <w:r>
              <w:rPr>
                <w:sz w:val="21"/>
                <w:szCs w:val="21"/>
              </w:rPr>
              <w:t>严格岸线河段管控</w:t>
            </w:r>
          </w:p>
        </w:tc>
        <w:tc>
          <w:tcPr>
            <w:tcW w:w="2785" w:type="pct"/>
            <w:vAlign w:val="center"/>
          </w:tcPr>
          <w:p>
            <w:pPr>
              <w:spacing w:line="340" w:lineRule="exact"/>
              <w:ind w:firstLine="0" w:firstLineChars="0"/>
              <w:jc w:val="center"/>
              <w:rPr>
                <w:sz w:val="21"/>
                <w:szCs w:val="21"/>
              </w:rPr>
            </w:pPr>
            <w:r>
              <w:rPr>
                <w:sz w:val="21"/>
                <w:szCs w:val="21"/>
              </w:rPr>
              <w:t>禁止建设不符合国家和省级港口布局规划以及港口总体规划的码头项目。禁止建设不符合《长江干线过江通道布局规划》的过长江通道项目。</w:t>
            </w:r>
          </w:p>
        </w:tc>
        <w:tc>
          <w:tcPr>
            <w:tcW w:w="1285" w:type="pct"/>
            <w:vAlign w:val="center"/>
          </w:tcPr>
          <w:p>
            <w:pPr>
              <w:spacing w:line="340" w:lineRule="exact"/>
              <w:ind w:firstLine="0" w:firstLineChars="0"/>
              <w:jc w:val="center"/>
              <w:rPr>
                <w:sz w:val="21"/>
                <w:szCs w:val="21"/>
              </w:rPr>
            </w:pPr>
            <w:r>
              <w:rPr>
                <w:sz w:val="21"/>
                <w:szCs w:val="21"/>
              </w:rPr>
              <w:t>不属于码头项目，不属于过长江通道项目</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禁止在自然保护区核心区、缓中区的岸线和河段范围内投资建设旅游和生产经营项目</w:t>
            </w:r>
          </w:p>
        </w:tc>
        <w:tc>
          <w:tcPr>
            <w:tcW w:w="1285" w:type="pct"/>
            <w:vAlign w:val="center"/>
          </w:tcPr>
          <w:p>
            <w:pPr>
              <w:spacing w:line="340" w:lineRule="exact"/>
              <w:ind w:firstLine="0" w:firstLineChars="0"/>
              <w:jc w:val="center"/>
              <w:rPr>
                <w:sz w:val="21"/>
                <w:szCs w:val="21"/>
              </w:rPr>
            </w:pPr>
            <w:r>
              <w:rPr>
                <w:sz w:val="21"/>
                <w:szCs w:val="21"/>
              </w:rPr>
              <w:t>不在自然保护区核心区、缓冲区的岸线和河段范围内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风景名胜区核心景区的岸线和河段范围内开展以下行为：开山、采石、开矿、开荒、修坟立碑等破坏景观、植被和地形地貌的活动。（二）修建储存爆炸性、易燃性、放射性、毒害性、腐蚀性物品的设施。（三）违反风景名胜区规划，建设与风景名胜资源保护无关的设施。</w:t>
            </w:r>
          </w:p>
        </w:tc>
        <w:tc>
          <w:tcPr>
            <w:tcW w:w="1285" w:type="pct"/>
            <w:vAlign w:val="center"/>
          </w:tcPr>
          <w:p>
            <w:pPr>
              <w:spacing w:line="340" w:lineRule="exact"/>
              <w:ind w:firstLine="0" w:firstLineChars="0"/>
              <w:jc w:val="center"/>
              <w:rPr>
                <w:sz w:val="21"/>
                <w:szCs w:val="21"/>
              </w:rPr>
            </w:pPr>
            <w:r>
              <w:rPr>
                <w:sz w:val="21"/>
                <w:szCs w:val="21"/>
              </w:rPr>
              <w:t>不在风景名胜区核心景区的岸线和河段范围内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饮用水水源一级保护区的岸线和河段范围内开展下列行为：（一）新建、改建、扩建与供水设施和保护水源无关的建设项目；己建成的与供水设施和保护水源无关的建设项目，由县级以上人民政府责令拆除或者关闭。（二）禁止在饮用水水源一级保护区内从事网箱养殖、旅游、游泳、垂钓或者其他可能污染饮用水水体的活动。</w:t>
            </w:r>
          </w:p>
        </w:tc>
        <w:tc>
          <w:tcPr>
            <w:tcW w:w="1285" w:type="pct"/>
            <w:vAlign w:val="center"/>
          </w:tcPr>
          <w:p>
            <w:pPr>
              <w:spacing w:line="340" w:lineRule="exact"/>
              <w:ind w:firstLine="0" w:firstLineChars="0"/>
              <w:jc w:val="center"/>
              <w:rPr>
                <w:sz w:val="21"/>
                <w:szCs w:val="21"/>
              </w:rPr>
            </w:pPr>
            <w:r>
              <w:rPr>
                <w:sz w:val="21"/>
                <w:szCs w:val="21"/>
              </w:rPr>
              <w:t>不在饮用水水源一级保护区的岸线和河段范围内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禁止在饮用水水源二级保护区的岸线和河段范围内开展下列行为：（一）新建、改建、扩建排放污染物的建设项目；己建成的排放污染物的建设项目，由县级以上人民政府责令拆除或者 关闭；（二）在饮用水水源二级保护区内从事网箱养植、旅游等活动的，应当按照规定采取措施，防止污染饮用水水体。</w:t>
            </w:r>
          </w:p>
        </w:tc>
        <w:tc>
          <w:tcPr>
            <w:tcW w:w="1285" w:type="pct"/>
            <w:vAlign w:val="center"/>
          </w:tcPr>
          <w:p>
            <w:pPr>
              <w:spacing w:line="340" w:lineRule="exact"/>
              <w:ind w:firstLine="0" w:firstLineChars="0"/>
              <w:jc w:val="center"/>
              <w:rPr>
                <w:sz w:val="21"/>
                <w:szCs w:val="21"/>
              </w:rPr>
            </w:pPr>
            <w:r>
              <w:rPr>
                <w:sz w:val="21"/>
                <w:szCs w:val="21"/>
              </w:rPr>
              <w:t>不在饮用水水源二级保护区的岸线和河段范围内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水产种质资源保护区的岸线和河段范围内新建国湖（河）造田（地）等投资建设项目。单位和个人在水产种质资源保护区内从事水生生物资源调查、科学研究、教学实习、参观游览、影视拍摄等活动，应当遵守有关法律法规和保护区管理制度，不得损害水产种质资滑、及其生存环境。</w:t>
            </w:r>
          </w:p>
        </w:tc>
        <w:tc>
          <w:tcPr>
            <w:tcW w:w="1285" w:type="pct"/>
            <w:vAlign w:val="center"/>
          </w:tcPr>
          <w:p>
            <w:pPr>
              <w:spacing w:line="340" w:lineRule="exact"/>
              <w:ind w:firstLine="0" w:firstLineChars="0"/>
              <w:jc w:val="center"/>
              <w:rPr>
                <w:sz w:val="21"/>
                <w:szCs w:val="21"/>
              </w:rPr>
            </w:pPr>
            <w:r>
              <w:rPr>
                <w:sz w:val="21"/>
                <w:szCs w:val="21"/>
              </w:rPr>
              <w:t>不在水产种质资源保护区的岸线和河段范围内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除国家规定的外，禁止在国家湿地公园的岸线和河段范围内挖沙、采矿以及任何不符合主体功能定位的投资建设项目</w:t>
            </w:r>
          </w:p>
        </w:tc>
        <w:tc>
          <w:tcPr>
            <w:tcW w:w="1285" w:type="pct"/>
            <w:vAlign w:val="center"/>
          </w:tcPr>
          <w:p>
            <w:pPr>
              <w:spacing w:line="340" w:lineRule="exact"/>
              <w:ind w:firstLine="0" w:firstLineChars="0"/>
              <w:jc w:val="center"/>
              <w:rPr>
                <w:sz w:val="21"/>
                <w:szCs w:val="21"/>
              </w:rPr>
            </w:pPr>
            <w:r>
              <w:rPr>
                <w:sz w:val="21"/>
                <w:szCs w:val="21"/>
              </w:rPr>
              <w:t>不在国家湿地公园的岸线和河段范围内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违法利用、占用诠江流域河湖岸线。禁止在《长江岸线保护和开发利用总体规划》划定的岸线保护区和保留区内投资建设除事关公共安全及公众利益的防洪护岸、河道治理、供水、生态环境保护、航道整治、国家重要基础设施以外的项目</w:t>
            </w:r>
          </w:p>
        </w:tc>
        <w:tc>
          <w:tcPr>
            <w:tcW w:w="1285" w:type="pct"/>
            <w:vAlign w:val="center"/>
          </w:tcPr>
          <w:p>
            <w:pPr>
              <w:spacing w:line="340" w:lineRule="exact"/>
              <w:ind w:firstLine="0" w:firstLineChars="0"/>
              <w:jc w:val="center"/>
              <w:rPr>
                <w:sz w:val="21"/>
                <w:szCs w:val="21"/>
              </w:rPr>
            </w:pPr>
            <w:r>
              <w:rPr>
                <w:sz w:val="21"/>
                <w:szCs w:val="21"/>
              </w:rPr>
              <w:t>本项目为抬水坝工程，属于生态环境保护工程</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0" w:firstLineChars="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禁止在《全国重要江河湖泊水功能区划》划定的河段保护区、保留区内投资建设不利于水资源及自然生态保护的项目。</w:t>
            </w:r>
          </w:p>
        </w:tc>
        <w:tc>
          <w:tcPr>
            <w:tcW w:w="1285" w:type="pct"/>
            <w:vAlign w:val="center"/>
          </w:tcPr>
          <w:p>
            <w:pPr>
              <w:spacing w:line="340" w:lineRule="exact"/>
              <w:ind w:firstLine="0" w:firstLineChars="0"/>
              <w:jc w:val="center"/>
              <w:rPr>
                <w:sz w:val="21"/>
                <w:szCs w:val="21"/>
              </w:rPr>
            </w:pPr>
            <w:r>
              <w:rPr>
                <w:sz w:val="21"/>
                <w:szCs w:val="21"/>
              </w:rPr>
              <w:t>不在《全国重要江河湖泊水功能区划》划定的河符合段保护区、保留区内</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restart"/>
            <w:vAlign w:val="center"/>
          </w:tcPr>
          <w:p>
            <w:pPr>
              <w:spacing w:line="340" w:lineRule="exact"/>
              <w:ind w:firstLine="0" w:firstLineChars="0"/>
              <w:jc w:val="center"/>
              <w:rPr>
                <w:sz w:val="21"/>
                <w:szCs w:val="21"/>
              </w:rPr>
            </w:pPr>
            <w:r>
              <w:rPr>
                <w:sz w:val="21"/>
                <w:szCs w:val="21"/>
              </w:rPr>
              <w:t>严格区域活动管控</w:t>
            </w:r>
          </w:p>
        </w:tc>
        <w:tc>
          <w:tcPr>
            <w:tcW w:w="2785" w:type="pct"/>
            <w:vAlign w:val="center"/>
          </w:tcPr>
          <w:p>
            <w:pPr>
              <w:spacing w:line="340" w:lineRule="exact"/>
              <w:ind w:firstLine="0" w:firstLineChars="0"/>
              <w:jc w:val="center"/>
              <w:rPr>
                <w:sz w:val="21"/>
                <w:szCs w:val="21"/>
              </w:rPr>
            </w:pPr>
            <w:r>
              <w:rPr>
                <w:sz w:val="21"/>
                <w:szCs w:val="21"/>
              </w:rPr>
              <w:t>禁止未经许可在长江干支流及湖泊新设、改设或扩大排污口。</w:t>
            </w:r>
          </w:p>
        </w:tc>
        <w:tc>
          <w:tcPr>
            <w:tcW w:w="1285" w:type="pct"/>
            <w:vAlign w:val="center"/>
          </w:tcPr>
          <w:p>
            <w:pPr>
              <w:spacing w:line="340" w:lineRule="exact"/>
              <w:ind w:firstLine="0" w:firstLineChars="0"/>
              <w:jc w:val="center"/>
              <w:rPr>
                <w:sz w:val="21"/>
                <w:szCs w:val="21"/>
              </w:rPr>
            </w:pPr>
            <w:r>
              <w:rPr>
                <w:sz w:val="21"/>
                <w:szCs w:val="21"/>
              </w:rPr>
              <w:t>不新设、改设或扩大排污口</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禁止在长江干流江西段、鄙阳湖和《率先全面禁捕的长江流域水生生物保护区名录》中的水生生物保护区开展生产性捕捞</w:t>
            </w:r>
          </w:p>
        </w:tc>
        <w:tc>
          <w:tcPr>
            <w:tcW w:w="1285" w:type="pct"/>
            <w:vAlign w:val="center"/>
          </w:tcPr>
          <w:p>
            <w:pPr>
              <w:spacing w:line="340" w:lineRule="exact"/>
              <w:ind w:firstLine="0" w:firstLineChars="0"/>
              <w:jc w:val="center"/>
              <w:rPr>
                <w:sz w:val="21"/>
                <w:szCs w:val="21"/>
              </w:rPr>
            </w:pPr>
            <w:r>
              <w:rPr>
                <w:sz w:val="21"/>
                <w:szCs w:val="21"/>
              </w:rPr>
              <w:t>不开展生产性捕捞</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禁止在长江干支流、重要湖泊岸线一公里范围内新建、扩建化工园区和化工项目。</w:t>
            </w:r>
          </w:p>
        </w:tc>
        <w:tc>
          <w:tcPr>
            <w:tcW w:w="1285" w:type="pct"/>
            <w:vAlign w:val="center"/>
          </w:tcPr>
          <w:p>
            <w:pPr>
              <w:spacing w:line="340" w:lineRule="exact"/>
              <w:ind w:firstLine="0" w:firstLineChars="0"/>
              <w:jc w:val="center"/>
              <w:rPr>
                <w:sz w:val="21"/>
                <w:szCs w:val="21"/>
              </w:rPr>
            </w:pPr>
            <w:r>
              <w:rPr>
                <w:sz w:val="21"/>
                <w:szCs w:val="21"/>
              </w:rPr>
              <w:t>不属于新建、扩建化工园区和化工项目</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禁止在长江干流岸线三公里范围内和重要支流岸线一公里范围内新建、改建、扩建尾矿库、冶炼、渣库和磷石膏库，以提升安全、生态环境保护水平为目的改建除外。</w:t>
            </w:r>
          </w:p>
        </w:tc>
        <w:tc>
          <w:tcPr>
            <w:tcW w:w="1285" w:type="pct"/>
            <w:vAlign w:val="center"/>
          </w:tcPr>
          <w:p>
            <w:pPr>
              <w:spacing w:line="340" w:lineRule="exact"/>
              <w:ind w:firstLine="0" w:firstLineChars="0"/>
              <w:jc w:val="center"/>
              <w:rPr>
                <w:sz w:val="21"/>
                <w:szCs w:val="21"/>
              </w:rPr>
            </w:pPr>
            <w:r>
              <w:rPr>
                <w:sz w:val="21"/>
                <w:szCs w:val="21"/>
              </w:rPr>
              <w:t>不涉及尾矿库、冶炼渣库和磷石膏库</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6" w:hRule="atLeast"/>
        </w:trPr>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禁止在合规园区外、新建、扩建钢铁、石化、化工、焦化、建材、有色、制浆造纸等高污染项目。</w:t>
            </w:r>
          </w:p>
        </w:tc>
        <w:tc>
          <w:tcPr>
            <w:tcW w:w="1285" w:type="pct"/>
            <w:vAlign w:val="center"/>
          </w:tcPr>
          <w:p>
            <w:pPr>
              <w:spacing w:line="340" w:lineRule="exact"/>
              <w:ind w:firstLine="0" w:firstLineChars="0"/>
              <w:jc w:val="center"/>
              <w:rPr>
                <w:sz w:val="21"/>
                <w:szCs w:val="21"/>
              </w:rPr>
            </w:pPr>
            <w:r>
              <w:rPr>
                <w:sz w:val="21"/>
                <w:szCs w:val="21"/>
              </w:rPr>
              <w:t>不属于新建、扩建钢铁、石化、化工、焦化、建材、有色、制浆造纸等高污染项目。</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restart"/>
            <w:vAlign w:val="center"/>
          </w:tcPr>
          <w:p>
            <w:pPr>
              <w:spacing w:line="340" w:lineRule="exact"/>
              <w:ind w:firstLine="0" w:firstLineChars="0"/>
              <w:jc w:val="center"/>
              <w:rPr>
                <w:sz w:val="21"/>
                <w:szCs w:val="21"/>
              </w:rPr>
            </w:pPr>
            <w:r>
              <w:rPr>
                <w:sz w:val="21"/>
                <w:szCs w:val="21"/>
              </w:rPr>
              <w:t>严格产业准入</w:t>
            </w:r>
          </w:p>
        </w:tc>
        <w:tc>
          <w:tcPr>
            <w:tcW w:w="2785" w:type="pct"/>
            <w:vAlign w:val="center"/>
          </w:tcPr>
          <w:p>
            <w:pPr>
              <w:spacing w:line="340" w:lineRule="exact"/>
              <w:ind w:firstLine="0" w:firstLineChars="0"/>
              <w:jc w:val="center"/>
              <w:rPr>
                <w:sz w:val="21"/>
                <w:szCs w:val="21"/>
              </w:rPr>
            </w:pPr>
            <w:r>
              <w:rPr>
                <w:sz w:val="21"/>
                <w:szCs w:val="21"/>
              </w:rPr>
              <w:t>禁止新建、扩建不符合国家石化、现代煤化工等产业布局规划的项目。</w:t>
            </w:r>
          </w:p>
        </w:tc>
        <w:tc>
          <w:tcPr>
            <w:tcW w:w="1285" w:type="pct"/>
            <w:vAlign w:val="center"/>
          </w:tcPr>
          <w:p>
            <w:pPr>
              <w:spacing w:line="340" w:lineRule="exact"/>
              <w:ind w:firstLine="0" w:firstLineChars="0"/>
              <w:jc w:val="center"/>
              <w:rPr>
                <w:sz w:val="21"/>
                <w:szCs w:val="21"/>
              </w:rPr>
            </w:pPr>
            <w:r>
              <w:rPr>
                <w:sz w:val="21"/>
                <w:szCs w:val="21"/>
              </w:rPr>
              <w:t>不属于石化工或煤化工</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禁止新建、扩建法律法规和相关政策明令禁止的落后产能项目，严格执行《产业结构调整指导目录》中海汰类和限制类有关规定，禁止开展投资建设属于淘汰类的项目及其相关活动， 禁止开展投资新建、扩建属于限制类的项目及其相关活动。对于属于限制类的现有生产能力，允许企业在定期限格内采取措施改造升级，严禁以改造为名扩大产能。</w:t>
            </w:r>
          </w:p>
        </w:tc>
        <w:tc>
          <w:tcPr>
            <w:tcW w:w="1285" w:type="pct"/>
            <w:vAlign w:val="center"/>
          </w:tcPr>
          <w:p>
            <w:pPr>
              <w:spacing w:line="340" w:lineRule="exact"/>
              <w:ind w:firstLine="0" w:firstLineChars="0"/>
              <w:jc w:val="center"/>
              <w:rPr>
                <w:sz w:val="21"/>
                <w:szCs w:val="21"/>
              </w:rPr>
            </w:pPr>
            <w:r>
              <w:rPr>
                <w:sz w:val="21"/>
                <w:szCs w:val="21"/>
              </w:rPr>
              <w:t>不属于落后产能项目</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新建、扩建不符合国家产能置换要求的钢铁、水泥熟料、平板玻璃等严重过剩产能项目。严格执行《国务院关于化解产能严重过剩矛盾的指导意见》，各地各部门不得以任何名义、任何方式备案新增产能。对确有必要建设的，必须严格执行产能置换实施办法，实施减量或等量置换，依法依规办理有关于续。</w:t>
            </w:r>
          </w:p>
        </w:tc>
        <w:tc>
          <w:tcPr>
            <w:tcW w:w="1285" w:type="pct"/>
            <w:vAlign w:val="center"/>
          </w:tcPr>
          <w:p>
            <w:pPr>
              <w:spacing w:line="340" w:lineRule="exact"/>
              <w:ind w:firstLine="0" w:firstLineChars="0"/>
              <w:jc w:val="center"/>
              <w:rPr>
                <w:sz w:val="21"/>
                <w:szCs w:val="21"/>
              </w:rPr>
            </w:pPr>
            <w:r>
              <w:rPr>
                <w:sz w:val="21"/>
                <w:szCs w:val="21"/>
              </w:rPr>
              <w:t>不属于严重过剩产能项目</w:t>
            </w:r>
          </w:p>
        </w:tc>
        <w:tc>
          <w:tcPr>
            <w:tcW w:w="497" w:type="pct"/>
            <w:vAlign w:val="center"/>
          </w:tcPr>
          <w:p>
            <w:pPr>
              <w:spacing w:line="340" w:lineRule="exact"/>
              <w:ind w:firstLine="0" w:firstLineChars="0"/>
              <w:jc w:val="center"/>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1" w:type="pct"/>
            <w:vMerge w:val="continue"/>
            <w:vAlign w:val="center"/>
          </w:tcPr>
          <w:p>
            <w:pPr>
              <w:spacing w:line="340" w:lineRule="exact"/>
              <w:ind w:firstLine="420"/>
              <w:jc w:val="center"/>
              <w:rPr>
                <w:sz w:val="21"/>
                <w:szCs w:val="21"/>
              </w:rPr>
            </w:pPr>
          </w:p>
        </w:tc>
        <w:tc>
          <w:tcPr>
            <w:tcW w:w="2785" w:type="pct"/>
            <w:vAlign w:val="center"/>
          </w:tcPr>
          <w:p>
            <w:pPr>
              <w:spacing w:line="340" w:lineRule="exact"/>
              <w:ind w:firstLine="0" w:firstLineChars="0"/>
              <w:jc w:val="center"/>
              <w:rPr>
                <w:sz w:val="21"/>
                <w:szCs w:val="21"/>
              </w:rPr>
            </w:pPr>
            <w:r>
              <w:rPr>
                <w:sz w:val="21"/>
                <w:szCs w:val="21"/>
              </w:rPr>
              <w:t>禁止新建、扩建不符合要求的高耗能高排放项目。严格执行《江西省人民政府办公厅关于严格高耗能高排放项目准入管理的实施意见》（赣府厅发</w:t>
            </w:r>
            <w:r>
              <w:rPr>
                <w:rFonts w:hint="eastAsia"/>
                <w:sz w:val="21"/>
                <w:szCs w:val="21"/>
              </w:rPr>
              <w:t>[</w:t>
            </w:r>
            <w:r>
              <w:rPr>
                <w:sz w:val="21"/>
                <w:szCs w:val="21"/>
              </w:rPr>
              <w:t>2021]33号），加强项目审查论证，落实等量、减量替代要求，规范项目行政审批。</w:t>
            </w:r>
          </w:p>
        </w:tc>
        <w:tc>
          <w:tcPr>
            <w:tcW w:w="1285" w:type="pct"/>
            <w:vAlign w:val="center"/>
          </w:tcPr>
          <w:p>
            <w:pPr>
              <w:spacing w:line="340" w:lineRule="exact"/>
              <w:ind w:firstLine="0" w:firstLineChars="0"/>
              <w:jc w:val="center"/>
              <w:rPr>
                <w:sz w:val="21"/>
                <w:szCs w:val="21"/>
              </w:rPr>
            </w:pPr>
            <w:r>
              <w:rPr>
                <w:sz w:val="21"/>
                <w:szCs w:val="21"/>
              </w:rPr>
              <w:t>不属于两高项目</w:t>
            </w:r>
          </w:p>
        </w:tc>
        <w:tc>
          <w:tcPr>
            <w:tcW w:w="497" w:type="pct"/>
            <w:vAlign w:val="center"/>
          </w:tcPr>
          <w:p>
            <w:pPr>
              <w:spacing w:line="340" w:lineRule="exact"/>
              <w:ind w:firstLine="0" w:firstLineChars="0"/>
              <w:jc w:val="center"/>
              <w:rPr>
                <w:sz w:val="21"/>
                <w:szCs w:val="21"/>
              </w:rPr>
            </w:pPr>
            <w:r>
              <w:rPr>
                <w:sz w:val="21"/>
                <w:szCs w:val="21"/>
              </w:rPr>
              <w:t>符合</w:t>
            </w:r>
          </w:p>
        </w:tc>
      </w:tr>
    </w:tbl>
    <w:p>
      <w:pPr>
        <w:ind w:firstLine="480"/>
        <w:rPr>
          <w:szCs w:val="24"/>
        </w:rPr>
      </w:pPr>
      <w:r>
        <w:rPr>
          <w:szCs w:val="24"/>
        </w:rPr>
        <w:t>综上所述，本项目建设与《江西省长江经济带发展负面清单实施细则（试行） (2022 年版）》（赣长江办［2022]7 号）相符。</w:t>
      </w:r>
    </w:p>
    <w:p>
      <w:pPr>
        <w:pStyle w:val="7"/>
        <w:rPr>
          <w:szCs w:val="24"/>
        </w:rPr>
      </w:pPr>
      <w:r>
        <w:rPr>
          <w:szCs w:val="24"/>
        </w:rPr>
        <w:t>3.</w:t>
      </w:r>
      <w:r>
        <w:rPr>
          <w:rFonts w:hint="eastAsia"/>
          <w:szCs w:val="24"/>
        </w:rPr>
        <w:t>1.7</w:t>
      </w:r>
      <w:r>
        <w:rPr>
          <w:rFonts w:hint="eastAsia"/>
        </w:rPr>
        <w:t>与《水利建设项目（河湖整治与防洪除涝工程）环境影响评价文件审批原则》符合性分析</w:t>
      </w:r>
    </w:p>
    <w:p>
      <w:pPr>
        <w:ind w:firstLine="480"/>
      </w:pPr>
      <w:r>
        <w:rPr>
          <w:rFonts w:hint="eastAsia"/>
        </w:rPr>
        <w:t>根据《水利建设项目（河湖整治与防洪除涝工程）环境影响评价文件审批原则（试行）》的相关规定，本项目与此相符性见下表：</w:t>
      </w:r>
    </w:p>
    <w:p>
      <w:pPr>
        <w:spacing w:before="120" w:beforeLines="50" w:line="240" w:lineRule="auto"/>
        <w:ind w:firstLine="480"/>
        <w:rPr>
          <w:rFonts w:ascii="黑体" w:hAnsi="黑体" w:eastAsia="黑体" w:cs="黑体"/>
        </w:rPr>
      </w:pPr>
      <w:r>
        <w:rPr>
          <w:rFonts w:hint="eastAsia" w:ascii="黑体" w:hAnsi="黑体" w:eastAsia="黑体" w:cs="黑体"/>
        </w:rPr>
        <w:t>表3.1-2  与《水利建设项目（河湖整治与防洪除涝工程）环境影响评价文件审批原则》符合性分析</w:t>
      </w:r>
    </w:p>
    <w:tbl>
      <w:tblPr>
        <w:tblStyle w:val="8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4335"/>
        <w:gridCol w:w="3600"/>
        <w:gridCol w:w="9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序号</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内容</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本项目情况</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本原则适用于河湖整治与防洪除涝工程环境影响评价文件的审批，工程建设内容包括疏浚、堤防建设、闸坝闸站建设、岸线治理、水系连通、蓄（滞）洪区建设、排涝治理等（引 调水、防洪水库等水利枢纽工程除外）。其他类似工程可参照执行。</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本项目属于闸坝建设工程项目</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2</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 最大程度保持了河湖自然形态，最大限度维护了河湖健康、生态系统功能和生物多样性。</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符合环境保护相关法律法规和政策要求，与主体功能区规划、生态功能区划、水环境功能区划、水功能区划、生态环境保护规划、流域综合规划、防洪规划等相协调，满足相关规划环评要求。本不涉及岸线调整（治导线变化）、裁弯取直、围垦水面和占用河湖滩地等建设内容</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3</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本工程选址选线、施工布置不占用自然保护区、风景名胜区、世界文化和自然遗产地以及其他生态保护红线等环境敏感区中法律法规禁止占用的区域，并与饮用水水源保护区的保护要求相协调。</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4</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在采取上述措施后，对水环境的不利影响能够得到缓解和控制，居民用水安全能够得到保障，相关区域不会出现显著的土壤潜育化、沼泽化、盐碱化等次生环境问题。</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本项目提出了工程优化调整、科学调度、实施区域流域水污染防治等措施和优化工程设计、导排、防护等针对性的防治措施，相关区域不会出现显著的土壤潜育化、沼泽化、盐碱化等次生环境问题。</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5</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项目对鱼类等水生生物的洄游通道及“三场”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本工程不涉及鱼类等水生生物的洄游通道及“三场”等重要生境、物种多样性及资源量</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6</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项目对湿地生态系统结构和功能、河湖生态缓冲带造成不利影响的，提出了优化工程设计及调度运行方案、生态修复等措施。对珍稀濒危保护植物造成不利影响的， 提出了避让、原位防护、移栽等措施。对陆生珍稀濒危保护动物及其生境造成不利影响的，提出了避让、救护、迁徙廊道构建、生境再造等措施。对景观产生不利影响的，提出了避让、优化设计、景观塑造等措施。在采取上述措施后，对湿地以及陆生动植物的不利影响能够得到缓解和控制，与区域景观相协调，不会造成原有珍稀濒危保护动植物在相关区域消失，不会对陆生生态系统造成重大不利影响。</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本工程及其淹没区位于江西上高锦江省级湿地公园范围之外，不涉及珍稀濒危保护植物，本项目为抬水坝有利于景观塑造</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7</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在采取上述措施后，施工期的不利环境影响能够得到缓解和控制，不会对周围环境和敏感保护目 标造成重大不利影响。</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项目提出了水土流失防治和生态修复等措施；对对施工期各类废（污）水、扬尘、废气、噪声、固体废物等提出了防治或处置措施；本项目涉水施工不涉及饮用水水源保护区和取水口；不涉及对鱼类等水生生物及其重要生境造成不利影响的</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8</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项目移民安置的选址和建设方式具有环境合理性，提出了生态保护、污水处理、固体废物处置等措施。针对蓄滞洪区的环境污染、新增占地涉及污染场地等，提出了环境管理对策建议。</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本项目不涉及移民安置、蓄滞洪区</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9</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项目存在河湖水质污染、富营养化或外来物种入侵等环境风险的，提出了针对性的风险防范措施以及环境应急预案编制、建立必要的应急联动机制等要求。</w:t>
            </w:r>
          </w:p>
        </w:tc>
        <w:tc>
          <w:tcPr>
            <w:tcW w:w="3600" w:type="dxa"/>
            <w:tcBorders>
              <w:tl2br w:val="nil"/>
              <w:tr2bl w:val="nil"/>
            </w:tcBorders>
            <w:vAlign w:val="center"/>
          </w:tcPr>
          <w:p>
            <w:pPr>
              <w:spacing w:line="340" w:lineRule="exact"/>
              <w:ind w:firstLine="420"/>
              <w:jc w:val="center"/>
              <w:rPr>
                <w:sz w:val="21"/>
                <w:szCs w:val="21"/>
              </w:rPr>
            </w:pPr>
            <w:r>
              <w:rPr>
                <w:rFonts w:hint="eastAsia"/>
                <w:sz w:val="21"/>
                <w:szCs w:val="21"/>
              </w:rPr>
              <w:t>本项目不涉及河湖水质污染、富营养化或外来物种入侵等环境风险</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10</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改、扩建项目在全面梳理了与项目有关的现有工程环境问题基础上，提出了与项目 相适应的“以新带老”措施。</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本项目为新建项目</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11</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本项目制定了水环境、生态等环境监测计划，明确了监测网点、因子、频次等有关要求</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12</w:t>
            </w:r>
          </w:p>
        </w:tc>
        <w:tc>
          <w:tcPr>
            <w:tcW w:w="4335" w:type="dxa"/>
            <w:tcBorders>
              <w:tl2br w:val="nil"/>
              <w:tr2bl w:val="nil"/>
            </w:tcBorders>
            <w:vAlign w:val="center"/>
          </w:tcPr>
          <w:p>
            <w:pPr>
              <w:spacing w:line="340" w:lineRule="exact"/>
              <w:ind w:firstLine="420"/>
              <w:jc w:val="center"/>
              <w:rPr>
                <w:sz w:val="21"/>
                <w:szCs w:val="21"/>
              </w:rPr>
            </w:pPr>
            <w:r>
              <w:rPr>
                <w:rFonts w:hint="eastAsia"/>
                <w:sz w:val="21"/>
                <w:szCs w:val="21"/>
              </w:rPr>
              <w:t>对环境保护措施进行了深入论证，建设单位主体责任、投资估算、时间节点、预期效果明确，确保科学有效、安全可行、绿色协调。</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本工程对环境保护措施进行了深入论证，明确了建设单位主体责任、投资估算、时间节点、预期效果</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13</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按相关规定开展了信息公开和公众参与。</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本项目按相关规定开展了信息公开和公众参与。</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7" w:type="dxa"/>
            <w:tcBorders>
              <w:tl2br w:val="nil"/>
              <w:tr2bl w:val="nil"/>
            </w:tcBorders>
            <w:vAlign w:val="center"/>
          </w:tcPr>
          <w:p>
            <w:pPr>
              <w:spacing w:line="340" w:lineRule="exact"/>
              <w:ind w:firstLine="0" w:firstLineChars="0"/>
              <w:jc w:val="center"/>
              <w:rPr>
                <w:sz w:val="21"/>
                <w:szCs w:val="21"/>
              </w:rPr>
            </w:pPr>
            <w:r>
              <w:rPr>
                <w:rFonts w:hint="eastAsia"/>
                <w:sz w:val="21"/>
                <w:szCs w:val="21"/>
              </w:rPr>
              <w:t>14</w:t>
            </w:r>
          </w:p>
        </w:tc>
        <w:tc>
          <w:tcPr>
            <w:tcW w:w="4335" w:type="dxa"/>
            <w:tcBorders>
              <w:tl2br w:val="nil"/>
              <w:tr2bl w:val="nil"/>
            </w:tcBorders>
            <w:vAlign w:val="center"/>
          </w:tcPr>
          <w:p>
            <w:pPr>
              <w:spacing w:line="340" w:lineRule="exact"/>
              <w:ind w:firstLine="0" w:firstLineChars="0"/>
              <w:jc w:val="center"/>
              <w:rPr>
                <w:sz w:val="21"/>
                <w:szCs w:val="21"/>
              </w:rPr>
            </w:pPr>
            <w:r>
              <w:rPr>
                <w:rFonts w:hint="eastAsia"/>
                <w:sz w:val="21"/>
                <w:szCs w:val="21"/>
              </w:rPr>
              <w:t>环境影响评价文件编制规范，符合相关管理规定和环评技术标准要求。</w:t>
            </w:r>
          </w:p>
        </w:tc>
        <w:tc>
          <w:tcPr>
            <w:tcW w:w="3600" w:type="dxa"/>
            <w:tcBorders>
              <w:tl2br w:val="nil"/>
              <w:tr2bl w:val="nil"/>
            </w:tcBorders>
            <w:vAlign w:val="center"/>
          </w:tcPr>
          <w:p>
            <w:pPr>
              <w:spacing w:line="340" w:lineRule="exact"/>
              <w:ind w:firstLine="0" w:firstLineChars="0"/>
              <w:jc w:val="center"/>
              <w:rPr>
                <w:sz w:val="21"/>
                <w:szCs w:val="21"/>
              </w:rPr>
            </w:pPr>
            <w:r>
              <w:rPr>
                <w:rFonts w:hint="eastAsia"/>
                <w:sz w:val="21"/>
                <w:szCs w:val="21"/>
              </w:rPr>
              <w:t>本项目环境影响编制符合相关管理规定和环评技术标准要求。</w:t>
            </w:r>
          </w:p>
        </w:tc>
        <w:tc>
          <w:tcPr>
            <w:tcW w:w="976" w:type="dxa"/>
            <w:tcBorders>
              <w:tl2br w:val="nil"/>
              <w:tr2bl w:val="nil"/>
            </w:tcBorders>
            <w:vAlign w:val="center"/>
          </w:tcPr>
          <w:p>
            <w:pPr>
              <w:spacing w:line="340" w:lineRule="exact"/>
              <w:ind w:firstLine="0" w:firstLineChars="0"/>
              <w:jc w:val="center"/>
              <w:rPr>
                <w:sz w:val="21"/>
                <w:szCs w:val="21"/>
              </w:rPr>
            </w:pPr>
            <w:r>
              <w:rPr>
                <w:rFonts w:hint="eastAsia"/>
                <w:sz w:val="21"/>
                <w:szCs w:val="21"/>
              </w:rPr>
              <w:t>相符</w:t>
            </w:r>
          </w:p>
        </w:tc>
      </w:tr>
    </w:tbl>
    <w:p>
      <w:pPr>
        <w:ind w:firstLine="480"/>
      </w:pPr>
      <w:r>
        <w:rPr>
          <w:rFonts w:hint="eastAsia" w:ascii="宋体" w:hAnsi="宋体" w:cs="宋体"/>
          <w:szCs w:val="24"/>
        </w:rPr>
        <w:t>从上表可以看出，本项目符合</w:t>
      </w:r>
      <w:r>
        <w:rPr>
          <w:rFonts w:hint="eastAsia"/>
        </w:rPr>
        <w:t>《水利建设项目（河湖整治与防洪除涝工程）环境影响评价文件审批原则》</w:t>
      </w:r>
      <w:r>
        <w:rPr>
          <w:rFonts w:hint="eastAsia" w:ascii="宋体" w:hAnsi="宋体" w:cs="宋体"/>
          <w:szCs w:val="24"/>
        </w:rPr>
        <w:t>。</w:t>
      </w:r>
    </w:p>
    <w:p>
      <w:pPr>
        <w:pStyle w:val="7"/>
        <w:rPr>
          <w:szCs w:val="24"/>
        </w:rPr>
      </w:pPr>
      <w:r>
        <w:rPr>
          <w:szCs w:val="24"/>
        </w:rPr>
        <w:t>3.</w:t>
      </w:r>
      <w:r>
        <w:rPr>
          <w:rFonts w:hint="eastAsia"/>
          <w:szCs w:val="24"/>
        </w:rPr>
        <w:t>1.8与上高县十四五生态环境保护规划相符性分析</w:t>
      </w:r>
    </w:p>
    <w:p>
      <w:pPr>
        <w:ind w:firstLine="503"/>
        <w:rPr>
          <w:w w:val="105"/>
          <w:szCs w:val="24"/>
        </w:rPr>
      </w:pPr>
      <w:r>
        <w:rPr>
          <w:w w:val="105"/>
          <w:szCs w:val="24"/>
        </w:rPr>
        <w:t>根据</w:t>
      </w:r>
      <w:r>
        <w:rPr>
          <w:rFonts w:hint="eastAsia"/>
          <w:w w:val="105"/>
          <w:szCs w:val="24"/>
        </w:rPr>
        <w:t>上高县人民政府2022年3月12日</w:t>
      </w:r>
      <w:r>
        <w:rPr>
          <w:w w:val="105"/>
          <w:szCs w:val="24"/>
        </w:rPr>
        <w:t>发布的《</w:t>
      </w:r>
      <w:r>
        <w:rPr>
          <w:rFonts w:hint="eastAsia"/>
          <w:w w:val="105"/>
          <w:szCs w:val="24"/>
        </w:rPr>
        <w:t>上高县</w:t>
      </w:r>
      <w:r>
        <w:rPr>
          <w:w w:val="105"/>
          <w:szCs w:val="24"/>
        </w:rPr>
        <w:t>“十</w:t>
      </w:r>
      <w:r>
        <w:rPr>
          <w:rFonts w:hint="eastAsia"/>
          <w:w w:val="105"/>
          <w:szCs w:val="24"/>
        </w:rPr>
        <w:t>四</w:t>
      </w:r>
      <w:r>
        <w:rPr>
          <w:w w:val="105"/>
          <w:szCs w:val="24"/>
        </w:rPr>
        <w:t>五”生态环境保护规划》</w:t>
      </w:r>
      <w:r>
        <w:rPr>
          <w:rFonts w:hint="eastAsia"/>
          <w:w w:val="105"/>
          <w:szCs w:val="24"/>
        </w:rPr>
        <w:t>中的部分内容“</w:t>
      </w:r>
      <w:r>
        <w:rPr>
          <w:rFonts w:hint="eastAsia" w:ascii="宋体" w:hAnsi="宋体" w:cs="宋体"/>
          <w:szCs w:val="24"/>
        </w:rPr>
        <w:t>推进河湖生态修复和保护。落实河湖岸线整治规划，加强岸线环境综合整治力度，重点开展入湖河道整治，实施锦江流域水生态修复工程，修复河湖生态环境。大力开展优良水体保护，实施河湖缓冲带建设、河湖水域生态修复、中小河流治理、城市及农村水系综合治理，加强生态河（湖）滨带和水源涵养林等生态隔离带的建设与保护。以乡镇为实施主体，以流域为单位，大力推进农村山水林田湖及库、塘、陂、沟、渠、河整治。”本项目属于锦江流域生态修复工程，同时</w:t>
      </w:r>
      <w:r>
        <w:rPr>
          <w:rFonts w:hint="eastAsia"/>
          <w:w w:val="105"/>
          <w:szCs w:val="24"/>
        </w:rPr>
        <w:t>根据上高县</w:t>
      </w:r>
      <w:r>
        <w:rPr>
          <w:w w:val="105"/>
          <w:szCs w:val="24"/>
        </w:rPr>
        <w:t>“十</w:t>
      </w:r>
      <w:r>
        <w:rPr>
          <w:rFonts w:hint="eastAsia"/>
          <w:w w:val="105"/>
          <w:szCs w:val="24"/>
        </w:rPr>
        <w:t>四</w:t>
      </w:r>
      <w:r>
        <w:rPr>
          <w:w w:val="105"/>
          <w:szCs w:val="24"/>
        </w:rPr>
        <w:t>五”生态环境保护规划</w:t>
      </w:r>
      <w:r>
        <w:rPr>
          <w:rFonts w:hint="eastAsia"/>
          <w:w w:val="105"/>
          <w:szCs w:val="24"/>
        </w:rPr>
        <w:t>项目表，本项目列入此目录，见下表：</w:t>
      </w:r>
    </w:p>
    <w:p>
      <w:pPr>
        <w:pStyle w:val="2"/>
        <w:spacing w:before="120" w:beforeLines="50" w:after="0" w:line="240" w:lineRule="auto"/>
        <w:ind w:left="0" w:leftChars="0" w:firstLine="503"/>
        <w:jc w:val="center"/>
        <w:rPr>
          <w:rFonts w:ascii="黑体" w:hAnsi="黑体" w:eastAsia="黑体" w:cs="黑体"/>
          <w:w w:val="105"/>
          <w:szCs w:val="24"/>
        </w:rPr>
      </w:pPr>
      <w:r>
        <w:rPr>
          <w:rFonts w:hint="eastAsia" w:ascii="黑体" w:hAnsi="黑体" w:eastAsia="黑体" w:cs="黑体"/>
          <w:w w:val="105"/>
          <w:szCs w:val="24"/>
        </w:rPr>
        <w:t>表3.1-3  上高县“十四五”生态环境保护规划项目表节选</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1732"/>
        <w:gridCol w:w="3549"/>
        <w:gridCol w:w="1363"/>
        <w:gridCol w:w="19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spacing w:line="340" w:lineRule="exact"/>
              <w:ind w:firstLine="0" w:firstLineChars="0"/>
              <w:jc w:val="center"/>
              <w:rPr>
                <w:sz w:val="21"/>
                <w:szCs w:val="21"/>
              </w:rPr>
            </w:pPr>
            <w:r>
              <w:rPr>
                <w:rFonts w:hint="eastAsia"/>
                <w:sz w:val="21"/>
                <w:szCs w:val="21"/>
              </w:rPr>
              <w:t>序号</w:t>
            </w:r>
          </w:p>
        </w:tc>
        <w:tc>
          <w:tcPr>
            <w:tcW w:w="905" w:type="pct"/>
            <w:vAlign w:val="center"/>
          </w:tcPr>
          <w:p>
            <w:pPr>
              <w:spacing w:line="340" w:lineRule="exact"/>
              <w:ind w:firstLine="0" w:firstLineChars="0"/>
              <w:jc w:val="center"/>
              <w:rPr>
                <w:sz w:val="21"/>
                <w:szCs w:val="21"/>
              </w:rPr>
            </w:pPr>
            <w:r>
              <w:rPr>
                <w:rFonts w:hint="eastAsia"/>
                <w:sz w:val="21"/>
                <w:szCs w:val="21"/>
              </w:rPr>
              <w:t>项目名称</w:t>
            </w:r>
          </w:p>
        </w:tc>
        <w:tc>
          <w:tcPr>
            <w:tcW w:w="1854" w:type="pct"/>
            <w:vAlign w:val="center"/>
          </w:tcPr>
          <w:p>
            <w:pPr>
              <w:spacing w:line="340" w:lineRule="exact"/>
              <w:ind w:firstLine="0" w:firstLineChars="0"/>
              <w:jc w:val="center"/>
              <w:rPr>
                <w:sz w:val="21"/>
                <w:szCs w:val="21"/>
              </w:rPr>
            </w:pPr>
            <w:r>
              <w:rPr>
                <w:rFonts w:hint="eastAsia"/>
                <w:sz w:val="21"/>
                <w:szCs w:val="21"/>
              </w:rPr>
              <w:t>建设内容及规模</w:t>
            </w:r>
          </w:p>
        </w:tc>
        <w:tc>
          <w:tcPr>
            <w:tcW w:w="712" w:type="pct"/>
            <w:vAlign w:val="center"/>
          </w:tcPr>
          <w:p>
            <w:pPr>
              <w:spacing w:line="340" w:lineRule="exact"/>
              <w:ind w:firstLine="0" w:firstLineChars="0"/>
              <w:jc w:val="center"/>
              <w:rPr>
                <w:sz w:val="21"/>
                <w:szCs w:val="21"/>
              </w:rPr>
            </w:pPr>
            <w:r>
              <w:rPr>
                <w:rFonts w:hint="eastAsia"/>
                <w:sz w:val="21"/>
                <w:szCs w:val="21"/>
              </w:rPr>
              <w:t>总投资</w:t>
            </w:r>
          </w:p>
        </w:tc>
        <w:tc>
          <w:tcPr>
            <w:tcW w:w="1000" w:type="pct"/>
            <w:vAlign w:val="center"/>
          </w:tcPr>
          <w:p>
            <w:pPr>
              <w:spacing w:line="340" w:lineRule="exact"/>
              <w:ind w:firstLine="0" w:firstLineChars="0"/>
              <w:jc w:val="center"/>
              <w:rPr>
                <w:sz w:val="21"/>
                <w:szCs w:val="21"/>
              </w:rPr>
            </w:pPr>
            <w:r>
              <w:rPr>
                <w:rFonts w:hint="eastAsia"/>
                <w:sz w:val="21"/>
                <w:szCs w:val="21"/>
              </w:rPr>
              <w:t>责任单位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pPr>
              <w:spacing w:line="340" w:lineRule="exact"/>
              <w:ind w:firstLine="420"/>
              <w:jc w:val="center"/>
              <w:rPr>
                <w:sz w:val="21"/>
                <w:szCs w:val="21"/>
              </w:rPr>
            </w:pPr>
            <w:r>
              <w:rPr>
                <w:rFonts w:hint="eastAsia"/>
                <w:sz w:val="21"/>
                <w:szCs w:val="21"/>
              </w:rPr>
              <w:t>生态保护修复项目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spacing w:line="340" w:lineRule="exact"/>
              <w:ind w:firstLine="0" w:firstLineChars="0"/>
              <w:jc w:val="center"/>
              <w:rPr>
                <w:sz w:val="21"/>
                <w:szCs w:val="21"/>
              </w:rPr>
            </w:pPr>
            <w:r>
              <w:rPr>
                <w:rFonts w:hint="eastAsia"/>
                <w:sz w:val="21"/>
                <w:szCs w:val="21"/>
              </w:rPr>
              <w:t>29</w:t>
            </w:r>
          </w:p>
        </w:tc>
        <w:tc>
          <w:tcPr>
            <w:tcW w:w="905" w:type="pct"/>
            <w:vAlign w:val="center"/>
          </w:tcPr>
          <w:p>
            <w:pPr>
              <w:spacing w:line="340" w:lineRule="exact"/>
              <w:ind w:firstLine="0" w:firstLineChars="0"/>
              <w:jc w:val="center"/>
              <w:rPr>
                <w:sz w:val="21"/>
                <w:szCs w:val="21"/>
              </w:rPr>
            </w:pPr>
            <w:r>
              <w:rPr>
                <w:rFonts w:hint="eastAsia" w:ascii="瀹嬩綋" w:hAnsi="瀹嬩綋" w:eastAsia="瀹嬩綋"/>
                <w:sz w:val="21"/>
                <w:szCs w:val="21"/>
              </w:rPr>
              <w:t>上高锦江河湿地保护工程</w:t>
            </w:r>
          </w:p>
        </w:tc>
        <w:tc>
          <w:tcPr>
            <w:tcW w:w="1854" w:type="pct"/>
            <w:vAlign w:val="center"/>
          </w:tcPr>
          <w:p>
            <w:pPr>
              <w:spacing w:line="340" w:lineRule="exact"/>
              <w:ind w:firstLine="0" w:firstLineChars="0"/>
              <w:jc w:val="center"/>
              <w:rPr>
                <w:sz w:val="21"/>
                <w:szCs w:val="21"/>
              </w:rPr>
            </w:pPr>
            <w:r>
              <w:rPr>
                <w:rFonts w:hint="eastAsia" w:ascii="瀹嬩綋" w:hAnsi="瀹嬩綋" w:eastAsia="瀹嬩綋"/>
                <w:sz w:val="21"/>
                <w:szCs w:val="21"/>
              </w:rPr>
              <w:t>项目包含锦江湿地保护工程、上高县城防洪工程（团结水电站至廊桥左岸段）、上高县城防洪工程（镜山大桥至毛家渡左岸段）、上高县城防洪工程（镜山大桥至石井闸右岸段）和上高县毛家渡抬水坝工程，工程长约</w:t>
            </w:r>
            <w:r>
              <w:rPr>
                <w:rFonts w:eastAsia="Times New Roman"/>
                <w:sz w:val="21"/>
                <w:szCs w:val="21"/>
              </w:rPr>
              <w:t>9.5km</w:t>
            </w:r>
            <w:r>
              <w:rPr>
                <w:rFonts w:hint="eastAsia" w:ascii="瀹嬩綋" w:hAnsi="瀹嬩綋" w:eastAsia="瀹嬩綋"/>
                <w:sz w:val="21"/>
                <w:szCs w:val="21"/>
              </w:rPr>
              <w:t>，堤身加高培厚、岸坡整治加高、护坡护岸等，沿岸巡视检查道总长</w:t>
            </w:r>
            <w:r>
              <w:rPr>
                <w:rFonts w:eastAsia="Times New Roman"/>
                <w:sz w:val="21"/>
                <w:szCs w:val="21"/>
              </w:rPr>
              <w:t>7.843km</w:t>
            </w:r>
            <w:r>
              <w:rPr>
                <w:rFonts w:hint="eastAsia" w:ascii="瀹嬩綋" w:hAnsi="瀹嬩綋" w:eastAsia="瀹嬩綋"/>
                <w:sz w:val="21"/>
                <w:szCs w:val="21"/>
              </w:rPr>
              <w:t>，新建拦河坝一座，加固整治沿岸排水设施</w:t>
            </w:r>
            <w:r>
              <w:rPr>
                <w:rFonts w:eastAsia="Times New Roman"/>
                <w:sz w:val="21"/>
                <w:szCs w:val="21"/>
              </w:rPr>
              <w:t xml:space="preserve">16 </w:t>
            </w:r>
            <w:r>
              <w:rPr>
                <w:rFonts w:hint="eastAsia" w:ascii="瀹嬩綋" w:hAnsi="瀹嬩綋" w:eastAsia="瀹嬩綋"/>
                <w:sz w:val="21"/>
                <w:szCs w:val="21"/>
              </w:rPr>
              <w:t>座。</w:t>
            </w:r>
          </w:p>
        </w:tc>
        <w:tc>
          <w:tcPr>
            <w:tcW w:w="712" w:type="pct"/>
            <w:vAlign w:val="center"/>
          </w:tcPr>
          <w:p>
            <w:pPr>
              <w:spacing w:line="340" w:lineRule="exact"/>
              <w:ind w:firstLine="0" w:firstLineChars="0"/>
              <w:jc w:val="center"/>
              <w:rPr>
                <w:sz w:val="21"/>
                <w:szCs w:val="21"/>
              </w:rPr>
            </w:pPr>
            <w:r>
              <w:rPr>
                <w:rFonts w:hint="eastAsia"/>
                <w:sz w:val="21"/>
                <w:szCs w:val="21"/>
              </w:rPr>
              <w:t>40000万元</w:t>
            </w:r>
          </w:p>
        </w:tc>
        <w:tc>
          <w:tcPr>
            <w:tcW w:w="1000" w:type="pct"/>
            <w:vAlign w:val="center"/>
          </w:tcPr>
          <w:p>
            <w:pPr>
              <w:spacing w:line="340" w:lineRule="exact"/>
              <w:ind w:firstLine="0" w:firstLineChars="0"/>
              <w:jc w:val="center"/>
              <w:rPr>
                <w:sz w:val="21"/>
                <w:szCs w:val="21"/>
              </w:rPr>
            </w:pPr>
            <w:r>
              <w:rPr>
                <w:rFonts w:hint="eastAsia"/>
                <w:sz w:val="21"/>
                <w:szCs w:val="21"/>
              </w:rPr>
              <w:t>上高县水利局</w:t>
            </w:r>
          </w:p>
        </w:tc>
      </w:tr>
    </w:tbl>
    <w:p>
      <w:pPr>
        <w:ind w:firstLine="480"/>
        <w:rPr>
          <w:rFonts w:ascii="宋体" w:hAnsi="宋体" w:cs="宋体"/>
          <w:szCs w:val="24"/>
        </w:rPr>
      </w:pPr>
      <w:r>
        <w:rPr>
          <w:rFonts w:hint="eastAsia" w:ascii="宋体" w:hAnsi="宋体" w:cs="宋体"/>
          <w:szCs w:val="24"/>
        </w:rPr>
        <w:t>从上表可以看出，本项目符合上高县“十四五”生态环境保护规划。</w:t>
      </w:r>
    </w:p>
    <w:p>
      <w:pPr>
        <w:pStyle w:val="6"/>
        <w:spacing w:beforeLines="50" w:afterLines="50"/>
        <w:rPr>
          <w:szCs w:val="28"/>
        </w:rPr>
      </w:pPr>
      <w:bookmarkStart w:id="548" w:name="_Toc529279035"/>
      <w:bookmarkStart w:id="549" w:name="_Toc334643170"/>
      <w:bookmarkStart w:id="550" w:name="_Toc534386268"/>
      <w:bookmarkStart w:id="551" w:name="_Toc3903248"/>
      <w:bookmarkStart w:id="552" w:name="_Toc534807027"/>
      <w:bookmarkStart w:id="553" w:name="_Toc536265111"/>
      <w:bookmarkStart w:id="554" w:name="_Toc17974"/>
      <w:bookmarkStart w:id="555" w:name="_Toc534895244"/>
      <w:r>
        <w:rPr>
          <w:szCs w:val="28"/>
        </w:rPr>
        <w:t>3.</w:t>
      </w:r>
      <w:bookmarkEnd w:id="548"/>
      <w:bookmarkEnd w:id="549"/>
      <w:r>
        <w:rPr>
          <w:rFonts w:hint="eastAsia"/>
          <w:szCs w:val="28"/>
        </w:rPr>
        <w:t>2</w:t>
      </w:r>
      <w:r>
        <w:rPr>
          <w:szCs w:val="28"/>
        </w:rPr>
        <w:t>工程</w:t>
      </w:r>
      <w:r>
        <w:rPr>
          <w:rFonts w:hint="eastAsia"/>
          <w:szCs w:val="28"/>
        </w:rPr>
        <w:t>方案环境</w:t>
      </w:r>
      <w:r>
        <w:rPr>
          <w:szCs w:val="28"/>
        </w:rPr>
        <w:t>合理性分析</w:t>
      </w:r>
      <w:bookmarkEnd w:id="550"/>
      <w:bookmarkEnd w:id="551"/>
      <w:bookmarkEnd w:id="552"/>
      <w:bookmarkEnd w:id="553"/>
      <w:bookmarkEnd w:id="554"/>
      <w:bookmarkEnd w:id="555"/>
    </w:p>
    <w:p>
      <w:pPr>
        <w:pStyle w:val="7"/>
        <w:spacing w:before="120" w:beforeLines="50"/>
        <w:jc w:val="both"/>
        <w:rPr>
          <w:szCs w:val="24"/>
        </w:rPr>
      </w:pPr>
      <w:bookmarkStart w:id="556" w:name="_Toc536265112"/>
      <w:bookmarkStart w:id="557" w:name="_Toc534807028"/>
      <w:bookmarkStart w:id="558" w:name="_Toc534895245"/>
      <w:bookmarkStart w:id="559" w:name="_Toc534386269"/>
      <w:bookmarkStart w:id="560" w:name="_Toc3903249"/>
      <w:r>
        <w:rPr>
          <w:szCs w:val="24"/>
        </w:rPr>
        <w:t>3.</w:t>
      </w:r>
      <w:r>
        <w:rPr>
          <w:rFonts w:hint="eastAsia"/>
          <w:szCs w:val="24"/>
        </w:rPr>
        <w:t>2</w:t>
      </w:r>
      <w:r>
        <w:rPr>
          <w:szCs w:val="24"/>
        </w:rPr>
        <w:t>.1</w:t>
      </w:r>
      <w:bookmarkEnd w:id="556"/>
      <w:bookmarkEnd w:id="557"/>
      <w:bookmarkEnd w:id="558"/>
      <w:bookmarkEnd w:id="559"/>
      <w:bookmarkEnd w:id="560"/>
      <w:r>
        <w:rPr>
          <w:rFonts w:hint="eastAsia"/>
          <w:szCs w:val="24"/>
        </w:rPr>
        <w:t>坝址选择的环境合理性分析</w:t>
      </w:r>
    </w:p>
    <w:p>
      <w:pPr>
        <w:ind w:firstLine="480"/>
      </w:pPr>
      <w:r>
        <w:rPr>
          <w:rFonts w:hint="eastAsia"/>
        </w:rPr>
        <w:t>根据《上高县毛家渡抬水工程可行性研究报告》中，在锦河大桥至庙前村之间选定了3个坝址，具体分别如下：</w:t>
      </w:r>
    </w:p>
    <w:p>
      <w:pPr>
        <w:ind w:firstLine="480"/>
      </w:pPr>
      <w:r>
        <w:t>上坝址：锦河大桥以下约</w:t>
      </w:r>
      <w:r>
        <w:rPr>
          <w:rFonts w:hint="eastAsia"/>
        </w:rPr>
        <w:t>1</w:t>
      </w:r>
      <w:r>
        <w:t>.1km</w:t>
      </w:r>
      <w:r>
        <w:rPr>
          <w:rFonts w:hint="eastAsia"/>
        </w:rPr>
        <w:t>（2</w:t>
      </w:r>
      <w:r>
        <w:t>011</w:t>
      </w:r>
      <w:r>
        <w:rPr>
          <w:rFonts w:hint="eastAsia"/>
        </w:rPr>
        <w:t>版可研报告中上坝址）</w:t>
      </w:r>
      <w:r>
        <w:t>。</w:t>
      </w:r>
    </w:p>
    <w:p>
      <w:pPr>
        <w:ind w:firstLine="480"/>
      </w:pPr>
      <w:r>
        <w:t>中坝址：锦河大桥以下约</w:t>
      </w:r>
      <w:r>
        <w:rPr>
          <w:rFonts w:hint="eastAsia"/>
        </w:rPr>
        <w:t>1</w:t>
      </w:r>
      <w:r>
        <w:t>.4km</w:t>
      </w:r>
      <w:r>
        <w:rPr>
          <w:rFonts w:hint="eastAsia"/>
        </w:rPr>
        <w:t>（2</w:t>
      </w:r>
      <w:r>
        <w:t>011</w:t>
      </w:r>
      <w:r>
        <w:rPr>
          <w:rFonts w:hint="eastAsia"/>
        </w:rPr>
        <w:t>版可研报告中下坝址）</w:t>
      </w:r>
      <w:r>
        <w:t>。</w:t>
      </w:r>
    </w:p>
    <w:p>
      <w:pPr>
        <w:ind w:firstLine="480"/>
      </w:pPr>
      <w:r>
        <w:rPr>
          <w:rFonts w:hint="eastAsia"/>
        </w:rPr>
        <w:t>下</w:t>
      </w:r>
      <w:r>
        <w:t>坝址</w:t>
      </w:r>
      <w:r>
        <w:rPr>
          <w:rFonts w:hint="eastAsia"/>
        </w:rPr>
        <w:t>：</w:t>
      </w:r>
      <w:r>
        <w:t>锦河大桥以下约</w:t>
      </w:r>
      <w:r>
        <w:rPr>
          <w:rFonts w:hint="eastAsia"/>
        </w:rPr>
        <w:t>1</w:t>
      </w:r>
      <w:r>
        <w:t>.8km。</w:t>
      </w:r>
    </w:p>
    <w:p>
      <w:pPr>
        <w:ind w:firstLine="480"/>
      </w:pPr>
      <w:r>
        <w:rPr>
          <w:rFonts w:hint="eastAsia"/>
        </w:rPr>
        <w:t>考虑到本次中坝址位置与规划中的先锋大桥位置基本重叠，根据水闸设计规范，闸址离公路桥宜大于100m，故本次设计不推荐中坝址，重点对上下坝址</w:t>
      </w:r>
      <w:r>
        <w:t>进行了比较确定。</w:t>
      </w:r>
    </w:p>
    <w:p>
      <w:pPr>
        <w:ind w:firstLine="0" w:firstLineChars="0"/>
        <w:jc w:val="center"/>
        <w:rPr>
          <w:rFonts w:ascii="CIDFont+F5" w:eastAsia="CIDFont+F5" w:cs="CIDFont+F5"/>
          <w:kern w:val="0"/>
          <w:szCs w:val="24"/>
        </w:rPr>
      </w:pPr>
      <w:r>
        <w:drawing>
          <wp:inline distT="0" distB="0" distL="114300" distR="114300">
            <wp:extent cx="5772150" cy="3402965"/>
            <wp:effectExtent l="9525" t="9525" r="9525" b="16510"/>
            <wp:docPr id="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7"/>
                    <pic:cNvPicPr>
                      <a:picLocks noChangeAspect="1"/>
                    </pic:cNvPicPr>
                  </pic:nvPicPr>
                  <pic:blipFill>
                    <a:blip r:embed="rId36"/>
                    <a:srcRect l="2039" r="2388" b="1877"/>
                    <a:stretch>
                      <a:fillRect/>
                    </a:stretch>
                  </pic:blipFill>
                  <pic:spPr>
                    <a:xfrm>
                      <a:off x="0" y="0"/>
                      <a:ext cx="5772150" cy="34029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before="120" w:beforeLines="50" w:line="240" w:lineRule="auto"/>
        <w:ind w:firstLine="480"/>
        <w:jc w:val="center"/>
        <w:rPr>
          <w:rFonts w:ascii="黑体" w:hAnsi="黑体" w:eastAsia="黑体" w:cs="CIDFont+F5"/>
          <w:kern w:val="0"/>
          <w:szCs w:val="24"/>
        </w:rPr>
      </w:pPr>
      <w:r>
        <w:rPr>
          <w:rFonts w:hint="eastAsia" w:ascii="黑体" w:hAnsi="黑体" w:eastAsia="黑体" w:cs="CIDFont+F5"/>
          <w:kern w:val="0"/>
          <w:szCs w:val="24"/>
        </w:rPr>
        <w:t>图</w:t>
      </w:r>
      <w:r>
        <w:rPr>
          <w:rFonts w:ascii="黑体" w:hAnsi="黑体" w:eastAsia="黑体" w:cs="CIDFont+F6"/>
          <w:kern w:val="0"/>
          <w:szCs w:val="24"/>
        </w:rPr>
        <w:t>3.2-</w:t>
      </w:r>
      <w:r>
        <w:rPr>
          <w:rFonts w:hint="eastAsia" w:ascii="黑体" w:hAnsi="黑体" w:eastAsia="黑体" w:cs="CIDFont+F6"/>
          <w:kern w:val="0"/>
          <w:szCs w:val="24"/>
        </w:rPr>
        <w:t>1</w:t>
      </w:r>
      <w:r>
        <w:rPr>
          <w:rFonts w:ascii="黑体" w:hAnsi="黑体" w:eastAsia="黑体" w:cs="CIDFont+F6"/>
          <w:kern w:val="0"/>
          <w:szCs w:val="24"/>
        </w:rPr>
        <w:t xml:space="preserve"> </w:t>
      </w:r>
      <w:r>
        <w:rPr>
          <w:rFonts w:hint="eastAsia" w:ascii="黑体" w:hAnsi="黑体" w:eastAsia="黑体" w:cs="CIDFont+F5"/>
          <w:kern w:val="0"/>
          <w:szCs w:val="24"/>
        </w:rPr>
        <w:t>坝址比选示意图</w:t>
      </w:r>
    </w:p>
    <w:p>
      <w:pPr>
        <w:ind w:firstLine="480"/>
      </w:pPr>
      <w:r>
        <w:rPr>
          <w:rFonts w:hint="eastAsia"/>
        </w:rPr>
        <w:t>（1）地形条件</w:t>
      </w:r>
    </w:p>
    <w:p>
      <w:pPr>
        <w:ind w:firstLine="480"/>
      </w:pPr>
      <w:r>
        <w:rPr>
          <w:rFonts w:hint="eastAsia"/>
        </w:rPr>
        <w:t>上坝址</w:t>
      </w:r>
      <w:r>
        <w:t>现状44.50m高程处过流宽度为201m左右，其左侧河漫滩、河谷、右侧河漫滩宽度分别为16m、</w:t>
      </w:r>
      <w:r>
        <w:rPr>
          <w:rFonts w:hint="eastAsia"/>
        </w:rPr>
        <w:t>170</w:t>
      </w:r>
      <w:r>
        <w:t>m、15m，地面高</w:t>
      </w:r>
      <w:r>
        <w:rPr>
          <w:szCs w:val="28"/>
        </w:rPr>
        <w:t>程分别为43.00m</w:t>
      </w:r>
      <w:r>
        <w:rPr>
          <w:rFonts w:hint="eastAsia" w:ascii="宋体" w:hAnsi="宋体" w:cs="宋体"/>
          <w:szCs w:val="28"/>
        </w:rPr>
        <w:t>～</w:t>
      </w:r>
      <w:r>
        <w:rPr>
          <w:szCs w:val="28"/>
        </w:rPr>
        <w:t>44.00m、36.45~38.70m、</w:t>
      </w:r>
      <w:r>
        <w:t>41.30m~43.00m。现状20年一遇洪水(洪水位48.74m)过流宽216m，其左侧河漫滩、河谷、右侧河漫滩宽度分别为21m</w:t>
      </w:r>
      <w:r>
        <w:rPr>
          <w:rFonts w:hint="eastAsia"/>
        </w:rPr>
        <w:t>、170</w:t>
      </w:r>
      <w:r>
        <w:t>m</w:t>
      </w:r>
      <w:r>
        <w:rPr>
          <w:rFonts w:hint="eastAsia"/>
        </w:rPr>
        <w:t>、</w:t>
      </w:r>
      <w:r>
        <w:t>25m，地面高</w:t>
      </w:r>
      <w:r>
        <w:rPr>
          <w:szCs w:val="28"/>
        </w:rPr>
        <w:t>程分别为43.00m</w:t>
      </w:r>
      <w:r>
        <w:rPr>
          <w:rFonts w:hint="eastAsia" w:ascii="宋体" w:hAnsi="宋体" w:cs="宋体"/>
          <w:szCs w:val="28"/>
        </w:rPr>
        <w:t>～</w:t>
      </w:r>
      <w:r>
        <w:rPr>
          <w:szCs w:val="28"/>
        </w:rPr>
        <w:t>49.00m、36.45</w:t>
      </w:r>
      <w:r>
        <w:rPr>
          <w:rFonts w:hint="eastAsia" w:ascii="宋体" w:hAnsi="宋体" w:cs="宋体"/>
          <w:szCs w:val="28"/>
        </w:rPr>
        <w:t>～</w:t>
      </w:r>
      <w:r>
        <w:rPr>
          <w:szCs w:val="28"/>
        </w:rPr>
        <w:t>38.70m、</w:t>
      </w:r>
      <w:r>
        <w:t>41.30m</w:t>
      </w:r>
      <w:r>
        <w:rPr>
          <w:rFonts w:hint="eastAsia" w:ascii="宋体" w:hAnsi="宋体" w:cs="宋体"/>
        </w:rPr>
        <w:t>～</w:t>
      </w:r>
      <w:r>
        <w:t>49.00m。</w:t>
      </w:r>
    </w:p>
    <w:p>
      <w:pPr>
        <w:ind w:firstLine="480"/>
      </w:pPr>
      <w:r>
        <w:rPr>
          <w:rFonts w:hint="eastAsia"/>
        </w:rPr>
        <w:t>下坝址</w:t>
      </w:r>
      <w:r>
        <w:t>现状44.50m高程处过流宽度为198m。现状20年一遇洪水(洪水位48.68m)过流宽250m左右，其左侧河漫滩、河谷、右侧河漫滩宽度分别为18m、182m、</w:t>
      </w:r>
      <w:r>
        <w:rPr>
          <w:rFonts w:hint="eastAsia"/>
        </w:rPr>
        <w:t>50</w:t>
      </w:r>
      <w:r>
        <w:t>m，地面高程分别为41.00m</w:t>
      </w:r>
      <w:r>
        <w:rPr>
          <w:rFonts w:hint="eastAsia" w:ascii="宋体" w:hAnsi="宋体" w:cs="宋体"/>
        </w:rPr>
        <w:t>～</w:t>
      </w:r>
      <w:r>
        <w:t>62.00m、36.20m～38.33m、41.00m</w:t>
      </w:r>
      <w:r>
        <w:rPr>
          <w:rFonts w:hint="eastAsia" w:ascii="宋体" w:hAnsi="宋体" w:cs="宋体"/>
        </w:rPr>
        <w:t>～</w:t>
      </w:r>
      <w:r>
        <w:t>48.00m左右。</w:t>
      </w:r>
    </w:p>
    <w:p>
      <w:pPr>
        <w:ind w:firstLine="480"/>
      </w:pPr>
      <w:r>
        <w:t>从地形上说，</w:t>
      </w:r>
      <w:r>
        <w:rPr>
          <w:rFonts w:hint="eastAsia"/>
        </w:rPr>
        <w:t>上、下</w:t>
      </w:r>
      <w:r>
        <w:t>坝址兴建抬水闸坝后对河道行洪影响</w:t>
      </w:r>
      <w:r>
        <w:rPr>
          <w:rFonts w:hint="eastAsia"/>
        </w:rPr>
        <w:t>都</w:t>
      </w:r>
      <w:r>
        <w:t>不大，</w:t>
      </w:r>
      <w:r>
        <w:rPr>
          <w:rFonts w:hint="eastAsia"/>
        </w:rPr>
        <w:t>但下坝址右岸滩地较宽，利于远期有航道要求时新建船闸</w:t>
      </w:r>
      <w:r>
        <w:t>，</w:t>
      </w:r>
      <w:r>
        <w:rPr>
          <w:rFonts w:hint="eastAsia"/>
        </w:rPr>
        <w:t>上坝址右岸紧临光明堤及锦惠渠，左岸紧靠安置小区，没有远期航道布置空间</w:t>
      </w:r>
      <w:r>
        <w:t>。</w:t>
      </w:r>
    </w:p>
    <w:p>
      <w:pPr>
        <w:ind w:firstLine="480"/>
      </w:pPr>
      <w:r>
        <w:rPr>
          <w:rFonts w:hint="eastAsia"/>
        </w:rPr>
        <w:t>（2）水文和工程地质条件</w:t>
      </w:r>
    </w:p>
    <w:p>
      <w:pPr>
        <w:ind w:firstLine="480"/>
      </w:pPr>
      <w:r>
        <w:t>经地质勘察，</w:t>
      </w:r>
      <w:r>
        <w:rPr>
          <w:rFonts w:hint="eastAsia"/>
        </w:rPr>
        <w:t>上坝址坝基位于弱风化变质砂岩上，地基承载力满足要求，抗滑条件较好，不存在不均匀沉降问题，存在坝基浅层渗漏问题；左岸存在绕渗问题，右岸绕渗问题小。冲刷坑部位上部为薄层卵石，局部弱风化变质砂岩裸露。</w:t>
      </w:r>
    </w:p>
    <w:p>
      <w:pPr>
        <w:ind w:firstLine="480"/>
      </w:pPr>
      <w:r>
        <w:rPr>
          <w:rFonts w:hint="eastAsia"/>
        </w:rPr>
        <w:t>下坝址坝基位于弱风化板岩或弱风化变质砂岩上，应采取相应措施防坝基产生不均匀沉降；坝基局部存在浅层渗漏问题，左岸绕渗问题小，右岸存在绕渗问题。冲刷坑部位上部为砂砾石，其下为强风化板岩，局部为弱风化变质砂岩，砂卵砾石及强风化岩抗冲性能较差。上下坝址的浸没范围基本相同，浸没影响农田约</w:t>
      </w:r>
      <w:r>
        <w:t>25</w:t>
      </w:r>
      <w:r>
        <w:rPr>
          <w:rFonts w:hint="eastAsia"/>
        </w:rPr>
        <w:t>亩左右。</w:t>
      </w:r>
    </w:p>
    <w:p>
      <w:pPr>
        <w:ind w:firstLine="480"/>
      </w:pPr>
      <w:r>
        <w:rPr>
          <w:rFonts w:hint="eastAsia"/>
        </w:rPr>
        <w:t>综合以上分析可以看出二坝址地质条件相差不大，都适合建坝。</w:t>
      </w:r>
    </w:p>
    <w:p>
      <w:pPr>
        <w:numPr>
          <w:ilvl w:val="0"/>
          <w:numId w:val="6"/>
        </w:numPr>
        <w:ind w:firstLine="480"/>
      </w:pPr>
      <w:r>
        <w:rPr>
          <w:rFonts w:hint="eastAsia"/>
        </w:rPr>
        <w:t>对两岸防洪设施的影响</w:t>
      </w:r>
    </w:p>
    <w:p>
      <w:pPr>
        <w:ind w:firstLine="480"/>
      </w:pPr>
      <w:r>
        <w:rPr>
          <w:rFonts w:hint="eastAsia"/>
        </w:rPr>
        <w:t>在规划新建先锋大桥位置与下坝址之间</w:t>
      </w:r>
      <w:r>
        <w:t>0.4</w:t>
      </w:r>
      <w:r>
        <w:rPr>
          <w:rFonts w:hint="eastAsia"/>
        </w:rPr>
        <w:t>km，新建抬水工程后，经过水文分析计算，2</w:t>
      </w:r>
      <w:r>
        <w:t>0</w:t>
      </w:r>
      <w:r>
        <w:rPr>
          <w:rFonts w:hint="eastAsia"/>
        </w:rPr>
        <w:t>年一遇比现状水位最大抬高0</w:t>
      </w:r>
      <w:r>
        <w:t>.18</w:t>
      </w:r>
      <w:r>
        <w:rPr>
          <w:rFonts w:hint="eastAsia"/>
        </w:rPr>
        <w:t>m，1</w:t>
      </w:r>
      <w:r>
        <w:t>0</w:t>
      </w:r>
      <w:r>
        <w:rPr>
          <w:rFonts w:hint="eastAsia"/>
        </w:rPr>
        <w:t>年一遇比现状水位最大抬高0</w:t>
      </w:r>
      <w:r>
        <w:t>.20</w:t>
      </w:r>
      <w:r>
        <w:rPr>
          <w:rFonts w:hint="eastAsia"/>
        </w:rPr>
        <w:t>m。</w:t>
      </w:r>
    </w:p>
    <w:p>
      <w:pPr>
        <w:ind w:firstLine="480"/>
      </w:pPr>
      <w:r>
        <w:rPr>
          <w:rFonts w:hint="eastAsia"/>
        </w:rPr>
        <w:t>拟建下坝址左岸为上高县城防洪工程，设计洪水标准为2</w:t>
      </w:r>
      <w:r>
        <w:t>0</w:t>
      </w:r>
      <w:r>
        <w:rPr>
          <w:rFonts w:hint="eastAsia"/>
        </w:rPr>
        <w:t>年一遇，现状岸坡防洪高程远高设计洪水位，工程措施为岸坡防护，新建抬水工程，只需岸坡的护岸顶高程进行相应的调整，不会造成其他不利影响。</w:t>
      </w:r>
    </w:p>
    <w:p>
      <w:pPr>
        <w:ind w:firstLine="480"/>
        <w:rPr>
          <w:spacing w:val="-2"/>
        </w:rPr>
      </w:pPr>
      <w:r>
        <w:rPr>
          <w:rFonts w:hint="eastAsia"/>
        </w:rPr>
        <w:t>右岸为光明堤（Ⅴ级堤防），已完工项目，工程措施为新建均质土堤，设计洪水标准为1</w:t>
      </w:r>
      <w:r>
        <w:t>0</w:t>
      </w:r>
      <w:r>
        <w:rPr>
          <w:rFonts w:hint="eastAsia"/>
        </w:rPr>
        <w:t>年一遇，堤防超过为</w:t>
      </w:r>
      <w:r>
        <w:t>1.0</w:t>
      </w:r>
      <w:r>
        <w:rPr>
          <w:rFonts w:hint="eastAsia"/>
        </w:rPr>
        <w:t>m。根据上高县统一规划，光明堤堤顶在毛家渡抬水工程新建后要增设砼路，考虑到新建抬水工程较现状最大抬高水位为0</w:t>
      </w:r>
      <w:r>
        <w:t>.2</w:t>
      </w:r>
      <w:r>
        <w:rPr>
          <w:rFonts w:hint="eastAsia"/>
        </w:rPr>
        <w:t>m，砼路面厚度最小0</w:t>
      </w:r>
      <w:r>
        <w:t>.2</w:t>
      </w:r>
      <w:r>
        <w:rPr>
          <w:rFonts w:hint="eastAsia"/>
        </w:rPr>
        <w:t>m，从而光明堤的超过是有保障的，故新建抬水工程后不会对光明堤造成不利影响</w:t>
      </w:r>
      <w:r>
        <w:rPr>
          <w:rFonts w:hint="eastAsia"/>
          <w:spacing w:val="-2"/>
        </w:rPr>
        <w:t>。</w:t>
      </w:r>
    </w:p>
    <w:p>
      <w:pPr>
        <w:ind w:firstLine="480"/>
      </w:pPr>
      <w:r>
        <w:rPr>
          <w:rFonts w:hint="eastAsia"/>
        </w:rPr>
        <w:t>综上，在拟建上坝址新建抬水工程不会对两岸防洪设施的造成不利影响。在拟建下坝址新建抬水工程，仅需调整拟建下坝址左岸上游约</w:t>
      </w:r>
      <w:r>
        <w:t>0.4</w:t>
      </w:r>
      <w:r>
        <w:rPr>
          <w:rFonts w:hint="eastAsia"/>
        </w:rPr>
        <w:t>km的护岸高程，不会造成其他不利影响。</w:t>
      </w:r>
    </w:p>
    <w:p>
      <w:pPr>
        <w:ind w:firstLine="480"/>
      </w:pPr>
      <w:r>
        <w:rPr>
          <w:rFonts w:hint="eastAsia" w:ascii="宋体" w:hAnsi="宋体" w:cs="宋体"/>
        </w:rPr>
        <w:t>(4)</w:t>
      </w:r>
      <w:r>
        <w:t>枢纽布置</w:t>
      </w:r>
    </w:p>
    <w:p>
      <w:pPr>
        <w:ind w:firstLine="480"/>
      </w:pPr>
      <w:r>
        <w:t>本次坝址比较选取同类型的坝型进行比较。</w:t>
      </w:r>
      <w:r>
        <w:rPr>
          <w:rFonts w:hint="eastAsia"/>
        </w:rPr>
        <w:t>抬水</w:t>
      </w:r>
      <w:r>
        <w:t>闸坝</w:t>
      </w:r>
      <w:r>
        <w:rPr>
          <w:rFonts w:hint="eastAsia"/>
        </w:rPr>
        <w:t>中的泄洪闸</w:t>
      </w:r>
      <w:r>
        <w:t>均采用</w:t>
      </w:r>
      <w:r>
        <w:rPr>
          <w:rFonts w:hint="eastAsia"/>
        </w:rPr>
        <w:t>液压坝方案，冲砂闸均为直升钢闸门方案</w:t>
      </w:r>
      <w:r>
        <w:t>。</w:t>
      </w:r>
    </w:p>
    <w:p>
      <w:pPr>
        <w:ind w:firstLine="480"/>
      </w:pPr>
      <w:r>
        <w:rPr>
          <w:rFonts w:hint="eastAsia"/>
        </w:rPr>
        <w:t>上、下坝址抬水工程结构布置相同，均呈“一”字型布置，由泄洪闸和冲砂闸组成，总宽度195.00m。</w:t>
      </w:r>
    </w:p>
    <w:p>
      <w:pPr>
        <w:ind w:firstLine="480"/>
      </w:pPr>
      <w:r>
        <w:rPr>
          <w:rFonts w:hint="eastAsia"/>
        </w:rPr>
        <w:t>1）泄洪闸</w:t>
      </w:r>
    </w:p>
    <w:p>
      <w:pPr>
        <w:ind w:firstLine="480"/>
      </w:pPr>
      <w:r>
        <w:rPr>
          <w:rFonts w:hint="eastAsia"/>
        </w:rPr>
        <w:t>泄洪闸采用液压坝方案，布置在主河槽，挡水总宽为</w:t>
      </w:r>
      <w:r>
        <w:t>160</w:t>
      </w:r>
      <w:r>
        <w:rPr>
          <w:rFonts w:hint="eastAsia"/>
        </w:rPr>
        <w:t>m（含闸墩），共5孔，每孔净宽3</w:t>
      </w:r>
      <w:r>
        <w:t>0m</w:t>
      </w:r>
      <w:r>
        <w:rPr>
          <w:rFonts w:hint="eastAsia"/>
        </w:rPr>
        <w:t>，挡水高度5</w:t>
      </w:r>
      <w:r>
        <w:t>.5</w:t>
      </w:r>
      <w:r>
        <w:rPr>
          <w:rFonts w:hint="eastAsia"/>
        </w:rPr>
        <w:t>m，单扇闸门宽度</w:t>
      </w:r>
      <w:r>
        <w:t>7.5</w:t>
      </w:r>
      <w:r>
        <w:rPr>
          <w:rFonts w:hint="eastAsia"/>
        </w:rPr>
        <w:t>m，共布置</w:t>
      </w:r>
      <w:r>
        <w:t>20</w:t>
      </w:r>
      <w:r>
        <w:rPr>
          <w:rFonts w:hint="eastAsia"/>
        </w:rPr>
        <w:t>扇液压升降闸门（</w:t>
      </w:r>
      <w:r>
        <w:t>5</w:t>
      </w:r>
      <w:r>
        <w:rPr>
          <w:rFonts w:hint="eastAsia"/>
        </w:rPr>
        <w:t>孔相互之间支墩隔开），闸门与闸门紧密相连，之间设置止水，闸门之间均相互独立。液压坝闸室段顺水流方向长</w:t>
      </w:r>
      <w:r>
        <w:t>15</w:t>
      </w:r>
      <w:r>
        <w:rPr>
          <w:rFonts w:hint="eastAsia"/>
        </w:rPr>
        <w:t>m，闸门顶高程4</w:t>
      </w:r>
      <w:r>
        <w:t>4.50</w:t>
      </w:r>
      <w:r>
        <w:rPr>
          <w:rFonts w:hint="eastAsia"/>
        </w:rPr>
        <w:t>m，闸底高程</w:t>
      </w:r>
      <w:r>
        <w:t>39.00</w:t>
      </w:r>
      <w:r>
        <w:rPr>
          <w:rFonts w:hint="eastAsia"/>
        </w:rPr>
        <w:t>m。闸门高 5.</w:t>
      </w:r>
      <w:r>
        <w:t>5</w:t>
      </w:r>
      <w:r>
        <w:rPr>
          <w:rFonts w:hint="eastAsia"/>
        </w:rPr>
        <w:t xml:space="preserve">m，闸门采用底横轴支铰安装方式，每扇闸门设 2 只支铰，分置于闸门底横轴上。每扇闸门分设 2 台液压启闭机和 2 只折叠式支撑杆，上端分别铰接于闸门背水面两侧纵横梁的中上部，下端铰接安装于坝基坑槽中。 </w:t>
      </w:r>
    </w:p>
    <w:p>
      <w:pPr>
        <w:ind w:firstLine="480"/>
      </w:pPr>
      <w:r>
        <w:rPr>
          <w:rFonts w:hint="eastAsia"/>
        </w:rPr>
        <w:t xml:space="preserve">闸室段后接 </w:t>
      </w:r>
      <w:r>
        <w:t>31</w:t>
      </w:r>
      <w:r>
        <w:rPr>
          <w:rFonts w:hint="eastAsia"/>
        </w:rPr>
        <w:t>m 长的消力池，其中斜坡段长11.0m，采用 1：4</w:t>
      </w:r>
      <w:r>
        <w:t>.8</w:t>
      </w:r>
      <w:r>
        <w:rPr>
          <w:rFonts w:hint="eastAsia"/>
        </w:rPr>
        <w:t xml:space="preserve"> 的斜坡连接水平段，水平段长</w:t>
      </w:r>
      <w:r>
        <w:t>20.0</w:t>
      </w:r>
      <w:r>
        <w:rPr>
          <w:rFonts w:hint="eastAsia"/>
        </w:rPr>
        <w:t xml:space="preserve">m，消力池深1.5m。消力池末端设20m长干砌石防冲海漫。 </w:t>
      </w:r>
    </w:p>
    <w:p>
      <w:pPr>
        <w:ind w:firstLine="480"/>
      </w:pPr>
      <w:r>
        <w:t>2</w:t>
      </w:r>
      <w:r>
        <w:rPr>
          <w:rFonts w:hint="eastAsia"/>
        </w:rPr>
        <w:t xml:space="preserve">）冲砂闸 </w:t>
      </w:r>
    </w:p>
    <w:p>
      <w:pPr>
        <w:ind w:firstLine="480"/>
      </w:pPr>
      <w:r>
        <w:rPr>
          <w:rFonts w:hint="eastAsia"/>
        </w:rPr>
        <w:t>冲砂闸位于枢纽左侧，右侧紧靠液压坝，总宽</w:t>
      </w:r>
      <w:r>
        <w:t>35.0</w:t>
      </w:r>
      <w:r>
        <w:rPr>
          <w:rFonts w:hint="eastAsia"/>
        </w:rPr>
        <w:t>m，共</w:t>
      </w:r>
      <w:r>
        <w:t>3</w:t>
      </w:r>
      <w:r>
        <w:rPr>
          <w:rFonts w:hint="eastAsia"/>
        </w:rPr>
        <w:t>孔，单孔净宽</w:t>
      </w:r>
      <w:r>
        <w:t>10</w:t>
      </w:r>
      <w:r>
        <w:rPr>
          <w:rFonts w:hint="eastAsia"/>
        </w:rPr>
        <w:t>m，采用平底直升钢闸门型式，为了便于冲砂及在检修期间宣泄洪水，堰顶比液压坝闸室段堰顶要低</w:t>
      </w:r>
      <w:r>
        <w:t>2.0</w:t>
      </w:r>
      <w:r>
        <w:rPr>
          <w:rFonts w:hint="eastAsia"/>
        </w:rPr>
        <w:t>m，闸底高程3</w:t>
      </w:r>
      <w:r>
        <w:t>7.00</w:t>
      </w:r>
      <w:r>
        <w:rPr>
          <w:rFonts w:hint="eastAsia"/>
        </w:rPr>
        <w:t>m，左右边墩厚1</w:t>
      </w:r>
      <w:r>
        <w:t>.0</w:t>
      </w:r>
      <w:r>
        <w:rPr>
          <w:rFonts w:hint="eastAsia"/>
        </w:rPr>
        <w:t>m，中墩厚1</w:t>
      </w:r>
      <w:r>
        <w:t>.5</w:t>
      </w:r>
      <w:r>
        <w:rPr>
          <w:rFonts w:hint="eastAsia"/>
        </w:rPr>
        <w:t>m，闸顶高程为45.00m。泄水闸顺水流方向底宽</w:t>
      </w:r>
      <w:r>
        <w:t>18.0</w:t>
      </w:r>
      <w:r>
        <w:rPr>
          <w:rFonts w:hint="eastAsia"/>
        </w:rPr>
        <w:t xml:space="preserve">m，其后接 28m 长的消力池，其中斜坡段长 8m，采用 1：4 的斜坡连接水平段，水平段长 </w:t>
      </w:r>
      <w:r>
        <w:t>20</w:t>
      </w:r>
      <w:r>
        <w:rPr>
          <w:rFonts w:hint="eastAsia"/>
        </w:rPr>
        <w:t>m，消力池深度 1.5m。消力池末端设20m长干砌石防冲海漫。</w:t>
      </w:r>
    </w:p>
    <w:p>
      <w:pPr>
        <w:ind w:firstLine="480"/>
      </w:pPr>
      <w:r>
        <w:rPr>
          <w:rFonts w:hint="eastAsia"/>
        </w:rPr>
        <w:t>(5)坝址</w:t>
      </w:r>
      <w:r>
        <w:t>方案比选</w:t>
      </w:r>
    </w:p>
    <w:p>
      <w:pPr>
        <w:ind w:firstLine="480"/>
        <w:rPr>
          <w:rFonts w:eastAsia="黑体"/>
        </w:rPr>
      </w:pPr>
      <w:r>
        <w:t>工程比选结果见表</w:t>
      </w:r>
      <w:r>
        <w:rPr>
          <w:rFonts w:hint="eastAsia" w:eastAsia="黑体"/>
        </w:rPr>
        <w:t>3.2</w:t>
      </w:r>
      <w:r>
        <w:rPr>
          <w:rFonts w:eastAsia="黑体"/>
        </w:rPr>
        <w:t>-</w:t>
      </w:r>
      <w:r>
        <w:rPr>
          <w:rFonts w:hint="eastAsia" w:eastAsia="黑体"/>
        </w:rPr>
        <w:t>1</w:t>
      </w:r>
      <w:r>
        <w:rPr>
          <w:rFonts w:eastAsia="黑体"/>
        </w:rPr>
        <w:t>。</w:t>
      </w:r>
    </w:p>
    <w:p>
      <w:pPr>
        <w:spacing w:before="120" w:beforeLines="50" w:line="240" w:lineRule="auto"/>
        <w:ind w:firstLine="480"/>
        <w:jc w:val="center"/>
        <w:rPr>
          <w:rFonts w:ascii="黑体" w:hAnsi="黑体" w:eastAsia="黑体" w:cs="黑体"/>
          <w:shd w:val="clear" w:color="auto" w:fill="FFFFFF"/>
        </w:rPr>
      </w:pPr>
      <w:r>
        <w:rPr>
          <w:rFonts w:hint="eastAsia" w:ascii="黑体" w:hAnsi="黑体" w:eastAsia="黑体" w:cs="黑体"/>
          <w:shd w:val="clear" w:color="auto" w:fill="FFFFFF"/>
        </w:rPr>
        <w:t>表3.2-1  坝线工程比选结果一览表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5"/>
        <w:gridCol w:w="1358"/>
        <w:gridCol w:w="1098"/>
        <w:gridCol w:w="1393"/>
        <w:gridCol w:w="1243"/>
        <w:gridCol w:w="1243"/>
        <w:gridCol w:w="1004"/>
        <w:gridCol w:w="1020"/>
        <w:gridCol w:w="6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16" w:type="pct"/>
            <w:vAlign w:val="center"/>
          </w:tcPr>
          <w:p>
            <w:pPr>
              <w:pStyle w:val="154"/>
              <w:spacing w:line="340" w:lineRule="exact"/>
              <w:ind w:firstLine="0" w:firstLineChars="0"/>
              <w:rPr>
                <w:rFonts w:eastAsia="宋体"/>
                <w:sz w:val="21"/>
                <w:szCs w:val="21"/>
              </w:rPr>
            </w:pPr>
            <w:r>
              <w:rPr>
                <w:rFonts w:eastAsia="宋体"/>
                <w:sz w:val="21"/>
                <w:szCs w:val="21"/>
              </w:rPr>
              <w:t>坝址</w:t>
            </w:r>
          </w:p>
        </w:tc>
        <w:tc>
          <w:tcPr>
            <w:tcW w:w="709" w:type="pct"/>
            <w:vAlign w:val="center"/>
          </w:tcPr>
          <w:p>
            <w:pPr>
              <w:pStyle w:val="154"/>
              <w:spacing w:line="340" w:lineRule="exact"/>
              <w:ind w:firstLine="0" w:firstLineChars="0"/>
              <w:rPr>
                <w:rFonts w:eastAsia="宋体"/>
                <w:sz w:val="21"/>
                <w:szCs w:val="21"/>
              </w:rPr>
            </w:pPr>
            <w:r>
              <w:rPr>
                <w:rFonts w:eastAsia="宋体"/>
                <w:sz w:val="21"/>
                <w:szCs w:val="21"/>
              </w:rPr>
              <w:t>地形、地质条件</w:t>
            </w:r>
          </w:p>
        </w:tc>
        <w:tc>
          <w:tcPr>
            <w:tcW w:w="573" w:type="pct"/>
            <w:vAlign w:val="center"/>
          </w:tcPr>
          <w:p>
            <w:pPr>
              <w:pStyle w:val="154"/>
              <w:spacing w:line="340" w:lineRule="exact"/>
              <w:ind w:firstLine="0" w:firstLineChars="0"/>
              <w:rPr>
                <w:rFonts w:eastAsia="宋体"/>
                <w:sz w:val="21"/>
                <w:szCs w:val="21"/>
              </w:rPr>
            </w:pPr>
            <w:r>
              <w:rPr>
                <w:rFonts w:eastAsia="宋体"/>
                <w:sz w:val="21"/>
                <w:szCs w:val="21"/>
              </w:rPr>
              <w:t>水流条件</w:t>
            </w:r>
          </w:p>
        </w:tc>
        <w:tc>
          <w:tcPr>
            <w:tcW w:w="727" w:type="pct"/>
            <w:vAlign w:val="center"/>
          </w:tcPr>
          <w:p>
            <w:pPr>
              <w:pStyle w:val="154"/>
              <w:spacing w:line="340" w:lineRule="exact"/>
              <w:ind w:firstLine="0" w:firstLineChars="0"/>
              <w:rPr>
                <w:rFonts w:eastAsia="宋体"/>
                <w:sz w:val="21"/>
                <w:szCs w:val="21"/>
              </w:rPr>
            </w:pPr>
            <w:r>
              <w:rPr>
                <w:rFonts w:eastAsia="宋体"/>
                <w:sz w:val="21"/>
                <w:szCs w:val="21"/>
              </w:rPr>
              <w:t>公路桥附近闸址选择的原则</w:t>
            </w:r>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工程布置、施工条件</w:t>
            </w:r>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管理条件</w:t>
            </w:r>
          </w:p>
        </w:tc>
        <w:tc>
          <w:tcPr>
            <w:tcW w:w="524" w:type="pct"/>
            <w:vAlign w:val="center"/>
          </w:tcPr>
          <w:p>
            <w:pPr>
              <w:pStyle w:val="154"/>
              <w:spacing w:line="340" w:lineRule="exact"/>
              <w:ind w:firstLine="0" w:firstLineChars="0"/>
              <w:rPr>
                <w:rFonts w:eastAsia="宋体"/>
                <w:sz w:val="21"/>
                <w:szCs w:val="21"/>
              </w:rPr>
            </w:pPr>
            <w:r>
              <w:rPr>
                <w:rFonts w:eastAsia="宋体"/>
                <w:sz w:val="21"/>
                <w:szCs w:val="21"/>
              </w:rPr>
              <w:t>工程造价</w:t>
            </w:r>
          </w:p>
        </w:tc>
        <w:tc>
          <w:tcPr>
            <w:tcW w:w="532" w:type="pct"/>
            <w:vAlign w:val="center"/>
          </w:tcPr>
          <w:p>
            <w:pPr>
              <w:pStyle w:val="154"/>
              <w:spacing w:line="340" w:lineRule="exact"/>
              <w:ind w:firstLine="0" w:firstLineChars="0"/>
              <w:rPr>
                <w:rFonts w:eastAsia="宋体"/>
                <w:sz w:val="21"/>
                <w:szCs w:val="21"/>
              </w:rPr>
            </w:pPr>
            <w:r>
              <w:rPr>
                <w:rFonts w:eastAsia="宋体"/>
                <w:sz w:val="21"/>
                <w:szCs w:val="21"/>
              </w:rPr>
              <w:t>选择闸址的其他条件</w:t>
            </w:r>
          </w:p>
        </w:tc>
        <w:tc>
          <w:tcPr>
            <w:tcW w:w="316" w:type="pct"/>
            <w:vAlign w:val="center"/>
          </w:tcPr>
          <w:p>
            <w:pPr>
              <w:pStyle w:val="154"/>
              <w:spacing w:line="340" w:lineRule="exact"/>
              <w:ind w:firstLine="0" w:firstLineChars="0"/>
              <w:rPr>
                <w:rFonts w:eastAsia="宋体"/>
                <w:sz w:val="21"/>
                <w:szCs w:val="21"/>
              </w:rPr>
            </w:pPr>
            <w:r>
              <w:rPr>
                <w:rFonts w:eastAsia="宋体"/>
                <w:sz w:val="21"/>
                <w:szCs w:val="21"/>
              </w:rPr>
              <w:t>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6" w:type="pct"/>
            <w:vAlign w:val="center"/>
          </w:tcPr>
          <w:p>
            <w:pPr>
              <w:pStyle w:val="154"/>
              <w:spacing w:line="340" w:lineRule="exact"/>
              <w:ind w:firstLine="0" w:firstLineChars="0"/>
              <w:rPr>
                <w:rFonts w:eastAsia="宋体"/>
                <w:sz w:val="21"/>
                <w:szCs w:val="21"/>
              </w:rPr>
            </w:pPr>
            <w:r>
              <w:rPr>
                <w:rFonts w:eastAsia="宋体"/>
                <w:sz w:val="21"/>
                <w:szCs w:val="21"/>
              </w:rPr>
              <w:t>上坝址</w:t>
            </w:r>
          </w:p>
        </w:tc>
        <w:tc>
          <w:tcPr>
            <w:tcW w:w="709" w:type="pct"/>
            <w:vAlign w:val="center"/>
          </w:tcPr>
          <w:p>
            <w:pPr>
              <w:pStyle w:val="154"/>
              <w:spacing w:line="340" w:lineRule="exact"/>
              <w:ind w:firstLine="0" w:firstLineChars="0"/>
              <w:rPr>
                <w:rFonts w:eastAsia="宋体"/>
                <w:sz w:val="21"/>
                <w:szCs w:val="21"/>
              </w:rPr>
            </w:pPr>
            <w:r>
              <w:rPr>
                <w:rFonts w:eastAsia="宋体"/>
                <w:sz w:val="21"/>
                <w:szCs w:val="21"/>
              </w:rPr>
              <w:t>左岸用地已被征用，右岸紧靠光明堤及锦惠渠，不便于工程的总体布置；闸基为板岩，基础条件较好</w:t>
            </w:r>
          </w:p>
        </w:tc>
        <w:tc>
          <w:tcPr>
            <w:tcW w:w="573" w:type="pct"/>
            <w:vAlign w:val="center"/>
          </w:tcPr>
          <w:p>
            <w:pPr>
              <w:pStyle w:val="154"/>
              <w:spacing w:line="340" w:lineRule="exact"/>
              <w:ind w:firstLine="0" w:firstLineChars="0"/>
              <w:rPr>
                <w:rFonts w:eastAsia="宋体"/>
                <w:sz w:val="21"/>
                <w:szCs w:val="21"/>
              </w:rPr>
            </w:pPr>
            <w:r>
              <w:rPr>
                <w:rFonts w:eastAsia="宋体"/>
                <w:sz w:val="21"/>
                <w:szCs w:val="21"/>
              </w:rPr>
              <w:t>闸上游300m处有个大弯道，下游顺直，水流条件稍差</w:t>
            </w:r>
          </w:p>
        </w:tc>
        <w:tc>
          <w:tcPr>
            <w:tcW w:w="727" w:type="pct"/>
            <w:vAlign w:val="center"/>
          </w:tcPr>
          <w:p>
            <w:pPr>
              <w:pStyle w:val="154"/>
              <w:spacing w:line="340" w:lineRule="exact"/>
              <w:ind w:firstLine="0" w:firstLineChars="0"/>
              <w:rPr>
                <w:rFonts w:eastAsia="宋体"/>
                <w:sz w:val="21"/>
                <w:szCs w:val="21"/>
              </w:rPr>
            </w:pPr>
            <w:bookmarkStart w:id="561" w:name="_Hlk100564836"/>
            <w:r>
              <w:rPr>
                <w:rFonts w:eastAsia="宋体"/>
                <w:sz w:val="21"/>
                <w:szCs w:val="21"/>
              </w:rPr>
              <w:t>闸址离公路桥大于100m，适宜建址</w:t>
            </w:r>
            <w:bookmarkEnd w:id="561"/>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左侧场地开阔，施工条件较好，但左岸目前已规划为安置小区，且没有空间预留远期航道用地，管理设施也不好布置</w:t>
            </w:r>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管理设施宜布置在左岸，管理条件好</w:t>
            </w:r>
          </w:p>
        </w:tc>
        <w:tc>
          <w:tcPr>
            <w:tcW w:w="524" w:type="pct"/>
            <w:vAlign w:val="center"/>
          </w:tcPr>
          <w:p>
            <w:pPr>
              <w:pStyle w:val="154"/>
              <w:spacing w:line="340" w:lineRule="exact"/>
              <w:ind w:firstLine="0" w:firstLineChars="0"/>
              <w:rPr>
                <w:rFonts w:eastAsia="宋体"/>
                <w:sz w:val="21"/>
                <w:szCs w:val="21"/>
              </w:rPr>
            </w:pPr>
            <w:r>
              <w:rPr>
                <w:rFonts w:eastAsia="宋体"/>
                <w:sz w:val="21"/>
                <w:szCs w:val="21"/>
              </w:rPr>
              <w:t>12114.16万元</w:t>
            </w:r>
          </w:p>
        </w:tc>
        <w:tc>
          <w:tcPr>
            <w:tcW w:w="532" w:type="pct"/>
            <w:vAlign w:val="center"/>
          </w:tcPr>
          <w:p>
            <w:pPr>
              <w:pStyle w:val="154"/>
              <w:spacing w:line="340" w:lineRule="exact"/>
              <w:ind w:firstLine="0" w:firstLineChars="0"/>
              <w:rPr>
                <w:rFonts w:eastAsia="宋体"/>
                <w:sz w:val="21"/>
                <w:szCs w:val="21"/>
              </w:rPr>
            </w:pPr>
            <w:r>
              <w:rPr>
                <w:rFonts w:eastAsia="宋体"/>
                <w:sz w:val="21"/>
                <w:szCs w:val="21"/>
              </w:rPr>
              <w:t>浸没范围约25亩；在规划先锋大桥上游，整体抬水范围稍小，效果稍差</w:t>
            </w:r>
          </w:p>
        </w:tc>
        <w:tc>
          <w:tcPr>
            <w:tcW w:w="316" w:type="pct"/>
            <w:vAlign w:val="center"/>
          </w:tcPr>
          <w:p>
            <w:pPr>
              <w:pStyle w:val="154"/>
              <w:spacing w:line="340" w:lineRule="exact"/>
              <w:ind w:firstLine="0" w:firstLineChars="0"/>
              <w:rPr>
                <w:rFonts w:eastAsia="宋体"/>
                <w:sz w:val="21"/>
                <w:szCs w:val="21"/>
              </w:rPr>
            </w:pPr>
            <w:r>
              <w:rPr>
                <w:rFonts w:eastAsia="宋体"/>
                <w:sz w:val="21"/>
                <w:szCs w:val="21"/>
              </w:rPr>
              <w:t>不推荐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6" w:type="pct"/>
            <w:vAlign w:val="center"/>
          </w:tcPr>
          <w:p>
            <w:pPr>
              <w:pStyle w:val="154"/>
              <w:spacing w:line="340" w:lineRule="exact"/>
              <w:ind w:firstLine="0" w:firstLineChars="0"/>
              <w:rPr>
                <w:rFonts w:eastAsia="宋体"/>
                <w:sz w:val="21"/>
                <w:szCs w:val="21"/>
              </w:rPr>
            </w:pPr>
            <w:r>
              <w:rPr>
                <w:rFonts w:eastAsia="宋体"/>
                <w:sz w:val="21"/>
                <w:szCs w:val="21"/>
              </w:rPr>
              <w:t>中坝址</w:t>
            </w:r>
          </w:p>
        </w:tc>
        <w:tc>
          <w:tcPr>
            <w:tcW w:w="709" w:type="pct"/>
            <w:vAlign w:val="center"/>
          </w:tcPr>
          <w:p>
            <w:pPr>
              <w:pStyle w:val="154"/>
              <w:spacing w:line="340" w:lineRule="exact"/>
              <w:ind w:firstLine="420"/>
              <w:rPr>
                <w:rFonts w:eastAsia="宋体"/>
                <w:sz w:val="21"/>
                <w:szCs w:val="21"/>
              </w:rPr>
            </w:pPr>
          </w:p>
        </w:tc>
        <w:tc>
          <w:tcPr>
            <w:tcW w:w="573" w:type="pct"/>
            <w:vAlign w:val="center"/>
          </w:tcPr>
          <w:p>
            <w:pPr>
              <w:pStyle w:val="154"/>
              <w:spacing w:line="340" w:lineRule="exact"/>
              <w:ind w:firstLine="420"/>
              <w:rPr>
                <w:rFonts w:eastAsia="宋体"/>
                <w:sz w:val="21"/>
                <w:szCs w:val="21"/>
              </w:rPr>
            </w:pPr>
          </w:p>
        </w:tc>
        <w:tc>
          <w:tcPr>
            <w:tcW w:w="727" w:type="pct"/>
            <w:vAlign w:val="center"/>
          </w:tcPr>
          <w:p>
            <w:pPr>
              <w:pStyle w:val="154"/>
              <w:spacing w:line="340" w:lineRule="exact"/>
              <w:ind w:firstLine="0" w:firstLineChars="0"/>
              <w:rPr>
                <w:rFonts w:eastAsia="宋体"/>
                <w:sz w:val="21"/>
                <w:szCs w:val="21"/>
              </w:rPr>
            </w:pPr>
            <w:r>
              <w:rPr>
                <w:rFonts w:eastAsia="宋体"/>
                <w:sz w:val="21"/>
                <w:szCs w:val="21"/>
              </w:rPr>
              <w:t>与规划先锋大桥位置基本重叠，不宜建址</w:t>
            </w:r>
          </w:p>
        </w:tc>
        <w:tc>
          <w:tcPr>
            <w:tcW w:w="649" w:type="pct"/>
            <w:vAlign w:val="center"/>
          </w:tcPr>
          <w:p>
            <w:pPr>
              <w:pStyle w:val="154"/>
              <w:spacing w:line="340" w:lineRule="exact"/>
              <w:ind w:firstLine="420"/>
              <w:rPr>
                <w:rFonts w:eastAsia="宋体"/>
                <w:sz w:val="21"/>
                <w:szCs w:val="21"/>
              </w:rPr>
            </w:pPr>
          </w:p>
        </w:tc>
        <w:tc>
          <w:tcPr>
            <w:tcW w:w="649" w:type="pct"/>
            <w:vAlign w:val="center"/>
          </w:tcPr>
          <w:p>
            <w:pPr>
              <w:pStyle w:val="154"/>
              <w:spacing w:line="340" w:lineRule="exact"/>
              <w:ind w:firstLine="420"/>
              <w:rPr>
                <w:rFonts w:eastAsia="宋体"/>
                <w:sz w:val="21"/>
                <w:szCs w:val="21"/>
              </w:rPr>
            </w:pPr>
          </w:p>
        </w:tc>
        <w:tc>
          <w:tcPr>
            <w:tcW w:w="524" w:type="pct"/>
            <w:vAlign w:val="center"/>
          </w:tcPr>
          <w:p>
            <w:pPr>
              <w:pStyle w:val="154"/>
              <w:spacing w:line="340" w:lineRule="exact"/>
              <w:ind w:firstLine="420"/>
              <w:rPr>
                <w:rFonts w:eastAsia="宋体"/>
                <w:sz w:val="21"/>
                <w:szCs w:val="21"/>
              </w:rPr>
            </w:pPr>
          </w:p>
        </w:tc>
        <w:tc>
          <w:tcPr>
            <w:tcW w:w="532" w:type="pct"/>
            <w:vAlign w:val="center"/>
          </w:tcPr>
          <w:p>
            <w:pPr>
              <w:pStyle w:val="154"/>
              <w:spacing w:line="340" w:lineRule="exact"/>
              <w:ind w:firstLine="420"/>
              <w:rPr>
                <w:rFonts w:eastAsia="宋体"/>
                <w:sz w:val="21"/>
                <w:szCs w:val="21"/>
              </w:rPr>
            </w:pPr>
          </w:p>
        </w:tc>
        <w:tc>
          <w:tcPr>
            <w:tcW w:w="316" w:type="pct"/>
            <w:vAlign w:val="center"/>
          </w:tcPr>
          <w:p>
            <w:pPr>
              <w:pStyle w:val="154"/>
              <w:spacing w:line="340" w:lineRule="exact"/>
              <w:ind w:firstLine="0" w:firstLineChars="0"/>
              <w:rPr>
                <w:rFonts w:eastAsia="宋体"/>
                <w:sz w:val="21"/>
                <w:szCs w:val="21"/>
              </w:rPr>
            </w:pPr>
            <w:r>
              <w:rPr>
                <w:rFonts w:eastAsia="宋体"/>
                <w:sz w:val="21"/>
                <w:szCs w:val="21"/>
              </w:rPr>
              <w:t>不推荐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6" w:type="pct"/>
            <w:vAlign w:val="center"/>
          </w:tcPr>
          <w:p>
            <w:pPr>
              <w:pStyle w:val="154"/>
              <w:spacing w:line="340" w:lineRule="exact"/>
              <w:ind w:firstLine="0" w:firstLineChars="0"/>
              <w:rPr>
                <w:rFonts w:eastAsia="宋体"/>
                <w:sz w:val="21"/>
                <w:szCs w:val="21"/>
              </w:rPr>
            </w:pPr>
            <w:r>
              <w:rPr>
                <w:rFonts w:eastAsia="宋体"/>
                <w:sz w:val="21"/>
                <w:szCs w:val="21"/>
              </w:rPr>
              <w:t>下坝址</w:t>
            </w:r>
          </w:p>
        </w:tc>
        <w:tc>
          <w:tcPr>
            <w:tcW w:w="709" w:type="pct"/>
            <w:vAlign w:val="center"/>
          </w:tcPr>
          <w:p>
            <w:pPr>
              <w:pStyle w:val="154"/>
              <w:spacing w:line="340" w:lineRule="exact"/>
              <w:ind w:firstLine="420"/>
              <w:rPr>
                <w:rFonts w:eastAsia="宋体"/>
                <w:sz w:val="21"/>
                <w:szCs w:val="21"/>
              </w:rPr>
            </w:pPr>
            <w:r>
              <w:rPr>
                <w:rFonts w:eastAsia="宋体"/>
                <w:sz w:val="21"/>
                <w:szCs w:val="21"/>
              </w:rPr>
              <w:t>地形较开阔，便于工程的总体布置；闸基为板岩和砂岩，基础条件较好</w:t>
            </w:r>
          </w:p>
        </w:tc>
        <w:tc>
          <w:tcPr>
            <w:tcW w:w="573" w:type="pct"/>
            <w:vAlign w:val="center"/>
          </w:tcPr>
          <w:p>
            <w:pPr>
              <w:pStyle w:val="154"/>
              <w:spacing w:line="340" w:lineRule="exact"/>
              <w:ind w:firstLine="0" w:firstLineChars="0"/>
              <w:rPr>
                <w:rFonts w:eastAsia="宋体"/>
                <w:sz w:val="21"/>
                <w:szCs w:val="21"/>
              </w:rPr>
            </w:pPr>
            <w:r>
              <w:rPr>
                <w:rFonts w:eastAsia="宋体"/>
                <w:sz w:val="21"/>
                <w:szCs w:val="21"/>
              </w:rPr>
              <w:t>闸上、下游都较顺直，水流条件较好</w:t>
            </w:r>
          </w:p>
        </w:tc>
        <w:tc>
          <w:tcPr>
            <w:tcW w:w="727" w:type="pct"/>
            <w:vAlign w:val="center"/>
          </w:tcPr>
          <w:p>
            <w:pPr>
              <w:pStyle w:val="154"/>
              <w:spacing w:line="340" w:lineRule="exact"/>
              <w:ind w:firstLine="0" w:firstLineChars="0"/>
              <w:rPr>
                <w:rFonts w:eastAsia="宋体"/>
                <w:sz w:val="21"/>
                <w:szCs w:val="21"/>
              </w:rPr>
            </w:pPr>
            <w:r>
              <w:rPr>
                <w:rFonts w:eastAsia="宋体"/>
                <w:sz w:val="21"/>
                <w:szCs w:val="21"/>
              </w:rPr>
              <w:t>闸址离公路桥大于100m，适宜建址</w:t>
            </w:r>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右侧场地开阔，便于枢纽布置，施工条件好，右侧的滩地便于远期航道的布置</w:t>
            </w:r>
          </w:p>
        </w:tc>
        <w:tc>
          <w:tcPr>
            <w:tcW w:w="649" w:type="pct"/>
            <w:vAlign w:val="center"/>
          </w:tcPr>
          <w:p>
            <w:pPr>
              <w:pStyle w:val="154"/>
              <w:spacing w:line="340" w:lineRule="exact"/>
              <w:ind w:firstLine="0" w:firstLineChars="0"/>
              <w:rPr>
                <w:rFonts w:eastAsia="宋体"/>
                <w:sz w:val="21"/>
                <w:szCs w:val="21"/>
              </w:rPr>
            </w:pPr>
            <w:r>
              <w:rPr>
                <w:rFonts w:eastAsia="宋体"/>
                <w:sz w:val="21"/>
                <w:szCs w:val="21"/>
              </w:rPr>
              <w:t>管理设施宜布置在左岸，管理条件较好</w:t>
            </w:r>
          </w:p>
        </w:tc>
        <w:tc>
          <w:tcPr>
            <w:tcW w:w="524" w:type="pct"/>
            <w:vAlign w:val="center"/>
          </w:tcPr>
          <w:p>
            <w:pPr>
              <w:pStyle w:val="154"/>
              <w:spacing w:line="340" w:lineRule="exact"/>
              <w:ind w:firstLine="0" w:firstLineChars="0"/>
              <w:rPr>
                <w:rFonts w:eastAsia="宋体"/>
                <w:sz w:val="21"/>
                <w:szCs w:val="21"/>
              </w:rPr>
            </w:pPr>
            <w:r>
              <w:rPr>
                <w:rFonts w:eastAsia="宋体"/>
                <w:sz w:val="21"/>
                <w:szCs w:val="21"/>
              </w:rPr>
              <w:t>12246.15万元</w:t>
            </w:r>
          </w:p>
        </w:tc>
        <w:tc>
          <w:tcPr>
            <w:tcW w:w="532" w:type="pct"/>
            <w:vAlign w:val="center"/>
          </w:tcPr>
          <w:p>
            <w:pPr>
              <w:pStyle w:val="154"/>
              <w:spacing w:line="340" w:lineRule="exact"/>
              <w:ind w:firstLine="0" w:firstLineChars="0"/>
              <w:rPr>
                <w:rFonts w:eastAsia="宋体"/>
                <w:sz w:val="21"/>
                <w:szCs w:val="21"/>
              </w:rPr>
            </w:pPr>
            <w:r>
              <w:rPr>
                <w:rFonts w:eastAsia="宋体"/>
                <w:sz w:val="21"/>
                <w:szCs w:val="21"/>
              </w:rPr>
              <w:t>浸没范围约25亩。在规划先锋大桥下游，整体抬水范围更大，效果更好</w:t>
            </w:r>
          </w:p>
        </w:tc>
        <w:tc>
          <w:tcPr>
            <w:tcW w:w="316" w:type="pct"/>
            <w:vAlign w:val="center"/>
          </w:tcPr>
          <w:p>
            <w:pPr>
              <w:pStyle w:val="154"/>
              <w:spacing w:line="340" w:lineRule="exact"/>
              <w:ind w:firstLine="0" w:firstLineChars="0"/>
              <w:rPr>
                <w:rFonts w:eastAsia="宋体"/>
                <w:sz w:val="21"/>
                <w:szCs w:val="21"/>
              </w:rPr>
            </w:pPr>
            <w:r>
              <w:rPr>
                <w:rFonts w:eastAsia="宋体"/>
                <w:sz w:val="21"/>
                <w:szCs w:val="21"/>
              </w:rPr>
              <w:t>推荐</w:t>
            </w:r>
          </w:p>
        </w:tc>
      </w:tr>
    </w:tbl>
    <w:p>
      <w:pPr>
        <w:ind w:firstLine="480"/>
      </w:pPr>
      <w:bookmarkStart w:id="562" w:name="_Hlk101124001"/>
      <w:r>
        <w:rPr>
          <w:rFonts w:hint="eastAsia"/>
        </w:rPr>
        <w:t>由上表可知，上坝址左岸用地已被征用，右岸紧靠光明堤及锦惠渠，不便于工程的总体布置，且没有空间预留远期航道用地。下坝址虽然比上坝址多1</w:t>
      </w:r>
      <w:r>
        <w:t>32</w:t>
      </w:r>
      <w:r>
        <w:rPr>
          <w:rFonts w:hint="eastAsia"/>
        </w:rPr>
        <w:t>万元，但其便于枢纽总体布置，左岸阶地设置管理房，刚好与公路衔接，交通便利，右岸开阔，利用远期有通航条件后设置航道。</w:t>
      </w:r>
      <w:r>
        <w:t>综合地形地貌、水文地质及工程地质条件、枢纽布置及投资等各方面比较，毛家渡抬水工程择优选择</w:t>
      </w:r>
      <w:r>
        <w:rPr>
          <w:rFonts w:hint="eastAsia"/>
        </w:rPr>
        <w:t>下</w:t>
      </w:r>
      <w:r>
        <w:t>坝址。</w:t>
      </w:r>
    </w:p>
    <w:bookmarkEnd w:id="562"/>
    <w:p>
      <w:pPr>
        <w:pStyle w:val="7"/>
        <w:spacing w:before="120" w:beforeLines="50"/>
        <w:jc w:val="both"/>
        <w:rPr>
          <w:szCs w:val="24"/>
        </w:rPr>
      </w:pPr>
      <w:r>
        <w:rPr>
          <w:rFonts w:hint="eastAsia"/>
          <w:szCs w:val="24"/>
        </w:rPr>
        <w:t>3.2.2施工规划的环境合理性分析</w:t>
      </w:r>
    </w:p>
    <w:p>
      <w:pPr>
        <w:autoSpaceDE w:val="0"/>
        <w:autoSpaceDN w:val="0"/>
        <w:adjustRightInd w:val="0"/>
        <w:ind w:firstLine="0" w:firstLineChars="0"/>
        <w:rPr>
          <w:b/>
        </w:rPr>
      </w:pPr>
      <w:r>
        <w:rPr>
          <w:b/>
        </w:rPr>
        <w:t>3.2.</w:t>
      </w:r>
      <w:r>
        <w:rPr>
          <w:rFonts w:hint="eastAsia"/>
          <w:b/>
        </w:rPr>
        <w:t>2</w:t>
      </w:r>
      <w:r>
        <w:rPr>
          <w:b/>
        </w:rPr>
        <w:t>.1</w:t>
      </w:r>
      <w:r>
        <w:rPr>
          <w:rFonts w:hAnsi="宋体"/>
          <w:b/>
        </w:rPr>
        <w:t>料场选择的环境合理性</w:t>
      </w:r>
    </w:p>
    <w:p>
      <w:pPr>
        <w:autoSpaceDE w:val="0"/>
        <w:autoSpaceDN w:val="0"/>
        <w:adjustRightInd w:val="0"/>
        <w:ind w:firstLine="480"/>
        <w:rPr>
          <w:color w:val="0000FF"/>
          <w:szCs w:val="24"/>
        </w:rPr>
      </w:pPr>
      <w:r>
        <w:rPr>
          <w:rFonts w:hint="eastAsia"/>
          <w:color w:val="0000FF"/>
          <w:szCs w:val="24"/>
        </w:rPr>
        <w:t>抬水</w:t>
      </w:r>
      <w:r>
        <w:rPr>
          <w:color w:val="0000FF"/>
          <w:szCs w:val="24"/>
        </w:rPr>
        <w:t>工程</w:t>
      </w:r>
      <w:r>
        <w:rPr>
          <w:rFonts w:hint="eastAsia"/>
          <w:color w:val="0000FF"/>
          <w:szCs w:val="24"/>
        </w:rPr>
        <w:t>除利用</w:t>
      </w:r>
      <w:r>
        <w:rPr>
          <w:color w:val="0000FF"/>
          <w:szCs w:val="24"/>
        </w:rPr>
        <w:t>自身开挖</w:t>
      </w:r>
      <w:r>
        <w:rPr>
          <w:rFonts w:hint="eastAsia"/>
          <w:color w:val="0000FF"/>
          <w:szCs w:val="24"/>
        </w:rPr>
        <w:t>土</w:t>
      </w:r>
      <w:r>
        <w:rPr>
          <w:color w:val="0000FF"/>
          <w:szCs w:val="24"/>
        </w:rPr>
        <w:t>料</w:t>
      </w:r>
      <w:r>
        <w:rPr>
          <w:rFonts w:hint="eastAsia"/>
          <w:color w:val="0000FF"/>
          <w:szCs w:val="24"/>
        </w:rPr>
        <w:t>外，还需</w:t>
      </w:r>
      <w:r>
        <w:rPr>
          <w:color w:val="0000FF"/>
          <w:szCs w:val="24"/>
        </w:rPr>
        <w:t>约</w:t>
      </w:r>
      <w:r>
        <w:rPr>
          <w:rFonts w:hint="eastAsia"/>
          <w:color w:val="0000FF"/>
          <w:szCs w:val="24"/>
        </w:rPr>
        <w:t>3.33</w:t>
      </w:r>
      <w:r>
        <w:rPr>
          <w:color w:val="0000FF"/>
          <w:szCs w:val="24"/>
        </w:rPr>
        <w:t>×10</w:t>
      </w:r>
      <w:r>
        <w:rPr>
          <w:color w:val="0000FF"/>
          <w:szCs w:val="24"/>
          <w:vertAlign w:val="superscript"/>
        </w:rPr>
        <w:t>4</w:t>
      </w:r>
      <w:r>
        <w:rPr>
          <w:color w:val="0000FF"/>
          <w:szCs w:val="24"/>
        </w:rPr>
        <w:t>m</w:t>
      </w:r>
      <w:r>
        <w:rPr>
          <w:color w:val="0000FF"/>
          <w:szCs w:val="24"/>
          <w:vertAlign w:val="superscript"/>
        </w:rPr>
        <w:t>3</w:t>
      </w:r>
      <w:r>
        <w:rPr>
          <w:rFonts w:hint="eastAsia"/>
          <w:color w:val="0000FF"/>
          <w:szCs w:val="24"/>
        </w:rPr>
        <w:t>的</w:t>
      </w:r>
      <w:r>
        <w:rPr>
          <w:color w:val="0000FF"/>
          <w:szCs w:val="24"/>
        </w:rPr>
        <w:t>土料</w:t>
      </w:r>
      <w:r>
        <w:rPr>
          <w:rFonts w:hint="eastAsia"/>
          <w:color w:val="0000FF"/>
          <w:szCs w:val="24"/>
        </w:rPr>
        <w:t>（用于闸</w:t>
      </w:r>
      <w:r>
        <w:rPr>
          <w:color w:val="0000FF"/>
          <w:szCs w:val="24"/>
        </w:rPr>
        <w:t>坝及</w:t>
      </w:r>
      <w:r>
        <w:rPr>
          <w:rFonts w:hint="eastAsia"/>
          <w:color w:val="0000FF"/>
          <w:szCs w:val="24"/>
        </w:rPr>
        <w:t>部分</w:t>
      </w:r>
      <w:r>
        <w:rPr>
          <w:color w:val="0000FF"/>
          <w:szCs w:val="24"/>
        </w:rPr>
        <w:t>围堰填</w:t>
      </w:r>
      <w:r>
        <w:rPr>
          <w:rFonts w:hint="eastAsia"/>
          <w:color w:val="0000FF"/>
          <w:szCs w:val="24"/>
        </w:rPr>
        <w:t>筑土</w:t>
      </w:r>
      <w:r>
        <w:rPr>
          <w:color w:val="0000FF"/>
          <w:szCs w:val="24"/>
        </w:rPr>
        <w:t>料</w:t>
      </w:r>
      <w:r>
        <w:rPr>
          <w:rFonts w:hint="eastAsia"/>
          <w:color w:val="0000FF"/>
          <w:szCs w:val="24"/>
        </w:rPr>
        <w:t>），项目设有1个土料场，</w:t>
      </w:r>
      <w:r>
        <w:rPr>
          <w:color w:val="0000FF"/>
          <w:szCs w:val="24"/>
        </w:rPr>
        <w:t>位于</w:t>
      </w:r>
      <w:r>
        <w:rPr>
          <w:rFonts w:hint="eastAsia"/>
          <w:color w:val="0000FF"/>
          <w:szCs w:val="24"/>
        </w:rPr>
        <w:t>先锋村境内</w:t>
      </w:r>
      <w:r>
        <w:rPr>
          <w:color w:val="0000FF"/>
          <w:szCs w:val="24"/>
        </w:rPr>
        <w:t>，</w:t>
      </w:r>
      <w:r>
        <w:rPr>
          <w:rFonts w:hint="eastAsia"/>
          <w:color w:val="0000FF"/>
          <w:szCs w:val="24"/>
        </w:rPr>
        <w:t>为长岭</w:t>
      </w:r>
      <w:r>
        <w:rPr>
          <w:color w:val="0000FF"/>
          <w:szCs w:val="24"/>
        </w:rPr>
        <w:t>山土料场，</w:t>
      </w:r>
      <w:r>
        <w:rPr>
          <w:rFonts w:hint="eastAsia"/>
          <w:color w:val="0000FF"/>
          <w:szCs w:val="24"/>
        </w:rPr>
        <w:t>该</w:t>
      </w:r>
      <w:r>
        <w:rPr>
          <w:color w:val="0000FF"/>
          <w:szCs w:val="24"/>
        </w:rPr>
        <w:t>料场</w:t>
      </w:r>
      <w:r>
        <w:rPr>
          <w:rFonts w:hint="eastAsia"/>
          <w:color w:val="0000FF"/>
          <w:szCs w:val="24"/>
        </w:rPr>
        <w:t>距下坝址右岸</w:t>
      </w:r>
      <w:r>
        <w:rPr>
          <w:color w:val="0000FF"/>
          <w:szCs w:val="24"/>
        </w:rPr>
        <w:t>运距</w:t>
      </w:r>
      <w:r>
        <w:rPr>
          <w:rFonts w:hint="eastAsia"/>
          <w:color w:val="0000FF"/>
          <w:szCs w:val="24"/>
        </w:rPr>
        <w:t>8</w:t>
      </w:r>
      <w:r>
        <w:rPr>
          <w:color w:val="0000FF"/>
          <w:szCs w:val="24"/>
        </w:rPr>
        <w:t>km</w:t>
      </w:r>
      <w:r>
        <w:rPr>
          <w:rFonts w:hint="eastAsia"/>
          <w:color w:val="0000FF"/>
          <w:szCs w:val="24"/>
        </w:rPr>
        <w:t>，</w:t>
      </w:r>
      <w:r>
        <w:rPr>
          <w:color w:val="0000FF"/>
          <w:szCs w:val="24"/>
        </w:rPr>
        <w:t>局部地段需修建临时公路</w:t>
      </w:r>
      <w:r>
        <w:rPr>
          <w:rFonts w:hint="eastAsia"/>
          <w:color w:val="0000FF"/>
          <w:szCs w:val="24"/>
        </w:rPr>
        <w:t>约1</w:t>
      </w:r>
      <w:r>
        <w:rPr>
          <w:color w:val="0000FF"/>
          <w:szCs w:val="24"/>
        </w:rPr>
        <w:t>.0</w:t>
      </w:r>
      <w:r>
        <w:rPr>
          <w:rFonts w:hint="eastAsia"/>
          <w:color w:val="0000FF"/>
          <w:szCs w:val="24"/>
        </w:rPr>
        <w:t>km，见图2.10</w:t>
      </w:r>
      <w:r>
        <w:rPr>
          <w:color w:val="0000FF"/>
          <w:szCs w:val="24"/>
        </w:rPr>
        <w:t>-1</w:t>
      </w:r>
      <w:r>
        <w:rPr>
          <w:rFonts w:hint="eastAsia"/>
          <w:color w:val="0000FF"/>
          <w:szCs w:val="24"/>
        </w:rPr>
        <w:t>。</w:t>
      </w:r>
    </w:p>
    <w:p>
      <w:pPr>
        <w:autoSpaceDE w:val="0"/>
        <w:autoSpaceDN w:val="0"/>
        <w:adjustRightInd w:val="0"/>
        <w:ind w:firstLine="480"/>
        <w:rPr>
          <w:rFonts w:hAnsi="宋体"/>
          <w:color w:val="0000FF"/>
        </w:rPr>
      </w:pPr>
      <w:r>
        <w:rPr>
          <w:color w:val="0000FF"/>
          <w:szCs w:val="24"/>
        </w:rPr>
        <w:t>土料场</w:t>
      </w:r>
      <w:r>
        <w:rPr>
          <w:rFonts w:hint="eastAsia"/>
          <w:color w:val="0000FF"/>
          <w:szCs w:val="24"/>
        </w:rPr>
        <w:t>占地</w:t>
      </w:r>
      <w:r>
        <w:rPr>
          <w:color w:val="0000FF"/>
          <w:szCs w:val="24"/>
        </w:rPr>
        <w:t>面积共计</w:t>
      </w:r>
      <w:r>
        <w:rPr>
          <w:rFonts w:hint="eastAsia"/>
          <w:color w:val="0000FF"/>
          <w:szCs w:val="24"/>
        </w:rPr>
        <w:t>10亩</w:t>
      </w:r>
      <w:r>
        <w:rPr>
          <w:color w:val="0000FF"/>
          <w:szCs w:val="24"/>
        </w:rPr>
        <w:t>，</w:t>
      </w:r>
      <w:r>
        <w:rPr>
          <w:rFonts w:hint="eastAsia" w:hAnsi="宋体"/>
          <w:color w:val="0000FF"/>
        </w:rPr>
        <w:t>地形上为楔形状山脊，占地类型主要为灌木丛地，开采条件较好，开采活动对地表植被的破坏较小，未发现珍稀野生动植物分布，也不涉及风景名胜区、地质公园、地质遗迹、文物保护单位、水源保护区等环境敏感区；</w:t>
      </w:r>
      <w:r>
        <w:rPr>
          <w:rFonts w:hint="eastAsia"/>
          <w:color w:val="0000FF"/>
          <w:szCs w:val="24"/>
        </w:rPr>
        <w:t>取土场高程68</w:t>
      </w:r>
      <w:r>
        <w:rPr>
          <w:color w:val="0000FF"/>
          <w:szCs w:val="24"/>
        </w:rPr>
        <w:t>m</w:t>
      </w:r>
      <w:r>
        <w:rPr>
          <w:rFonts w:hint="eastAsia"/>
          <w:color w:val="0000FF"/>
          <w:szCs w:val="24"/>
        </w:rPr>
        <w:t>，高于50年一遇设计洪水位；</w:t>
      </w:r>
      <w:r>
        <w:rPr>
          <w:rFonts w:hint="eastAsia" w:hAnsi="宋体"/>
          <w:color w:val="0000FF"/>
        </w:rPr>
        <w:t>料场开采深度岩溶洞穴不发育，无泉点分布，开采层位于地下水水位之上，不影响地下水。料场周边</w:t>
      </w:r>
      <w:r>
        <w:rPr>
          <w:rFonts w:hAnsi="宋体"/>
          <w:color w:val="0000FF"/>
        </w:rPr>
        <w:t>500m</w:t>
      </w:r>
      <w:r>
        <w:rPr>
          <w:rFonts w:hint="eastAsia" w:hAnsi="宋体"/>
          <w:color w:val="0000FF"/>
        </w:rPr>
        <w:t>范围内仅有白溪村居民点分布，项目土料场</w:t>
      </w:r>
      <w:r>
        <w:rPr>
          <w:rFonts w:hAnsi="宋体"/>
          <w:color w:val="0000FF"/>
        </w:rPr>
        <w:t>做好表土剥离、排水、边坡防护以及下边坡的临时拦挡等防护措施</w:t>
      </w:r>
      <w:r>
        <w:rPr>
          <w:rFonts w:hint="eastAsia" w:hAnsi="宋体"/>
          <w:color w:val="0000FF"/>
        </w:rPr>
        <w:t>后，土料场开采对周边环境影响较小。并且料场做好以下措施：</w:t>
      </w:r>
    </w:p>
    <w:p>
      <w:pPr>
        <w:autoSpaceDE w:val="0"/>
        <w:autoSpaceDN w:val="0"/>
        <w:adjustRightInd w:val="0"/>
        <w:ind w:firstLine="480"/>
        <w:rPr>
          <w:rFonts w:hAnsi="宋体"/>
          <w:color w:val="0000FF"/>
        </w:rPr>
      </w:pPr>
      <w:r>
        <w:rPr>
          <w:rFonts w:hint="eastAsia" w:hAnsi="宋体"/>
          <w:color w:val="0000FF"/>
        </w:rPr>
        <w:t>料场开采前，在开采边界以外沿等高线修筑排水沟，排走坡面来水，以免雨季产生地表径流冲刷开挖面形成各种形式的水土流失。料场开采剥离的表层土，集中堆放在地势比较平缓的地面上或开挖平台上，堆置高度不高于3.5m，堆置边坡比控制在1:2.0 以内，并在边坡坡脚修筑装土草袋临时挡土墙进行挡土；土料场开挖边坡坡比控制在1:1.5 以内，开挖平台修筑排水土沟；取土结束后，采用土地整治和覆土措施，并且选择合适季节进行造林种草，重建植被。排水沟采用M7.5 浆砌石衬砌，厚20cm；M10 水泥砂浆抹面，厚2cm；过水断面采用梯形断面，尺寸为0.4m×0.6m（底宽×深），边坡为1：0.3；为避免排水沟基础不均匀沉陷，排水沟底部设置5cm 厚的碎石垫层。</w:t>
      </w:r>
    </w:p>
    <w:p>
      <w:pPr>
        <w:autoSpaceDE w:val="0"/>
        <w:autoSpaceDN w:val="0"/>
        <w:adjustRightInd w:val="0"/>
        <w:ind w:firstLine="480"/>
        <w:rPr>
          <w:rFonts w:hAnsi="宋体"/>
          <w:color w:val="0000FF"/>
        </w:rPr>
      </w:pPr>
      <w:r>
        <w:rPr>
          <w:rFonts w:hint="eastAsia" w:hAnsi="宋体"/>
          <w:color w:val="0000FF"/>
        </w:rPr>
        <w:t>植物措施技术要求：</w:t>
      </w:r>
    </w:p>
    <w:p>
      <w:pPr>
        <w:autoSpaceDE w:val="0"/>
        <w:autoSpaceDN w:val="0"/>
        <w:adjustRightInd w:val="0"/>
        <w:ind w:firstLine="480"/>
        <w:rPr>
          <w:rFonts w:hAnsi="宋体"/>
          <w:color w:val="0000FF"/>
        </w:rPr>
      </w:pPr>
      <w:r>
        <w:rPr>
          <w:rFonts w:hint="eastAsia" w:hAnsi="宋体"/>
          <w:color w:val="0000FF"/>
        </w:rPr>
        <w:t>①造林种草地点：土料场开挖裸露面、因堆放表层土而破坏植被的地面。-171-</w:t>
      </w:r>
    </w:p>
    <w:p>
      <w:pPr>
        <w:autoSpaceDE w:val="0"/>
        <w:autoSpaceDN w:val="0"/>
        <w:adjustRightInd w:val="0"/>
        <w:ind w:firstLine="480"/>
        <w:rPr>
          <w:rFonts w:hAnsi="宋体"/>
          <w:color w:val="0000FF"/>
        </w:rPr>
      </w:pPr>
      <w:r>
        <w:rPr>
          <w:rFonts w:hint="eastAsia" w:hAnsi="宋体"/>
          <w:color w:val="0000FF"/>
        </w:rPr>
        <w:t>②造林种草种类：湿地松、混合草种（百喜草、狗牙根草两种或两种以上混</w:t>
      </w:r>
    </w:p>
    <w:p>
      <w:pPr>
        <w:autoSpaceDE w:val="0"/>
        <w:autoSpaceDN w:val="0"/>
        <w:adjustRightInd w:val="0"/>
        <w:ind w:firstLine="480"/>
        <w:rPr>
          <w:rFonts w:hAnsi="宋体"/>
          <w:color w:val="0000FF"/>
        </w:rPr>
      </w:pPr>
      <w:r>
        <w:rPr>
          <w:rFonts w:hint="eastAsia" w:hAnsi="宋体"/>
          <w:color w:val="0000FF"/>
        </w:rPr>
        <w:t>合）；代替树种为火炬松、马尾松。</w:t>
      </w:r>
    </w:p>
    <w:p>
      <w:pPr>
        <w:autoSpaceDE w:val="0"/>
        <w:autoSpaceDN w:val="0"/>
        <w:adjustRightInd w:val="0"/>
        <w:ind w:firstLine="480"/>
        <w:rPr>
          <w:rFonts w:hAnsi="宋体"/>
          <w:color w:val="0000FF"/>
        </w:rPr>
      </w:pPr>
      <w:r>
        <w:rPr>
          <w:rFonts w:hint="eastAsia" w:hAnsi="宋体"/>
          <w:color w:val="0000FF"/>
        </w:rPr>
        <w:t>③苗木规格：湿地松地径2cm。</w:t>
      </w:r>
    </w:p>
    <w:p>
      <w:pPr>
        <w:autoSpaceDE w:val="0"/>
        <w:autoSpaceDN w:val="0"/>
        <w:adjustRightInd w:val="0"/>
        <w:ind w:firstLine="480"/>
        <w:rPr>
          <w:rFonts w:hAnsi="宋体"/>
          <w:color w:val="0000FF"/>
        </w:rPr>
      </w:pPr>
      <w:r>
        <w:rPr>
          <w:rFonts w:hint="eastAsia" w:hAnsi="宋体"/>
          <w:color w:val="0000FF"/>
        </w:rPr>
        <w:t>④造林季节：春季或秋季</w:t>
      </w:r>
    </w:p>
    <w:p>
      <w:pPr>
        <w:autoSpaceDE w:val="0"/>
        <w:autoSpaceDN w:val="0"/>
        <w:adjustRightInd w:val="0"/>
        <w:ind w:firstLine="480"/>
        <w:rPr>
          <w:rFonts w:hAnsi="宋体"/>
          <w:color w:val="0000FF"/>
        </w:rPr>
      </w:pPr>
      <w:r>
        <w:rPr>
          <w:rFonts w:hint="eastAsia" w:hAnsi="宋体"/>
          <w:color w:val="0000FF"/>
        </w:rPr>
        <w:t>⑤整地方式：穴状整地，湿地松穴规格40cm×40cm×40cm，保证充分伸展不</w:t>
      </w:r>
    </w:p>
    <w:p>
      <w:pPr>
        <w:autoSpaceDE w:val="0"/>
        <w:autoSpaceDN w:val="0"/>
        <w:adjustRightInd w:val="0"/>
        <w:ind w:firstLine="480"/>
        <w:rPr>
          <w:rFonts w:hAnsi="宋体"/>
          <w:color w:val="0000FF"/>
        </w:rPr>
      </w:pPr>
      <w:r>
        <w:rPr>
          <w:rFonts w:hint="eastAsia" w:hAnsi="宋体"/>
          <w:color w:val="0000FF"/>
        </w:rPr>
        <w:t>窝根，苗木栽植深度超过苗木根颈处原土痕2～3cm 即可。</w:t>
      </w:r>
    </w:p>
    <w:p>
      <w:pPr>
        <w:autoSpaceDE w:val="0"/>
        <w:autoSpaceDN w:val="0"/>
        <w:adjustRightInd w:val="0"/>
        <w:ind w:firstLine="480"/>
        <w:rPr>
          <w:rFonts w:hAnsi="宋体"/>
          <w:color w:val="0000FF"/>
        </w:rPr>
      </w:pPr>
      <w:r>
        <w:rPr>
          <w:rFonts w:hint="eastAsia" w:hAnsi="宋体"/>
          <w:color w:val="0000FF"/>
        </w:rPr>
        <w:t>因此，从环境保护角度，本工程料场布置基本合理。</w:t>
      </w:r>
    </w:p>
    <w:p>
      <w:pPr>
        <w:autoSpaceDE w:val="0"/>
        <w:autoSpaceDN w:val="0"/>
        <w:adjustRightInd w:val="0"/>
        <w:ind w:firstLine="480"/>
        <w:rPr>
          <w:rFonts w:hAnsi="宋体"/>
          <w:color w:val="0000FF"/>
        </w:rPr>
      </w:pPr>
      <w:r>
        <w:rPr>
          <w:rFonts w:hint="eastAsia" w:hAnsi="宋体"/>
          <w:color w:val="0000FF"/>
        </w:rPr>
        <w:t>工程使用的</w:t>
      </w:r>
      <w:r>
        <w:rPr>
          <w:color w:val="0000FF"/>
        </w:rPr>
        <w:t>砂（卵石）料</w:t>
      </w:r>
      <w:r>
        <w:rPr>
          <w:rFonts w:hint="eastAsia"/>
          <w:color w:val="0000FF"/>
        </w:rPr>
        <w:t>、</w:t>
      </w:r>
      <w:r>
        <w:rPr>
          <w:color w:val="0000FF"/>
        </w:rPr>
        <w:t>块、碎石料</w:t>
      </w:r>
      <w:r>
        <w:rPr>
          <w:rFonts w:hint="eastAsia" w:hAnsi="宋体"/>
          <w:color w:val="0000FF"/>
        </w:rPr>
        <w:t>在上高县城附近砂石料场购买，施工时不单独设置集中砂、石料场，对环境产生的影响较小。</w:t>
      </w:r>
    </w:p>
    <w:p>
      <w:pPr>
        <w:autoSpaceDE w:val="0"/>
        <w:autoSpaceDN w:val="0"/>
        <w:adjustRightInd w:val="0"/>
        <w:spacing w:before="120" w:beforeLines="50"/>
        <w:ind w:firstLine="0" w:firstLineChars="0"/>
        <w:rPr>
          <w:b/>
        </w:rPr>
      </w:pPr>
      <w:r>
        <w:rPr>
          <w:b/>
        </w:rPr>
        <w:t>3.2.</w:t>
      </w:r>
      <w:r>
        <w:rPr>
          <w:rFonts w:hint="eastAsia"/>
          <w:b/>
        </w:rPr>
        <w:t>2</w:t>
      </w:r>
      <w:r>
        <w:rPr>
          <w:b/>
        </w:rPr>
        <w:t>.</w:t>
      </w:r>
      <w:r>
        <w:rPr>
          <w:rFonts w:hint="eastAsia"/>
          <w:b/>
        </w:rPr>
        <w:t>2弃渣场选择的环境合理性</w:t>
      </w:r>
    </w:p>
    <w:p>
      <w:pPr>
        <w:autoSpaceDE w:val="0"/>
        <w:autoSpaceDN w:val="0"/>
        <w:adjustRightInd w:val="0"/>
        <w:ind w:firstLine="480"/>
        <w:rPr>
          <w:color w:val="0000FF"/>
          <w:kern w:val="0"/>
          <w:szCs w:val="24"/>
        </w:rPr>
      </w:pPr>
      <w:r>
        <w:rPr>
          <w:color w:val="0000FF"/>
          <w:kern w:val="0"/>
          <w:szCs w:val="24"/>
        </w:rPr>
        <w:t>根据</w:t>
      </w:r>
      <w:r>
        <w:rPr>
          <w:color w:val="0000FF"/>
          <w:szCs w:val="24"/>
        </w:rPr>
        <w:t>工程</w:t>
      </w:r>
      <w:r>
        <w:rPr>
          <w:color w:val="0000FF"/>
          <w:kern w:val="0"/>
          <w:szCs w:val="24"/>
        </w:rPr>
        <w:t>土石方平衡及最终调配情况，项目选定了</w:t>
      </w:r>
      <w:r>
        <w:rPr>
          <w:rFonts w:hint="eastAsia"/>
          <w:color w:val="0000FF"/>
          <w:kern w:val="0"/>
          <w:szCs w:val="24"/>
        </w:rPr>
        <w:t>1</w:t>
      </w:r>
      <w:r>
        <w:rPr>
          <w:color w:val="0000FF"/>
          <w:kern w:val="0"/>
          <w:szCs w:val="24"/>
        </w:rPr>
        <w:t>处弃渣场，</w:t>
      </w:r>
      <w:r>
        <w:rPr>
          <w:rFonts w:hAnsi="宋体"/>
          <w:color w:val="0000FF"/>
          <w:szCs w:val="24"/>
        </w:rPr>
        <w:t>位于主体工程</w:t>
      </w:r>
      <w:r>
        <w:rPr>
          <w:rFonts w:hint="eastAsia" w:hAnsi="宋体"/>
          <w:color w:val="0000FF"/>
          <w:szCs w:val="24"/>
        </w:rPr>
        <w:t>右</w:t>
      </w:r>
      <w:r>
        <w:rPr>
          <w:rFonts w:hAnsi="宋体"/>
          <w:color w:val="0000FF"/>
          <w:szCs w:val="24"/>
        </w:rPr>
        <w:t>岸</w:t>
      </w:r>
      <w:r>
        <w:rPr>
          <w:rFonts w:hint="eastAsia" w:hAnsi="宋体"/>
          <w:color w:val="0000FF"/>
          <w:szCs w:val="24"/>
        </w:rPr>
        <w:t>上游石井闸</w:t>
      </w:r>
      <w:r>
        <w:rPr>
          <w:rFonts w:hAnsi="宋体"/>
          <w:color w:val="0000FF"/>
          <w:szCs w:val="24"/>
        </w:rPr>
        <w:t>附近，占地面积共</w:t>
      </w:r>
      <w:r>
        <w:rPr>
          <w:color w:val="0000FF"/>
          <w:kern w:val="0"/>
          <w:szCs w:val="24"/>
        </w:rPr>
        <w:t>计</w:t>
      </w:r>
      <w:r>
        <w:rPr>
          <w:rFonts w:hint="eastAsia"/>
          <w:color w:val="0000FF"/>
          <w:kern w:val="0"/>
          <w:szCs w:val="24"/>
        </w:rPr>
        <w:t>59.6亩</w:t>
      </w:r>
      <w:r>
        <w:rPr>
          <w:color w:val="0000FF"/>
          <w:kern w:val="0"/>
          <w:szCs w:val="24"/>
        </w:rPr>
        <w:t>，弃渣来源主要为泄洪闸及冲砂闸土石方开挖，上下游护岸土方开挖，临时工程拆除等。其选址环境合理性分析如下：</w:t>
      </w:r>
    </w:p>
    <w:p>
      <w:pPr>
        <w:ind w:firstLine="480"/>
        <w:rPr>
          <w:color w:val="0000FF"/>
          <w:szCs w:val="24"/>
        </w:rPr>
      </w:pPr>
      <w:r>
        <w:rPr>
          <w:rFonts w:hint="eastAsia"/>
          <w:color w:val="0000FF"/>
          <w:szCs w:val="24"/>
        </w:rPr>
        <w:t>(1)容量</w:t>
      </w:r>
    </w:p>
    <w:p>
      <w:pPr>
        <w:ind w:firstLine="480"/>
        <w:rPr>
          <w:color w:val="0000FF"/>
          <w:szCs w:val="24"/>
        </w:rPr>
      </w:pPr>
      <w:r>
        <w:rPr>
          <w:color w:val="0000FF"/>
          <w:szCs w:val="24"/>
        </w:rPr>
        <w:t>弃渣场分别位于坝址右岸上游，为</w:t>
      </w:r>
      <w:r>
        <w:rPr>
          <w:rFonts w:hint="eastAsia"/>
          <w:color w:val="0000FF"/>
          <w:szCs w:val="24"/>
        </w:rPr>
        <w:t>沟道</w:t>
      </w:r>
      <w:r>
        <w:rPr>
          <w:color w:val="0000FF"/>
          <w:szCs w:val="24"/>
        </w:rPr>
        <w:t>型弃渣场，占地类型为荒草地。设计弃渣场容量为</w:t>
      </w:r>
      <w:r>
        <w:rPr>
          <w:rFonts w:hint="eastAsia"/>
          <w:color w:val="0000FF"/>
          <w:szCs w:val="24"/>
        </w:rPr>
        <w:t>6.0</w:t>
      </w:r>
      <w:r>
        <w:rPr>
          <w:color w:val="0000FF"/>
          <w:szCs w:val="24"/>
        </w:rPr>
        <w:t>万m</w:t>
      </w:r>
      <w:r>
        <w:rPr>
          <w:color w:val="0000FF"/>
          <w:szCs w:val="24"/>
          <w:vertAlign w:val="superscript"/>
        </w:rPr>
        <w:t>3</w:t>
      </w:r>
      <w:r>
        <w:rPr>
          <w:color w:val="0000FF"/>
          <w:szCs w:val="24"/>
        </w:rPr>
        <w:t>，最大堆渣高度约5.5m，平均堆渣高度约为3.0m，本项目实际弃方量</w:t>
      </w:r>
      <w:r>
        <w:rPr>
          <w:rFonts w:hint="eastAsia"/>
          <w:color w:val="0000FF"/>
          <w:szCs w:val="24"/>
        </w:rPr>
        <w:t>3.65</w:t>
      </w:r>
      <w:r>
        <w:rPr>
          <w:color w:val="0000FF"/>
          <w:szCs w:val="24"/>
        </w:rPr>
        <w:t>万m</w:t>
      </w:r>
      <w:r>
        <w:rPr>
          <w:color w:val="0000FF"/>
          <w:szCs w:val="24"/>
          <w:vertAlign w:val="superscript"/>
        </w:rPr>
        <w:t>3</w:t>
      </w:r>
      <w:r>
        <w:rPr>
          <w:color w:val="0000FF"/>
          <w:szCs w:val="24"/>
        </w:rPr>
        <w:t>，能满足本项目的弃渣要求。</w:t>
      </w:r>
    </w:p>
    <w:p>
      <w:pPr>
        <w:autoSpaceDE w:val="0"/>
        <w:autoSpaceDN w:val="0"/>
        <w:adjustRightInd w:val="0"/>
        <w:ind w:firstLine="480"/>
        <w:rPr>
          <w:color w:val="0000FF"/>
          <w:szCs w:val="24"/>
        </w:rPr>
      </w:pPr>
      <w:r>
        <w:rPr>
          <w:rFonts w:hint="eastAsia"/>
          <w:color w:val="0000FF"/>
          <w:szCs w:val="24"/>
        </w:rPr>
        <w:t>(2)行洪</w:t>
      </w:r>
    </w:p>
    <w:p>
      <w:pPr>
        <w:autoSpaceDE w:val="0"/>
        <w:autoSpaceDN w:val="0"/>
        <w:adjustRightInd w:val="0"/>
        <w:ind w:firstLine="480"/>
        <w:rPr>
          <w:color w:val="0000FF"/>
          <w:szCs w:val="24"/>
        </w:rPr>
      </w:pPr>
      <w:r>
        <w:rPr>
          <w:rFonts w:hint="eastAsia"/>
          <w:color w:val="0000FF"/>
          <w:szCs w:val="24"/>
        </w:rPr>
        <w:t>工程规划弃渣场高程为44.2</w:t>
      </w:r>
      <w:r>
        <w:rPr>
          <w:color w:val="0000FF"/>
          <w:szCs w:val="24"/>
        </w:rPr>
        <w:t>m</w:t>
      </w:r>
      <w:r>
        <w:rPr>
          <w:rFonts w:hint="eastAsia"/>
          <w:color w:val="0000FF"/>
          <w:szCs w:val="24"/>
        </w:rPr>
        <w:t>～48.5</w:t>
      </w:r>
      <w:r>
        <w:rPr>
          <w:color w:val="0000FF"/>
          <w:szCs w:val="24"/>
        </w:rPr>
        <w:t>m</w:t>
      </w:r>
      <w:r>
        <w:rPr>
          <w:rFonts w:hint="eastAsia"/>
          <w:color w:val="0000FF"/>
          <w:szCs w:val="24"/>
        </w:rPr>
        <w:t>，根据工程施工组织设计，</w:t>
      </w:r>
      <w:r>
        <w:rPr>
          <w:color w:val="0000FF"/>
          <w:szCs w:val="24"/>
        </w:rPr>
        <w:t>工程</w:t>
      </w:r>
      <w:r>
        <w:rPr>
          <w:rFonts w:hint="eastAsia"/>
          <w:color w:val="0000FF"/>
          <w:szCs w:val="24"/>
        </w:rPr>
        <w:t>施工选择</w:t>
      </w:r>
      <w:r>
        <w:rPr>
          <w:color w:val="0000FF"/>
          <w:szCs w:val="24"/>
        </w:rPr>
        <w:t>两个枯水期完成，一期工程施工时段为第一年10月～第二年2月，坝址上游施工洪水位为</w:t>
      </w:r>
      <w:r>
        <w:rPr>
          <w:rFonts w:hint="eastAsia"/>
          <w:color w:val="0000FF"/>
          <w:szCs w:val="24"/>
        </w:rPr>
        <w:t>42.13</w:t>
      </w:r>
      <w:r>
        <w:rPr>
          <w:color w:val="0000FF"/>
          <w:szCs w:val="24"/>
        </w:rPr>
        <w:t>m，下游施工洪水位为</w:t>
      </w:r>
      <w:r>
        <w:rPr>
          <w:rFonts w:hint="eastAsia"/>
          <w:color w:val="0000FF"/>
          <w:szCs w:val="24"/>
        </w:rPr>
        <w:t>41.5</w:t>
      </w:r>
      <w:r>
        <w:rPr>
          <w:color w:val="0000FF"/>
          <w:szCs w:val="24"/>
        </w:rPr>
        <w:t>m；二期工程施工时段为第二年10月～第三年2月，坝址上游施工洪水位为</w:t>
      </w:r>
      <w:r>
        <w:rPr>
          <w:rFonts w:hint="eastAsia"/>
          <w:color w:val="0000FF"/>
          <w:szCs w:val="24"/>
        </w:rPr>
        <w:t>42.11</w:t>
      </w:r>
      <w:r>
        <w:rPr>
          <w:color w:val="0000FF"/>
          <w:szCs w:val="24"/>
        </w:rPr>
        <w:t>m，下游施工洪水位为</w:t>
      </w:r>
      <w:r>
        <w:rPr>
          <w:rFonts w:hint="eastAsia"/>
          <w:color w:val="0000FF"/>
          <w:szCs w:val="24"/>
        </w:rPr>
        <w:t>41.5</w:t>
      </w:r>
      <w:r>
        <w:rPr>
          <w:color w:val="0000FF"/>
          <w:szCs w:val="24"/>
        </w:rPr>
        <w:t>m。</w:t>
      </w:r>
      <w:r>
        <w:rPr>
          <w:rFonts w:hint="eastAsia"/>
          <w:color w:val="0000FF"/>
          <w:szCs w:val="24"/>
        </w:rPr>
        <w:t>目前项目弃渣场与河道中建设光明堤，</w:t>
      </w:r>
      <w:r>
        <w:rPr>
          <w:rFonts w:hint="eastAsia"/>
          <w:color w:val="0000FF"/>
        </w:rPr>
        <w:t>为新建均质土堤，设计洪水标准为1</w:t>
      </w:r>
      <w:r>
        <w:rPr>
          <w:color w:val="0000FF"/>
        </w:rPr>
        <w:t>0</w:t>
      </w:r>
      <w:r>
        <w:rPr>
          <w:rFonts w:hint="eastAsia"/>
          <w:color w:val="0000FF"/>
        </w:rPr>
        <w:t>年一遇，堤防超过为</w:t>
      </w:r>
      <w:r>
        <w:rPr>
          <w:color w:val="0000FF"/>
        </w:rPr>
        <w:t>1.0</w:t>
      </w:r>
      <w:r>
        <w:rPr>
          <w:rFonts w:hint="eastAsia"/>
          <w:color w:val="0000FF"/>
        </w:rPr>
        <w:t>m。根据上高县统一规划，光明堤堤顶在毛家渡抬水工程新建后要增设砼路，考虑到新建抬水工程较现状最大抬高水位为0</w:t>
      </w:r>
      <w:r>
        <w:rPr>
          <w:color w:val="0000FF"/>
        </w:rPr>
        <w:t>.2</w:t>
      </w:r>
      <w:r>
        <w:rPr>
          <w:rFonts w:hint="eastAsia"/>
          <w:color w:val="0000FF"/>
        </w:rPr>
        <w:t>m，砼路面厚度最小0</w:t>
      </w:r>
      <w:r>
        <w:rPr>
          <w:color w:val="0000FF"/>
        </w:rPr>
        <w:t>.2</w:t>
      </w:r>
      <w:r>
        <w:rPr>
          <w:rFonts w:hint="eastAsia"/>
          <w:color w:val="0000FF"/>
        </w:rPr>
        <w:t>m，从而光明堤的超高是有保障的，故新建抬水工程后不会对光明堤造成不利影响</w:t>
      </w:r>
      <w:r>
        <w:rPr>
          <w:rFonts w:hint="eastAsia"/>
          <w:color w:val="0000FF"/>
          <w:spacing w:val="-2"/>
        </w:rPr>
        <w:t>，</w:t>
      </w:r>
      <w:r>
        <w:rPr>
          <w:rFonts w:hint="eastAsia"/>
          <w:color w:val="0000FF"/>
          <w:szCs w:val="24"/>
        </w:rPr>
        <w:t>不会影响河道行洪安全，也不存在在锦河水域范围内弃渣的情况发生。</w:t>
      </w:r>
    </w:p>
    <w:p>
      <w:pPr>
        <w:autoSpaceDE w:val="0"/>
        <w:autoSpaceDN w:val="0"/>
        <w:adjustRightInd w:val="0"/>
        <w:ind w:firstLine="480"/>
        <w:rPr>
          <w:color w:val="0000FF"/>
          <w:szCs w:val="24"/>
        </w:rPr>
      </w:pPr>
      <w:r>
        <w:rPr>
          <w:rFonts w:hint="eastAsia"/>
          <w:color w:val="0000FF"/>
          <w:szCs w:val="24"/>
        </w:rPr>
        <w:t>(3)水环境及水土保持</w:t>
      </w:r>
    </w:p>
    <w:p>
      <w:pPr>
        <w:autoSpaceDE w:val="0"/>
        <w:autoSpaceDN w:val="0"/>
        <w:adjustRightInd w:val="0"/>
        <w:ind w:firstLine="480"/>
        <w:rPr>
          <w:color w:val="0000FF"/>
          <w:szCs w:val="24"/>
        </w:rPr>
      </w:pPr>
      <w:r>
        <w:rPr>
          <w:rFonts w:hint="eastAsia"/>
          <w:color w:val="0000FF"/>
          <w:szCs w:val="24"/>
        </w:rPr>
        <w:t>同时工程弃渣活动</w:t>
      </w:r>
      <w:r>
        <w:rPr>
          <w:color w:val="0000FF"/>
          <w:szCs w:val="24"/>
        </w:rPr>
        <w:t>采取先拦后弃、自下而上，分层碾压的弃渣施工工序</w:t>
      </w:r>
      <w:r>
        <w:rPr>
          <w:rFonts w:hint="eastAsia"/>
          <w:color w:val="0000FF"/>
          <w:szCs w:val="24"/>
        </w:rPr>
        <w:t>，</w:t>
      </w:r>
      <w:r>
        <w:rPr>
          <w:rFonts w:hint="eastAsia" w:ascii="宋体" w:cs="宋体"/>
          <w:color w:val="0000FF"/>
          <w:kern w:val="0"/>
          <w:szCs w:val="24"/>
        </w:rPr>
        <w:t>同时做好渣场截排水工作，下游建拦渣坝等水保工程措施后，</w:t>
      </w:r>
      <w:r>
        <w:rPr>
          <w:rFonts w:hint="eastAsia"/>
          <w:color w:val="0000FF"/>
          <w:szCs w:val="24"/>
        </w:rPr>
        <w:t>工程弃渣场弃渣过程中对上下游水质几乎无影响。</w:t>
      </w:r>
    </w:p>
    <w:p>
      <w:pPr>
        <w:autoSpaceDE w:val="0"/>
        <w:autoSpaceDN w:val="0"/>
        <w:adjustRightInd w:val="0"/>
        <w:ind w:firstLine="480"/>
        <w:rPr>
          <w:rFonts w:hAnsi="宋体"/>
          <w:color w:val="0000FF"/>
          <w:kern w:val="0"/>
          <w:szCs w:val="24"/>
        </w:rPr>
      </w:pPr>
      <w:r>
        <w:rPr>
          <w:color w:val="0000FF"/>
          <w:szCs w:val="24"/>
        </w:rPr>
        <w:t>据实地勘察，弃渣场场地内工程区属于构造活动基本稳定区，不存在大型断层或断裂带，周边无滑坡、崩塌、泥石流等不良地质现象，弃渣活动在采取合适的拦挡、截排水措施后，也不会引发滑坡、泥石流等地质灾害。从渣场占地类型来看，渣场植被类型以荒地、草地为主，</w:t>
      </w:r>
      <w:r>
        <w:rPr>
          <w:rFonts w:hint="eastAsia"/>
          <w:color w:val="0000FF"/>
          <w:szCs w:val="24"/>
        </w:rPr>
        <w:t>据现场查勘，该弃渣场占用少量湿地，但主体工程设计已考虑后期占补平衡及恢复；</w:t>
      </w:r>
      <w:r>
        <w:rPr>
          <w:rFonts w:hAnsi="宋体"/>
          <w:color w:val="0000FF"/>
          <w:kern w:val="0"/>
          <w:szCs w:val="24"/>
        </w:rPr>
        <w:t>不影响抬水坝抬水、泄水建筑物的功能；弃渣场虽涉及</w:t>
      </w:r>
      <w:r>
        <w:rPr>
          <w:rFonts w:hint="eastAsia" w:hAnsi="宋体"/>
          <w:color w:val="0000FF"/>
          <w:kern w:val="0"/>
          <w:szCs w:val="24"/>
        </w:rPr>
        <w:t>锦河</w:t>
      </w:r>
      <w:r>
        <w:rPr>
          <w:rFonts w:hAnsi="宋体"/>
          <w:color w:val="0000FF"/>
          <w:kern w:val="0"/>
          <w:szCs w:val="24"/>
        </w:rPr>
        <w:t>河道，</w:t>
      </w:r>
      <w:r>
        <w:rPr>
          <w:rFonts w:hint="eastAsia"/>
          <w:color w:val="0000FF"/>
          <w:szCs w:val="24"/>
        </w:rPr>
        <w:t>但高于场地所在河段设计洪水位。</w:t>
      </w:r>
      <w:r>
        <w:rPr>
          <w:rFonts w:hAnsi="宋体"/>
          <w:color w:val="0000FF"/>
          <w:kern w:val="0"/>
          <w:szCs w:val="24"/>
        </w:rPr>
        <w:t>施工结束后</w:t>
      </w:r>
      <w:r>
        <w:rPr>
          <w:rFonts w:hint="eastAsia" w:hAnsi="宋体"/>
          <w:color w:val="0000FF"/>
          <w:kern w:val="0"/>
          <w:szCs w:val="24"/>
        </w:rPr>
        <w:t>，</w:t>
      </w:r>
      <w:r>
        <w:rPr>
          <w:rFonts w:hAnsi="宋体"/>
          <w:color w:val="0000FF"/>
          <w:kern w:val="0"/>
          <w:szCs w:val="24"/>
        </w:rPr>
        <w:t>及时进行护岸工程，不存在在江河、湖泊、建成水库范围内弃渣的情况发生。从</w:t>
      </w:r>
      <w:r>
        <w:rPr>
          <w:rFonts w:hint="eastAsia" w:hAnsi="宋体"/>
          <w:color w:val="0000FF"/>
          <w:kern w:val="0"/>
          <w:szCs w:val="24"/>
        </w:rPr>
        <w:t>水</w:t>
      </w:r>
      <w:r>
        <w:rPr>
          <w:rFonts w:hAnsi="宋体"/>
          <w:color w:val="0000FF"/>
          <w:kern w:val="0"/>
          <w:szCs w:val="24"/>
        </w:rPr>
        <w:t>环境影响角度分析，该弃渣场选址合理。</w:t>
      </w:r>
    </w:p>
    <w:p>
      <w:pPr>
        <w:ind w:firstLine="480"/>
        <w:rPr>
          <w:color w:val="0000FF"/>
        </w:rPr>
      </w:pPr>
      <w:r>
        <w:rPr>
          <w:color w:val="0000FF"/>
        </w:rPr>
        <w:t>在工程的初步设计中，弃土过程及弃土结束后等应采取措施，减少弃土对周围环境的影响，弃渣场应尽量避开开排泄洪区，同时在弃土前也应挖出表层土壤层，并保存好，做到“先挡后弃”（对弃土堆容易发生坍塌的一侧设置拦挡设施）。在弃土作业结束后，将原表层土覆盖在弃土堆上，进行人工绿化（植树、种草），在弃土堆外围设置排水沟，以防洪水冲蚀，从源头上控制弃渣场带来的相关生态环境影响问题。</w:t>
      </w:r>
    </w:p>
    <w:p>
      <w:pPr>
        <w:pStyle w:val="2"/>
        <w:spacing w:after="0"/>
        <w:ind w:left="0" w:leftChars="0" w:firstLine="480"/>
        <w:rPr>
          <w:color w:val="0000FF"/>
        </w:rPr>
      </w:pPr>
      <w:r>
        <w:rPr>
          <w:rFonts w:hint="eastAsia"/>
          <w:color w:val="0000FF"/>
        </w:rPr>
        <w:t>(4)生态功能</w:t>
      </w:r>
    </w:p>
    <w:p>
      <w:pPr>
        <w:ind w:firstLine="480"/>
        <w:rPr>
          <w:color w:val="0000FF"/>
        </w:rPr>
      </w:pPr>
      <w:r>
        <w:rPr>
          <w:rFonts w:hint="eastAsia"/>
          <w:color w:val="0000FF"/>
        </w:rPr>
        <w:t>弃渣场占地类型为荒草地，根据上高县城镇总体规划可知，规划为二类住宅用地，因此，弃渣场选址不会对生态功能造成影响。</w:t>
      </w:r>
    </w:p>
    <w:p>
      <w:pPr>
        <w:pStyle w:val="2"/>
        <w:spacing w:after="0"/>
        <w:ind w:left="0" w:leftChars="0" w:firstLine="480"/>
        <w:rPr>
          <w:color w:val="0000FF"/>
        </w:rPr>
      </w:pPr>
      <w:r>
        <w:rPr>
          <w:rFonts w:hint="eastAsia"/>
          <w:color w:val="0000FF"/>
        </w:rPr>
        <w:t>综上所述，弃渣场的选址是合理的。</w:t>
      </w:r>
    </w:p>
    <w:p>
      <w:pPr>
        <w:autoSpaceDE w:val="0"/>
        <w:autoSpaceDN w:val="0"/>
        <w:adjustRightInd w:val="0"/>
        <w:spacing w:before="120" w:beforeLines="50"/>
        <w:ind w:firstLine="0" w:firstLineChars="0"/>
        <w:rPr>
          <w:b/>
        </w:rPr>
      </w:pPr>
      <w:r>
        <w:rPr>
          <w:b/>
        </w:rPr>
        <w:t>3.2.</w:t>
      </w:r>
      <w:r>
        <w:rPr>
          <w:rFonts w:hint="eastAsia"/>
          <w:b/>
        </w:rPr>
        <w:t>2</w:t>
      </w:r>
      <w:r>
        <w:rPr>
          <w:b/>
        </w:rPr>
        <w:t>.</w:t>
      </w:r>
      <w:r>
        <w:rPr>
          <w:rFonts w:hint="eastAsia"/>
          <w:b/>
        </w:rPr>
        <w:t>3施工布置的环境合理性</w:t>
      </w:r>
    </w:p>
    <w:p>
      <w:pPr>
        <w:autoSpaceDE w:val="0"/>
        <w:autoSpaceDN w:val="0"/>
        <w:adjustRightInd w:val="0"/>
        <w:ind w:firstLine="480"/>
        <w:rPr>
          <w:rFonts w:hAnsi="宋体"/>
        </w:rPr>
      </w:pPr>
      <w:r>
        <w:rPr>
          <w:rFonts w:hint="eastAsia" w:hAnsi="宋体"/>
        </w:rPr>
        <w:t>本工程布设1个施工场地，占地类型主要是荒草地，位于坝址下游右岸20m处，布置有</w:t>
      </w:r>
      <w:r>
        <w:rPr>
          <w:rFonts w:hAnsi="宋体"/>
          <w:kern w:val="0"/>
          <w:szCs w:val="24"/>
        </w:rPr>
        <w:t>骨料堆放场地、综合加工厂（钢筋木材综合加工）、机械及汽车维修站、综合仓库及施工生活区等</w:t>
      </w:r>
      <w:r>
        <w:rPr>
          <w:rFonts w:hint="eastAsia" w:hAnsi="宋体"/>
        </w:rPr>
        <w:t>；</w:t>
      </w:r>
    </w:p>
    <w:p>
      <w:pPr>
        <w:autoSpaceDE w:val="0"/>
        <w:autoSpaceDN w:val="0"/>
        <w:adjustRightInd w:val="0"/>
        <w:ind w:firstLine="480"/>
      </w:pPr>
      <w:r>
        <w:rPr>
          <w:rFonts w:hint="eastAsia" w:hAnsi="宋体"/>
        </w:rPr>
        <w:t>工程施工工厂布置除了尽量靠近主体工程建筑物，因地制宜的结合了区域地质、地形地貌进行</w:t>
      </w:r>
      <w:r>
        <w:rPr>
          <w:rFonts w:hAnsi="宋体"/>
          <w:kern w:val="0"/>
          <w:szCs w:val="24"/>
        </w:rPr>
        <w:t>骨料堆放场地、综合加工厂（钢筋木材综合加工）、机械及汽车维修站、综合仓库及施工生活区</w:t>
      </w:r>
      <w:r>
        <w:rPr>
          <w:rFonts w:hint="eastAsia" w:hAnsi="宋体"/>
        </w:rPr>
        <w:t>的总体布局，施工区尽量选择平缓地形，减少土地平整、土石方开挖量，降低对地表的扰动，减少对环境的不利影响；施工区无国家重点保护动植物，也不涉及水源保护区、自然保护区和风景名胜区等环境敏感区；</w:t>
      </w:r>
      <w:r>
        <w:rPr>
          <w:rFonts w:hint="eastAsia"/>
        </w:rPr>
        <w:t>项目施工场地距离周边敏感点较远， 250m以上，且</w:t>
      </w:r>
      <w:r>
        <w:t>位于</w:t>
      </w:r>
      <w:r>
        <w:rPr>
          <w:rFonts w:hint="eastAsia"/>
        </w:rPr>
        <w:t>施工场地主导风向的上</w:t>
      </w:r>
      <w:r>
        <w:t>风向</w:t>
      </w:r>
      <w:r>
        <w:rPr>
          <w:rFonts w:hint="eastAsia"/>
        </w:rPr>
        <w:t>，施工过程中产生的噪声、废气对敏感点影响较小；施工场地距离锦河较近，考虑施工废水对锦河的</w:t>
      </w:r>
      <w:r>
        <w:t>影响，</w:t>
      </w:r>
      <w:r>
        <w:rPr>
          <w:rFonts w:hint="eastAsia"/>
        </w:rPr>
        <w:t>施工生产</w:t>
      </w:r>
      <w:r>
        <w:t>废水</w:t>
      </w:r>
      <w:r>
        <w:rPr>
          <w:rFonts w:hint="eastAsia"/>
        </w:rPr>
        <w:t>经隔油沉淀池处理后回用</w:t>
      </w:r>
      <w:r>
        <w:t>，</w:t>
      </w:r>
      <w:r>
        <w:rPr>
          <w:rFonts w:hint="eastAsia"/>
        </w:rPr>
        <w:t>施工场地内生活区仅有1~2个看护人员，施工人员产生的生活污水量很少，通过</w:t>
      </w:r>
      <w:r>
        <w:t>施工</w:t>
      </w:r>
      <w:r>
        <w:rPr>
          <w:rFonts w:hint="eastAsia"/>
        </w:rPr>
        <w:t>场地</w:t>
      </w:r>
      <w:r>
        <w:t>配备</w:t>
      </w:r>
      <w:r>
        <w:rPr>
          <w:rFonts w:hint="eastAsia"/>
        </w:rPr>
        <w:t>的</w:t>
      </w:r>
      <w:r>
        <w:t>简易厕所收集生活污水及化粪池处理后</w:t>
      </w:r>
      <w:r>
        <w:rPr>
          <w:rFonts w:hint="eastAsia"/>
        </w:rPr>
        <w:t>用于周边农田灌溉，不直接向地表水体排放，不会对周边地表水环境产生明显。</w:t>
      </w:r>
      <w:r>
        <w:rPr>
          <w:rFonts w:hint="eastAsia" w:hAnsi="宋体"/>
        </w:rPr>
        <w:t>总体而言，从环境保护的角度考虑，本工程施工总体布置是合理的。</w:t>
      </w:r>
    </w:p>
    <w:p>
      <w:pPr>
        <w:pStyle w:val="6"/>
      </w:pPr>
      <w:bookmarkStart w:id="563" w:name="_Toc534807031"/>
      <w:bookmarkStart w:id="564" w:name="_Toc534386272"/>
      <w:bookmarkStart w:id="565" w:name="_Toc536265115"/>
      <w:bookmarkStart w:id="566" w:name="_Toc534895248"/>
      <w:bookmarkStart w:id="567" w:name="_Toc3903252"/>
      <w:bookmarkStart w:id="568" w:name="_Toc10719"/>
      <w:r>
        <w:t>3.</w:t>
      </w:r>
      <w:r>
        <w:rPr>
          <w:rFonts w:hint="eastAsia"/>
        </w:rPr>
        <w:t>3环境影响源</w:t>
      </w:r>
      <w:r>
        <w:t>分析</w:t>
      </w:r>
      <w:bookmarkEnd w:id="563"/>
      <w:bookmarkEnd w:id="564"/>
      <w:bookmarkEnd w:id="565"/>
      <w:bookmarkEnd w:id="566"/>
      <w:bookmarkEnd w:id="567"/>
      <w:bookmarkEnd w:id="568"/>
    </w:p>
    <w:p>
      <w:pPr>
        <w:pStyle w:val="7"/>
        <w:spacing w:before="120" w:beforeLines="50"/>
        <w:jc w:val="both"/>
        <w:rPr>
          <w:szCs w:val="24"/>
        </w:rPr>
      </w:pPr>
      <w:bookmarkStart w:id="569" w:name="_Toc536265116"/>
      <w:bookmarkStart w:id="570" w:name="_Toc534386273"/>
      <w:bookmarkStart w:id="571" w:name="_Toc534895249"/>
      <w:bookmarkStart w:id="572" w:name="_Toc534807032"/>
      <w:r>
        <w:rPr>
          <w:rFonts w:hint="eastAsia"/>
          <w:szCs w:val="24"/>
        </w:rPr>
        <w:t>3.3.1施工期污染源分析</w:t>
      </w:r>
    </w:p>
    <w:p>
      <w:pPr>
        <w:ind w:firstLine="480"/>
        <w:rPr>
          <w:rFonts w:ascii="黑体" w:hAnsi="黑体" w:eastAsia="黑体"/>
          <w:szCs w:val="24"/>
        </w:rPr>
      </w:pPr>
      <w:r>
        <w:t>工程施工</w:t>
      </w:r>
      <w:r>
        <w:rPr>
          <w:rFonts w:hint="eastAsia"/>
        </w:rPr>
        <w:t>将产生</w:t>
      </w:r>
      <w:r>
        <w:t>废水、废气、废渣</w:t>
      </w:r>
      <w:r>
        <w:rPr>
          <w:rFonts w:hint="eastAsia"/>
        </w:rPr>
        <w:t>及</w:t>
      </w:r>
      <w:r>
        <w:t>噪声等，对区域环境质量及周边居民生产生活将产生一定影响；工程开挖、用地等活动破坏原地形地貌，扰动原地表植被，亦将对区域生态环境产生一定影响。</w:t>
      </w:r>
    </w:p>
    <w:bookmarkEnd w:id="569"/>
    <w:bookmarkEnd w:id="570"/>
    <w:bookmarkEnd w:id="571"/>
    <w:bookmarkEnd w:id="572"/>
    <w:p>
      <w:pPr>
        <w:spacing w:before="120" w:beforeLines="50"/>
        <w:ind w:firstLine="0" w:firstLineChars="0"/>
        <w:rPr>
          <w:b/>
        </w:rPr>
      </w:pPr>
      <w:bookmarkStart w:id="573" w:name="_Toc534386274"/>
      <w:bookmarkStart w:id="574" w:name="_Toc534895250"/>
      <w:bookmarkStart w:id="575" w:name="_Toc534807033"/>
      <w:bookmarkStart w:id="576" w:name="_Toc3903254"/>
      <w:bookmarkStart w:id="577" w:name="_Toc536265117"/>
      <w:r>
        <w:rPr>
          <w:b/>
        </w:rPr>
        <w:t>3.</w:t>
      </w:r>
      <w:r>
        <w:rPr>
          <w:rFonts w:hint="eastAsia"/>
          <w:b/>
        </w:rPr>
        <w:t>3</w:t>
      </w:r>
      <w:r>
        <w:rPr>
          <w:b/>
        </w:rPr>
        <w:t>.1.1</w:t>
      </w:r>
      <w:r>
        <w:rPr>
          <w:rFonts w:hAnsi="宋体"/>
          <w:b/>
        </w:rPr>
        <w:t>施工期废水污染源</w:t>
      </w:r>
      <w:bookmarkEnd w:id="573"/>
      <w:bookmarkEnd w:id="574"/>
      <w:bookmarkEnd w:id="575"/>
      <w:bookmarkEnd w:id="576"/>
      <w:bookmarkEnd w:id="577"/>
    </w:p>
    <w:p>
      <w:pPr>
        <w:autoSpaceDE w:val="0"/>
        <w:autoSpaceDN w:val="0"/>
        <w:adjustRightInd w:val="0"/>
        <w:ind w:firstLine="480"/>
      </w:pPr>
      <w:r>
        <w:rPr>
          <w:rFonts w:hint="eastAsia"/>
        </w:rPr>
        <w:t>工程施工期废水包括生产废水和生活污水两部分。由于</w:t>
      </w:r>
      <w:r>
        <w:rPr>
          <w:rFonts w:hint="eastAsia" w:hAnsi="宋体"/>
          <w:szCs w:val="24"/>
        </w:rPr>
        <w:t>施工场地内不设砂石料加工及混凝土拌和系统，因此，</w:t>
      </w:r>
      <w:r>
        <w:rPr>
          <w:rFonts w:hint="eastAsia"/>
        </w:rPr>
        <w:t>生产废水主要来自大坝基坑废水、</w:t>
      </w:r>
      <w:r>
        <w:t>机械车辆维修</w:t>
      </w:r>
      <w:r>
        <w:rPr>
          <w:rFonts w:hint="eastAsia"/>
        </w:rPr>
        <w:t>及冲洗废水等</w:t>
      </w:r>
      <w:r>
        <w:t>。</w:t>
      </w:r>
    </w:p>
    <w:p>
      <w:pPr>
        <w:ind w:firstLine="480"/>
      </w:pPr>
      <w:r>
        <w:rPr>
          <w:rFonts w:hint="eastAsia"/>
        </w:rPr>
        <w:t>(1)</w:t>
      </w:r>
      <w:r>
        <w:t>生产废水</w:t>
      </w:r>
    </w:p>
    <w:p>
      <w:pPr>
        <w:ind w:firstLine="480"/>
      </w:pPr>
      <w:r>
        <w:t>①养护等过程中产生的废水</w:t>
      </w:r>
    </w:p>
    <w:p>
      <w:pPr>
        <w:ind w:firstLine="480"/>
      </w:pPr>
      <w:r>
        <w:t>拟建项目混凝土量约为5.51万m</w:t>
      </w:r>
      <w:r>
        <w:rPr>
          <w:vertAlign w:val="superscript"/>
        </w:rPr>
        <w:t>3</w:t>
      </w:r>
      <w:r>
        <w:t>，养护1m</w:t>
      </w:r>
      <w:r>
        <w:rPr>
          <w:vertAlign w:val="superscript"/>
        </w:rPr>
        <w:t>3</w:t>
      </w:r>
      <w:r>
        <w:t>混凝土需水0.35m</w:t>
      </w:r>
      <w:r>
        <w:rPr>
          <w:vertAlign w:val="superscript"/>
        </w:rPr>
        <w:t>3</w:t>
      </w:r>
      <w:r>
        <w:t>，拟建项目养护水量共约</w:t>
      </w:r>
      <w:r>
        <w:rPr>
          <w:rFonts w:hint="eastAsia"/>
        </w:rPr>
        <w:t>1.93</w:t>
      </w:r>
      <w:r>
        <w:t>万m</w:t>
      </w:r>
      <w:r>
        <w:rPr>
          <w:vertAlign w:val="superscript"/>
        </w:rPr>
        <w:t>3</w:t>
      </w:r>
      <w:r>
        <w:t>。施工期按</w:t>
      </w:r>
      <w:r>
        <w:rPr>
          <w:rFonts w:hint="eastAsia"/>
        </w:rPr>
        <w:t>540</w:t>
      </w:r>
      <w:r>
        <w:t>天（</w:t>
      </w:r>
      <w:r>
        <w:rPr>
          <w:rFonts w:hint="eastAsia"/>
        </w:rPr>
        <w:t>18</w:t>
      </w:r>
      <w:r>
        <w:t>个月）计算，养护水量</w:t>
      </w:r>
      <w:r>
        <w:rPr>
          <w:rFonts w:hint="eastAsia"/>
        </w:rPr>
        <w:t>35.74</w:t>
      </w:r>
      <w:r>
        <w:t>m</w:t>
      </w:r>
      <w:r>
        <w:rPr>
          <w:vertAlign w:val="superscript"/>
        </w:rPr>
        <w:t>3</w:t>
      </w:r>
      <w:r>
        <w:t>/d，废水量为</w:t>
      </w:r>
      <w:r>
        <w:rPr>
          <w:rFonts w:hint="eastAsia"/>
        </w:rPr>
        <w:t>28.59</w:t>
      </w:r>
      <w:r>
        <w:t>m</w:t>
      </w:r>
      <w:r>
        <w:rPr>
          <w:vertAlign w:val="superscript"/>
        </w:rPr>
        <w:t>3</w:t>
      </w:r>
      <w:r>
        <w:t>/d，主要污染物为SS，经沉淀池沉淀后全部回用不外排。</w:t>
      </w:r>
    </w:p>
    <w:p>
      <w:pPr>
        <w:ind w:firstLine="480"/>
      </w:pPr>
      <w:r>
        <w:rPr>
          <w:rFonts w:hint="eastAsia" w:ascii="宋体" w:hAnsi="宋体" w:cs="宋体"/>
        </w:rPr>
        <w:t>②</w:t>
      </w:r>
      <w:r>
        <w:t>基坑</w:t>
      </w:r>
      <w:r>
        <w:rPr>
          <w:rFonts w:hint="eastAsia"/>
        </w:rPr>
        <w:t>废水</w:t>
      </w:r>
    </w:p>
    <w:p>
      <w:pPr>
        <w:ind w:firstLine="480"/>
        <w:rPr>
          <w:rFonts w:ascii="宋体" w:hAnsi="宋体"/>
        </w:rPr>
      </w:pPr>
      <w:r>
        <w:rPr>
          <w:rFonts w:ascii="宋体" w:hAnsi="宋体"/>
        </w:rPr>
        <w:t>大坝基坑废水产生于大坝基础开挖和大坝混凝土填筑过程，分为初期基坑废水和经常性废水等两部分</w:t>
      </w:r>
      <w:r>
        <w:rPr>
          <w:rFonts w:hint="eastAsia" w:ascii="宋体" w:hAnsi="宋体"/>
        </w:rPr>
        <w:t>。</w:t>
      </w:r>
    </w:p>
    <w:p>
      <w:pPr>
        <w:autoSpaceDE w:val="0"/>
        <w:autoSpaceDN w:val="0"/>
        <w:adjustRightInd w:val="0"/>
        <w:ind w:firstLine="480"/>
        <w:rPr>
          <w:szCs w:val="24"/>
        </w:rPr>
      </w:pPr>
      <w:r>
        <w:rPr>
          <w:szCs w:val="24"/>
        </w:rPr>
        <w:t>基坑初期排水包括围堰闭气后基坑积水、基础和堰体渗水等。一期围堰堰顶宽度6.0m，堰顶长度</w:t>
      </w:r>
      <w:r>
        <w:rPr>
          <w:rFonts w:hint="eastAsia"/>
          <w:szCs w:val="24"/>
        </w:rPr>
        <w:t>500</w:t>
      </w:r>
      <w:r>
        <w:rPr>
          <w:szCs w:val="24"/>
        </w:rPr>
        <w:t>m，最大堰高</w:t>
      </w:r>
      <w:r>
        <w:rPr>
          <w:rFonts w:hint="eastAsia"/>
          <w:szCs w:val="24"/>
        </w:rPr>
        <w:t>7.63</w:t>
      </w:r>
      <w:r>
        <w:rPr>
          <w:szCs w:val="24"/>
        </w:rPr>
        <w:t>m，二期堰顶宽度6.0m，二期围堰堰顶长度为</w:t>
      </w:r>
      <w:r>
        <w:rPr>
          <w:rFonts w:hint="eastAsia"/>
          <w:szCs w:val="24"/>
        </w:rPr>
        <w:t>480</w:t>
      </w:r>
      <w:r>
        <w:rPr>
          <w:szCs w:val="24"/>
        </w:rPr>
        <w:t>m，最大堰高</w:t>
      </w:r>
      <w:r>
        <w:rPr>
          <w:rFonts w:hint="eastAsia"/>
          <w:szCs w:val="24"/>
        </w:rPr>
        <w:t>9.01</w:t>
      </w:r>
      <w:r>
        <w:rPr>
          <w:szCs w:val="24"/>
        </w:rPr>
        <w:t>m。</w:t>
      </w:r>
      <w:r>
        <w:rPr>
          <w:kern w:val="0"/>
          <w:szCs w:val="24"/>
        </w:rPr>
        <w:t>工程基坑抽水时水位下降约1.1m，初期排水总量1.5倍基坑积水估算。按10天排干计算，</w:t>
      </w:r>
      <w:r>
        <w:rPr>
          <w:szCs w:val="24"/>
        </w:rPr>
        <w:t>估算基坑施工日排水量在</w:t>
      </w:r>
      <w:r>
        <w:rPr>
          <w:rFonts w:hint="eastAsia"/>
          <w:szCs w:val="24"/>
        </w:rPr>
        <w:t>600</w:t>
      </w:r>
      <w:r>
        <w:rPr>
          <w:szCs w:val="24"/>
        </w:rPr>
        <w:t>m</w:t>
      </w:r>
      <w:r>
        <w:rPr>
          <w:szCs w:val="24"/>
          <w:vertAlign w:val="superscript"/>
        </w:rPr>
        <w:t>3</w:t>
      </w:r>
      <w:r>
        <w:rPr>
          <w:szCs w:val="24"/>
        </w:rPr>
        <w:t>左右，</w:t>
      </w:r>
      <w:r>
        <w:rPr>
          <w:kern w:val="0"/>
          <w:szCs w:val="24"/>
        </w:rPr>
        <w:t>其特点是以天然水体为主，污染物种类少、含量低，悬浮物浓度</w:t>
      </w:r>
      <w:r>
        <w:rPr>
          <w:rFonts w:hint="eastAsia"/>
          <w:kern w:val="0"/>
          <w:szCs w:val="24"/>
        </w:rPr>
        <w:t>20</w:t>
      </w:r>
      <w:r>
        <w:rPr>
          <w:kern w:val="0"/>
          <w:szCs w:val="24"/>
        </w:rPr>
        <w:t>~</w:t>
      </w:r>
      <w:r>
        <w:rPr>
          <w:rFonts w:hint="eastAsia"/>
          <w:kern w:val="0"/>
          <w:szCs w:val="24"/>
        </w:rPr>
        <w:t>50</w:t>
      </w:r>
      <w:r>
        <w:rPr>
          <w:kern w:val="0"/>
          <w:szCs w:val="24"/>
        </w:rPr>
        <w:t>mg/L</w:t>
      </w:r>
      <w:r>
        <w:rPr>
          <w:szCs w:val="24"/>
        </w:rPr>
        <w:t>，初期基坑积水选用 8台50QW50-12-3.0型潜水泵抽排。</w:t>
      </w:r>
    </w:p>
    <w:p>
      <w:pPr>
        <w:autoSpaceDE w:val="0"/>
        <w:autoSpaceDN w:val="0"/>
        <w:adjustRightInd w:val="0"/>
        <w:ind w:firstLine="480"/>
        <w:rPr>
          <w:szCs w:val="24"/>
        </w:rPr>
      </w:pPr>
      <w:r>
        <w:rPr>
          <w:szCs w:val="24"/>
        </w:rPr>
        <w:t>经常性排水产生于大坝基础开挖和混凝土填筑的过程中，由降水、渗水和施工用水（主要为混凝土养护水和冲洗水）组成，</w:t>
      </w:r>
      <w:r>
        <w:rPr>
          <w:kern w:val="0"/>
          <w:szCs w:val="24"/>
        </w:rPr>
        <w:t>坝址区最大日降水量为10.5mm，按一天排干计算，最大排水强度约为41.7m³/d，考虑到渗水和施工用水，</w:t>
      </w:r>
      <w:r>
        <w:rPr>
          <w:szCs w:val="24"/>
        </w:rPr>
        <w:t>基坑经常性废水约为2m³/h，48m³/d。基坑经常性废水中悬浮物含量高，SS浓度达2000mg/L，pH11~12。基坑经常性废水若不经处理直接排放，将对施工</w:t>
      </w:r>
      <w:r>
        <w:rPr>
          <w:rFonts w:hint="eastAsia"/>
          <w:szCs w:val="24"/>
        </w:rPr>
        <w:t>锦河</w:t>
      </w:r>
      <w:r>
        <w:rPr>
          <w:szCs w:val="24"/>
        </w:rPr>
        <w:t>水质产生不利影响。</w:t>
      </w:r>
    </w:p>
    <w:p>
      <w:pPr>
        <w:autoSpaceDE w:val="0"/>
        <w:autoSpaceDN w:val="0"/>
        <w:adjustRightInd w:val="0"/>
        <w:ind w:firstLine="480"/>
        <w:rPr>
          <w:kern w:val="0"/>
          <w:szCs w:val="24"/>
        </w:rPr>
      </w:pPr>
      <w:r>
        <w:rPr>
          <w:rFonts w:hint="eastAsia" w:ascii="宋体" w:hAnsi="宋体" w:cs="宋体"/>
        </w:rPr>
        <w:t>③</w:t>
      </w:r>
      <w:r>
        <w:rPr>
          <w:kern w:val="0"/>
          <w:szCs w:val="24"/>
        </w:rPr>
        <w:t>机械维修冲洗废水</w:t>
      </w:r>
    </w:p>
    <w:p>
      <w:pPr>
        <w:autoSpaceDE w:val="0"/>
        <w:autoSpaceDN w:val="0"/>
        <w:adjustRightInd w:val="0"/>
        <w:ind w:firstLine="480"/>
      </w:pPr>
      <w:r>
        <w:rPr>
          <w:kern w:val="0"/>
          <w:szCs w:val="24"/>
        </w:rPr>
        <w:t>项目施工场地内布置机械维修站，</w:t>
      </w:r>
      <w:r>
        <w:t>只承担简单修理</w:t>
      </w:r>
      <w:r>
        <w:rPr>
          <w:kern w:val="0"/>
          <w:szCs w:val="24"/>
        </w:rPr>
        <w:t>，机械及车辆的保养、修理过程中会有含石油类的污水产生。工程施工高峰期需各类施工机械合计约124台，汽车约21辆。按照施工车辆每4天保养冲洗一次，每次冲洗保养3台、施工机械每周保养一次，每次冲洗保养15台，平均冲洗废水以0.6m³/台•次计算，本工程因冲洗保养所有机械产生的含油废水约为10.8m³/次（830m³/施工期），机械冲洗维修废水</w:t>
      </w:r>
      <w:r>
        <w:t>中主要污染物为石油类和悬浮物，浓度分别为30mg/L、1000mg/L。</w:t>
      </w:r>
    </w:p>
    <w:p>
      <w:pPr>
        <w:autoSpaceDE w:val="0"/>
        <w:autoSpaceDN w:val="0"/>
        <w:adjustRightInd w:val="0"/>
        <w:ind w:firstLine="480"/>
        <w:rPr>
          <w:rFonts w:ascii="宋体" w:hAnsi="宋体" w:cs="宋体"/>
        </w:rPr>
      </w:pPr>
      <w:r>
        <w:rPr>
          <w:rFonts w:hint="eastAsia" w:ascii="宋体" w:hAnsi="宋体" w:cs="宋体"/>
        </w:rPr>
        <w:t>④施工过程中对水体的扰动影响</w:t>
      </w:r>
    </w:p>
    <w:p>
      <w:pPr>
        <w:autoSpaceDE w:val="0"/>
        <w:autoSpaceDN w:val="0"/>
        <w:adjustRightInd w:val="0"/>
        <w:ind w:firstLine="480"/>
        <w:rPr>
          <w:rFonts w:ascii="宋体" w:hAnsi="宋体" w:cs="宋体"/>
        </w:rPr>
      </w:pPr>
      <w:r>
        <w:rPr>
          <w:rFonts w:hint="eastAsia" w:ascii="宋体" w:hAnsi="宋体" w:cs="宋体"/>
        </w:rPr>
        <w:t>围堰搭建、拆除、吊放钢筋骨架、灌注水下混凝等施工过程均会对施工区局部水域水质产生影响，施工过程中会引起河道底部淤泥搅动，会使局部区域的SS、总磷、总氮等污染物浓度升高，对河道水质会产生一定影响。</w:t>
      </w:r>
    </w:p>
    <w:p>
      <w:pPr>
        <w:autoSpaceDE w:val="0"/>
        <w:autoSpaceDN w:val="0"/>
        <w:adjustRightInd w:val="0"/>
        <w:ind w:firstLine="480"/>
        <w:rPr>
          <w:rFonts w:ascii="宋体" w:hAnsi="宋体" w:cs="宋体"/>
        </w:rPr>
      </w:pPr>
      <w:r>
        <w:rPr>
          <w:rFonts w:hint="eastAsia" w:ascii="宋体" w:hAnsi="宋体" w:cs="宋体"/>
        </w:rPr>
        <w:t>本工程施工过程中在闸址处采用分两期实施，第一期当年10月至次年2月利用</w:t>
      </w:r>
      <w:r>
        <w:rPr>
          <w:szCs w:val="28"/>
        </w:rPr>
        <w:t>利用左岸束窄河床导流，新建4跨泄洪闸和右岸护岸工程等项目</w:t>
      </w:r>
      <w:r>
        <w:rPr>
          <w:rFonts w:hint="eastAsia" w:ascii="宋体" w:hAnsi="宋体" w:cs="宋体"/>
        </w:rPr>
        <w:t>，第二期第二年10月至第三年2月底利用已建成泄水闸工程导流，仅围堰及导流渠施工过程中对河道水体产生一定不利影响，施工导流措施完成后对水体环境影响较小。</w:t>
      </w:r>
    </w:p>
    <w:p>
      <w:pPr>
        <w:ind w:firstLine="480"/>
      </w:pPr>
      <w:r>
        <w:rPr>
          <w:rFonts w:hint="eastAsia" w:ascii="宋体" w:hAnsi="宋体" w:cs="宋体"/>
        </w:rPr>
        <w:t>⑵</w:t>
      </w:r>
      <w:r>
        <w:t>生活污水</w:t>
      </w:r>
    </w:p>
    <w:p>
      <w:pPr>
        <w:ind w:firstLine="480"/>
      </w:pPr>
      <w:r>
        <w:t>施工场地生活污水产生量采用单位人口排污系数法计算，</w:t>
      </w:r>
      <w:r>
        <w:rPr>
          <w:snapToGrid w:val="0"/>
          <w:kern w:val="0"/>
        </w:rPr>
        <w:t>施工高峰期，</w:t>
      </w:r>
      <w:r>
        <w:t>项目施工人员数量按</w:t>
      </w:r>
      <w:r>
        <w:rPr>
          <w:rFonts w:hint="eastAsia"/>
        </w:rPr>
        <w:t>200</w:t>
      </w:r>
      <w:r>
        <w:t>人计，根据《</w:t>
      </w:r>
      <w:r>
        <w:rPr>
          <w:rFonts w:hint="eastAsia"/>
        </w:rPr>
        <w:t>江西省生活用水定额</w:t>
      </w:r>
      <w:r>
        <w:t>》（GB</w:t>
      </w:r>
      <w:r>
        <w:rPr>
          <w:rFonts w:hint="eastAsia"/>
        </w:rPr>
        <w:t>36T</w:t>
      </w:r>
      <w:r>
        <w:t>-20</w:t>
      </w:r>
      <w:r>
        <w:rPr>
          <w:rFonts w:hint="eastAsia"/>
        </w:rPr>
        <w:t>17</w:t>
      </w:r>
      <w:r>
        <w:t>），用水定额按 150L/(人·d)计，排污系数取 0.8，则生活污水产生量约为</w:t>
      </w:r>
      <w:r>
        <w:rPr>
          <w:rFonts w:hint="eastAsia"/>
        </w:rPr>
        <w:t>24</w:t>
      </w:r>
      <w:r>
        <w:t>m</w:t>
      </w:r>
      <w:r>
        <w:rPr>
          <w:vertAlign w:val="superscript"/>
        </w:rPr>
        <w:t>3</w:t>
      </w:r>
      <w:r>
        <w:t>/d。</w:t>
      </w:r>
      <w:r>
        <w:rPr>
          <w:szCs w:val="24"/>
        </w:rPr>
        <w:t>工程施工期约18个月，540d，</w:t>
      </w:r>
      <w:r>
        <w:t>则</w:t>
      </w:r>
      <w:r>
        <w:rPr>
          <w:szCs w:val="24"/>
        </w:rPr>
        <w:t>施工期生活用水量</w:t>
      </w:r>
      <w:r>
        <w:rPr>
          <w:rFonts w:hint="eastAsia"/>
        </w:rPr>
        <w:t>16200</w:t>
      </w:r>
      <w:r>
        <w:rPr>
          <w:szCs w:val="24"/>
        </w:rPr>
        <w:t>m</w:t>
      </w:r>
      <w:r>
        <w:rPr>
          <w:szCs w:val="24"/>
          <w:vertAlign w:val="superscript"/>
        </w:rPr>
        <w:t>3</w:t>
      </w:r>
      <w:r>
        <w:rPr>
          <w:szCs w:val="24"/>
        </w:rPr>
        <w:t>/施工期，施工期间生活污水产生量</w:t>
      </w:r>
      <w:r>
        <w:rPr>
          <w:rFonts w:hint="eastAsia"/>
          <w:szCs w:val="24"/>
        </w:rPr>
        <w:t>12960</w:t>
      </w:r>
      <w:r>
        <w:rPr>
          <w:szCs w:val="24"/>
        </w:rPr>
        <w:t>m</w:t>
      </w:r>
      <w:r>
        <w:rPr>
          <w:szCs w:val="24"/>
          <w:vertAlign w:val="superscript"/>
        </w:rPr>
        <w:t>3</w:t>
      </w:r>
      <w:r>
        <w:rPr>
          <w:szCs w:val="24"/>
        </w:rPr>
        <w:t>/施工期</w:t>
      </w:r>
      <w:r>
        <w:rPr>
          <w:rFonts w:hint="eastAsia"/>
          <w:szCs w:val="24"/>
        </w:rPr>
        <w:t>（</w:t>
      </w:r>
      <w:r>
        <w:rPr>
          <w:rFonts w:hint="eastAsia"/>
        </w:rPr>
        <w:t>19.2</w:t>
      </w:r>
      <w:r>
        <w:t>m</w:t>
      </w:r>
      <w:r>
        <w:rPr>
          <w:vertAlign w:val="superscript"/>
        </w:rPr>
        <w:t>3</w:t>
      </w:r>
      <w:r>
        <w:t>/d</w:t>
      </w:r>
      <w:r>
        <w:rPr>
          <w:rFonts w:hint="eastAsia"/>
          <w:szCs w:val="24"/>
        </w:rPr>
        <w:t>）</w:t>
      </w:r>
      <w:r>
        <w:rPr>
          <w:szCs w:val="24"/>
        </w:rPr>
        <w:t>。施工人员生活污水水质类比江西省内一般生活污水的水质，</w:t>
      </w:r>
      <w:r>
        <w:t>即CODc</w:t>
      </w:r>
      <w:r>
        <w:rPr>
          <w:vertAlign w:val="subscript"/>
        </w:rPr>
        <w:t>r</w:t>
      </w:r>
      <w:r>
        <w:t>的浓度为250mg/L，BOD</w:t>
      </w:r>
      <w:r>
        <w:rPr>
          <w:vertAlign w:val="subscript"/>
        </w:rPr>
        <w:t>5</w:t>
      </w:r>
      <w:r>
        <w:t>的浓度为100mg/L，SS的浓度为100mg/L，NH</w:t>
      </w:r>
      <w:r>
        <w:rPr>
          <w:vertAlign w:val="subscript"/>
        </w:rPr>
        <w:t>3</w:t>
      </w:r>
      <w:r>
        <w:t>-N的浓度为25mg/L。</w:t>
      </w:r>
    </w:p>
    <w:p>
      <w:pPr>
        <w:ind w:firstLine="480"/>
        <w:rPr>
          <w:kern w:val="0"/>
          <w:szCs w:val="24"/>
        </w:rPr>
      </w:pPr>
      <w:r>
        <w:rPr>
          <w:rFonts w:hint="eastAsia"/>
        </w:rPr>
        <w:t>根据建设单位对</w:t>
      </w:r>
      <w:r>
        <w:t>施工场地</w:t>
      </w:r>
      <w:r>
        <w:rPr>
          <w:rFonts w:hint="eastAsia"/>
        </w:rPr>
        <w:t>布置规划，施工场地内仅设1~2个看护人员，其他施工人员采用</w:t>
      </w:r>
      <w:r>
        <w:t>租用</w:t>
      </w:r>
      <w:r>
        <w:rPr>
          <w:rFonts w:hint="eastAsia"/>
        </w:rPr>
        <w:t>上高县成</w:t>
      </w:r>
      <w:r>
        <w:t>当地房屋方式，</w:t>
      </w:r>
      <w:r>
        <w:rPr>
          <w:rFonts w:hint="eastAsia"/>
        </w:rPr>
        <w:t>租赁</w:t>
      </w:r>
      <w:r>
        <w:t>施工人员生活污水排入</w:t>
      </w:r>
      <w:r>
        <w:rPr>
          <w:rFonts w:hint="eastAsia"/>
        </w:rPr>
        <w:t>上高县房屋</w:t>
      </w:r>
      <w:r>
        <w:t>现有的污水处理</w:t>
      </w:r>
      <w:r>
        <w:rPr>
          <w:rFonts w:hint="eastAsia"/>
        </w:rPr>
        <w:t>设施</w:t>
      </w:r>
      <w:r>
        <w:t>和排水系统，</w:t>
      </w:r>
      <w:r>
        <w:rPr>
          <w:rFonts w:hint="eastAsia"/>
        </w:rPr>
        <w:t>因此，项目施工场地施工人员生活污水产生量很少，通过</w:t>
      </w:r>
      <w:r>
        <w:t>施工营地配备</w:t>
      </w:r>
      <w:r>
        <w:rPr>
          <w:rFonts w:hint="eastAsia"/>
        </w:rPr>
        <w:t>的</w:t>
      </w:r>
      <w:r>
        <w:t>简易厕所收集生活污水</w:t>
      </w:r>
      <w:r>
        <w:rPr>
          <w:rFonts w:hint="eastAsia"/>
        </w:rPr>
        <w:t>，</w:t>
      </w:r>
      <w:r>
        <w:t>污水经旱厕处理后用于肥田，不直接向地表水体排放。</w:t>
      </w:r>
      <w:r>
        <w:rPr>
          <w:kern w:val="0"/>
          <w:szCs w:val="24"/>
        </w:rPr>
        <w:t>施工期间生活污水产生情况见表3.</w:t>
      </w:r>
      <w:r>
        <w:rPr>
          <w:rFonts w:hint="eastAsia"/>
          <w:kern w:val="0"/>
          <w:szCs w:val="24"/>
        </w:rPr>
        <w:t>3</w:t>
      </w:r>
      <w:r>
        <w:rPr>
          <w:kern w:val="0"/>
          <w:szCs w:val="24"/>
        </w:rPr>
        <w:t>-</w:t>
      </w:r>
      <w:r>
        <w:rPr>
          <w:rFonts w:hint="eastAsia"/>
          <w:kern w:val="0"/>
          <w:szCs w:val="24"/>
        </w:rPr>
        <w:t>1</w:t>
      </w:r>
      <w:r>
        <w:rPr>
          <w:kern w:val="0"/>
          <w:szCs w:val="24"/>
        </w:rPr>
        <w:t>。</w:t>
      </w:r>
    </w:p>
    <w:p>
      <w:pPr>
        <w:pStyle w:val="1078"/>
        <w:spacing w:before="120" w:beforeLines="50" w:line="240" w:lineRule="auto"/>
        <w:rPr>
          <w:rFonts w:hAnsi="黑体" w:cs="黑体"/>
        </w:rPr>
      </w:pPr>
      <w:r>
        <w:rPr>
          <w:rFonts w:hint="eastAsia" w:hAnsi="黑体" w:cs="黑体"/>
        </w:rPr>
        <w:t>表3.3-1 施工期间生活污水水质及污染物产生量一览表</w:t>
      </w:r>
    </w:p>
    <w:tbl>
      <w:tblPr>
        <w:tblStyle w:val="82"/>
        <w:tblW w:w="4900"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123"/>
        <w:gridCol w:w="1814"/>
        <w:gridCol w:w="1814"/>
        <w:gridCol w:w="1814"/>
        <w:gridCol w:w="1814"/>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132" w:type="pct"/>
            <w:tcBorders>
              <w:top w:val="single" w:color="auto" w:sz="12" w:space="0"/>
              <w:bottom w:val="single" w:color="auto" w:sz="4" w:space="0"/>
              <w:right w:val="single" w:color="auto" w:sz="4" w:space="0"/>
            </w:tcBorders>
            <w:vAlign w:val="center"/>
          </w:tcPr>
          <w:p>
            <w:pPr>
              <w:spacing w:line="340" w:lineRule="exact"/>
              <w:ind w:firstLine="0" w:firstLineChars="0"/>
              <w:jc w:val="center"/>
              <w:rPr>
                <w:sz w:val="21"/>
              </w:rPr>
            </w:pPr>
            <w:r>
              <w:rPr>
                <w:sz w:val="21"/>
              </w:rPr>
              <w:t>项 目</w:t>
            </w:r>
          </w:p>
        </w:tc>
        <w:tc>
          <w:tcPr>
            <w:tcW w:w="967" w:type="pct"/>
            <w:tcBorders>
              <w:top w:val="single" w:color="auto" w:sz="12" w:space="0"/>
              <w:left w:val="single" w:color="auto" w:sz="4" w:space="0"/>
              <w:bottom w:val="single" w:color="auto" w:sz="4" w:space="0"/>
              <w:right w:val="single" w:color="auto" w:sz="4" w:space="0"/>
            </w:tcBorders>
            <w:vAlign w:val="center"/>
          </w:tcPr>
          <w:p>
            <w:pPr>
              <w:spacing w:line="340" w:lineRule="exact"/>
              <w:ind w:firstLine="0" w:firstLineChars="0"/>
              <w:jc w:val="center"/>
              <w:rPr>
                <w:sz w:val="21"/>
              </w:rPr>
            </w:pPr>
            <w:r>
              <w:rPr>
                <w:sz w:val="21"/>
              </w:rPr>
              <w:t>COD</w:t>
            </w:r>
            <w:r>
              <w:rPr>
                <w:sz w:val="21"/>
                <w:vertAlign w:val="subscript"/>
              </w:rPr>
              <w:t>Cr</w:t>
            </w:r>
          </w:p>
        </w:tc>
        <w:tc>
          <w:tcPr>
            <w:tcW w:w="967" w:type="pct"/>
            <w:tcBorders>
              <w:top w:val="single" w:color="auto" w:sz="12" w:space="0"/>
              <w:left w:val="single" w:color="auto" w:sz="4" w:space="0"/>
              <w:bottom w:val="single" w:color="auto" w:sz="4" w:space="0"/>
              <w:right w:val="single" w:color="auto" w:sz="4" w:space="0"/>
            </w:tcBorders>
            <w:vAlign w:val="center"/>
          </w:tcPr>
          <w:p>
            <w:pPr>
              <w:spacing w:line="340" w:lineRule="exact"/>
              <w:ind w:firstLine="0" w:firstLineChars="0"/>
              <w:jc w:val="center"/>
              <w:rPr>
                <w:sz w:val="21"/>
              </w:rPr>
            </w:pPr>
            <w:r>
              <w:rPr>
                <w:sz w:val="21"/>
              </w:rPr>
              <w:t>BOD</w:t>
            </w:r>
            <w:r>
              <w:rPr>
                <w:sz w:val="21"/>
                <w:vertAlign w:val="subscript"/>
              </w:rPr>
              <w:t>5</w:t>
            </w:r>
          </w:p>
        </w:tc>
        <w:tc>
          <w:tcPr>
            <w:tcW w:w="967" w:type="pct"/>
            <w:tcBorders>
              <w:top w:val="single" w:color="auto" w:sz="12" w:space="0"/>
              <w:left w:val="single" w:color="auto" w:sz="4" w:space="0"/>
              <w:bottom w:val="single" w:color="auto" w:sz="4" w:space="0"/>
              <w:right w:val="single" w:color="auto" w:sz="4" w:space="0"/>
            </w:tcBorders>
            <w:vAlign w:val="center"/>
          </w:tcPr>
          <w:p>
            <w:pPr>
              <w:spacing w:line="340" w:lineRule="exact"/>
              <w:ind w:firstLine="0" w:firstLineChars="0"/>
              <w:jc w:val="center"/>
              <w:rPr>
                <w:sz w:val="21"/>
              </w:rPr>
            </w:pPr>
            <w:r>
              <w:rPr>
                <w:sz w:val="21"/>
              </w:rPr>
              <w:t>SS</w:t>
            </w:r>
          </w:p>
        </w:tc>
        <w:tc>
          <w:tcPr>
            <w:tcW w:w="967" w:type="pct"/>
            <w:tcBorders>
              <w:top w:val="single" w:color="auto" w:sz="12" w:space="0"/>
              <w:left w:val="single" w:color="auto" w:sz="4" w:space="0"/>
              <w:bottom w:val="single" w:color="auto" w:sz="4" w:space="0"/>
            </w:tcBorders>
            <w:vAlign w:val="center"/>
          </w:tcPr>
          <w:p>
            <w:pPr>
              <w:spacing w:line="340" w:lineRule="exact"/>
              <w:ind w:firstLine="0" w:firstLineChars="0"/>
              <w:jc w:val="center"/>
              <w:rPr>
                <w:sz w:val="21"/>
              </w:rPr>
            </w:pPr>
            <w:r>
              <w:rPr>
                <w:sz w:val="21"/>
              </w:rPr>
              <w:t>NH</w:t>
            </w:r>
            <w:r>
              <w:rPr>
                <w:sz w:val="21"/>
                <w:vertAlign w:val="subscript"/>
              </w:rPr>
              <w:t>3</w:t>
            </w:r>
            <w:r>
              <w:rPr>
                <w:sz w:val="21"/>
              </w:rPr>
              <w:t>-N</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132" w:type="pct"/>
            <w:tcBorders>
              <w:top w:val="single" w:color="auto" w:sz="4" w:space="0"/>
              <w:bottom w:val="single" w:color="000000" w:sz="6" w:space="0"/>
              <w:right w:val="single" w:color="auto" w:sz="4" w:space="0"/>
            </w:tcBorders>
            <w:vAlign w:val="center"/>
          </w:tcPr>
          <w:p>
            <w:pPr>
              <w:spacing w:line="340" w:lineRule="exact"/>
              <w:ind w:firstLine="0" w:firstLineChars="0"/>
              <w:jc w:val="center"/>
              <w:rPr>
                <w:sz w:val="21"/>
                <w:lang w:val="en-GB"/>
              </w:rPr>
            </w:pPr>
            <w:r>
              <w:rPr>
                <w:sz w:val="21"/>
                <w:lang w:val="en-GB"/>
              </w:rPr>
              <w:t>产生浓度(</w:t>
            </w:r>
            <w:r>
              <w:rPr>
                <w:sz w:val="21"/>
              </w:rPr>
              <w:t>mg/L)</w:t>
            </w:r>
          </w:p>
        </w:tc>
        <w:tc>
          <w:tcPr>
            <w:tcW w:w="967" w:type="pct"/>
            <w:tcBorders>
              <w:top w:val="single" w:color="auto" w:sz="4" w:space="0"/>
              <w:left w:val="single" w:color="auto" w:sz="4" w:space="0"/>
              <w:bottom w:val="single" w:color="000000" w:sz="6" w:space="0"/>
              <w:right w:val="single" w:color="auto" w:sz="4" w:space="0"/>
            </w:tcBorders>
            <w:vAlign w:val="center"/>
          </w:tcPr>
          <w:p>
            <w:pPr>
              <w:spacing w:line="340" w:lineRule="exact"/>
              <w:ind w:firstLine="0" w:firstLineChars="0"/>
              <w:jc w:val="center"/>
              <w:rPr>
                <w:sz w:val="21"/>
              </w:rPr>
            </w:pPr>
            <w:r>
              <w:rPr>
                <w:sz w:val="21"/>
              </w:rPr>
              <w:t>250</w:t>
            </w:r>
          </w:p>
        </w:tc>
        <w:tc>
          <w:tcPr>
            <w:tcW w:w="967" w:type="pct"/>
            <w:tcBorders>
              <w:top w:val="single" w:color="auto" w:sz="4" w:space="0"/>
              <w:left w:val="single" w:color="auto" w:sz="4" w:space="0"/>
              <w:bottom w:val="single" w:color="000000" w:sz="6" w:space="0"/>
              <w:right w:val="single" w:color="auto" w:sz="4" w:space="0"/>
            </w:tcBorders>
            <w:vAlign w:val="center"/>
          </w:tcPr>
          <w:p>
            <w:pPr>
              <w:spacing w:line="340" w:lineRule="exact"/>
              <w:ind w:firstLine="0" w:firstLineChars="0"/>
              <w:jc w:val="center"/>
              <w:rPr>
                <w:sz w:val="21"/>
              </w:rPr>
            </w:pPr>
            <w:r>
              <w:rPr>
                <w:sz w:val="21"/>
              </w:rPr>
              <w:t>100</w:t>
            </w:r>
          </w:p>
        </w:tc>
        <w:tc>
          <w:tcPr>
            <w:tcW w:w="967" w:type="pct"/>
            <w:tcBorders>
              <w:top w:val="single" w:color="auto" w:sz="4" w:space="0"/>
              <w:left w:val="single" w:color="auto" w:sz="4" w:space="0"/>
              <w:bottom w:val="single" w:color="000000" w:sz="6" w:space="0"/>
            </w:tcBorders>
            <w:vAlign w:val="center"/>
          </w:tcPr>
          <w:p>
            <w:pPr>
              <w:spacing w:line="340" w:lineRule="exact"/>
              <w:ind w:firstLine="0" w:firstLineChars="0"/>
              <w:jc w:val="center"/>
              <w:rPr>
                <w:sz w:val="21"/>
              </w:rPr>
            </w:pPr>
            <w:r>
              <w:rPr>
                <w:sz w:val="21"/>
              </w:rPr>
              <w:t>100</w:t>
            </w:r>
          </w:p>
        </w:tc>
        <w:tc>
          <w:tcPr>
            <w:tcW w:w="967" w:type="pct"/>
            <w:tcBorders>
              <w:top w:val="single" w:color="auto" w:sz="4" w:space="0"/>
              <w:bottom w:val="single" w:color="000000" w:sz="6" w:space="0"/>
            </w:tcBorders>
            <w:vAlign w:val="center"/>
          </w:tcPr>
          <w:p>
            <w:pPr>
              <w:spacing w:line="340" w:lineRule="exact"/>
              <w:ind w:firstLine="0" w:firstLineChars="0"/>
              <w:jc w:val="center"/>
              <w:rPr>
                <w:sz w:val="21"/>
              </w:rPr>
            </w:pPr>
            <w:r>
              <w:rPr>
                <w:sz w:val="21"/>
              </w:rPr>
              <w:t>25</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1132" w:type="pct"/>
            <w:tcBorders>
              <w:top w:val="single" w:color="000000" w:sz="6" w:space="0"/>
              <w:bottom w:val="single" w:color="000000" w:sz="12" w:space="0"/>
              <w:right w:val="single" w:color="auto" w:sz="4" w:space="0"/>
            </w:tcBorders>
            <w:vAlign w:val="center"/>
          </w:tcPr>
          <w:p>
            <w:pPr>
              <w:spacing w:line="340" w:lineRule="exact"/>
              <w:ind w:firstLine="0" w:firstLineChars="0"/>
              <w:jc w:val="center"/>
              <w:rPr>
                <w:sz w:val="21"/>
                <w:lang w:val="en-GB"/>
              </w:rPr>
            </w:pPr>
            <w:r>
              <w:rPr>
                <w:sz w:val="21"/>
              </w:rPr>
              <w:t>产生量</w:t>
            </w:r>
            <w:r>
              <w:rPr>
                <w:sz w:val="21"/>
                <w:lang w:val="en-GB"/>
              </w:rPr>
              <w:t>(</w:t>
            </w:r>
            <w:r>
              <w:rPr>
                <w:sz w:val="21"/>
              </w:rPr>
              <w:t>t/施工期)</w:t>
            </w:r>
          </w:p>
        </w:tc>
        <w:tc>
          <w:tcPr>
            <w:tcW w:w="967" w:type="pct"/>
            <w:tcBorders>
              <w:top w:val="single" w:color="000000" w:sz="6" w:space="0"/>
              <w:left w:val="single" w:color="auto" w:sz="4" w:space="0"/>
              <w:bottom w:val="single" w:color="000000" w:sz="12" w:space="0"/>
              <w:right w:val="single" w:color="auto" w:sz="4" w:space="0"/>
            </w:tcBorders>
            <w:vAlign w:val="center"/>
          </w:tcPr>
          <w:p>
            <w:pPr>
              <w:spacing w:line="340" w:lineRule="exact"/>
              <w:ind w:firstLine="0" w:firstLineChars="0"/>
              <w:jc w:val="center"/>
              <w:rPr>
                <w:sz w:val="21"/>
              </w:rPr>
            </w:pPr>
            <w:r>
              <w:rPr>
                <w:rFonts w:hint="eastAsia"/>
                <w:sz w:val="21"/>
              </w:rPr>
              <w:t>3.24</w:t>
            </w:r>
          </w:p>
        </w:tc>
        <w:tc>
          <w:tcPr>
            <w:tcW w:w="967" w:type="pct"/>
            <w:tcBorders>
              <w:top w:val="single" w:color="000000" w:sz="6" w:space="0"/>
              <w:left w:val="single" w:color="auto" w:sz="4" w:space="0"/>
              <w:bottom w:val="single" w:color="000000" w:sz="12" w:space="0"/>
              <w:right w:val="single" w:color="auto" w:sz="4" w:space="0"/>
            </w:tcBorders>
            <w:vAlign w:val="center"/>
          </w:tcPr>
          <w:p>
            <w:pPr>
              <w:spacing w:line="340" w:lineRule="exact"/>
              <w:ind w:firstLine="0" w:firstLineChars="0"/>
              <w:jc w:val="center"/>
              <w:rPr>
                <w:sz w:val="21"/>
              </w:rPr>
            </w:pPr>
            <w:r>
              <w:rPr>
                <w:rFonts w:hint="eastAsia"/>
                <w:sz w:val="21"/>
              </w:rPr>
              <w:t>1.296</w:t>
            </w:r>
          </w:p>
        </w:tc>
        <w:tc>
          <w:tcPr>
            <w:tcW w:w="967" w:type="pct"/>
            <w:tcBorders>
              <w:top w:val="single" w:color="000000" w:sz="6" w:space="0"/>
              <w:left w:val="single" w:color="auto" w:sz="4" w:space="0"/>
              <w:bottom w:val="single" w:color="000000" w:sz="12" w:space="0"/>
            </w:tcBorders>
            <w:vAlign w:val="center"/>
          </w:tcPr>
          <w:p>
            <w:pPr>
              <w:spacing w:line="340" w:lineRule="exact"/>
              <w:ind w:firstLine="0" w:firstLineChars="0"/>
              <w:jc w:val="center"/>
              <w:rPr>
                <w:sz w:val="21"/>
              </w:rPr>
            </w:pPr>
            <w:r>
              <w:rPr>
                <w:rFonts w:hint="eastAsia"/>
                <w:sz w:val="21"/>
              </w:rPr>
              <w:t>1.296</w:t>
            </w:r>
          </w:p>
        </w:tc>
        <w:tc>
          <w:tcPr>
            <w:tcW w:w="967" w:type="pct"/>
            <w:tcBorders>
              <w:top w:val="single" w:color="000000" w:sz="6" w:space="0"/>
              <w:bottom w:val="single" w:color="000000" w:sz="12" w:space="0"/>
            </w:tcBorders>
            <w:vAlign w:val="center"/>
          </w:tcPr>
          <w:p>
            <w:pPr>
              <w:spacing w:line="340" w:lineRule="exact"/>
              <w:ind w:firstLine="0" w:firstLineChars="0"/>
              <w:jc w:val="center"/>
              <w:rPr>
                <w:sz w:val="21"/>
              </w:rPr>
            </w:pPr>
            <w:r>
              <w:rPr>
                <w:rFonts w:hint="eastAsia"/>
                <w:sz w:val="21"/>
              </w:rPr>
              <w:t>0.324</w:t>
            </w:r>
          </w:p>
        </w:tc>
      </w:tr>
    </w:tbl>
    <w:p>
      <w:pPr>
        <w:spacing w:before="120" w:beforeLines="50"/>
        <w:ind w:firstLine="0" w:firstLineChars="0"/>
        <w:rPr>
          <w:szCs w:val="24"/>
        </w:rPr>
      </w:pPr>
      <w:bookmarkStart w:id="578" w:name="_Toc3903255"/>
      <w:bookmarkStart w:id="579" w:name="_Toc534386275"/>
      <w:bookmarkStart w:id="580" w:name="_Toc534807034"/>
      <w:bookmarkStart w:id="581" w:name="_Toc534895251"/>
      <w:bookmarkStart w:id="582" w:name="_Toc536265118"/>
      <w:r>
        <w:rPr>
          <w:b/>
        </w:rPr>
        <w:t>3.</w:t>
      </w:r>
      <w:r>
        <w:rPr>
          <w:rFonts w:hint="eastAsia"/>
          <w:b/>
        </w:rPr>
        <w:t>3</w:t>
      </w:r>
      <w:r>
        <w:rPr>
          <w:b/>
        </w:rPr>
        <w:t>.</w:t>
      </w:r>
      <w:r>
        <w:rPr>
          <w:rFonts w:hint="eastAsia"/>
          <w:b/>
        </w:rPr>
        <w:t>1.2</w:t>
      </w:r>
      <w:r>
        <w:rPr>
          <w:b/>
        </w:rPr>
        <w:t>施工期废气污染源</w:t>
      </w:r>
      <w:bookmarkEnd w:id="578"/>
      <w:bookmarkEnd w:id="579"/>
      <w:bookmarkEnd w:id="580"/>
      <w:bookmarkEnd w:id="581"/>
      <w:bookmarkEnd w:id="582"/>
    </w:p>
    <w:p>
      <w:pPr>
        <w:ind w:firstLine="480"/>
      </w:pPr>
      <w:r>
        <w:t>本项目施工期大气污染物主要来源为：土石方和施工材料露天堆放产生的扬尘，施工车辆运输材料过程中产生的扬尘；燃油机械工作和火药爆炸时产生的废。</w:t>
      </w:r>
    </w:p>
    <w:p>
      <w:pPr>
        <w:ind w:firstLine="480"/>
      </w:pPr>
      <w:r>
        <w:rPr>
          <w:rFonts w:hint="eastAsia" w:ascii="宋体" w:hAnsi="宋体" w:cs="宋体"/>
        </w:rPr>
        <w:t>⑴</w:t>
      </w:r>
      <w:r>
        <w:t>堆场扬尘</w:t>
      </w:r>
    </w:p>
    <w:p>
      <w:pPr>
        <w:ind w:firstLine="480"/>
      </w:pPr>
      <w:r>
        <w:t>施工阶段扬尘的一个主要来源是露天堆场和裸露场地的风力扬尘。由于施工需要，一些建筑材料需露天堆放，一些施工作业点表层土壤需人工开挖后并临时堆放，在气候干燥又有风的情况下，会产生扬尘，其扬尘量可按堆场起尘的经验公式计算：</w:t>
      </w:r>
    </w:p>
    <w:p>
      <w:pPr>
        <w:ind w:firstLine="0" w:firstLineChars="0"/>
        <w:jc w:val="center"/>
      </w:pPr>
      <w:r>
        <w:drawing>
          <wp:inline distT="0" distB="0" distL="114300" distR="114300">
            <wp:extent cx="1619885" cy="266700"/>
            <wp:effectExtent l="0" t="0" r="0" b="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37"/>
                    <a:stretch>
                      <a:fillRect/>
                    </a:stretch>
                  </pic:blipFill>
                  <pic:spPr>
                    <a:xfrm>
                      <a:off x="0" y="0"/>
                      <a:ext cx="1619885" cy="266700"/>
                    </a:xfrm>
                    <a:prstGeom prst="rect">
                      <a:avLst/>
                    </a:prstGeom>
                    <a:noFill/>
                    <a:ln>
                      <a:noFill/>
                    </a:ln>
                  </pic:spPr>
                </pic:pic>
              </a:graphicData>
            </a:graphic>
          </wp:inline>
        </w:drawing>
      </w:r>
    </w:p>
    <w:p>
      <w:pPr>
        <w:ind w:firstLine="480"/>
      </w:pPr>
      <w:r>
        <w:t>式中：Q——起尘量，kg/t·a；</w:t>
      </w:r>
    </w:p>
    <w:p>
      <w:pPr>
        <w:ind w:firstLine="1200" w:firstLineChars="500"/>
      </w:pPr>
      <w:r>
        <w:t>V</w:t>
      </w:r>
      <w:r>
        <w:rPr>
          <w:vertAlign w:val="subscript"/>
        </w:rPr>
        <w:t>50</w:t>
      </w:r>
      <w:r>
        <w:t>——距地面50m处风速，m/s；</w:t>
      </w:r>
    </w:p>
    <w:p>
      <w:pPr>
        <w:ind w:firstLine="1200" w:firstLineChars="500"/>
      </w:pPr>
      <w:r>
        <w:t>V</w:t>
      </w:r>
      <w:r>
        <w:rPr>
          <w:vertAlign w:val="subscript"/>
        </w:rPr>
        <w:t>0</w:t>
      </w:r>
      <w:r>
        <w:t>——起尘风速，m/s；</w:t>
      </w:r>
    </w:p>
    <w:p>
      <w:pPr>
        <w:ind w:firstLine="1200" w:firstLineChars="500"/>
      </w:pPr>
      <w:r>
        <w:t>W——尘粒的含水率，%。</w:t>
      </w:r>
    </w:p>
    <w:p>
      <w:pPr>
        <w:ind w:firstLine="480"/>
      </w:pPr>
      <w:r>
        <w:t>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表3.</w:t>
      </w:r>
      <w:r>
        <w:rPr>
          <w:rFonts w:hint="eastAsia"/>
        </w:rPr>
        <w:t>3</w:t>
      </w:r>
      <w:r>
        <w:t>-2。</w:t>
      </w:r>
      <w:bookmarkStart w:id="583" w:name="_Ref385086798"/>
    </w:p>
    <w:p>
      <w:pPr>
        <w:pStyle w:val="1078"/>
        <w:spacing w:before="120" w:beforeLines="50" w:line="240" w:lineRule="auto"/>
        <w:ind w:firstLine="641"/>
        <w:rPr>
          <w:rFonts w:hAnsi="黑体" w:cs="黑体"/>
        </w:rPr>
      </w:pPr>
      <w:r>
        <w:rPr>
          <w:rFonts w:hint="eastAsia" w:hAnsi="黑体" w:cs="黑体"/>
        </w:rPr>
        <w:t>表</w:t>
      </w:r>
      <w:bookmarkEnd w:id="583"/>
      <w:r>
        <w:rPr>
          <w:rFonts w:hint="eastAsia" w:hAnsi="黑体" w:cs="黑体"/>
        </w:rPr>
        <w:t>3.3-2  不同粒径尘粒的沉降速度</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734"/>
        <w:gridCol w:w="1060"/>
        <w:gridCol w:w="1080"/>
        <w:gridCol w:w="1107"/>
        <w:gridCol w:w="1080"/>
        <w:gridCol w:w="1127"/>
        <w:gridCol w:w="1128"/>
        <w:gridCol w:w="10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粉尘粒径（μm）</w:t>
            </w:r>
          </w:p>
        </w:tc>
        <w:tc>
          <w:tcPr>
            <w:tcW w:w="566"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10</w:t>
            </w:r>
          </w:p>
        </w:tc>
        <w:tc>
          <w:tcPr>
            <w:tcW w:w="577"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20</w:t>
            </w:r>
          </w:p>
        </w:tc>
        <w:tc>
          <w:tcPr>
            <w:tcW w:w="591"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30</w:t>
            </w:r>
          </w:p>
        </w:tc>
        <w:tc>
          <w:tcPr>
            <w:tcW w:w="577"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40</w:t>
            </w:r>
          </w:p>
        </w:tc>
        <w:tc>
          <w:tcPr>
            <w:tcW w:w="602"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50</w:t>
            </w:r>
          </w:p>
        </w:tc>
        <w:tc>
          <w:tcPr>
            <w:tcW w:w="602"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60</w:t>
            </w:r>
          </w:p>
        </w:tc>
        <w:tc>
          <w:tcPr>
            <w:tcW w:w="554" w:type="pct"/>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沉降速度（m/s）</w:t>
            </w:r>
          </w:p>
        </w:tc>
        <w:tc>
          <w:tcPr>
            <w:tcW w:w="566"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0.003</w:t>
            </w:r>
          </w:p>
        </w:tc>
        <w:tc>
          <w:tcPr>
            <w:tcW w:w="577"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0.012</w:t>
            </w:r>
          </w:p>
        </w:tc>
        <w:tc>
          <w:tcPr>
            <w:tcW w:w="591"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0.027</w:t>
            </w:r>
          </w:p>
        </w:tc>
        <w:tc>
          <w:tcPr>
            <w:tcW w:w="577"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0.048</w:t>
            </w:r>
          </w:p>
        </w:tc>
        <w:tc>
          <w:tcPr>
            <w:tcW w:w="602"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0.075</w:t>
            </w:r>
          </w:p>
        </w:tc>
        <w:tc>
          <w:tcPr>
            <w:tcW w:w="602"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0.108</w:t>
            </w:r>
          </w:p>
        </w:tc>
        <w:tc>
          <w:tcPr>
            <w:tcW w:w="554" w:type="pct"/>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vAlign w:val="center"/>
          </w:tcPr>
          <w:p>
            <w:pPr>
              <w:adjustRightInd w:val="0"/>
              <w:snapToGrid w:val="0"/>
              <w:spacing w:line="340" w:lineRule="exact"/>
              <w:ind w:firstLine="0" w:firstLineChars="0"/>
              <w:jc w:val="center"/>
              <w:rPr>
                <w:sz w:val="21"/>
                <w:szCs w:val="21"/>
              </w:rPr>
            </w:pPr>
            <w:r>
              <w:rPr>
                <w:sz w:val="21"/>
                <w:szCs w:val="21"/>
              </w:rPr>
              <w:t>粉尘粒径（μm）</w:t>
            </w:r>
          </w:p>
        </w:tc>
        <w:tc>
          <w:tcPr>
            <w:tcW w:w="566" w:type="pct"/>
            <w:vAlign w:val="center"/>
          </w:tcPr>
          <w:p>
            <w:pPr>
              <w:adjustRightInd w:val="0"/>
              <w:snapToGrid w:val="0"/>
              <w:spacing w:line="340" w:lineRule="exact"/>
              <w:ind w:firstLine="0" w:firstLineChars="0"/>
              <w:jc w:val="center"/>
              <w:rPr>
                <w:sz w:val="21"/>
                <w:szCs w:val="21"/>
              </w:rPr>
            </w:pPr>
            <w:r>
              <w:rPr>
                <w:sz w:val="21"/>
                <w:szCs w:val="21"/>
              </w:rPr>
              <w:t>80</w:t>
            </w:r>
          </w:p>
        </w:tc>
        <w:tc>
          <w:tcPr>
            <w:tcW w:w="577" w:type="pct"/>
            <w:vAlign w:val="center"/>
          </w:tcPr>
          <w:p>
            <w:pPr>
              <w:adjustRightInd w:val="0"/>
              <w:snapToGrid w:val="0"/>
              <w:spacing w:line="340" w:lineRule="exact"/>
              <w:ind w:firstLine="0" w:firstLineChars="0"/>
              <w:jc w:val="center"/>
              <w:rPr>
                <w:sz w:val="21"/>
                <w:szCs w:val="21"/>
              </w:rPr>
            </w:pPr>
            <w:r>
              <w:rPr>
                <w:sz w:val="21"/>
                <w:szCs w:val="21"/>
              </w:rPr>
              <w:t>90</w:t>
            </w:r>
          </w:p>
        </w:tc>
        <w:tc>
          <w:tcPr>
            <w:tcW w:w="591" w:type="pct"/>
            <w:vAlign w:val="center"/>
          </w:tcPr>
          <w:p>
            <w:pPr>
              <w:adjustRightInd w:val="0"/>
              <w:snapToGrid w:val="0"/>
              <w:spacing w:line="340" w:lineRule="exact"/>
              <w:ind w:firstLine="0" w:firstLineChars="0"/>
              <w:jc w:val="center"/>
              <w:rPr>
                <w:sz w:val="21"/>
                <w:szCs w:val="21"/>
              </w:rPr>
            </w:pPr>
            <w:r>
              <w:rPr>
                <w:sz w:val="21"/>
                <w:szCs w:val="21"/>
              </w:rPr>
              <w:t>100</w:t>
            </w:r>
          </w:p>
        </w:tc>
        <w:tc>
          <w:tcPr>
            <w:tcW w:w="577" w:type="pct"/>
            <w:vAlign w:val="center"/>
          </w:tcPr>
          <w:p>
            <w:pPr>
              <w:adjustRightInd w:val="0"/>
              <w:snapToGrid w:val="0"/>
              <w:spacing w:line="340" w:lineRule="exact"/>
              <w:ind w:firstLine="0" w:firstLineChars="0"/>
              <w:jc w:val="center"/>
              <w:rPr>
                <w:sz w:val="21"/>
                <w:szCs w:val="21"/>
              </w:rPr>
            </w:pPr>
            <w:r>
              <w:rPr>
                <w:sz w:val="21"/>
                <w:szCs w:val="21"/>
              </w:rPr>
              <w:t>150</w:t>
            </w:r>
          </w:p>
        </w:tc>
        <w:tc>
          <w:tcPr>
            <w:tcW w:w="602" w:type="pct"/>
            <w:vAlign w:val="center"/>
          </w:tcPr>
          <w:p>
            <w:pPr>
              <w:adjustRightInd w:val="0"/>
              <w:snapToGrid w:val="0"/>
              <w:spacing w:line="340" w:lineRule="exact"/>
              <w:ind w:firstLine="0" w:firstLineChars="0"/>
              <w:jc w:val="center"/>
              <w:rPr>
                <w:sz w:val="21"/>
                <w:szCs w:val="21"/>
              </w:rPr>
            </w:pPr>
            <w:r>
              <w:rPr>
                <w:sz w:val="21"/>
                <w:szCs w:val="21"/>
              </w:rPr>
              <w:t>200</w:t>
            </w:r>
          </w:p>
        </w:tc>
        <w:tc>
          <w:tcPr>
            <w:tcW w:w="602" w:type="pct"/>
            <w:vAlign w:val="center"/>
          </w:tcPr>
          <w:p>
            <w:pPr>
              <w:adjustRightInd w:val="0"/>
              <w:snapToGrid w:val="0"/>
              <w:spacing w:line="340" w:lineRule="exact"/>
              <w:ind w:firstLine="0" w:firstLineChars="0"/>
              <w:jc w:val="center"/>
              <w:rPr>
                <w:sz w:val="21"/>
                <w:szCs w:val="21"/>
              </w:rPr>
            </w:pPr>
            <w:r>
              <w:rPr>
                <w:sz w:val="21"/>
                <w:szCs w:val="21"/>
              </w:rPr>
              <w:t>250</w:t>
            </w:r>
          </w:p>
        </w:tc>
        <w:tc>
          <w:tcPr>
            <w:tcW w:w="554" w:type="pct"/>
            <w:vAlign w:val="center"/>
          </w:tcPr>
          <w:p>
            <w:pPr>
              <w:adjustRightInd w:val="0"/>
              <w:snapToGrid w:val="0"/>
              <w:spacing w:line="340" w:lineRule="exact"/>
              <w:ind w:firstLine="0" w:firstLineChars="0"/>
              <w:jc w:val="center"/>
              <w:rPr>
                <w:sz w:val="21"/>
                <w:szCs w:val="21"/>
              </w:rPr>
            </w:pPr>
            <w:r>
              <w:rPr>
                <w:sz w:val="21"/>
                <w:szCs w:val="21"/>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vAlign w:val="center"/>
          </w:tcPr>
          <w:p>
            <w:pPr>
              <w:adjustRightInd w:val="0"/>
              <w:snapToGrid w:val="0"/>
              <w:spacing w:line="340" w:lineRule="exact"/>
              <w:ind w:firstLine="0" w:firstLineChars="0"/>
              <w:jc w:val="center"/>
              <w:rPr>
                <w:sz w:val="21"/>
                <w:szCs w:val="21"/>
              </w:rPr>
            </w:pPr>
            <w:r>
              <w:rPr>
                <w:sz w:val="21"/>
                <w:szCs w:val="21"/>
              </w:rPr>
              <w:t>沉降速度（m/s）</w:t>
            </w:r>
          </w:p>
        </w:tc>
        <w:tc>
          <w:tcPr>
            <w:tcW w:w="566" w:type="pct"/>
            <w:vAlign w:val="center"/>
          </w:tcPr>
          <w:p>
            <w:pPr>
              <w:adjustRightInd w:val="0"/>
              <w:snapToGrid w:val="0"/>
              <w:spacing w:line="340" w:lineRule="exact"/>
              <w:ind w:firstLine="0" w:firstLineChars="0"/>
              <w:jc w:val="center"/>
              <w:rPr>
                <w:sz w:val="21"/>
                <w:szCs w:val="21"/>
              </w:rPr>
            </w:pPr>
            <w:r>
              <w:rPr>
                <w:sz w:val="21"/>
                <w:szCs w:val="21"/>
              </w:rPr>
              <w:t>0.158</w:t>
            </w:r>
          </w:p>
        </w:tc>
        <w:tc>
          <w:tcPr>
            <w:tcW w:w="577" w:type="pct"/>
            <w:vAlign w:val="center"/>
          </w:tcPr>
          <w:p>
            <w:pPr>
              <w:adjustRightInd w:val="0"/>
              <w:snapToGrid w:val="0"/>
              <w:spacing w:line="340" w:lineRule="exact"/>
              <w:ind w:firstLine="0" w:firstLineChars="0"/>
              <w:jc w:val="center"/>
              <w:rPr>
                <w:sz w:val="21"/>
                <w:szCs w:val="21"/>
              </w:rPr>
            </w:pPr>
            <w:r>
              <w:rPr>
                <w:sz w:val="21"/>
                <w:szCs w:val="21"/>
              </w:rPr>
              <w:t>0.170</w:t>
            </w:r>
          </w:p>
        </w:tc>
        <w:tc>
          <w:tcPr>
            <w:tcW w:w="591" w:type="pct"/>
            <w:vAlign w:val="center"/>
          </w:tcPr>
          <w:p>
            <w:pPr>
              <w:adjustRightInd w:val="0"/>
              <w:snapToGrid w:val="0"/>
              <w:spacing w:line="340" w:lineRule="exact"/>
              <w:ind w:firstLine="0" w:firstLineChars="0"/>
              <w:jc w:val="center"/>
              <w:rPr>
                <w:sz w:val="21"/>
                <w:szCs w:val="21"/>
              </w:rPr>
            </w:pPr>
            <w:r>
              <w:rPr>
                <w:sz w:val="21"/>
                <w:szCs w:val="21"/>
              </w:rPr>
              <w:t>0.182</w:t>
            </w:r>
          </w:p>
        </w:tc>
        <w:tc>
          <w:tcPr>
            <w:tcW w:w="577" w:type="pct"/>
            <w:vAlign w:val="center"/>
          </w:tcPr>
          <w:p>
            <w:pPr>
              <w:adjustRightInd w:val="0"/>
              <w:snapToGrid w:val="0"/>
              <w:spacing w:line="340" w:lineRule="exact"/>
              <w:ind w:firstLine="0" w:firstLineChars="0"/>
              <w:jc w:val="center"/>
              <w:rPr>
                <w:sz w:val="21"/>
                <w:szCs w:val="21"/>
              </w:rPr>
            </w:pPr>
            <w:r>
              <w:rPr>
                <w:sz w:val="21"/>
                <w:szCs w:val="21"/>
              </w:rPr>
              <w:t>0.239</w:t>
            </w:r>
          </w:p>
        </w:tc>
        <w:tc>
          <w:tcPr>
            <w:tcW w:w="602" w:type="pct"/>
            <w:vAlign w:val="center"/>
          </w:tcPr>
          <w:p>
            <w:pPr>
              <w:adjustRightInd w:val="0"/>
              <w:snapToGrid w:val="0"/>
              <w:spacing w:line="340" w:lineRule="exact"/>
              <w:ind w:firstLine="0" w:firstLineChars="0"/>
              <w:jc w:val="center"/>
              <w:rPr>
                <w:sz w:val="21"/>
                <w:szCs w:val="21"/>
              </w:rPr>
            </w:pPr>
            <w:r>
              <w:rPr>
                <w:sz w:val="21"/>
                <w:szCs w:val="21"/>
              </w:rPr>
              <w:t>0.804</w:t>
            </w:r>
          </w:p>
        </w:tc>
        <w:tc>
          <w:tcPr>
            <w:tcW w:w="602" w:type="pct"/>
            <w:vAlign w:val="center"/>
          </w:tcPr>
          <w:p>
            <w:pPr>
              <w:adjustRightInd w:val="0"/>
              <w:snapToGrid w:val="0"/>
              <w:spacing w:line="340" w:lineRule="exact"/>
              <w:ind w:firstLine="0" w:firstLineChars="0"/>
              <w:jc w:val="center"/>
              <w:rPr>
                <w:sz w:val="21"/>
                <w:szCs w:val="21"/>
              </w:rPr>
            </w:pPr>
            <w:r>
              <w:rPr>
                <w:sz w:val="21"/>
                <w:szCs w:val="21"/>
              </w:rPr>
              <w:t>1.005</w:t>
            </w:r>
          </w:p>
        </w:tc>
        <w:tc>
          <w:tcPr>
            <w:tcW w:w="554" w:type="pct"/>
            <w:vAlign w:val="center"/>
          </w:tcPr>
          <w:p>
            <w:pPr>
              <w:adjustRightInd w:val="0"/>
              <w:snapToGrid w:val="0"/>
              <w:spacing w:line="340" w:lineRule="exact"/>
              <w:ind w:firstLine="0" w:firstLineChars="0"/>
              <w:jc w:val="center"/>
              <w:rPr>
                <w:sz w:val="21"/>
                <w:szCs w:val="21"/>
              </w:rPr>
            </w:pPr>
            <w:r>
              <w:rPr>
                <w:sz w:val="21"/>
                <w:szCs w:val="21"/>
              </w:rPr>
              <w:t>1.829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vAlign w:val="center"/>
          </w:tcPr>
          <w:p>
            <w:pPr>
              <w:adjustRightInd w:val="0"/>
              <w:snapToGrid w:val="0"/>
              <w:spacing w:line="340" w:lineRule="exact"/>
              <w:ind w:firstLine="0" w:firstLineChars="0"/>
              <w:jc w:val="center"/>
              <w:rPr>
                <w:sz w:val="21"/>
                <w:szCs w:val="21"/>
              </w:rPr>
            </w:pPr>
            <w:r>
              <w:rPr>
                <w:sz w:val="21"/>
                <w:szCs w:val="21"/>
              </w:rPr>
              <w:t>粉尘粒径（μm）</w:t>
            </w:r>
          </w:p>
        </w:tc>
        <w:tc>
          <w:tcPr>
            <w:tcW w:w="566" w:type="pct"/>
            <w:vAlign w:val="center"/>
          </w:tcPr>
          <w:p>
            <w:pPr>
              <w:adjustRightInd w:val="0"/>
              <w:snapToGrid w:val="0"/>
              <w:spacing w:line="340" w:lineRule="exact"/>
              <w:ind w:firstLine="0" w:firstLineChars="0"/>
              <w:jc w:val="center"/>
              <w:rPr>
                <w:sz w:val="21"/>
                <w:szCs w:val="21"/>
              </w:rPr>
            </w:pPr>
            <w:r>
              <w:rPr>
                <w:sz w:val="21"/>
                <w:szCs w:val="21"/>
              </w:rPr>
              <w:t>450</w:t>
            </w:r>
          </w:p>
        </w:tc>
        <w:tc>
          <w:tcPr>
            <w:tcW w:w="577" w:type="pct"/>
            <w:vAlign w:val="center"/>
          </w:tcPr>
          <w:p>
            <w:pPr>
              <w:adjustRightInd w:val="0"/>
              <w:snapToGrid w:val="0"/>
              <w:spacing w:line="340" w:lineRule="exact"/>
              <w:ind w:firstLine="0" w:firstLineChars="0"/>
              <w:jc w:val="center"/>
              <w:rPr>
                <w:sz w:val="21"/>
                <w:szCs w:val="21"/>
              </w:rPr>
            </w:pPr>
            <w:r>
              <w:rPr>
                <w:sz w:val="21"/>
                <w:szCs w:val="21"/>
              </w:rPr>
              <w:t>550</w:t>
            </w:r>
          </w:p>
        </w:tc>
        <w:tc>
          <w:tcPr>
            <w:tcW w:w="591" w:type="pct"/>
            <w:vAlign w:val="center"/>
          </w:tcPr>
          <w:p>
            <w:pPr>
              <w:adjustRightInd w:val="0"/>
              <w:snapToGrid w:val="0"/>
              <w:spacing w:line="340" w:lineRule="exact"/>
              <w:ind w:firstLine="0" w:firstLineChars="0"/>
              <w:jc w:val="center"/>
              <w:rPr>
                <w:sz w:val="21"/>
                <w:szCs w:val="21"/>
              </w:rPr>
            </w:pPr>
            <w:r>
              <w:rPr>
                <w:sz w:val="21"/>
                <w:szCs w:val="21"/>
              </w:rPr>
              <w:t>650</w:t>
            </w:r>
          </w:p>
        </w:tc>
        <w:tc>
          <w:tcPr>
            <w:tcW w:w="577" w:type="pct"/>
            <w:vAlign w:val="center"/>
          </w:tcPr>
          <w:p>
            <w:pPr>
              <w:adjustRightInd w:val="0"/>
              <w:snapToGrid w:val="0"/>
              <w:spacing w:line="340" w:lineRule="exact"/>
              <w:ind w:firstLine="0" w:firstLineChars="0"/>
              <w:jc w:val="center"/>
              <w:rPr>
                <w:sz w:val="21"/>
                <w:szCs w:val="21"/>
              </w:rPr>
            </w:pPr>
            <w:r>
              <w:rPr>
                <w:sz w:val="21"/>
                <w:szCs w:val="21"/>
              </w:rPr>
              <w:t>750</w:t>
            </w:r>
          </w:p>
        </w:tc>
        <w:tc>
          <w:tcPr>
            <w:tcW w:w="602" w:type="pct"/>
            <w:vAlign w:val="center"/>
          </w:tcPr>
          <w:p>
            <w:pPr>
              <w:adjustRightInd w:val="0"/>
              <w:snapToGrid w:val="0"/>
              <w:spacing w:line="340" w:lineRule="exact"/>
              <w:ind w:firstLine="0" w:firstLineChars="0"/>
              <w:jc w:val="center"/>
              <w:rPr>
                <w:sz w:val="21"/>
                <w:szCs w:val="21"/>
              </w:rPr>
            </w:pPr>
            <w:r>
              <w:rPr>
                <w:sz w:val="21"/>
                <w:szCs w:val="21"/>
              </w:rPr>
              <w:t>850</w:t>
            </w:r>
          </w:p>
        </w:tc>
        <w:tc>
          <w:tcPr>
            <w:tcW w:w="602" w:type="pct"/>
            <w:vAlign w:val="center"/>
          </w:tcPr>
          <w:p>
            <w:pPr>
              <w:adjustRightInd w:val="0"/>
              <w:snapToGrid w:val="0"/>
              <w:spacing w:line="340" w:lineRule="exact"/>
              <w:ind w:firstLine="0" w:firstLineChars="0"/>
              <w:jc w:val="center"/>
              <w:rPr>
                <w:sz w:val="21"/>
                <w:szCs w:val="21"/>
              </w:rPr>
            </w:pPr>
            <w:r>
              <w:rPr>
                <w:sz w:val="21"/>
                <w:szCs w:val="21"/>
              </w:rPr>
              <w:t>950</w:t>
            </w:r>
          </w:p>
        </w:tc>
        <w:tc>
          <w:tcPr>
            <w:tcW w:w="554" w:type="pct"/>
            <w:vAlign w:val="center"/>
          </w:tcPr>
          <w:p>
            <w:pPr>
              <w:adjustRightInd w:val="0"/>
              <w:snapToGrid w:val="0"/>
              <w:spacing w:line="340" w:lineRule="exact"/>
              <w:ind w:firstLine="0" w:firstLineChars="0"/>
              <w:jc w:val="center"/>
              <w:rPr>
                <w:sz w:val="21"/>
                <w:szCs w:val="21"/>
              </w:rPr>
            </w:pPr>
            <w:r>
              <w:rPr>
                <w:sz w:val="21"/>
                <w:szCs w:val="21"/>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26" w:type="pct"/>
            <w:vAlign w:val="center"/>
          </w:tcPr>
          <w:p>
            <w:pPr>
              <w:adjustRightInd w:val="0"/>
              <w:snapToGrid w:val="0"/>
              <w:spacing w:line="340" w:lineRule="exact"/>
              <w:ind w:firstLine="0" w:firstLineChars="0"/>
              <w:jc w:val="center"/>
              <w:rPr>
                <w:sz w:val="21"/>
                <w:szCs w:val="21"/>
              </w:rPr>
            </w:pPr>
            <w:r>
              <w:rPr>
                <w:sz w:val="21"/>
                <w:szCs w:val="21"/>
              </w:rPr>
              <w:t>沉降速度（m/s）</w:t>
            </w:r>
          </w:p>
        </w:tc>
        <w:tc>
          <w:tcPr>
            <w:tcW w:w="566" w:type="pct"/>
            <w:vAlign w:val="center"/>
          </w:tcPr>
          <w:p>
            <w:pPr>
              <w:adjustRightInd w:val="0"/>
              <w:snapToGrid w:val="0"/>
              <w:spacing w:line="340" w:lineRule="exact"/>
              <w:ind w:firstLine="0" w:firstLineChars="0"/>
              <w:jc w:val="center"/>
              <w:rPr>
                <w:sz w:val="21"/>
                <w:szCs w:val="21"/>
              </w:rPr>
            </w:pPr>
            <w:r>
              <w:rPr>
                <w:sz w:val="21"/>
                <w:szCs w:val="21"/>
              </w:rPr>
              <w:t>2.211</w:t>
            </w:r>
          </w:p>
        </w:tc>
        <w:tc>
          <w:tcPr>
            <w:tcW w:w="577" w:type="pct"/>
            <w:vAlign w:val="center"/>
          </w:tcPr>
          <w:p>
            <w:pPr>
              <w:adjustRightInd w:val="0"/>
              <w:snapToGrid w:val="0"/>
              <w:spacing w:line="340" w:lineRule="exact"/>
              <w:ind w:firstLine="0" w:firstLineChars="0"/>
              <w:jc w:val="center"/>
              <w:rPr>
                <w:sz w:val="21"/>
                <w:szCs w:val="21"/>
              </w:rPr>
            </w:pPr>
            <w:r>
              <w:rPr>
                <w:sz w:val="21"/>
                <w:szCs w:val="21"/>
              </w:rPr>
              <w:t>2.614</w:t>
            </w:r>
          </w:p>
        </w:tc>
        <w:tc>
          <w:tcPr>
            <w:tcW w:w="591" w:type="pct"/>
            <w:vAlign w:val="center"/>
          </w:tcPr>
          <w:p>
            <w:pPr>
              <w:adjustRightInd w:val="0"/>
              <w:snapToGrid w:val="0"/>
              <w:spacing w:line="340" w:lineRule="exact"/>
              <w:ind w:firstLine="0" w:firstLineChars="0"/>
              <w:jc w:val="center"/>
              <w:rPr>
                <w:sz w:val="21"/>
                <w:szCs w:val="21"/>
              </w:rPr>
            </w:pPr>
            <w:r>
              <w:rPr>
                <w:sz w:val="21"/>
                <w:szCs w:val="21"/>
              </w:rPr>
              <w:t>3.016</w:t>
            </w:r>
          </w:p>
        </w:tc>
        <w:tc>
          <w:tcPr>
            <w:tcW w:w="577" w:type="pct"/>
            <w:vAlign w:val="center"/>
          </w:tcPr>
          <w:p>
            <w:pPr>
              <w:adjustRightInd w:val="0"/>
              <w:snapToGrid w:val="0"/>
              <w:spacing w:line="340" w:lineRule="exact"/>
              <w:ind w:firstLine="0" w:firstLineChars="0"/>
              <w:jc w:val="center"/>
              <w:rPr>
                <w:sz w:val="21"/>
                <w:szCs w:val="21"/>
              </w:rPr>
            </w:pPr>
            <w:r>
              <w:rPr>
                <w:sz w:val="21"/>
                <w:szCs w:val="21"/>
              </w:rPr>
              <w:t>3.418</w:t>
            </w:r>
          </w:p>
        </w:tc>
        <w:tc>
          <w:tcPr>
            <w:tcW w:w="602" w:type="pct"/>
            <w:vAlign w:val="center"/>
          </w:tcPr>
          <w:p>
            <w:pPr>
              <w:adjustRightInd w:val="0"/>
              <w:snapToGrid w:val="0"/>
              <w:spacing w:line="340" w:lineRule="exact"/>
              <w:ind w:firstLine="0" w:firstLineChars="0"/>
              <w:jc w:val="center"/>
              <w:rPr>
                <w:sz w:val="21"/>
                <w:szCs w:val="21"/>
              </w:rPr>
            </w:pPr>
            <w:r>
              <w:rPr>
                <w:sz w:val="21"/>
                <w:szCs w:val="21"/>
              </w:rPr>
              <w:t>3.820</w:t>
            </w:r>
          </w:p>
        </w:tc>
        <w:tc>
          <w:tcPr>
            <w:tcW w:w="602" w:type="pct"/>
            <w:vAlign w:val="center"/>
          </w:tcPr>
          <w:p>
            <w:pPr>
              <w:adjustRightInd w:val="0"/>
              <w:snapToGrid w:val="0"/>
              <w:spacing w:line="340" w:lineRule="exact"/>
              <w:ind w:firstLine="0" w:firstLineChars="0"/>
              <w:jc w:val="center"/>
              <w:rPr>
                <w:sz w:val="21"/>
                <w:szCs w:val="21"/>
              </w:rPr>
            </w:pPr>
            <w:r>
              <w:rPr>
                <w:sz w:val="21"/>
                <w:szCs w:val="21"/>
              </w:rPr>
              <w:t>4.222</w:t>
            </w:r>
          </w:p>
        </w:tc>
        <w:tc>
          <w:tcPr>
            <w:tcW w:w="554" w:type="pct"/>
            <w:vAlign w:val="center"/>
          </w:tcPr>
          <w:p>
            <w:pPr>
              <w:adjustRightInd w:val="0"/>
              <w:snapToGrid w:val="0"/>
              <w:spacing w:line="340" w:lineRule="exact"/>
              <w:ind w:firstLine="0" w:firstLineChars="0"/>
              <w:jc w:val="center"/>
              <w:rPr>
                <w:sz w:val="21"/>
                <w:szCs w:val="21"/>
              </w:rPr>
            </w:pPr>
            <w:r>
              <w:rPr>
                <w:sz w:val="21"/>
                <w:szCs w:val="21"/>
              </w:rPr>
              <w:t>4.624</w:t>
            </w:r>
          </w:p>
        </w:tc>
      </w:tr>
    </w:tbl>
    <w:p>
      <w:pPr>
        <w:spacing w:before="120" w:beforeLines="50"/>
        <w:ind w:firstLine="480"/>
      </w:pPr>
      <w:r>
        <w:t>由表3.</w:t>
      </w:r>
      <w:r>
        <w:rPr>
          <w:rFonts w:hint="eastAsia"/>
        </w:rPr>
        <w:t>3</w:t>
      </w:r>
      <w:r>
        <w:t>-2粉尘沉降速度随粒径增大而迅速增大。当粒径为250μm时，沉降速度为1.005m/s，因此可以认为当尘粒大于250μm时，主要影响范围在扬尘点下风向近距离范围内，而真正对外环境产生影响的是一些微小粒径的粉尘。</w:t>
      </w:r>
    </w:p>
    <w:p>
      <w:pPr>
        <w:ind w:firstLine="480"/>
      </w:pPr>
      <w:r>
        <w:rPr>
          <w:rFonts w:hint="eastAsia" w:ascii="宋体" w:hAnsi="宋体" w:cs="宋体"/>
        </w:rPr>
        <w:t>⑵</w:t>
      </w:r>
      <w:r>
        <w:t>车辆行驶扬尘</w:t>
      </w:r>
    </w:p>
    <w:p>
      <w:pPr>
        <w:ind w:firstLine="480"/>
      </w:pPr>
      <w:r>
        <w:t>参考《建筑施工扬尘排放因子定量模型研究及应用》（赵普生，中国气象局北京城市气象研究所，南开大学环境科学与工程学院，国家环境保护城市空气颗粒物污染防治重点实验室；冯银厂；张裕芬；朱坦；金晶）研究结果。在施工车辆行驶产生的施工道路扬尘占总扬尘量的60％以上。车辆行驶产生的扬尘，在完全干燥情况下，可按下列经验公式计算。</w:t>
      </w:r>
    </w:p>
    <w:p>
      <w:pPr>
        <w:ind w:firstLine="0" w:firstLineChars="0"/>
        <w:jc w:val="center"/>
      </w:pPr>
      <w:r>
        <w:object>
          <v:shape id="_x0000_i1025" o:spt="75" type="#_x0000_t75" style="height:18pt;width:186.75pt;" o:ole="t" filled="f" coordsize="21600,21600">
            <v:path/>
            <v:fill on="f" focussize="0,0"/>
            <v:stroke/>
            <v:imagedata r:id="rId39" o:title=""/>
            <o:lock v:ext="edit" aspectratio="t"/>
            <w10:wrap type="none"/>
            <w10:anchorlock/>
          </v:shape>
          <o:OLEObject Type="Embed" ProgID="Equation.DSMT4" ShapeID="_x0000_i1025" DrawAspect="Content" ObjectID="_1468075725" r:id="rId38">
            <o:LockedField>false</o:LockedField>
          </o:OLEObject>
        </w:object>
      </w:r>
    </w:p>
    <w:p>
      <w:pPr>
        <w:ind w:firstLine="480"/>
      </w:pPr>
      <w:r>
        <w:t>式中：</w:t>
      </w:r>
      <w:r>
        <w:rPr>
          <w:i/>
        </w:rPr>
        <w:t>Q</w:t>
      </w:r>
      <w:r>
        <w:t>—车辆行驶产生的扬尘，kg/km；</w:t>
      </w:r>
      <w:r>
        <w:rPr>
          <w:i/>
        </w:rPr>
        <w:t>V</w:t>
      </w:r>
      <w:r>
        <w:t>—车辆行驶速度，km/h；</w:t>
      </w:r>
    </w:p>
    <w:p>
      <w:pPr>
        <w:ind w:firstLine="480"/>
      </w:pPr>
      <w:r>
        <w:t>W—车辆载重量，t；</w:t>
      </w:r>
      <w:r>
        <w:rPr>
          <w:i/>
        </w:rPr>
        <w:t>P</w:t>
      </w:r>
      <w:r>
        <w:t>—道路表面粉尘量，kg/m</w:t>
      </w:r>
      <w:r>
        <w:rPr>
          <w:vertAlign w:val="superscript"/>
        </w:rPr>
        <w:t>2</w:t>
      </w:r>
      <w:r>
        <w:t>。</w:t>
      </w:r>
    </w:p>
    <w:p>
      <w:pPr>
        <w:ind w:firstLine="480"/>
      </w:pPr>
      <w:r>
        <w:t>本项目施工现场运输道路较窄，以单辆车行驶产生的扬尘量计算源强，结果见表3.</w:t>
      </w:r>
      <w:r>
        <w:rPr>
          <w:rFonts w:hint="eastAsia"/>
        </w:rPr>
        <w:t>3</w:t>
      </w:r>
      <w:r>
        <w:t>-3。</w:t>
      </w:r>
    </w:p>
    <w:p>
      <w:pPr>
        <w:pStyle w:val="1078"/>
        <w:spacing w:before="120" w:beforeLines="50" w:line="240" w:lineRule="auto"/>
        <w:ind w:firstLine="641"/>
        <w:rPr>
          <w:rFonts w:hAnsi="黑体" w:cs="黑体"/>
        </w:rPr>
      </w:pPr>
      <w:r>
        <w:rPr>
          <w:rFonts w:hint="eastAsia" w:hAnsi="黑体" w:cs="黑体"/>
        </w:rPr>
        <w:t>表3.3-3  单辆运输车辆产生的扬尘计算结果表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5"/>
        <w:gridCol w:w="1876"/>
        <w:gridCol w:w="1876"/>
        <w:gridCol w:w="1876"/>
        <w:gridCol w:w="1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87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参数</w:t>
            </w:r>
          </w:p>
        </w:tc>
        <w:tc>
          <w:tcPr>
            <w:tcW w:w="1876"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Q（kg/km）</w:t>
            </w:r>
          </w:p>
        </w:tc>
        <w:tc>
          <w:tcPr>
            <w:tcW w:w="1876"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V（km/h）</w:t>
            </w:r>
          </w:p>
        </w:tc>
        <w:tc>
          <w:tcPr>
            <w:tcW w:w="1876"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W（t）</w:t>
            </w:r>
          </w:p>
        </w:tc>
        <w:tc>
          <w:tcPr>
            <w:tcW w:w="1876"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P（kg/m</w:t>
            </w:r>
            <w:r>
              <w:rPr>
                <w:sz w:val="21"/>
                <w:szCs w:val="21"/>
                <w:vertAlign w:val="superscript"/>
              </w:rPr>
              <w:t>2</w:t>
            </w: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87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计算结果</w:t>
            </w:r>
          </w:p>
        </w:tc>
        <w:tc>
          <w:tcPr>
            <w:tcW w:w="1876"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0.287</w:t>
            </w:r>
          </w:p>
        </w:tc>
        <w:tc>
          <w:tcPr>
            <w:tcW w:w="1876"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5</w:t>
            </w:r>
          </w:p>
        </w:tc>
        <w:tc>
          <w:tcPr>
            <w:tcW w:w="1876"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10</w:t>
            </w:r>
          </w:p>
        </w:tc>
        <w:tc>
          <w:tcPr>
            <w:tcW w:w="1876"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1.0</w:t>
            </w:r>
          </w:p>
        </w:tc>
      </w:tr>
    </w:tbl>
    <w:p>
      <w:pPr>
        <w:spacing w:before="120" w:beforeLines="50"/>
        <w:ind w:firstLine="480"/>
      </w:pPr>
      <w:r>
        <w:t>根据有关资料，一辆10吨卡车，通过一段长度为1km的路面时，在不同路面清洁程度，不同行驶速度情况下，产生的扬尘量见表3.</w:t>
      </w:r>
      <w:r>
        <w:rPr>
          <w:rFonts w:hint="eastAsia"/>
        </w:rPr>
        <w:t>3</w:t>
      </w:r>
      <w:r>
        <w:t>-4。</w:t>
      </w:r>
    </w:p>
    <w:p>
      <w:pPr>
        <w:pStyle w:val="1078"/>
        <w:spacing w:before="120" w:beforeLines="50" w:line="240" w:lineRule="auto"/>
        <w:ind w:firstLine="641"/>
        <w:rPr>
          <w:rFonts w:hAnsi="黑体" w:cs="黑体"/>
        </w:rPr>
      </w:pPr>
      <w:r>
        <w:rPr>
          <w:rFonts w:hint="eastAsia" w:hAnsi="黑体" w:cs="黑体"/>
        </w:rPr>
        <w:t>表3.3-4  不同车速和地面清洁度程度的车辆扬尘表 单位：kg/辆•km</w:t>
      </w:r>
    </w:p>
    <w:tbl>
      <w:tblPr>
        <w:tblStyle w:val="8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0"/>
        <w:gridCol w:w="1250"/>
        <w:gridCol w:w="1250"/>
        <w:gridCol w:w="1250"/>
        <w:gridCol w:w="1250"/>
        <w:gridCol w:w="1250"/>
        <w:gridCol w:w="12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9" w:type="dxa"/>
            <w:tcBorders>
              <w:top w:val="single" w:color="auto" w:sz="12" w:space="0"/>
              <w:bottom w:val="single" w:color="auto" w:sz="4" w:space="0"/>
              <w:tl2br w:val="single" w:color="auto" w:sz="4" w:space="0"/>
            </w:tcBorders>
            <w:vAlign w:val="center"/>
          </w:tcPr>
          <w:p>
            <w:pPr>
              <w:adjustRightInd w:val="0"/>
              <w:snapToGrid w:val="0"/>
              <w:spacing w:line="340" w:lineRule="exact"/>
              <w:ind w:firstLine="0" w:firstLineChars="0"/>
              <w:jc w:val="right"/>
              <w:rPr>
                <w:sz w:val="21"/>
                <w:szCs w:val="21"/>
              </w:rPr>
            </w:pPr>
            <w:r>
              <w:rPr>
                <w:sz w:val="21"/>
                <w:szCs w:val="21"/>
              </w:rPr>
              <w:t>P(kg/m</w:t>
            </w:r>
            <w:r>
              <w:rPr>
                <w:sz w:val="21"/>
                <w:szCs w:val="21"/>
                <w:vertAlign w:val="superscript"/>
              </w:rPr>
              <w:t>2</w:t>
            </w:r>
            <w:r>
              <w:rPr>
                <w:sz w:val="21"/>
                <w:szCs w:val="21"/>
              </w:rPr>
              <w:t>)</w:t>
            </w:r>
          </w:p>
          <w:p>
            <w:pPr>
              <w:adjustRightInd w:val="0"/>
              <w:snapToGrid w:val="0"/>
              <w:spacing w:line="340" w:lineRule="exact"/>
              <w:ind w:firstLine="0" w:firstLineChars="0"/>
              <w:rPr>
                <w:sz w:val="21"/>
                <w:szCs w:val="21"/>
              </w:rPr>
            </w:pPr>
            <w:r>
              <w:rPr>
                <w:sz w:val="21"/>
                <w:szCs w:val="21"/>
              </w:rPr>
              <w:t>车速km/h</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0.2</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0.3</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0.4</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0.5</w:t>
            </w:r>
          </w:p>
        </w:tc>
        <w:tc>
          <w:tcPr>
            <w:tcW w:w="1225" w:type="dxa"/>
            <w:tcBorders>
              <w:top w:val="single" w:color="auto" w:sz="12" w:space="0"/>
              <w:bottom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9"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5</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0.0510</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0.0859</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0.1164</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0.1444</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0.1707</w:t>
            </w:r>
          </w:p>
        </w:tc>
        <w:tc>
          <w:tcPr>
            <w:tcW w:w="1225" w:type="dxa"/>
            <w:tcBorders>
              <w:top w:val="single" w:color="auto" w:sz="4" w:space="0"/>
            </w:tcBorders>
            <w:vAlign w:val="center"/>
          </w:tcPr>
          <w:p>
            <w:pPr>
              <w:adjustRightInd w:val="0"/>
              <w:snapToGrid w:val="0"/>
              <w:spacing w:line="340" w:lineRule="exact"/>
              <w:ind w:firstLine="0" w:firstLineChars="0"/>
              <w:jc w:val="center"/>
              <w:rPr>
                <w:sz w:val="21"/>
                <w:szCs w:val="21"/>
              </w:rPr>
            </w:pPr>
            <w:r>
              <w:rPr>
                <w:sz w:val="21"/>
                <w:szCs w:val="21"/>
              </w:rPr>
              <w:t>0.2871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9" w:type="dxa"/>
            <w:vAlign w:val="center"/>
          </w:tcPr>
          <w:p>
            <w:pPr>
              <w:adjustRightInd w:val="0"/>
              <w:snapToGrid w:val="0"/>
              <w:spacing w:line="340" w:lineRule="exact"/>
              <w:ind w:firstLine="0" w:firstLineChars="0"/>
              <w:jc w:val="center"/>
              <w:rPr>
                <w:sz w:val="21"/>
                <w:szCs w:val="21"/>
              </w:rPr>
            </w:pPr>
            <w:r>
              <w:rPr>
                <w:sz w:val="21"/>
                <w:szCs w:val="21"/>
              </w:rPr>
              <w:t>10</w:t>
            </w:r>
          </w:p>
        </w:tc>
        <w:tc>
          <w:tcPr>
            <w:tcW w:w="1225" w:type="dxa"/>
            <w:vAlign w:val="center"/>
          </w:tcPr>
          <w:p>
            <w:pPr>
              <w:adjustRightInd w:val="0"/>
              <w:snapToGrid w:val="0"/>
              <w:spacing w:line="340" w:lineRule="exact"/>
              <w:ind w:firstLine="0" w:firstLineChars="0"/>
              <w:jc w:val="center"/>
              <w:rPr>
                <w:sz w:val="21"/>
                <w:szCs w:val="21"/>
              </w:rPr>
            </w:pPr>
            <w:r>
              <w:rPr>
                <w:sz w:val="21"/>
                <w:szCs w:val="21"/>
              </w:rPr>
              <w:t>0.1021</w:t>
            </w:r>
          </w:p>
        </w:tc>
        <w:tc>
          <w:tcPr>
            <w:tcW w:w="1225" w:type="dxa"/>
            <w:vAlign w:val="center"/>
          </w:tcPr>
          <w:p>
            <w:pPr>
              <w:adjustRightInd w:val="0"/>
              <w:snapToGrid w:val="0"/>
              <w:spacing w:line="340" w:lineRule="exact"/>
              <w:ind w:firstLine="0" w:firstLineChars="0"/>
              <w:jc w:val="center"/>
              <w:rPr>
                <w:sz w:val="21"/>
                <w:szCs w:val="21"/>
              </w:rPr>
            </w:pPr>
            <w:r>
              <w:rPr>
                <w:sz w:val="21"/>
                <w:szCs w:val="21"/>
              </w:rPr>
              <w:t>0.1717</w:t>
            </w:r>
          </w:p>
        </w:tc>
        <w:tc>
          <w:tcPr>
            <w:tcW w:w="1225" w:type="dxa"/>
            <w:vAlign w:val="center"/>
          </w:tcPr>
          <w:p>
            <w:pPr>
              <w:adjustRightInd w:val="0"/>
              <w:snapToGrid w:val="0"/>
              <w:spacing w:line="340" w:lineRule="exact"/>
              <w:ind w:firstLine="0" w:firstLineChars="0"/>
              <w:jc w:val="center"/>
              <w:rPr>
                <w:sz w:val="21"/>
                <w:szCs w:val="21"/>
              </w:rPr>
            </w:pPr>
            <w:r>
              <w:rPr>
                <w:sz w:val="21"/>
                <w:szCs w:val="21"/>
              </w:rPr>
              <w:t>0.2328</w:t>
            </w:r>
          </w:p>
        </w:tc>
        <w:tc>
          <w:tcPr>
            <w:tcW w:w="1225" w:type="dxa"/>
            <w:vAlign w:val="center"/>
          </w:tcPr>
          <w:p>
            <w:pPr>
              <w:adjustRightInd w:val="0"/>
              <w:snapToGrid w:val="0"/>
              <w:spacing w:line="340" w:lineRule="exact"/>
              <w:ind w:firstLine="0" w:firstLineChars="0"/>
              <w:jc w:val="center"/>
              <w:rPr>
                <w:sz w:val="21"/>
                <w:szCs w:val="21"/>
              </w:rPr>
            </w:pPr>
            <w:r>
              <w:rPr>
                <w:sz w:val="21"/>
                <w:szCs w:val="21"/>
              </w:rPr>
              <w:t>0.2888</w:t>
            </w:r>
          </w:p>
        </w:tc>
        <w:tc>
          <w:tcPr>
            <w:tcW w:w="1225" w:type="dxa"/>
            <w:vAlign w:val="center"/>
          </w:tcPr>
          <w:p>
            <w:pPr>
              <w:adjustRightInd w:val="0"/>
              <w:snapToGrid w:val="0"/>
              <w:spacing w:line="340" w:lineRule="exact"/>
              <w:ind w:firstLine="0" w:firstLineChars="0"/>
              <w:jc w:val="center"/>
              <w:rPr>
                <w:sz w:val="21"/>
                <w:szCs w:val="21"/>
              </w:rPr>
            </w:pPr>
            <w:r>
              <w:rPr>
                <w:sz w:val="21"/>
                <w:szCs w:val="21"/>
              </w:rPr>
              <w:t>0.3414</w:t>
            </w:r>
          </w:p>
        </w:tc>
        <w:tc>
          <w:tcPr>
            <w:tcW w:w="1225" w:type="dxa"/>
            <w:vAlign w:val="center"/>
          </w:tcPr>
          <w:p>
            <w:pPr>
              <w:adjustRightInd w:val="0"/>
              <w:snapToGrid w:val="0"/>
              <w:spacing w:line="340" w:lineRule="exact"/>
              <w:ind w:firstLine="0" w:firstLineChars="0"/>
              <w:jc w:val="center"/>
              <w:rPr>
                <w:sz w:val="21"/>
                <w:szCs w:val="21"/>
              </w:rPr>
            </w:pPr>
            <w:r>
              <w:rPr>
                <w:sz w:val="21"/>
                <w:szCs w:val="21"/>
              </w:rPr>
              <w:t>0.5742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9" w:type="dxa"/>
            <w:vAlign w:val="center"/>
          </w:tcPr>
          <w:p>
            <w:pPr>
              <w:adjustRightInd w:val="0"/>
              <w:snapToGrid w:val="0"/>
              <w:spacing w:line="340" w:lineRule="exact"/>
              <w:ind w:firstLine="0" w:firstLineChars="0"/>
              <w:jc w:val="center"/>
              <w:rPr>
                <w:sz w:val="21"/>
                <w:szCs w:val="21"/>
              </w:rPr>
            </w:pPr>
            <w:r>
              <w:rPr>
                <w:sz w:val="21"/>
                <w:szCs w:val="21"/>
              </w:rPr>
              <w:t>15</w:t>
            </w:r>
          </w:p>
        </w:tc>
        <w:tc>
          <w:tcPr>
            <w:tcW w:w="1225" w:type="dxa"/>
            <w:vAlign w:val="center"/>
          </w:tcPr>
          <w:p>
            <w:pPr>
              <w:adjustRightInd w:val="0"/>
              <w:snapToGrid w:val="0"/>
              <w:spacing w:line="340" w:lineRule="exact"/>
              <w:ind w:firstLine="0" w:firstLineChars="0"/>
              <w:jc w:val="center"/>
              <w:rPr>
                <w:sz w:val="21"/>
                <w:szCs w:val="21"/>
              </w:rPr>
            </w:pPr>
            <w:r>
              <w:rPr>
                <w:sz w:val="21"/>
                <w:szCs w:val="21"/>
              </w:rPr>
              <w:t>0.1532</w:t>
            </w:r>
          </w:p>
        </w:tc>
        <w:tc>
          <w:tcPr>
            <w:tcW w:w="1225" w:type="dxa"/>
            <w:vAlign w:val="center"/>
          </w:tcPr>
          <w:p>
            <w:pPr>
              <w:adjustRightInd w:val="0"/>
              <w:snapToGrid w:val="0"/>
              <w:spacing w:line="340" w:lineRule="exact"/>
              <w:ind w:firstLine="0" w:firstLineChars="0"/>
              <w:jc w:val="center"/>
              <w:rPr>
                <w:sz w:val="21"/>
                <w:szCs w:val="21"/>
              </w:rPr>
            </w:pPr>
            <w:r>
              <w:rPr>
                <w:sz w:val="21"/>
                <w:szCs w:val="21"/>
              </w:rPr>
              <w:t>0.2576</w:t>
            </w:r>
          </w:p>
        </w:tc>
        <w:tc>
          <w:tcPr>
            <w:tcW w:w="1225" w:type="dxa"/>
            <w:vAlign w:val="center"/>
          </w:tcPr>
          <w:p>
            <w:pPr>
              <w:adjustRightInd w:val="0"/>
              <w:snapToGrid w:val="0"/>
              <w:spacing w:line="340" w:lineRule="exact"/>
              <w:ind w:firstLine="0" w:firstLineChars="0"/>
              <w:jc w:val="center"/>
              <w:rPr>
                <w:sz w:val="21"/>
                <w:szCs w:val="21"/>
              </w:rPr>
            </w:pPr>
            <w:r>
              <w:rPr>
                <w:sz w:val="21"/>
                <w:szCs w:val="21"/>
              </w:rPr>
              <w:t>0.3491</w:t>
            </w:r>
          </w:p>
        </w:tc>
        <w:tc>
          <w:tcPr>
            <w:tcW w:w="1225" w:type="dxa"/>
            <w:vAlign w:val="center"/>
          </w:tcPr>
          <w:p>
            <w:pPr>
              <w:adjustRightInd w:val="0"/>
              <w:snapToGrid w:val="0"/>
              <w:spacing w:line="340" w:lineRule="exact"/>
              <w:ind w:firstLine="0" w:firstLineChars="0"/>
              <w:jc w:val="center"/>
              <w:rPr>
                <w:sz w:val="21"/>
                <w:szCs w:val="21"/>
              </w:rPr>
            </w:pPr>
            <w:r>
              <w:rPr>
                <w:sz w:val="21"/>
                <w:szCs w:val="21"/>
              </w:rPr>
              <w:t>0.4332</w:t>
            </w:r>
          </w:p>
        </w:tc>
        <w:tc>
          <w:tcPr>
            <w:tcW w:w="1225" w:type="dxa"/>
            <w:vAlign w:val="center"/>
          </w:tcPr>
          <w:p>
            <w:pPr>
              <w:adjustRightInd w:val="0"/>
              <w:snapToGrid w:val="0"/>
              <w:spacing w:line="340" w:lineRule="exact"/>
              <w:ind w:firstLine="0" w:firstLineChars="0"/>
              <w:jc w:val="center"/>
              <w:rPr>
                <w:sz w:val="21"/>
                <w:szCs w:val="21"/>
              </w:rPr>
            </w:pPr>
            <w:r>
              <w:rPr>
                <w:sz w:val="21"/>
                <w:szCs w:val="21"/>
              </w:rPr>
              <w:t>0.5121</w:t>
            </w:r>
          </w:p>
        </w:tc>
        <w:tc>
          <w:tcPr>
            <w:tcW w:w="1225" w:type="dxa"/>
            <w:vAlign w:val="center"/>
          </w:tcPr>
          <w:p>
            <w:pPr>
              <w:adjustRightInd w:val="0"/>
              <w:snapToGrid w:val="0"/>
              <w:spacing w:line="340" w:lineRule="exact"/>
              <w:ind w:firstLine="0" w:firstLineChars="0"/>
              <w:jc w:val="center"/>
              <w:rPr>
                <w:sz w:val="21"/>
                <w:szCs w:val="21"/>
              </w:rPr>
            </w:pPr>
            <w:r>
              <w:rPr>
                <w:sz w:val="21"/>
                <w:szCs w:val="21"/>
              </w:rPr>
              <w:t>0.8613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9"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25</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0.2553</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0.4293</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0.5819</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0.7220</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0.8536</w:t>
            </w:r>
          </w:p>
        </w:tc>
        <w:tc>
          <w:tcPr>
            <w:tcW w:w="1225" w:type="dxa"/>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1.4355</w:t>
            </w:r>
          </w:p>
        </w:tc>
      </w:tr>
    </w:tbl>
    <w:p>
      <w:pPr>
        <w:spacing w:before="120" w:beforeLines="50"/>
        <w:ind w:firstLine="480"/>
      </w:pPr>
      <w:r>
        <w:t>从表3.</w:t>
      </w:r>
      <w:r>
        <w:rPr>
          <w:rFonts w:hint="eastAsia"/>
        </w:rPr>
        <w:t>3</w:t>
      </w:r>
      <w:r>
        <w:t>-4可见，在同样路面清洁程度的条件下，车速越快，扬尘量越大；在同样车速条件下，路面越脏，则扬尘量越大。因此，限速行驶和保持路面的清洁是减少车辆行驶扬尘源强的有效措施。据有关资料，如施工阶段对汽车行驶路面勤洒水（每天4～5次），可以使空气中粉尘量减少70%左右，可以起到很好的降尘效果。</w:t>
      </w:r>
    </w:p>
    <w:p>
      <w:pPr>
        <w:autoSpaceDE w:val="0"/>
        <w:autoSpaceDN w:val="0"/>
        <w:adjustRightInd w:val="0"/>
        <w:ind w:firstLine="480"/>
        <w:rPr>
          <w:kern w:val="0"/>
          <w:szCs w:val="24"/>
        </w:rPr>
      </w:pPr>
      <w:r>
        <w:rPr>
          <w:rFonts w:hint="eastAsia" w:hAnsi="宋体"/>
          <w:kern w:val="0"/>
          <w:szCs w:val="24"/>
        </w:rPr>
        <w:t>(3)</w:t>
      </w:r>
      <w:r>
        <w:rPr>
          <w:rFonts w:hAnsi="宋体"/>
          <w:kern w:val="0"/>
          <w:szCs w:val="24"/>
        </w:rPr>
        <w:t>机械燃油废气</w:t>
      </w:r>
    </w:p>
    <w:p>
      <w:pPr>
        <w:autoSpaceDE w:val="0"/>
        <w:autoSpaceDN w:val="0"/>
        <w:adjustRightInd w:val="0"/>
        <w:ind w:firstLine="480"/>
      </w:pPr>
      <w:r>
        <w:rPr>
          <w:rFonts w:hAnsi="宋体"/>
          <w:kern w:val="0"/>
          <w:szCs w:val="24"/>
        </w:rPr>
        <w:t>机械燃油废气主要为各类施工机械燃油产生，主要的污染物为</w:t>
      </w:r>
      <w:r>
        <w:rPr>
          <w:kern w:val="0"/>
          <w:szCs w:val="24"/>
        </w:rPr>
        <w:t>NO</w:t>
      </w:r>
      <w:r>
        <w:rPr>
          <w:kern w:val="0"/>
          <w:szCs w:val="24"/>
          <w:vertAlign w:val="subscript"/>
        </w:rPr>
        <w:t>2</w:t>
      </w:r>
      <w:r>
        <w:rPr>
          <w:rFonts w:hint="eastAsia" w:hAnsi="宋体"/>
          <w:kern w:val="0"/>
          <w:szCs w:val="24"/>
        </w:rPr>
        <w:t>、</w:t>
      </w:r>
      <w:r>
        <w:rPr>
          <w:kern w:val="0"/>
          <w:szCs w:val="24"/>
        </w:rPr>
        <w:t>CO</w:t>
      </w:r>
      <w:r>
        <w:rPr>
          <w:rFonts w:hint="eastAsia"/>
          <w:kern w:val="0"/>
          <w:szCs w:val="24"/>
        </w:rPr>
        <w:t>、S</w:t>
      </w:r>
      <w:r>
        <w:rPr>
          <w:kern w:val="0"/>
          <w:szCs w:val="24"/>
        </w:rPr>
        <w:t>O</w:t>
      </w:r>
      <w:r>
        <w:rPr>
          <w:kern w:val="0"/>
          <w:szCs w:val="24"/>
          <w:vertAlign w:val="subscript"/>
        </w:rPr>
        <w:t>2</w:t>
      </w:r>
      <w:r>
        <w:rPr>
          <w:rFonts w:hAnsi="宋体"/>
          <w:kern w:val="0"/>
          <w:szCs w:val="24"/>
        </w:rPr>
        <w:t>等废气。机械燃油废气属于连续、无组织排放源，污染物呈面源分布。根据《环境保护使用数据手册》，柴油发动机大气污染物排放系数</w:t>
      </w:r>
      <w:r>
        <w:rPr>
          <w:kern w:val="0"/>
          <w:szCs w:val="24"/>
        </w:rPr>
        <w:t>NOx</w:t>
      </w:r>
      <w:r>
        <w:rPr>
          <w:rFonts w:hAnsi="宋体"/>
          <w:kern w:val="0"/>
          <w:szCs w:val="24"/>
        </w:rPr>
        <w:t>为</w:t>
      </w:r>
      <w:r>
        <w:rPr>
          <w:kern w:val="0"/>
          <w:szCs w:val="24"/>
        </w:rPr>
        <w:t>2</w:t>
      </w:r>
      <w:r>
        <w:rPr>
          <w:rFonts w:hint="eastAsia"/>
          <w:kern w:val="0"/>
          <w:szCs w:val="24"/>
        </w:rPr>
        <w:t>.92</w:t>
      </w:r>
      <w:r>
        <w:rPr>
          <w:kern w:val="0"/>
          <w:szCs w:val="24"/>
        </w:rPr>
        <w:t>g/L</w:t>
      </w:r>
      <w:r>
        <w:rPr>
          <w:rFonts w:hAnsi="宋体"/>
          <w:kern w:val="0"/>
          <w:szCs w:val="24"/>
        </w:rPr>
        <w:t>，</w:t>
      </w:r>
      <w:r>
        <w:rPr>
          <w:kern w:val="0"/>
          <w:szCs w:val="24"/>
        </w:rPr>
        <w:t>CO</w:t>
      </w:r>
      <w:r>
        <w:rPr>
          <w:rFonts w:hAnsi="宋体"/>
          <w:kern w:val="0"/>
          <w:szCs w:val="24"/>
        </w:rPr>
        <w:t>为</w:t>
      </w:r>
      <w:r>
        <w:rPr>
          <w:kern w:val="0"/>
          <w:szCs w:val="24"/>
        </w:rPr>
        <w:t>3</w:t>
      </w:r>
      <w:r>
        <w:rPr>
          <w:rFonts w:hint="eastAsia"/>
          <w:kern w:val="0"/>
          <w:szCs w:val="24"/>
        </w:rPr>
        <w:t>.33</w:t>
      </w:r>
      <w:r>
        <w:rPr>
          <w:kern w:val="0"/>
          <w:szCs w:val="24"/>
        </w:rPr>
        <w:t>g/L</w:t>
      </w:r>
      <w:r>
        <w:rPr>
          <w:rFonts w:hAnsi="宋体"/>
          <w:kern w:val="0"/>
          <w:szCs w:val="24"/>
        </w:rPr>
        <w:t>，</w:t>
      </w:r>
      <w:r>
        <w:rPr>
          <w:rFonts w:hint="eastAsia"/>
          <w:kern w:val="0"/>
          <w:szCs w:val="24"/>
        </w:rPr>
        <w:t>S</w:t>
      </w:r>
      <w:r>
        <w:rPr>
          <w:kern w:val="0"/>
          <w:szCs w:val="24"/>
        </w:rPr>
        <w:t>O</w:t>
      </w:r>
      <w:r>
        <w:rPr>
          <w:kern w:val="0"/>
          <w:szCs w:val="24"/>
          <w:vertAlign w:val="subscript"/>
        </w:rPr>
        <w:t>2</w:t>
      </w:r>
      <w:r>
        <w:rPr>
          <w:rFonts w:hint="eastAsia"/>
          <w:kern w:val="0"/>
          <w:szCs w:val="24"/>
        </w:rPr>
        <w:t>为2.24</w:t>
      </w:r>
      <w:r>
        <w:rPr>
          <w:kern w:val="0"/>
          <w:szCs w:val="24"/>
        </w:rPr>
        <w:t>g/L</w:t>
      </w:r>
      <w:r>
        <w:rPr>
          <w:rFonts w:hAnsi="宋体"/>
          <w:kern w:val="0"/>
          <w:szCs w:val="24"/>
        </w:rPr>
        <w:t>。根据美国国家环保局推荐使用的计算道路尾气扩散的法规模型中提供的</w:t>
      </w:r>
      <w:r>
        <w:rPr>
          <w:kern w:val="0"/>
          <w:szCs w:val="24"/>
        </w:rPr>
        <w:t xml:space="preserve">NOx </w:t>
      </w:r>
      <w:r>
        <w:rPr>
          <w:rFonts w:hAnsi="宋体"/>
          <w:kern w:val="0"/>
          <w:szCs w:val="24"/>
        </w:rPr>
        <w:t>和</w:t>
      </w:r>
      <w:r>
        <w:rPr>
          <w:kern w:val="0"/>
          <w:szCs w:val="24"/>
        </w:rPr>
        <w:t>NO</w:t>
      </w:r>
      <w:r>
        <w:rPr>
          <w:kern w:val="0"/>
          <w:szCs w:val="24"/>
          <w:vertAlign w:val="subscript"/>
        </w:rPr>
        <w:t>2</w:t>
      </w:r>
      <w:r>
        <w:rPr>
          <w:rFonts w:hAnsi="宋体"/>
          <w:kern w:val="0"/>
          <w:szCs w:val="24"/>
        </w:rPr>
        <w:t>的转换系数，</w:t>
      </w:r>
      <w:r>
        <w:rPr>
          <w:kern w:val="0"/>
          <w:szCs w:val="24"/>
        </w:rPr>
        <w:t xml:space="preserve">NOx </w:t>
      </w:r>
      <w:r>
        <w:rPr>
          <w:rFonts w:hAnsi="宋体"/>
          <w:kern w:val="0"/>
          <w:szCs w:val="24"/>
        </w:rPr>
        <w:t>和</w:t>
      </w:r>
      <w:r>
        <w:rPr>
          <w:kern w:val="0"/>
          <w:szCs w:val="24"/>
        </w:rPr>
        <w:t>NO</w:t>
      </w:r>
      <w:r>
        <w:rPr>
          <w:kern w:val="0"/>
          <w:szCs w:val="24"/>
          <w:vertAlign w:val="subscript"/>
        </w:rPr>
        <w:t>2</w:t>
      </w:r>
      <w:r>
        <w:rPr>
          <w:rFonts w:hAnsi="宋体"/>
          <w:kern w:val="0"/>
          <w:szCs w:val="24"/>
        </w:rPr>
        <w:t>的转换系数取</w:t>
      </w:r>
      <w:r>
        <w:rPr>
          <w:kern w:val="0"/>
          <w:szCs w:val="24"/>
        </w:rPr>
        <w:t>0.075</w:t>
      </w:r>
      <w:r>
        <w:rPr>
          <w:rFonts w:hAnsi="宋体"/>
          <w:kern w:val="0"/>
          <w:szCs w:val="24"/>
        </w:rPr>
        <w:t>。</w:t>
      </w:r>
      <w:r>
        <w:rPr>
          <w:rFonts w:hAnsi="宋体"/>
        </w:rPr>
        <w:t>根据工程可行性研究报告，工程施工共计耗柴油及汽油</w:t>
      </w:r>
      <w:r>
        <w:rPr>
          <w:rFonts w:hint="eastAsia" w:hAnsi="宋体"/>
        </w:rPr>
        <w:t>量</w:t>
      </w:r>
      <w:r>
        <w:t>451.37t</w:t>
      </w:r>
      <w:r>
        <w:rPr>
          <w:rFonts w:hint="eastAsia"/>
        </w:rPr>
        <w:t>，密度平均以0.8kg/L计</w:t>
      </w:r>
      <w:r>
        <w:rPr>
          <w:rFonts w:hint="eastAsia" w:hAnsi="宋体"/>
          <w:kern w:val="0"/>
          <w:szCs w:val="24"/>
        </w:rPr>
        <w:t>则</w:t>
      </w:r>
      <w:r>
        <w:rPr>
          <w:rFonts w:hAnsi="宋体"/>
          <w:kern w:val="0"/>
          <w:szCs w:val="24"/>
        </w:rPr>
        <w:t>机械燃油废气</w:t>
      </w:r>
      <w:r>
        <w:rPr>
          <w:rFonts w:hint="eastAsia" w:hAnsi="宋体"/>
          <w:kern w:val="0"/>
          <w:szCs w:val="24"/>
        </w:rPr>
        <w:t>中</w:t>
      </w:r>
      <w:r>
        <w:rPr>
          <w:kern w:val="0"/>
          <w:szCs w:val="24"/>
        </w:rPr>
        <w:t>NO</w:t>
      </w:r>
      <w:r>
        <w:rPr>
          <w:rFonts w:hint="eastAsia"/>
          <w:kern w:val="0"/>
          <w:szCs w:val="24"/>
          <w:vertAlign w:val="subscript"/>
        </w:rPr>
        <w:t>2</w:t>
      </w:r>
      <w:r>
        <w:rPr>
          <w:rFonts w:hAnsi="宋体"/>
          <w:kern w:val="0"/>
          <w:szCs w:val="24"/>
        </w:rPr>
        <w:t>产生</w:t>
      </w:r>
      <w:r>
        <w:rPr>
          <w:rFonts w:hint="eastAsia" w:hAnsi="宋体"/>
          <w:kern w:val="0"/>
          <w:szCs w:val="24"/>
        </w:rPr>
        <w:t>量为</w:t>
      </w:r>
      <w:r>
        <w:rPr>
          <w:rFonts w:hint="eastAsia"/>
          <w:kern w:val="0"/>
          <w:szCs w:val="24"/>
        </w:rPr>
        <w:t>1.65</w:t>
      </w:r>
      <w:r>
        <w:rPr>
          <w:kern w:val="0"/>
          <w:szCs w:val="24"/>
        </w:rPr>
        <w:t>t</w:t>
      </w:r>
      <w:r>
        <w:rPr>
          <w:rFonts w:hAnsi="宋体"/>
          <w:kern w:val="0"/>
          <w:szCs w:val="24"/>
        </w:rPr>
        <w:t>，</w:t>
      </w:r>
      <w:r>
        <w:rPr>
          <w:kern w:val="0"/>
          <w:szCs w:val="24"/>
        </w:rPr>
        <w:t>CO</w:t>
      </w:r>
      <w:r>
        <w:rPr>
          <w:rFonts w:hAnsi="宋体"/>
          <w:kern w:val="0"/>
          <w:szCs w:val="24"/>
        </w:rPr>
        <w:t>产生</w:t>
      </w:r>
      <w:r>
        <w:rPr>
          <w:rFonts w:hint="eastAsia" w:hAnsi="宋体"/>
          <w:kern w:val="0"/>
          <w:szCs w:val="24"/>
        </w:rPr>
        <w:t>量为</w:t>
      </w:r>
      <w:r>
        <w:rPr>
          <w:rFonts w:hint="eastAsia"/>
          <w:kern w:val="0"/>
          <w:szCs w:val="24"/>
        </w:rPr>
        <w:t>1.89</w:t>
      </w:r>
      <w:r>
        <w:rPr>
          <w:kern w:val="0"/>
          <w:szCs w:val="24"/>
        </w:rPr>
        <w:t>t</w:t>
      </w:r>
      <w:r>
        <w:rPr>
          <w:rFonts w:hint="eastAsia"/>
          <w:kern w:val="0"/>
          <w:szCs w:val="24"/>
        </w:rPr>
        <w:t>，S</w:t>
      </w:r>
      <w:r>
        <w:rPr>
          <w:kern w:val="0"/>
          <w:szCs w:val="24"/>
        </w:rPr>
        <w:t>O</w:t>
      </w:r>
      <w:r>
        <w:rPr>
          <w:kern w:val="0"/>
          <w:szCs w:val="24"/>
          <w:vertAlign w:val="subscript"/>
        </w:rPr>
        <w:t>2</w:t>
      </w:r>
      <w:r>
        <w:rPr>
          <w:rFonts w:hAnsi="宋体"/>
          <w:kern w:val="0"/>
          <w:szCs w:val="24"/>
        </w:rPr>
        <w:t>产生</w:t>
      </w:r>
      <w:r>
        <w:rPr>
          <w:rFonts w:hint="eastAsia" w:hAnsi="宋体"/>
          <w:kern w:val="0"/>
          <w:szCs w:val="24"/>
        </w:rPr>
        <w:t>量为</w:t>
      </w:r>
      <w:r>
        <w:rPr>
          <w:rFonts w:hint="eastAsia"/>
          <w:kern w:val="0"/>
          <w:szCs w:val="24"/>
        </w:rPr>
        <w:t>1.26</w:t>
      </w:r>
      <w:r>
        <w:rPr>
          <w:kern w:val="0"/>
          <w:szCs w:val="24"/>
        </w:rPr>
        <w:t>t</w:t>
      </w:r>
      <w:r>
        <w:rPr>
          <w:rFonts w:hAnsi="宋体"/>
          <w:kern w:val="0"/>
          <w:szCs w:val="24"/>
        </w:rPr>
        <w:t>。</w:t>
      </w:r>
    </w:p>
    <w:p>
      <w:pPr>
        <w:ind w:firstLine="0" w:firstLineChars="0"/>
        <w:rPr>
          <w:b/>
        </w:rPr>
      </w:pPr>
      <w:bookmarkStart w:id="584" w:name="_Toc534807035"/>
      <w:bookmarkStart w:id="585" w:name="_Toc534386276"/>
      <w:bookmarkStart w:id="586" w:name="_Toc3903256"/>
      <w:bookmarkStart w:id="587" w:name="_Toc534895252"/>
      <w:bookmarkStart w:id="588" w:name="_Toc536265119"/>
      <w:r>
        <w:rPr>
          <w:b/>
        </w:rPr>
        <w:t>3.</w:t>
      </w:r>
      <w:r>
        <w:rPr>
          <w:rFonts w:hint="eastAsia"/>
          <w:b/>
        </w:rPr>
        <w:t>3</w:t>
      </w:r>
      <w:r>
        <w:rPr>
          <w:b/>
        </w:rPr>
        <w:t>.</w:t>
      </w:r>
      <w:r>
        <w:rPr>
          <w:rFonts w:hint="eastAsia"/>
          <w:b/>
        </w:rPr>
        <w:t>1.3</w:t>
      </w:r>
      <w:r>
        <w:rPr>
          <w:b/>
        </w:rPr>
        <w:t>施工期噪声污染源</w:t>
      </w:r>
      <w:bookmarkEnd w:id="584"/>
      <w:bookmarkEnd w:id="585"/>
      <w:bookmarkEnd w:id="586"/>
      <w:bookmarkEnd w:id="587"/>
      <w:bookmarkEnd w:id="588"/>
    </w:p>
    <w:p>
      <w:pPr>
        <w:autoSpaceDE w:val="0"/>
        <w:autoSpaceDN w:val="0"/>
        <w:adjustRightInd w:val="0"/>
        <w:ind w:firstLine="480"/>
      </w:pPr>
      <w:r>
        <w:t>施工噪声主要来源于施工开挖回填、钻孔、机械运行和车辆运输等。</w:t>
      </w:r>
    </w:p>
    <w:p>
      <w:pPr>
        <w:autoSpaceDE w:val="0"/>
        <w:autoSpaceDN w:val="0"/>
        <w:adjustRightInd w:val="0"/>
        <w:ind w:firstLine="480"/>
      </w:pPr>
      <w:r>
        <w:rPr>
          <w:rFonts w:hint="eastAsia"/>
        </w:rPr>
        <w:t>(1)</w:t>
      </w:r>
      <w:r>
        <w:t>固定噪声源</w:t>
      </w:r>
    </w:p>
    <w:p>
      <w:pPr>
        <w:autoSpaceDE w:val="0"/>
        <w:autoSpaceDN w:val="0"/>
        <w:adjustRightInd w:val="0"/>
        <w:ind w:firstLine="480"/>
      </w:pPr>
      <w:r>
        <w:t>主要</w:t>
      </w:r>
      <w:r>
        <w:rPr>
          <w:rFonts w:hint="eastAsia"/>
        </w:rPr>
        <w:t>有</w:t>
      </w:r>
      <w:r>
        <w:t>土石方开挖回填、综合加工厂、机械修配厂等</w:t>
      </w:r>
      <w:r>
        <w:rPr>
          <w:rFonts w:hint="eastAsia"/>
        </w:rPr>
        <w:t>处</w:t>
      </w:r>
      <w:r>
        <w:t>产生的噪声。主要来自于推土机、挖掘机、装卸机、钻机、</w:t>
      </w:r>
      <w:r>
        <w:rPr>
          <w:rFonts w:hint="eastAsia"/>
        </w:rPr>
        <w:t>空压机</w:t>
      </w:r>
      <w:r>
        <w:t>等机械设备。此类噪声源声级与施工机械种类有关，一般在8</w:t>
      </w:r>
      <w:r>
        <w:rPr>
          <w:rFonts w:hint="eastAsia"/>
        </w:rPr>
        <w:t>6</w:t>
      </w:r>
      <w:r>
        <w:t>~1</w:t>
      </w:r>
      <w:r>
        <w:rPr>
          <w:rFonts w:hint="eastAsia"/>
        </w:rPr>
        <w:t>0</w:t>
      </w:r>
      <w:r>
        <w:t>0dB（A）之间。</w:t>
      </w:r>
    </w:p>
    <w:p>
      <w:pPr>
        <w:ind w:firstLine="480"/>
      </w:pPr>
      <w:r>
        <w:rPr>
          <w:rFonts w:hint="eastAsia" w:ascii="宋体" w:hAnsi="宋体" w:cs="宋体"/>
        </w:rPr>
        <w:t>⑵</w:t>
      </w:r>
      <w:r>
        <w:t>流动的交通噪声</w:t>
      </w:r>
    </w:p>
    <w:p>
      <w:pPr>
        <w:ind w:firstLine="480"/>
      </w:pPr>
      <w:r>
        <w:t>主要来源于自卸汽车、载重汽车等运输和装卸过程中，其特点为源强大、流动性强，与车辆运行状况有关，一般在8</w:t>
      </w:r>
      <w:r>
        <w:rPr>
          <w:rFonts w:hint="eastAsia"/>
        </w:rPr>
        <w:t>8</w:t>
      </w:r>
      <w:r>
        <w:t>~9</w:t>
      </w:r>
      <w:r>
        <w:rPr>
          <w:rFonts w:hint="eastAsia"/>
        </w:rPr>
        <w:t>0</w:t>
      </w:r>
      <w:r>
        <w:t>dB（A）之间。</w:t>
      </w:r>
    </w:p>
    <w:p>
      <w:pPr>
        <w:ind w:firstLine="480"/>
      </w:pPr>
      <w:r>
        <w:t>主要施工噪声源强见表3.</w:t>
      </w:r>
      <w:r>
        <w:rPr>
          <w:rFonts w:hint="eastAsia"/>
        </w:rPr>
        <w:t>3</w:t>
      </w:r>
      <w:r>
        <w:t>-</w:t>
      </w:r>
      <w:r>
        <w:rPr>
          <w:rFonts w:hint="eastAsia"/>
        </w:rPr>
        <w:t>5</w:t>
      </w:r>
      <w:r>
        <w:t>。</w:t>
      </w:r>
    </w:p>
    <w:p>
      <w:pPr>
        <w:spacing w:before="120" w:beforeLines="50" w:line="240" w:lineRule="auto"/>
        <w:ind w:firstLine="480"/>
        <w:jc w:val="center"/>
        <w:rPr>
          <w:rFonts w:ascii="黑体" w:hAnsi="黑体" w:eastAsia="黑体"/>
          <w:szCs w:val="24"/>
        </w:rPr>
      </w:pPr>
    </w:p>
    <w:p>
      <w:pPr>
        <w:spacing w:before="120" w:beforeLines="50" w:line="240" w:lineRule="auto"/>
        <w:ind w:firstLine="480"/>
        <w:jc w:val="center"/>
        <w:rPr>
          <w:rFonts w:ascii="黑体" w:hAnsi="黑体" w:eastAsia="黑体"/>
          <w:szCs w:val="24"/>
        </w:rPr>
      </w:pPr>
      <w:r>
        <w:rPr>
          <w:rFonts w:ascii="黑体" w:hAnsi="黑体" w:eastAsia="黑体"/>
          <w:szCs w:val="24"/>
        </w:rPr>
        <w:t>表</w:t>
      </w:r>
      <w:r>
        <w:rPr>
          <w:rFonts w:hint="eastAsia" w:ascii="黑体" w:hAnsi="黑体" w:eastAsia="黑体"/>
          <w:szCs w:val="24"/>
        </w:rPr>
        <w:t>3.3-5</w:t>
      </w:r>
      <w:r>
        <w:rPr>
          <w:rFonts w:ascii="黑体" w:hAnsi="黑体" w:eastAsia="黑体"/>
          <w:szCs w:val="24"/>
        </w:rPr>
        <w:t xml:space="preserve">  施工主要机械设备表</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04"/>
        <w:gridCol w:w="2726"/>
        <w:gridCol w:w="2532"/>
        <w:gridCol w:w="1643"/>
        <w:gridCol w:w="16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blHeader/>
        </w:trPr>
        <w:tc>
          <w:tcPr>
            <w:tcW w:w="430"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序号</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机械设备名称</w:t>
            </w:r>
          </w:p>
        </w:tc>
        <w:tc>
          <w:tcPr>
            <w:tcW w:w="1353"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测点与声源距离</w:t>
            </w:r>
            <w:r>
              <w:rPr>
                <w:sz w:val="21"/>
                <w:szCs w:val="21"/>
              </w:rPr>
              <w:t>(m)</w:t>
            </w:r>
          </w:p>
        </w:tc>
        <w:tc>
          <w:tcPr>
            <w:tcW w:w="878" w:type="pc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源强</w:t>
            </w:r>
            <w:r>
              <w:rPr>
                <w:kern w:val="0"/>
                <w:sz w:val="21"/>
                <w:szCs w:val="21"/>
              </w:rPr>
              <w:t>dB(A)</w:t>
            </w:r>
          </w:p>
        </w:tc>
        <w:tc>
          <w:tcPr>
            <w:tcW w:w="880"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使用区域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blHeader/>
        </w:trPr>
        <w:tc>
          <w:tcPr>
            <w:tcW w:w="430"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一</w:t>
            </w:r>
          </w:p>
        </w:tc>
        <w:tc>
          <w:tcPr>
            <w:tcW w:w="4569" w:type="pct"/>
            <w:gridSpan w:val="4"/>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点声源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挖掘机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kern w:val="0"/>
                <w:sz w:val="21"/>
                <w:szCs w:val="21"/>
              </w:rPr>
              <w:t>84</w:t>
            </w:r>
          </w:p>
        </w:tc>
        <w:tc>
          <w:tcPr>
            <w:tcW w:w="880" w:type="pc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土石方工程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2</w:t>
            </w:r>
          </w:p>
        </w:tc>
        <w:tc>
          <w:tcPr>
            <w:tcW w:w="1457"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推土机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kern w:val="0"/>
                <w:sz w:val="21"/>
                <w:szCs w:val="21"/>
              </w:rPr>
            </w:pPr>
            <w:r>
              <w:rPr>
                <w:kern w:val="0"/>
                <w:sz w:val="21"/>
                <w:szCs w:val="21"/>
              </w:rPr>
              <w:t>86</w:t>
            </w:r>
          </w:p>
        </w:tc>
        <w:tc>
          <w:tcPr>
            <w:tcW w:w="880"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土石方工程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3</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钻机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90</w:t>
            </w:r>
          </w:p>
        </w:tc>
        <w:tc>
          <w:tcPr>
            <w:tcW w:w="880"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土石方工程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4</w:t>
            </w:r>
          </w:p>
        </w:tc>
        <w:tc>
          <w:tcPr>
            <w:tcW w:w="1457"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履带起重机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kern w:val="0"/>
                <w:sz w:val="21"/>
                <w:szCs w:val="21"/>
              </w:rPr>
            </w:pPr>
            <w:r>
              <w:rPr>
                <w:kern w:val="0"/>
                <w:sz w:val="21"/>
                <w:szCs w:val="21"/>
              </w:rPr>
              <w:t>93</w:t>
            </w:r>
          </w:p>
        </w:tc>
        <w:tc>
          <w:tcPr>
            <w:tcW w:w="880"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土石方工程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5</w:t>
            </w:r>
          </w:p>
        </w:tc>
        <w:tc>
          <w:tcPr>
            <w:tcW w:w="1457" w:type="pct"/>
            <w:vAlign w:val="center"/>
          </w:tcPr>
          <w:p>
            <w:pPr>
              <w:autoSpaceDE w:val="0"/>
              <w:autoSpaceDN w:val="0"/>
              <w:spacing w:line="340" w:lineRule="exact"/>
              <w:ind w:firstLine="0" w:firstLineChars="0"/>
              <w:jc w:val="center"/>
              <w:textAlignment w:val="bottom"/>
              <w:rPr>
                <w:kern w:val="0"/>
                <w:sz w:val="21"/>
                <w:szCs w:val="21"/>
              </w:rPr>
            </w:pPr>
            <w:r>
              <w:rPr>
                <w:rFonts w:hAnsi="宋体"/>
                <w:sz w:val="21"/>
                <w:szCs w:val="21"/>
              </w:rPr>
              <w:t>卷扬机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kern w:val="0"/>
                <w:sz w:val="21"/>
                <w:szCs w:val="21"/>
              </w:rPr>
            </w:pPr>
            <w:r>
              <w:rPr>
                <w:kern w:val="0"/>
                <w:sz w:val="21"/>
                <w:szCs w:val="21"/>
              </w:rPr>
              <w:t>88</w:t>
            </w:r>
          </w:p>
        </w:tc>
        <w:tc>
          <w:tcPr>
            <w:tcW w:w="880" w:type="pct"/>
            <w:vAlign w:val="center"/>
          </w:tcPr>
          <w:p>
            <w:pPr>
              <w:autoSpaceDE w:val="0"/>
              <w:autoSpaceDN w:val="0"/>
              <w:spacing w:line="340" w:lineRule="exact"/>
              <w:ind w:firstLine="0" w:firstLineChars="0"/>
              <w:jc w:val="center"/>
              <w:textAlignment w:val="bottom"/>
              <w:rPr>
                <w:kern w:val="0"/>
                <w:sz w:val="21"/>
                <w:szCs w:val="21"/>
              </w:rPr>
            </w:pPr>
            <w:r>
              <w:rPr>
                <w:rFonts w:hAnsi="宋体"/>
                <w:kern w:val="0"/>
                <w:sz w:val="21"/>
                <w:szCs w:val="21"/>
              </w:rPr>
              <w:t>土石方工程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6</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锻钎机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88</w:t>
            </w:r>
          </w:p>
        </w:tc>
        <w:tc>
          <w:tcPr>
            <w:tcW w:w="880" w:type="pct"/>
            <w:vMerge w:val="restar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综合加工厂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7</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钢筋切断机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95</w:t>
            </w:r>
          </w:p>
        </w:tc>
        <w:tc>
          <w:tcPr>
            <w:tcW w:w="880" w:type="pct"/>
            <w:vMerge w:val="continue"/>
            <w:vAlign w:val="center"/>
          </w:tcPr>
          <w:p>
            <w:pPr>
              <w:autoSpaceDE w:val="0"/>
              <w:autoSpaceDN w:val="0"/>
              <w:spacing w:line="340" w:lineRule="exact"/>
              <w:ind w:firstLine="0" w:firstLineChars="0"/>
              <w:jc w:val="center"/>
              <w:textAlignment w:val="bottom"/>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8</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电焊切割机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100</w:t>
            </w:r>
          </w:p>
        </w:tc>
        <w:tc>
          <w:tcPr>
            <w:tcW w:w="880" w:type="pct"/>
            <w:vMerge w:val="continue"/>
            <w:vAlign w:val="center"/>
          </w:tcPr>
          <w:p>
            <w:pPr>
              <w:autoSpaceDE w:val="0"/>
              <w:autoSpaceDN w:val="0"/>
              <w:spacing w:line="340" w:lineRule="exact"/>
              <w:ind w:firstLine="0" w:firstLineChars="0"/>
              <w:jc w:val="center"/>
              <w:textAlignment w:val="bottom"/>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9</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潜水泵</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90</w:t>
            </w:r>
          </w:p>
        </w:tc>
        <w:tc>
          <w:tcPr>
            <w:tcW w:w="880" w:type="pct"/>
            <w:vAlign w:val="center"/>
          </w:tcPr>
          <w:p>
            <w:pPr>
              <w:autoSpaceDE w:val="0"/>
              <w:autoSpaceDN w:val="0"/>
              <w:spacing w:line="340" w:lineRule="exact"/>
              <w:ind w:firstLine="0" w:firstLineChars="0"/>
              <w:jc w:val="center"/>
              <w:textAlignment w:val="bottom"/>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10</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空压机</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95</w:t>
            </w:r>
          </w:p>
        </w:tc>
        <w:tc>
          <w:tcPr>
            <w:tcW w:w="880" w:type="pct"/>
            <w:vAlign w:val="center"/>
          </w:tcPr>
          <w:p>
            <w:pPr>
              <w:autoSpaceDE w:val="0"/>
              <w:autoSpaceDN w:val="0"/>
              <w:spacing w:line="340" w:lineRule="exact"/>
              <w:ind w:firstLine="0" w:firstLineChars="0"/>
              <w:jc w:val="center"/>
              <w:textAlignment w:val="bottom"/>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rFonts w:hint="eastAsia" w:hAnsi="宋体"/>
                <w:sz w:val="21"/>
                <w:szCs w:val="21"/>
              </w:rPr>
              <w:t>二</w:t>
            </w:r>
          </w:p>
        </w:tc>
        <w:tc>
          <w:tcPr>
            <w:tcW w:w="4569" w:type="pct"/>
            <w:gridSpan w:val="4"/>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流动声源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11</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载重汽车</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88</w:t>
            </w:r>
          </w:p>
        </w:tc>
        <w:tc>
          <w:tcPr>
            <w:tcW w:w="880" w:type="pct"/>
            <w:vMerge w:val="restart"/>
            <w:vAlign w:val="center"/>
          </w:tcPr>
          <w:p>
            <w:pPr>
              <w:autoSpaceDE w:val="0"/>
              <w:autoSpaceDN w:val="0"/>
              <w:spacing w:line="340" w:lineRule="exact"/>
              <w:ind w:firstLine="0" w:firstLineChars="0"/>
              <w:jc w:val="center"/>
              <w:textAlignment w:val="bottom"/>
              <w:rPr>
                <w:sz w:val="21"/>
                <w:szCs w:val="21"/>
              </w:rPr>
            </w:pPr>
            <w:r>
              <w:rPr>
                <w:rFonts w:hAnsi="宋体"/>
                <w:kern w:val="0"/>
                <w:sz w:val="21"/>
                <w:szCs w:val="21"/>
              </w:rPr>
              <w:t>材料运输、土方工程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12</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自卸汽车</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88</w:t>
            </w:r>
          </w:p>
        </w:tc>
        <w:tc>
          <w:tcPr>
            <w:tcW w:w="880" w:type="pct"/>
            <w:vMerge w:val="continue"/>
            <w:vAlign w:val="center"/>
          </w:tcPr>
          <w:p>
            <w:pPr>
              <w:autoSpaceDE w:val="0"/>
              <w:autoSpaceDN w:val="0"/>
              <w:spacing w:line="340" w:lineRule="exact"/>
              <w:ind w:firstLine="0" w:firstLineChars="0"/>
              <w:jc w:val="center"/>
              <w:textAlignment w:val="bottom"/>
              <w:rPr>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trPr>
        <w:tc>
          <w:tcPr>
            <w:tcW w:w="430" w:type="pct"/>
            <w:vAlign w:val="center"/>
          </w:tcPr>
          <w:p>
            <w:pPr>
              <w:autoSpaceDE w:val="0"/>
              <w:autoSpaceDN w:val="0"/>
              <w:spacing w:line="340" w:lineRule="exact"/>
              <w:ind w:firstLine="0" w:firstLineChars="0"/>
              <w:jc w:val="center"/>
              <w:textAlignment w:val="bottom"/>
              <w:rPr>
                <w:sz w:val="21"/>
                <w:szCs w:val="21"/>
              </w:rPr>
            </w:pPr>
            <w:r>
              <w:rPr>
                <w:sz w:val="21"/>
                <w:szCs w:val="21"/>
              </w:rPr>
              <w:t>13</w:t>
            </w:r>
          </w:p>
        </w:tc>
        <w:tc>
          <w:tcPr>
            <w:tcW w:w="1457" w:type="pct"/>
            <w:vAlign w:val="center"/>
          </w:tcPr>
          <w:p>
            <w:pPr>
              <w:autoSpaceDE w:val="0"/>
              <w:autoSpaceDN w:val="0"/>
              <w:spacing w:line="340" w:lineRule="exact"/>
              <w:ind w:firstLine="0" w:firstLineChars="0"/>
              <w:jc w:val="center"/>
              <w:textAlignment w:val="bottom"/>
              <w:rPr>
                <w:sz w:val="21"/>
                <w:szCs w:val="21"/>
              </w:rPr>
            </w:pPr>
            <w:r>
              <w:rPr>
                <w:rFonts w:hAnsi="宋体"/>
                <w:sz w:val="21"/>
                <w:szCs w:val="21"/>
              </w:rPr>
              <w:t>平板车</w:t>
            </w:r>
          </w:p>
        </w:tc>
        <w:tc>
          <w:tcPr>
            <w:tcW w:w="1353" w:type="pct"/>
            <w:vAlign w:val="center"/>
          </w:tcPr>
          <w:p>
            <w:pPr>
              <w:autoSpaceDE w:val="0"/>
              <w:autoSpaceDN w:val="0"/>
              <w:spacing w:line="340" w:lineRule="exact"/>
              <w:ind w:firstLine="0" w:firstLineChars="0"/>
              <w:jc w:val="center"/>
              <w:textAlignment w:val="bottom"/>
              <w:rPr>
                <w:sz w:val="21"/>
                <w:szCs w:val="21"/>
              </w:rPr>
            </w:pPr>
            <w:r>
              <w:rPr>
                <w:sz w:val="21"/>
                <w:szCs w:val="21"/>
              </w:rPr>
              <w:t>1</w:t>
            </w:r>
          </w:p>
        </w:tc>
        <w:tc>
          <w:tcPr>
            <w:tcW w:w="878" w:type="pct"/>
            <w:vAlign w:val="center"/>
          </w:tcPr>
          <w:p>
            <w:pPr>
              <w:autoSpaceDE w:val="0"/>
              <w:autoSpaceDN w:val="0"/>
              <w:spacing w:line="340" w:lineRule="exact"/>
              <w:ind w:firstLine="0" w:firstLineChars="0"/>
              <w:jc w:val="center"/>
              <w:textAlignment w:val="bottom"/>
              <w:rPr>
                <w:sz w:val="21"/>
                <w:szCs w:val="21"/>
              </w:rPr>
            </w:pPr>
            <w:r>
              <w:rPr>
                <w:sz w:val="21"/>
                <w:szCs w:val="21"/>
              </w:rPr>
              <w:t>90</w:t>
            </w:r>
          </w:p>
        </w:tc>
        <w:tc>
          <w:tcPr>
            <w:tcW w:w="880" w:type="pct"/>
            <w:vMerge w:val="continue"/>
            <w:vAlign w:val="center"/>
          </w:tcPr>
          <w:p>
            <w:pPr>
              <w:autoSpaceDE w:val="0"/>
              <w:autoSpaceDN w:val="0"/>
              <w:spacing w:line="340" w:lineRule="exact"/>
              <w:ind w:firstLine="0" w:firstLineChars="0"/>
              <w:jc w:val="center"/>
              <w:textAlignment w:val="bottom"/>
              <w:rPr>
                <w:sz w:val="21"/>
                <w:szCs w:val="21"/>
              </w:rPr>
            </w:pPr>
          </w:p>
        </w:tc>
      </w:tr>
    </w:tbl>
    <w:p>
      <w:pPr>
        <w:ind w:firstLine="0" w:firstLineChars="0"/>
        <w:rPr>
          <w:b/>
        </w:rPr>
      </w:pPr>
      <w:bookmarkStart w:id="589" w:name="_Toc3903257"/>
      <w:bookmarkStart w:id="590" w:name="_Toc534895253"/>
      <w:bookmarkStart w:id="591" w:name="_Toc534386277"/>
      <w:bookmarkStart w:id="592" w:name="_Toc536265120"/>
      <w:bookmarkStart w:id="593" w:name="_Toc534807036"/>
      <w:r>
        <w:rPr>
          <w:b/>
        </w:rPr>
        <w:t>3.</w:t>
      </w:r>
      <w:r>
        <w:rPr>
          <w:rFonts w:hint="eastAsia"/>
          <w:b/>
        </w:rPr>
        <w:t>3</w:t>
      </w:r>
      <w:r>
        <w:rPr>
          <w:b/>
        </w:rPr>
        <w:t>.</w:t>
      </w:r>
      <w:r>
        <w:rPr>
          <w:rFonts w:hint="eastAsia"/>
          <w:b/>
        </w:rPr>
        <w:t>1.4</w:t>
      </w:r>
      <w:r>
        <w:rPr>
          <w:b/>
        </w:rPr>
        <w:t>施工期固体废物污染源</w:t>
      </w:r>
      <w:bookmarkEnd w:id="589"/>
      <w:bookmarkEnd w:id="590"/>
      <w:bookmarkEnd w:id="591"/>
      <w:bookmarkEnd w:id="592"/>
      <w:bookmarkEnd w:id="593"/>
    </w:p>
    <w:p>
      <w:pPr>
        <w:autoSpaceDE w:val="0"/>
        <w:autoSpaceDN w:val="0"/>
        <w:adjustRightInd w:val="0"/>
        <w:ind w:firstLine="480"/>
      </w:pPr>
      <w:r>
        <w:rPr>
          <w:rFonts w:hint="eastAsia"/>
        </w:rPr>
        <w:t>项目施工期固体废物主要来自工程弃土弃渣、生活垃圾和危险废物，其中危险废物包括施工期机械冲洗废水处理设施的含油污泥、施工机械设备维修与保养产生的废机油、废油抹布、空压机废油及废油桶等。</w:t>
      </w:r>
    </w:p>
    <w:p>
      <w:pPr>
        <w:ind w:firstLine="480"/>
      </w:pPr>
      <w:r>
        <w:rPr>
          <w:rFonts w:hint="eastAsia"/>
        </w:rPr>
        <w:t xml:space="preserve">⑴工程弃土弃渣 </w:t>
      </w:r>
    </w:p>
    <w:p>
      <w:pPr>
        <w:autoSpaceDE w:val="0"/>
        <w:autoSpaceDN w:val="0"/>
        <w:adjustRightInd w:val="0"/>
        <w:ind w:firstLine="480"/>
        <w:rPr>
          <w:color w:val="0000FF"/>
        </w:rPr>
      </w:pPr>
      <w:r>
        <w:rPr>
          <w:rFonts w:hint="eastAsia"/>
          <w:color w:val="0000FF"/>
        </w:rPr>
        <w:t>根据项目土石方平衡，</w:t>
      </w:r>
      <w:r>
        <w:rPr>
          <w:color w:val="0000FF"/>
        </w:rPr>
        <w:t>本工程挖填土石方总量为422880.2m</w:t>
      </w:r>
      <w:r>
        <w:rPr>
          <w:color w:val="0000FF"/>
          <w:vertAlign w:val="superscript"/>
        </w:rPr>
        <w:t>3</w:t>
      </w:r>
      <w:r>
        <w:rPr>
          <w:color w:val="0000FF"/>
        </w:rPr>
        <w:t>，其中挖方（不含表土）205574.1m</w:t>
      </w:r>
      <w:r>
        <w:rPr>
          <w:color w:val="0000FF"/>
          <w:vertAlign w:val="superscript"/>
        </w:rPr>
        <w:t>3</w:t>
      </w:r>
      <w:r>
        <w:rPr>
          <w:color w:val="0000FF"/>
        </w:rPr>
        <w:t>，填方（不含表土）211440.1m</w:t>
      </w:r>
      <w:r>
        <w:rPr>
          <w:color w:val="0000FF"/>
          <w:vertAlign w:val="superscript"/>
        </w:rPr>
        <w:t>3</w:t>
      </w:r>
      <w:r>
        <w:rPr>
          <w:color w:val="0000FF"/>
        </w:rPr>
        <w:t>，外借方33310m</w:t>
      </w:r>
      <w:r>
        <w:rPr>
          <w:color w:val="0000FF"/>
          <w:vertAlign w:val="superscript"/>
        </w:rPr>
        <w:t>3</w:t>
      </w:r>
      <w:r>
        <w:rPr>
          <w:color w:val="0000FF"/>
        </w:rPr>
        <w:t>，弃方27444m</w:t>
      </w:r>
      <w:r>
        <w:rPr>
          <w:color w:val="0000FF"/>
          <w:vertAlign w:val="superscript"/>
        </w:rPr>
        <w:t>3</w:t>
      </w:r>
      <w:r>
        <w:rPr>
          <w:color w:val="0000FF"/>
          <w:szCs w:val="24"/>
        </w:rPr>
        <w:t>。</w:t>
      </w:r>
      <w:r>
        <w:rPr>
          <w:rFonts w:hint="eastAsia"/>
          <w:color w:val="0000FF"/>
        </w:rPr>
        <w:t>弃渣随意倾倒将会造成水土流失，进入河道内会淤塞河道，并引起水质污染，应及时运往渣场堆放并做好拦挡措施、排水措施及生态恢复工作。</w:t>
      </w:r>
    </w:p>
    <w:p>
      <w:pPr>
        <w:autoSpaceDE w:val="0"/>
        <w:autoSpaceDN w:val="0"/>
        <w:adjustRightInd w:val="0"/>
        <w:ind w:firstLine="480"/>
        <w:rPr>
          <w:color w:val="0000FF"/>
        </w:rPr>
      </w:pPr>
      <w:r>
        <w:rPr>
          <w:rFonts w:hint="eastAsia"/>
          <w:color w:val="0000FF"/>
        </w:rPr>
        <w:t>在施工过程中，应将挖方在岸边设置专门地点集中堆放，禁止随意堆放，尽量做到随挖随运；如不能及时运走，必须采取拦护措施进行拦挡；需回填利用的土石方采用装土编织袋修筑临时挡墙，避免弃渣四处散落，减少水土流失。临时性堆土堆置高度控制在3m以内，堆置边坡比控制在1：1.5 以内。临时挡土墙采用装土编织袋堆砌而成，采用梯形断面，断面尺寸为高×顶宽×底宽=1m×0.5m×1.5m，堆砌时应相互咬合、搭接，搭接长度不小于装土编织袋长度的1/3。在临时挡土墙的周边开挖临时排水沟，防止雨水冲刷墙角或积水。临时排水沟采用土质排水沟，断面尺寸为：底宽0.3m，沟深0.3m，内边坡比为 1：1.0，梯形断面。</w:t>
      </w:r>
    </w:p>
    <w:p>
      <w:pPr>
        <w:autoSpaceDE w:val="0"/>
        <w:autoSpaceDN w:val="0"/>
        <w:adjustRightInd w:val="0"/>
        <w:ind w:firstLine="480"/>
      </w:pPr>
      <w:r>
        <w:rPr>
          <w:rFonts w:hint="eastAsia"/>
          <w:color w:val="0000FF"/>
        </w:rPr>
        <w:t>施工完毕后应平整场地，对没有绿化的地方进行绿化。本区域的绿化除满足水土保持要求外，还因考虑美观，建议按园林化绿化模式进行。对于建筑物周边空地，建议种植各种树形美观、花叶茂盛的树种，如樟树、桂花、玉兰等。</w:t>
      </w:r>
    </w:p>
    <w:p>
      <w:pPr>
        <w:ind w:firstLine="480"/>
      </w:pPr>
      <w:r>
        <w:rPr>
          <w:rFonts w:hint="eastAsia"/>
        </w:rPr>
        <w:t xml:space="preserve">⑵施工人员生活垃圾 </w:t>
      </w:r>
    </w:p>
    <w:p>
      <w:pPr>
        <w:ind w:firstLine="480"/>
      </w:pPr>
      <w:r>
        <w:rPr>
          <w:rFonts w:hint="eastAsia"/>
        </w:rPr>
        <w:t>根据《城市生活垃圾产量计算预测方法》（CJ/T106），施工人员生活垃圾发生量按0.5kg/ 人·d 计，</w:t>
      </w:r>
      <w:r>
        <w:t>施工高峰期进场施工人员约</w:t>
      </w:r>
      <w:r>
        <w:rPr>
          <w:rFonts w:hint="eastAsia"/>
        </w:rPr>
        <w:t>200</w:t>
      </w:r>
      <w:r>
        <w:t>人</w:t>
      </w:r>
      <w:r>
        <w:rPr>
          <w:rFonts w:hint="eastAsia"/>
        </w:rPr>
        <w:t>、工期18个月，则生活垃圾日发生量为100kg/d，整个施工期生活垃圾发生总量为54t。生活垃圾由上高县环卫部门统一拖运处理。</w:t>
      </w:r>
    </w:p>
    <w:p>
      <w:pPr>
        <w:ind w:firstLine="480"/>
      </w:pPr>
      <w:r>
        <w:rPr>
          <w:rFonts w:hint="eastAsia"/>
        </w:rPr>
        <w:t>⑶</w:t>
      </w:r>
      <w:r>
        <w:t>危险废物</w:t>
      </w:r>
    </w:p>
    <w:p>
      <w:pPr>
        <w:ind w:firstLine="480"/>
      </w:pPr>
      <w:r>
        <w:t>施工期间，机械设备维修、空压机和液压设备产生的废机油、废乳化液、废液压油及废机油桶、废乳化液桶、废液压油桶等属于危险废弃物，类比同类工程，该类危废产生量约为0.2t。</w:t>
      </w:r>
    </w:p>
    <w:p>
      <w:pPr>
        <w:autoSpaceDE w:val="0"/>
        <w:autoSpaceDN w:val="0"/>
        <w:adjustRightInd w:val="0"/>
        <w:ind w:firstLine="480"/>
      </w:pPr>
      <w:r>
        <w:t>根据《国家危险废物名录》（20</w:t>
      </w:r>
      <w:r>
        <w:rPr>
          <w:rFonts w:hint="eastAsia"/>
        </w:rPr>
        <w:t>21</w:t>
      </w:r>
      <w:r>
        <w:t>版），工程机修厂产生的废机油、机械冲洗废水处理设施含油污泥以及空压机废油均为危险废物，废物类别为“HW08 废矿物油”。根据豁免管理清单，废油抹布可以混入生活垃圾一同处置。废油桶可由生产厂家进行回收。废机油、空压机废油、含油污泥均应由施工单位交由有危废处理资质的单位进行处置。</w:t>
      </w:r>
    </w:p>
    <w:p>
      <w:pPr>
        <w:autoSpaceDE w:val="0"/>
        <w:autoSpaceDN w:val="0"/>
        <w:adjustRightInd w:val="0"/>
        <w:ind w:firstLine="480"/>
      </w:pPr>
      <w:r>
        <w:t>施工期应在</w:t>
      </w:r>
      <w:r>
        <w:rPr>
          <w:rFonts w:hint="eastAsia"/>
        </w:rPr>
        <w:t>施工场地</w:t>
      </w:r>
      <w:r>
        <w:t>机械</w:t>
      </w:r>
      <w:r>
        <w:rPr>
          <w:rFonts w:hint="eastAsia"/>
        </w:rPr>
        <w:t>及车辆</w:t>
      </w:r>
      <w:r>
        <w:t>维修站附近设置危险废物临时贮存设施，及时收集贮存危险废物并定期交由有危险废物处理资质的单位处理，在收集、临时贮存过程中严格按照《危险废物贮存污染控制标准》（GB18597-2001）</w:t>
      </w:r>
      <w:r>
        <w:rPr>
          <w:rFonts w:hint="eastAsia"/>
        </w:rPr>
        <w:t>及其修改单</w:t>
      </w:r>
      <w:r>
        <w:t>中的有关规定执行，从而避免本项目产生的危险废物对周围环境产生影响。</w:t>
      </w:r>
    </w:p>
    <w:p>
      <w:pPr>
        <w:ind w:firstLine="0" w:firstLineChars="0"/>
        <w:rPr>
          <w:b/>
        </w:rPr>
      </w:pPr>
      <w:bookmarkStart w:id="594" w:name="_Toc536265121"/>
      <w:bookmarkStart w:id="595" w:name="_Toc3903258"/>
      <w:bookmarkStart w:id="596" w:name="_Toc534386278"/>
      <w:bookmarkStart w:id="597" w:name="_Toc534895254"/>
      <w:bookmarkStart w:id="598" w:name="_Toc534807037"/>
      <w:r>
        <w:rPr>
          <w:b/>
        </w:rPr>
        <w:t>3.</w:t>
      </w:r>
      <w:r>
        <w:rPr>
          <w:rFonts w:hint="eastAsia"/>
          <w:b/>
        </w:rPr>
        <w:t>3</w:t>
      </w:r>
      <w:r>
        <w:rPr>
          <w:b/>
        </w:rPr>
        <w:t>.</w:t>
      </w:r>
      <w:r>
        <w:rPr>
          <w:rFonts w:hint="eastAsia"/>
          <w:b/>
        </w:rPr>
        <w:t>1.5</w:t>
      </w:r>
      <w:r>
        <w:rPr>
          <w:b/>
        </w:rPr>
        <w:t>生态环境</w:t>
      </w:r>
      <w:bookmarkEnd w:id="594"/>
      <w:bookmarkEnd w:id="595"/>
      <w:bookmarkEnd w:id="596"/>
      <w:bookmarkEnd w:id="597"/>
      <w:bookmarkEnd w:id="598"/>
    </w:p>
    <w:p>
      <w:pPr>
        <w:autoSpaceDE w:val="0"/>
        <w:autoSpaceDN w:val="0"/>
        <w:adjustRightInd w:val="0"/>
        <w:ind w:firstLine="480"/>
      </w:pPr>
      <w:r>
        <w:rPr>
          <w:rFonts w:hint="eastAsia"/>
        </w:rPr>
        <w:t>(1)陆生生态</w:t>
      </w:r>
    </w:p>
    <w:p>
      <w:pPr>
        <w:autoSpaceDE w:val="0"/>
        <w:autoSpaceDN w:val="0"/>
        <w:adjustRightInd w:val="0"/>
        <w:ind w:firstLine="480"/>
      </w:pPr>
      <w:r>
        <w:rPr>
          <w:rFonts w:hint="eastAsia"/>
        </w:rPr>
        <w:t>工程施工对陆生生态环境的影响表现在工程占地对土地资源的影响，施工活动对植被、野生动物的影响。工程占地将造成一定的土地资源和生物量损失。工程永久占地将对原地表植被造成一次性永久破坏；施工临时占地在施工结束后，通过采取一定的整治恢复措施，植被可以逐步得到恢复。</w:t>
      </w:r>
    </w:p>
    <w:p>
      <w:pPr>
        <w:autoSpaceDE w:val="0"/>
        <w:autoSpaceDN w:val="0"/>
        <w:adjustRightInd w:val="0"/>
        <w:ind w:firstLine="480"/>
      </w:pPr>
      <w:r>
        <w:rPr>
          <w:rFonts w:hint="eastAsia"/>
        </w:rPr>
        <w:t>工程施工对野生动物的影响表现为：工程施工活动可能干扰工程区内野生动物的正常栖息觅食，施工噪声会对其产生惊扰。</w:t>
      </w:r>
    </w:p>
    <w:p>
      <w:pPr>
        <w:autoSpaceDE w:val="0"/>
        <w:autoSpaceDN w:val="0"/>
        <w:adjustRightInd w:val="0"/>
        <w:ind w:firstLine="480"/>
      </w:pPr>
      <w:r>
        <w:rPr>
          <w:rFonts w:hint="eastAsia"/>
        </w:rPr>
        <w:t>(2)水生生态</w:t>
      </w:r>
    </w:p>
    <w:p>
      <w:pPr>
        <w:autoSpaceDE w:val="0"/>
        <w:autoSpaceDN w:val="0"/>
        <w:adjustRightInd w:val="0"/>
        <w:ind w:firstLine="480"/>
      </w:pPr>
      <w:r>
        <w:rPr>
          <w:rFonts w:hint="eastAsia"/>
        </w:rPr>
        <w:t>工程施工期，施工人员集中在施工区，可能会发生施工人员捕鱼等活动，使施工区局部河段鱼类资源受到人为影响；施工围堰、导截流工程等不可避免的对水生动植物及其生存环境产生一定的影响，施工导流改变上下游局部河段水文情势，从而影响局部河段的水生生境。挡水建筑物施工作业干扰、废污水事故排放影响，对施工河段水生生物和水生生境产生一定影响。</w:t>
      </w:r>
    </w:p>
    <w:p>
      <w:pPr>
        <w:autoSpaceDE w:val="0"/>
        <w:autoSpaceDN w:val="0"/>
        <w:adjustRightInd w:val="0"/>
        <w:ind w:firstLine="480"/>
      </w:pPr>
      <w:r>
        <w:rPr>
          <w:rFonts w:hint="eastAsia"/>
        </w:rPr>
        <w:t xml:space="preserve"> (3)水土流失</w:t>
      </w:r>
    </w:p>
    <w:p>
      <w:pPr>
        <w:autoSpaceDE w:val="0"/>
        <w:autoSpaceDN w:val="0"/>
        <w:adjustRightInd w:val="0"/>
        <w:ind w:firstLine="480"/>
      </w:pPr>
      <w:r>
        <w:rPr>
          <w:rFonts w:hint="eastAsia"/>
        </w:rPr>
        <w:t>由于项目会进行土方开挖等活动，不可避免的产生一定的水土流失。</w:t>
      </w:r>
      <w:r>
        <w:t>根据</w:t>
      </w:r>
      <w:r>
        <w:rPr>
          <w:szCs w:val="24"/>
        </w:rPr>
        <w:t>《</w:t>
      </w:r>
      <w:r>
        <w:rPr>
          <w:rFonts w:hint="eastAsia"/>
          <w:szCs w:val="24"/>
        </w:rPr>
        <w:t>上高</w:t>
      </w:r>
      <w:r>
        <w:rPr>
          <w:szCs w:val="24"/>
        </w:rPr>
        <w:t>县</w:t>
      </w:r>
      <w:r>
        <w:rPr>
          <w:rFonts w:hint="eastAsia"/>
          <w:szCs w:val="24"/>
        </w:rPr>
        <w:t>毛家渡</w:t>
      </w:r>
      <w:r>
        <w:rPr>
          <w:szCs w:val="24"/>
        </w:rPr>
        <w:t>抬水工程</w:t>
      </w:r>
      <w:r>
        <w:rPr>
          <w:rFonts w:hint="eastAsia"/>
          <w:szCs w:val="24"/>
        </w:rPr>
        <w:t>可行性研究报告</w:t>
      </w:r>
      <w:r>
        <w:rPr>
          <w:szCs w:val="24"/>
        </w:rPr>
        <w:t>》</w:t>
      </w:r>
      <w:r>
        <w:t>，本项目水土流失防治责任范围总面积为</w:t>
      </w:r>
      <w:r>
        <w:rPr>
          <w:rFonts w:hint="eastAsia"/>
        </w:rPr>
        <w:t>200.6亩</w:t>
      </w:r>
      <w:r>
        <w:t>，</w:t>
      </w:r>
      <w:r>
        <w:rPr>
          <w:rFonts w:hint="eastAsia"/>
        </w:rPr>
        <w:t>其中主体工程区枢纽工程、淹没区、防汛公路为永久占地85亩，施工围堰、弃渣场、临时道路区和取料场为临时占地90.6亩。占地类型主要为荒地、荒草地、水田和交通运输用地等</w:t>
      </w:r>
      <w:r>
        <w:t>。</w:t>
      </w:r>
      <w:r>
        <w:rPr>
          <w:rFonts w:hint="eastAsia"/>
        </w:rPr>
        <w:t>对原有的地貌、土地及植被造成扰动和损坏的总面积为175.6亩。</w:t>
      </w:r>
    </w:p>
    <w:p>
      <w:pPr>
        <w:ind w:firstLine="480"/>
      </w:pPr>
      <w:r>
        <w:t>根据主体工程安排，水土流失量包括施工准备期水土流失量、施工期水土流失量预测、自然恢复期水土流失量预测三方面的水土流失。根据</w:t>
      </w:r>
      <w:r>
        <w:rPr>
          <w:szCs w:val="24"/>
        </w:rPr>
        <w:t>《</w:t>
      </w:r>
      <w:r>
        <w:rPr>
          <w:rFonts w:hint="eastAsia"/>
          <w:szCs w:val="24"/>
        </w:rPr>
        <w:t>上高</w:t>
      </w:r>
      <w:r>
        <w:rPr>
          <w:szCs w:val="24"/>
        </w:rPr>
        <w:t>县</w:t>
      </w:r>
      <w:r>
        <w:rPr>
          <w:rFonts w:hint="eastAsia"/>
          <w:szCs w:val="24"/>
        </w:rPr>
        <w:t>毛家渡</w:t>
      </w:r>
      <w:r>
        <w:rPr>
          <w:szCs w:val="24"/>
        </w:rPr>
        <w:t>抬水工程</w:t>
      </w:r>
      <w:r>
        <w:rPr>
          <w:rFonts w:hint="eastAsia"/>
          <w:szCs w:val="24"/>
        </w:rPr>
        <w:t>可行性研究报告</w:t>
      </w:r>
      <w:r>
        <w:rPr>
          <w:szCs w:val="24"/>
        </w:rPr>
        <w:t>》</w:t>
      </w:r>
      <w:r>
        <w:t>，可能造成的水土流失量为</w:t>
      </w:r>
      <w:r>
        <w:rPr>
          <w:rFonts w:hint="eastAsia"/>
        </w:rPr>
        <w:t>2368</w:t>
      </w:r>
      <w:r>
        <w:t>t，新增的水土流失量为</w:t>
      </w:r>
      <w:r>
        <w:rPr>
          <w:rFonts w:hint="eastAsia"/>
        </w:rPr>
        <w:t>2175</w:t>
      </w:r>
      <w:r>
        <w:t>t。</w:t>
      </w:r>
      <w:r>
        <w:rPr>
          <w:rFonts w:hint="eastAsia"/>
        </w:rPr>
        <w:t>其中项目建设期内水土流失量为2242t，占水土流失总量的94.67％，因此施工期是产生水土流失的主要时段；主体工程区、弃渣场区新增水土流失量为1690t，占新增水土流失量的77.70%。</w:t>
      </w:r>
    </w:p>
    <w:p>
      <w:pPr>
        <w:ind w:firstLine="0" w:firstLineChars="0"/>
        <w:rPr>
          <w:b/>
        </w:rPr>
      </w:pPr>
      <w:bookmarkStart w:id="599" w:name="_Toc534386279"/>
      <w:bookmarkStart w:id="600" w:name="_Toc536265122"/>
      <w:bookmarkStart w:id="601" w:name="_Toc534807038"/>
      <w:bookmarkStart w:id="602" w:name="_Toc534895255"/>
      <w:bookmarkStart w:id="603" w:name="_Toc3903259"/>
      <w:r>
        <w:rPr>
          <w:b/>
        </w:rPr>
        <w:t>3.</w:t>
      </w:r>
      <w:r>
        <w:rPr>
          <w:rFonts w:hint="eastAsia"/>
          <w:b/>
        </w:rPr>
        <w:t>3</w:t>
      </w:r>
      <w:r>
        <w:rPr>
          <w:b/>
        </w:rPr>
        <w:t>.</w:t>
      </w:r>
      <w:r>
        <w:rPr>
          <w:rFonts w:hint="eastAsia"/>
          <w:b/>
        </w:rPr>
        <w:t>1.6</w:t>
      </w:r>
      <w:r>
        <w:rPr>
          <w:b/>
        </w:rPr>
        <w:t>施工期污染源强汇总</w:t>
      </w:r>
      <w:bookmarkEnd w:id="599"/>
      <w:bookmarkEnd w:id="600"/>
      <w:bookmarkEnd w:id="601"/>
      <w:bookmarkEnd w:id="602"/>
      <w:bookmarkEnd w:id="603"/>
    </w:p>
    <w:p>
      <w:pPr>
        <w:ind w:firstLine="480"/>
      </w:pPr>
      <w:r>
        <w:t>施工期污染源强汇总见表3.</w:t>
      </w:r>
      <w:r>
        <w:rPr>
          <w:rFonts w:hint="eastAsia"/>
        </w:rPr>
        <w:t>3</w:t>
      </w:r>
      <w:r>
        <w:t>-</w:t>
      </w:r>
      <w:r>
        <w:rPr>
          <w:rFonts w:hint="eastAsia"/>
        </w:rPr>
        <w:t>6</w:t>
      </w:r>
      <w:r>
        <w:t>。</w:t>
      </w:r>
    </w:p>
    <w:p>
      <w:pPr>
        <w:pStyle w:val="1078"/>
        <w:spacing w:before="120" w:beforeLines="50" w:line="240" w:lineRule="auto"/>
        <w:ind w:firstLine="641"/>
        <w:rPr>
          <w:rFonts w:hAnsi="黑体" w:cs="黑体"/>
        </w:rPr>
      </w:pPr>
      <w:r>
        <w:rPr>
          <w:rFonts w:hint="eastAsia" w:hAnsi="黑体" w:cs="黑体"/>
        </w:rPr>
        <w:t>表3.3-6  工程施工期污染源强汇总一览表</w:t>
      </w:r>
    </w:p>
    <w:tbl>
      <w:tblPr>
        <w:tblStyle w:val="82"/>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22"/>
        <w:gridCol w:w="1690"/>
        <w:gridCol w:w="1995"/>
        <w:gridCol w:w="1985"/>
        <w:gridCol w:w="290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tcBorders>
              <w:top w:val="single" w:color="000000" w:sz="12" w:space="0"/>
              <w:bottom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污染物</w:t>
            </w:r>
          </w:p>
        </w:tc>
        <w:tc>
          <w:tcPr>
            <w:tcW w:w="1690" w:type="dxa"/>
            <w:tcBorders>
              <w:top w:val="single" w:color="000000" w:sz="12" w:space="0"/>
              <w:bottom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污染因子</w:t>
            </w:r>
          </w:p>
        </w:tc>
        <w:tc>
          <w:tcPr>
            <w:tcW w:w="1995" w:type="dxa"/>
            <w:tcBorders>
              <w:top w:val="single" w:color="000000" w:sz="12" w:space="0"/>
              <w:bottom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产生源</w:t>
            </w:r>
          </w:p>
        </w:tc>
        <w:tc>
          <w:tcPr>
            <w:tcW w:w="1985" w:type="dxa"/>
            <w:tcBorders>
              <w:top w:val="single" w:color="000000" w:sz="12" w:space="0"/>
              <w:bottom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源强</w:t>
            </w:r>
          </w:p>
        </w:tc>
        <w:tc>
          <w:tcPr>
            <w:tcW w:w="2903" w:type="dxa"/>
            <w:tcBorders>
              <w:top w:val="single" w:color="000000" w:sz="12" w:space="0"/>
              <w:bottom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排放特征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restart"/>
            <w:tcBorders>
              <w:top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废气</w:t>
            </w:r>
          </w:p>
        </w:tc>
        <w:tc>
          <w:tcPr>
            <w:tcW w:w="1690" w:type="dxa"/>
            <w:tcBorders>
              <w:top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扬尘</w:t>
            </w:r>
          </w:p>
        </w:tc>
        <w:tc>
          <w:tcPr>
            <w:tcW w:w="1995" w:type="dxa"/>
            <w:tcBorders>
              <w:top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土石方开挖与回填、堆场、运输</w:t>
            </w:r>
          </w:p>
        </w:tc>
        <w:tc>
          <w:tcPr>
            <w:tcW w:w="1985" w:type="dxa"/>
            <w:tcBorders>
              <w:top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少量</w:t>
            </w:r>
          </w:p>
        </w:tc>
        <w:tc>
          <w:tcPr>
            <w:tcW w:w="2903" w:type="dxa"/>
            <w:tcBorders>
              <w:top w:val="single" w:color="000000" w:sz="6" w:space="0"/>
            </w:tcBorders>
            <w:vAlign w:val="center"/>
          </w:tcPr>
          <w:p>
            <w:pPr>
              <w:adjustRightInd w:val="0"/>
              <w:snapToGrid w:val="0"/>
              <w:spacing w:line="340" w:lineRule="exact"/>
              <w:ind w:firstLine="0" w:firstLineChars="0"/>
              <w:jc w:val="center"/>
              <w:rPr>
                <w:sz w:val="21"/>
                <w:szCs w:val="21"/>
              </w:rPr>
            </w:pPr>
            <w:r>
              <w:rPr>
                <w:sz w:val="21"/>
                <w:szCs w:val="21"/>
              </w:rPr>
              <w:t>有风时影响下风向，时限性明显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4"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Merge w:val="restart"/>
            <w:vAlign w:val="center"/>
          </w:tcPr>
          <w:p>
            <w:pPr>
              <w:adjustRightInd w:val="0"/>
              <w:snapToGrid w:val="0"/>
              <w:spacing w:line="340" w:lineRule="exact"/>
              <w:ind w:firstLine="0" w:firstLineChars="0"/>
              <w:jc w:val="center"/>
              <w:rPr>
                <w:sz w:val="21"/>
                <w:szCs w:val="21"/>
              </w:rPr>
            </w:pPr>
            <w:r>
              <w:rPr>
                <w:sz w:val="21"/>
                <w:szCs w:val="21"/>
              </w:rPr>
              <w:t>CO、NO</w:t>
            </w:r>
            <w:r>
              <w:rPr>
                <w:sz w:val="21"/>
                <w:szCs w:val="21"/>
                <w:vertAlign w:val="subscript"/>
              </w:rPr>
              <w:t>2</w:t>
            </w:r>
            <w:r>
              <w:rPr>
                <w:sz w:val="21"/>
                <w:szCs w:val="21"/>
              </w:rPr>
              <w:t>、SO</w:t>
            </w:r>
            <w:r>
              <w:rPr>
                <w:sz w:val="21"/>
                <w:szCs w:val="21"/>
                <w:vertAlign w:val="subscript"/>
              </w:rPr>
              <w:t>2</w:t>
            </w:r>
          </w:p>
        </w:tc>
        <w:tc>
          <w:tcPr>
            <w:tcW w:w="1995" w:type="dxa"/>
            <w:vAlign w:val="center"/>
          </w:tcPr>
          <w:p>
            <w:pPr>
              <w:adjustRightInd w:val="0"/>
              <w:snapToGrid w:val="0"/>
              <w:spacing w:line="340" w:lineRule="exact"/>
              <w:ind w:firstLine="0" w:firstLineChars="0"/>
              <w:jc w:val="center"/>
              <w:rPr>
                <w:sz w:val="21"/>
                <w:szCs w:val="21"/>
              </w:rPr>
            </w:pPr>
            <w:r>
              <w:rPr>
                <w:sz w:val="21"/>
                <w:szCs w:val="21"/>
              </w:rPr>
              <w:t>施工燃油设备</w:t>
            </w:r>
          </w:p>
        </w:tc>
        <w:tc>
          <w:tcPr>
            <w:tcW w:w="1985" w:type="dxa"/>
            <w:vAlign w:val="center"/>
          </w:tcPr>
          <w:p>
            <w:pPr>
              <w:adjustRightInd w:val="0"/>
              <w:snapToGrid w:val="0"/>
              <w:spacing w:line="340" w:lineRule="exact"/>
              <w:ind w:firstLine="0" w:firstLineChars="0"/>
              <w:jc w:val="center"/>
              <w:rPr>
                <w:sz w:val="21"/>
                <w:szCs w:val="21"/>
              </w:rPr>
            </w:pPr>
            <w:r>
              <w:rPr>
                <w:rFonts w:hint="eastAsia"/>
                <w:sz w:val="21"/>
                <w:szCs w:val="21"/>
              </w:rPr>
              <w:t>1.89</w:t>
            </w:r>
            <w:r>
              <w:rPr>
                <w:sz w:val="21"/>
                <w:szCs w:val="21"/>
              </w:rPr>
              <w:t>t，</w:t>
            </w:r>
            <w:r>
              <w:rPr>
                <w:rFonts w:hint="eastAsia"/>
                <w:sz w:val="21"/>
                <w:szCs w:val="21"/>
              </w:rPr>
              <w:t>1.65</w:t>
            </w:r>
            <w:r>
              <w:rPr>
                <w:sz w:val="21"/>
                <w:szCs w:val="21"/>
              </w:rPr>
              <w:t>t，</w:t>
            </w:r>
            <w:r>
              <w:rPr>
                <w:rFonts w:hint="eastAsia"/>
                <w:sz w:val="21"/>
                <w:szCs w:val="21"/>
              </w:rPr>
              <w:t>1.26</w:t>
            </w:r>
            <w:r>
              <w:rPr>
                <w:sz w:val="21"/>
                <w:szCs w:val="21"/>
              </w:rPr>
              <w:t>t</w:t>
            </w:r>
          </w:p>
        </w:tc>
        <w:tc>
          <w:tcPr>
            <w:tcW w:w="2903" w:type="dxa"/>
            <w:vMerge w:val="restart"/>
            <w:vAlign w:val="center"/>
          </w:tcPr>
          <w:p>
            <w:pPr>
              <w:adjustRightInd w:val="0"/>
              <w:snapToGrid w:val="0"/>
              <w:spacing w:line="340" w:lineRule="exact"/>
              <w:ind w:firstLine="0" w:firstLineChars="0"/>
              <w:jc w:val="center"/>
              <w:rPr>
                <w:sz w:val="21"/>
                <w:szCs w:val="21"/>
              </w:rPr>
            </w:pPr>
            <w:r>
              <w:rPr>
                <w:sz w:val="21"/>
                <w:szCs w:val="21"/>
              </w:rPr>
              <w:t>面源、扩散范围有限，排放不连续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restart"/>
            <w:vAlign w:val="center"/>
          </w:tcPr>
          <w:p>
            <w:pPr>
              <w:adjustRightInd w:val="0"/>
              <w:snapToGrid w:val="0"/>
              <w:spacing w:line="340" w:lineRule="exact"/>
              <w:ind w:firstLine="0" w:firstLineChars="0"/>
              <w:jc w:val="center"/>
              <w:rPr>
                <w:sz w:val="21"/>
                <w:szCs w:val="21"/>
              </w:rPr>
            </w:pPr>
            <w:r>
              <w:rPr>
                <w:sz w:val="21"/>
                <w:szCs w:val="21"/>
              </w:rPr>
              <w:t>噪声</w:t>
            </w:r>
          </w:p>
        </w:tc>
        <w:tc>
          <w:tcPr>
            <w:tcW w:w="1690" w:type="dxa"/>
            <w:vMerge w:val="restart"/>
            <w:vAlign w:val="center"/>
          </w:tcPr>
          <w:p>
            <w:pPr>
              <w:adjustRightInd w:val="0"/>
              <w:snapToGrid w:val="0"/>
              <w:spacing w:line="340" w:lineRule="exact"/>
              <w:ind w:firstLine="0" w:firstLineChars="0"/>
              <w:jc w:val="center"/>
              <w:rPr>
                <w:sz w:val="21"/>
                <w:szCs w:val="21"/>
              </w:rPr>
            </w:pPr>
            <w:r>
              <w:rPr>
                <w:sz w:val="21"/>
                <w:szCs w:val="21"/>
              </w:rPr>
              <w:t>设备噪声</w:t>
            </w:r>
          </w:p>
        </w:tc>
        <w:tc>
          <w:tcPr>
            <w:tcW w:w="1995" w:type="dxa"/>
            <w:vAlign w:val="center"/>
          </w:tcPr>
          <w:p>
            <w:pPr>
              <w:adjustRightInd w:val="0"/>
              <w:snapToGrid w:val="0"/>
              <w:spacing w:line="340" w:lineRule="exact"/>
              <w:ind w:firstLine="0" w:firstLineChars="0"/>
              <w:jc w:val="center"/>
              <w:rPr>
                <w:sz w:val="21"/>
                <w:szCs w:val="21"/>
              </w:rPr>
            </w:pPr>
            <w:r>
              <w:rPr>
                <w:sz w:val="21"/>
                <w:szCs w:val="21"/>
              </w:rPr>
              <w:t>钻机、空压机、挖掘机、凿岩机等</w:t>
            </w:r>
          </w:p>
        </w:tc>
        <w:tc>
          <w:tcPr>
            <w:tcW w:w="1985" w:type="dxa"/>
            <w:vAlign w:val="center"/>
          </w:tcPr>
          <w:p>
            <w:pPr>
              <w:adjustRightInd w:val="0"/>
              <w:snapToGrid w:val="0"/>
              <w:spacing w:line="340" w:lineRule="exact"/>
              <w:ind w:firstLine="0" w:firstLineChars="0"/>
              <w:jc w:val="center"/>
              <w:rPr>
                <w:sz w:val="21"/>
                <w:szCs w:val="21"/>
              </w:rPr>
            </w:pPr>
            <w:r>
              <w:rPr>
                <w:sz w:val="21"/>
                <w:szCs w:val="21"/>
              </w:rPr>
              <w:t>80~110dB（A）</w:t>
            </w:r>
          </w:p>
        </w:tc>
        <w:tc>
          <w:tcPr>
            <w:tcW w:w="2903" w:type="dxa"/>
            <w:vMerge w:val="restart"/>
            <w:vAlign w:val="center"/>
          </w:tcPr>
          <w:p>
            <w:pPr>
              <w:adjustRightInd w:val="0"/>
              <w:snapToGrid w:val="0"/>
              <w:spacing w:line="340" w:lineRule="exact"/>
              <w:ind w:firstLine="0" w:firstLineChars="0"/>
              <w:jc w:val="center"/>
              <w:rPr>
                <w:sz w:val="21"/>
                <w:szCs w:val="21"/>
              </w:rPr>
            </w:pPr>
            <w:r>
              <w:rPr>
                <w:sz w:val="21"/>
                <w:szCs w:val="21"/>
              </w:rPr>
              <w:t>无指向性，不连续</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Merge w:val="continue"/>
            <w:vAlign w:val="center"/>
          </w:tcPr>
          <w:p>
            <w:pPr>
              <w:adjustRightInd w:val="0"/>
              <w:snapToGrid w:val="0"/>
              <w:spacing w:line="340" w:lineRule="exact"/>
              <w:ind w:firstLine="0" w:firstLineChars="0"/>
              <w:jc w:val="center"/>
              <w:rPr>
                <w:sz w:val="21"/>
                <w:szCs w:val="21"/>
              </w:rPr>
            </w:pPr>
          </w:p>
        </w:tc>
        <w:tc>
          <w:tcPr>
            <w:tcW w:w="1995" w:type="dxa"/>
            <w:vAlign w:val="center"/>
          </w:tcPr>
          <w:p>
            <w:pPr>
              <w:adjustRightInd w:val="0"/>
              <w:snapToGrid w:val="0"/>
              <w:spacing w:line="340" w:lineRule="exact"/>
              <w:ind w:firstLine="0" w:firstLineChars="0"/>
              <w:jc w:val="center"/>
              <w:rPr>
                <w:sz w:val="21"/>
                <w:szCs w:val="21"/>
              </w:rPr>
            </w:pPr>
            <w:r>
              <w:rPr>
                <w:sz w:val="21"/>
                <w:szCs w:val="21"/>
              </w:rPr>
              <w:t>起重机、推土机、载重汽车</w:t>
            </w:r>
          </w:p>
        </w:tc>
        <w:tc>
          <w:tcPr>
            <w:tcW w:w="1985" w:type="dxa"/>
            <w:vAlign w:val="center"/>
          </w:tcPr>
          <w:p>
            <w:pPr>
              <w:adjustRightInd w:val="0"/>
              <w:snapToGrid w:val="0"/>
              <w:spacing w:line="340" w:lineRule="exact"/>
              <w:ind w:firstLine="0" w:firstLineChars="0"/>
              <w:jc w:val="center"/>
              <w:rPr>
                <w:sz w:val="21"/>
                <w:szCs w:val="21"/>
              </w:rPr>
            </w:pPr>
            <w:r>
              <w:rPr>
                <w:sz w:val="21"/>
                <w:szCs w:val="21"/>
              </w:rPr>
              <w:t>85~95dB（A）</w:t>
            </w:r>
          </w:p>
        </w:tc>
        <w:tc>
          <w:tcPr>
            <w:tcW w:w="2903" w:type="dxa"/>
            <w:vMerge w:val="continue"/>
            <w:vAlign w:val="center"/>
          </w:tcPr>
          <w:p>
            <w:pPr>
              <w:adjustRightInd w:val="0"/>
              <w:snapToGrid w:val="0"/>
              <w:spacing w:line="340" w:lineRule="exact"/>
              <w:ind w:firstLine="0" w:firstLineChars="0"/>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adjustRightInd w:val="0"/>
              <w:snapToGrid w:val="0"/>
              <w:spacing w:line="340" w:lineRule="exact"/>
              <w:ind w:firstLine="0" w:firstLineChars="0"/>
              <w:jc w:val="center"/>
              <w:rPr>
                <w:sz w:val="21"/>
                <w:szCs w:val="21"/>
              </w:rPr>
            </w:pPr>
            <w:r>
              <w:rPr>
                <w:rFonts w:hint="eastAsia"/>
                <w:sz w:val="21"/>
                <w:szCs w:val="21"/>
              </w:rPr>
              <w:t>钻机</w:t>
            </w:r>
            <w:r>
              <w:rPr>
                <w:sz w:val="21"/>
                <w:szCs w:val="21"/>
              </w:rPr>
              <w:t>噪声</w:t>
            </w:r>
          </w:p>
        </w:tc>
        <w:tc>
          <w:tcPr>
            <w:tcW w:w="1995" w:type="dxa"/>
            <w:vAlign w:val="center"/>
          </w:tcPr>
          <w:p>
            <w:pPr>
              <w:adjustRightInd w:val="0"/>
              <w:snapToGrid w:val="0"/>
              <w:spacing w:line="340" w:lineRule="exact"/>
              <w:ind w:firstLine="0" w:firstLineChars="0"/>
              <w:jc w:val="center"/>
              <w:rPr>
                <w:sz w:val="21"/>
                <w:szCs w:val="21"/>
              </w:rPr>
            </w:pPr>
            <w:r>
              <w:rPr>
                <w:sz w:val="21"/>
                <w:szCs w:val="21"/>
              </w:rPr>
              <w:t>坝基开挖</w:t>
            </w:r>
          </w:p>
        </w:tc>
        <w:tc>
          <w:tcPr>
            <w:tcW w:w="1985" w:type="dxa"/>
            <w:vAlign w:val="center"/>
          </w:tcPr>
          <w:p>
            <w:pPr>
              <w:adjustRightInd w:val="0"/>
              <w:snapToGrid w:val="0"/>
              <w:spacing w:line="340" w:lineRule="exact"/>
              <w:ind w:firstLine="0" w:firstLineChars="0"/>
              <w:jc w:val="center"/>
              <w:rPr>
                <w:sz w:val="21"/>
                <w:szCs w:val="21"/>
              </w:rPr>
            </w:pPr>
            <w:r>
              <w:rPr>
                <w:sz w:val="21"/>
                <w:szCs w:val="21"/>
              </w:rPr>
              <w:t>1</w:t>
            </w:r>
            <w:r>
              <w:rPr>
                <w:rFonts w:hint="eastAsia"/>
                <w:sz w:val="21"/>
                <w:szCs w:val="21"/>
              </w:rPr>
              <w:t>4</w:t>
            </w:r>
            <w:r>
              <w:rPr>
                <w:sz w:val="21"/>
                <w:szCs w:val="21"/>
              </w:rPr>
              <w:t>0dB（A）</w:t>
            </w:r>
          </w:p>
        </w:tc>
        <w:tc>
          <w:tcPr>
            <w:tcW w:w="2903" w:type="dxa"/>
            <w:vMerge w:val="continue"/>
            <w:vAlign w:val="center"/>
          </w:tcPr>
          <w:p>
            <w:pPr>
              <w:adjustRightInd w:val="0"/>
              <w:snapToGrid w:val="0"/>
              <w:spacing w:line="340" w:lineRule="exact"/>
              <w:ind w:firstLine="0" w:firstLineChars="0"/>
              <w:jc w:val="center"/>
              <w:rPr>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restart"/>
            <w:vAlign w:val="center"/>
          </w:tcPr>
          <w:p>
            <w:pPr>
              <w:adjustRightInd w:val="0"/>
              <w:snapToGrid w:val="0"/>
              <w:spacing w:line="340" w:lineRule="exact"/>
              <w:ind w:firstLine="0" w:firstLineChars="0"/>
              <w:jc w:val="center"/>
              <w:rPr>
                <w:sz w:val="21"/>
                <w:szCs w:val="21"/>
              </w:rPr>
            </w:pPr>
            <w:r>
              <w:rPr>
                <w:sz w:val="21"/>
                <w:szCs w:val="21"/>
              </w:rPr>
              <w:t>废水</w:t>
            </w:r>
          </w:p>
        </w:tc>
        <w:tc>
          <w:tcPr>
            <w:tcW w:w="1690" w:type="dxa"/>
            <w:vAlign w:val="center"/>
          </w:tcPr>
          <w:p>
            <w:pPr>
              <w:adjustRightInd w:val="0"/>
              <w:snapToGrid w:val="0"/>
              <w:spacing w:line="340" w:lineRule="exact"/>
              <w:ind w:firstLine="0" w:firstLineChars="0"/>
              <w:jc w:val="center"/>
              <w:rPr>
                <w:sz w:val="21"/>
                <w:szCs w:val="21"/>
              </w:rPr>
            </w:pPr>
            <w:r>
              <w:rPr>
                <w:sz w:val="21"/>
                <w:szCs w:val="21"/>
              </w:rPr>
              <w:t>生活污水</w:t>
            </w:r>
          </w:p>
        </w:tc>
        <w:tc>
          <w:tcPr>
            <w:tcW w:w="1995" w:type="dxa"/>
            <w:vAlign w:val="center"/>
          </w:tcPr>
          <w:p>
            <w:pPr>
              <w:adjustRightInd w:val="0"/>
              <w:snapToGrid w:val="0"/>
              <w:spacing w:line="340" w:lineRule="exact"/>
              <w:ind w:firstLine="0" w:firstLineChars="0"/>
              <w:jc w:val="center"/>
              <w:rPr>
                <w:sz w:val="21"/>
                <w:szCs w:val="21"/>
              </w:rPr>
            </w:pPr>
            <w:r>
              <w:rPr>
                <w:sz w:val="21"/>
                <w:szCs w:val="21"/>
              </w:rPr>
              <w:t>施工人员</w:t>
            </w:r>
          </w:p>
        </w:tc>
        <w:tc>
          <w:tcPr>
            <w:tcW w:w="1985" w:type="dxa"/>
            <w:tcBorders>
              <w:bottom w:val="single" w:color="auto" w:sz="6" w:space="0"/>
            </w:tcBorders>
            <w:vAlign w:val="center"/>
          </w:tcPr>
          <w:p>
            <w:pPr>
              <w:adjustRightInd w:val="0"/>
              <w:snapToGrid w:val="0"/>
              <w:spacing w:line="340" w:lineRule="exact"/>
              <w:ind w:firstLine="0" w:firstLineChars="0"/>
              <w:jc w:val="center"/>
              <w:rPr>
                <w:sz w:val="21"/>
                <w:szCs w:val="21"/>
              </w:rPr>
            </w:pPr>
            <w:r>
              <w:rPr>
                <w:rFonts w:hint="eastAsia"/>
                <w:sz w:val="21"/>
                <w:szCs w:val="21"/>
              </w:rPr>
              <w:t>24</w:t>
            </w:r>
            <w:r>
              <w:rPr>
                <w:sz w:val="21"/>
                <w:szCs w:val="21"/>
              </w:rPr>
              <w:t>m</w:t>
            </w:r>
            <w:r>
              <w:rPr>
                <w:sz w:val="21"/>
                <w:szCs w:val="21"/>
                <w:vertAlign w:val="superscript"/>
              </w:rPr>
              <w:t>3</w:t>
            </w:r>
            <w:r>
              <w:rPr>
                <w:sz w:val="21"/>
                <w:szCs w:val="21"/>
              </w:rPr>
              <w:t>/d</w:t>
            </w:r>
          </w:p>
        </w:tc>
        <w:tc>
          <w:tcPr>
            <w:tcW w:w="2903" w:type="dxa"/>
            <w:tcBorders>
              <w:bottom w:val="single" w:color="auto" w:sz="6" w:space="0"/>
            </w:tcBorders>
            <w:vAlign w:val="center"/>
          </w:tcPr>
          <w:p>
            <w:pPr>
              <w:adjustRightInd w:val="0"/>
              <w:snapToGrid w:val="0"/>
              <w:spacing w:line="340" w:lineRule="exact"/>
              <w:ind w:firstLine="0" w:firstLineChars="0"/>
              <w:jc w:val="center"/>
              <w:rPr>
                <w:sz w:val="21"/>
                <w:szCs w:val="21"/>
              </w:rPr>
            </w:pPr>
            <w:r>
              <w:rPr>
                <w:rFonts w:hint="eastAsia"/>
                <w:sz w:val="21"/>
                <w:szCs w:val="21"/>
              </w:rPr>
              <w:t>租赁人员生活污水依托租赁房屋</w:t>
            </w:r>
            <w:r>
              <w:rPr>
                <w:sz w:val="21"/>
                <w:szCs w:val="21"/>
              </w:rPr>
              <w:t>现有的污水处理</w:t>
            </w:r>
            <w:r>
              <w:rPr>
                <w:rFonts w:hint="eastAsia"/>
                <w:sz w:val="21"/>
                <w:szCs w:val="21"/>
              </w:rPr>
              <w:t>设施，施工场地生活污水经</w:t>
            </w:r>
            <w:r>
              <w:rPr>
                <w:sz w:val="21"/>
                <w:szCs w:val="21"/>
              </w:rPr>
              <w:t>旱厕处理后用于肥田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Merge w:val="restart"/>
            <w:vAlign w:val="center"/>
          </w:tcPr>
          <w:p>
            <w:pPr>
              <w:adjustRightInd w:val="0"/>
              <w:snapToGrid w:val="0"/>
              <w:spacing w:line="340" w:lineRule="exact"/>
              <w:ind w:firstLine="0" w:firstLineChars="0"/>
              <w:jc w:val="center"/>
              <w:rPr>
                <w:sz w:val="21"/>
                <w:szCs w:val="21"/>
              </w:rPr>
            </w:pPr>
            <w:r>
              <w:rPr>
                <w:sz w:val="21"/>
                <w:szCs w:val="21"/>
              </w:rPr>
              <w:t>生产废水</w:t>
            </w:r>
          </w:p>
        </w:tc>
        <w:tc>
          <w:tcPr>
            <w:tcW w:w="1995" w:type="dxa"/>
            <w:vAlign w:val="center"/>
          </w:tcPr>
          <w:p>
            <w:pPr>
              <w:adjustRightInd w:val="0"/>
              <w:snapToGrid w:val="0"/>
              <w:spacing w:line="340" w:lineRule="exact"/>
              <w:ind w:firstLine="0" w:firstLineChars="0"/>
              <w:jc w:val="center"/>
              <w:rPr>
                <w:sz w:val="21"/>
                <w:szCs w:val="21"/>
              </w:rPr>
            </w:pPr>
            <w:r>
              <w:rPr>
                <w:sz w:val="21"/>
                <w:szCs w:val="21"/>
              </w:rPr>
              <w:t>基坑初期排水</w:t>
            </w:r>
          </w:p>
        </w:tc>
        <w:tc>
          <w:tcPr>
            <w:tcW w:w="1985" w:type="dxa"/>
            <w:vAlign w:val="center"/>
          </w:tcPr>
          <w:p>
            <w:pPr>
              <w:adjustRightInd w:val="0"/>
              <w:snapToGrid w:val="0"/>
              <w:spacing w:line="340" w:lineRule="exact"/>
              <w:ind w:firstLine="0" w:firstLineChars="0"/>
              <w:jc w:val="center"/>
              <w:rPr>
                <w:sz w:val="21"/>
                <w:szCs w:val="21"/>
              </w:rPr>
            </w:pPr>
            <w:r>
              <w:rPr>
                <w:sz w:val="21"/>
                <w:szCs w:val="21"/>
              </w:rPr>
              <w:t>655.4m</w:t>
            </w:r>
            <w:r>
              <w:rPr>
                <w:sz w:val="21"/>
                <w:szCs w:val="21"/>
                <w:vertAlign w:val="superscript"/>
              </w:rPr>
              <w:t>3</w:t>
            </w:r>
            <w:r>
              <w:rPr>
                <w:sz w:val="21"/>
                <w:szCs w:val="21"/>
              </w:rPr>
              <w:t>/d</w:t>
            </w:r>
          </w:p>
        </w:tc>
        <w:tc>
          <w:tcPr>
            <w:tcW w:w="2903" w:type="dxa"/>
            <w:tcBorders>
              <w:bottom w:val="single" w:color="auto" w:sz="6" w:space="0"/>
            </w:tcBorders>
            <w:vAlign w:val="center"/>
          </w:tcPr>
          <w:p>
            <w:pPr>
              <w:adjustRightInd w:val="0"/>
              <w:snapToGrid w:val="0"/>
              <w:spacing w:line="340" w:lineRule="exact"/>
              <w:ind w:firstLine="0" w:firstLineChars="0"/>
              <w:jc w:val="center"/>
              <w:rPr>
                <w:sz w:val="21"/>
                <w:szCs w:val="21"/>
              </w:rPr>
            </w:pPr>
            <w:r>
              <w:rPr>
                <w:rFonts w:hint="eastAsia"/>
                <w:sz w:val="21"/>
                <w:szCs w:val="21"/>
              </w:rPr>
              <w:t>沉淀处理后由</w:t>
            </w:r>
            <w:r>
              <w:rPr>
                <w:sz w:val="21"/>
                <w:szCs w:val="21"/>
              </w:rPr>
              <w:t>潜水泵抽排</w:t>
            </w:r>
            <w:r>
              <w:rPr>
                <w:rFonts w:hint="eastAsia"/>
                <w:sz w:val="21"/>
                <w:szCs w:val="21"/>
              </w:rPr>
              <w:t>至锦河</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Merge w:val="continue"/>
            <w:vAlign w:val="center"/>
          </w:tcPr>
          <w:p>
            <w:pPr>
              <w:adjustRightInd w:val="0"/>
              <w:snapToGrid w:val="0"/>
              <w:spacing w:line="340" w:lineRule="exact"/>
              <w:ind w:firstLine="0" w:firstLineChars="0"/>
              <w:jc w:val="center"/>
              <w:rPr>
                <w:sz w:val="21"/>
                <w:szCs w:val="21"/>
              </w:rPr>
            </w:pPr>
          </w:p>
        </w:tc>
        <w:tc>
          <w:tcPr>
            <w:tcW w:w="1995" w:type="dxa"/>
            <w:vAlign w:val="center"/>
          </w:tcPr>
          <w:p>
            <w:pPr>
              <w:adjustRightInd w:val="0"/>
              <w:snapToGrid w:val="0"/>
              <w:spacing w:line="340" w:lineRule="exact"/>
              <w:ind w:firstLine="0" w:firstLineChars="0"/>
              <w:jc w:val="center"/>
              <w:rPr>
                <w:sz w:val="21"/>
                <w:szCs w:val="21"/>
              </w:rPr>
            </w:pPr>
            <w:r>
              <w:rPr>
                <w:sz w:val="21"/>
                <w:szCs w:val="21"/>
              </w:rPr>
              <w:t>经常性基坑废水</w:t>
            </w:r>
          </w:p>
        </w:tc>
        <w:tc>
          <w:tcPr>
            <w:tcW w:w="1985" w:type="dxa"/>
            <w:vAlign w:val="center"/>
          </w:tcPr>
          <w:p>
            <w:pPr>
              <w:adjustRightInd w:val="0"/>
              <w:snapToGrid w:val="0"/>
              <w:spacing w:line="340" w:lineRule="exact"/>
              <w:ind w:firstLine="0" w:firstLineChars="0"/>
              <w:jc w:val="center"/>
              <w:rPr>
                <w:sz w:val="21"/>
                <w:szCs w:val="21"/>
              </w:rPr>
            </w:pPr>
            <w:r>
              <w:rPr>
                <w:rFonts w:hint="eastAsia"/>
                <w:sz w:val="21"/>
                <w:szCs w:val="21"/>
              </w:rPr>
              <w:t>48</w:t>
            </w:r>
            <w:r>
              <w:rPr>
                <w:sz w:val="21"/>
                <w:szCs w:val="21"/>
              </w:rPr>
              <w:t>m</w:t>
            </w:r>
            <w:r>
              <w:rPr>
                <w:sz w:val="21"/>
                <w:szCs w:val="21"/>
                <w:vertAlign w:val="superscript"/>
              </w:rPr>
              <w:t>3</w:t>
            </w:r>
            <w:r>
              <w:rPr>
                <w:sz w:val="21"/>
                <w:szCs w:val="21"/>
              </w:rPr>
              <w:t>/d</w:t>
            </w:r>
          </w:p>
        </w:tc>
        <w:tc>
          <w:tcPr>
            <w:tcW w:w="2903" w:type="dxa"/>
            <w:tcBorders>
              <w:top w:val="single" w:color="auto" w:sz="6" w:space="0"/>
              <w:bottom w:val="single" w:color="auto" w:sz="6" w:space="0"/>
            </w:tcBorders>
            <w:vAlign w:val="center"/>
          </w:tcPr>
          <w:p>
            <w:pPr>
              <w:adjustRightInd w:val="0"/>
              <w:snapToGrid w:val="0"/>
              <w:spacing w:line="340" w:lineRule="exact"/>
              <w:ind w:firstLine="0" w:firstLineChars="0"/>
              <w:rPr>
                <w:sz w:val="21"/>
                <w:szCs w:val="21"/>
              </w:rPr>
            </w:pPr>
            <w:r>
              <w:rPr>
                <w:rFonts w:hint="eastAsia"/>
                <w:sz w:val="21"/>
                <w:szCs w:val="21"/>
              </w:rPr>
              <w:t>沉淀处理后尽量回收利用，剩余部分直排河道</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Merge w:val="continue"/>
            <w:vAlign w:val="center"/>
          </w:tcPr>
          <w:p>
            <w:pPr>
              <w:adjustRightInd w:val="0"/>
              <w:snapToGrid w:val="0"/>
              <w:spacing w:line="340" w:lineRule="exact"/>
              <w:ind w:firstLine="0" w:firstLineChars="0"/>
              <w:jc w:val="center"/>
              <w:rPr>
                <w:sz w:val="21"/>
                <w:szCs w:val="21"/>
              </w:rPr>
            </w:pPr>
          </w:p>
        </w:tc>
        <w:tc>
          <w:tcPr>
            <w:tcW w:w="1995" w:type="dxa"/>
            <w:vAlign w:val="center"/>
          </w:tcPr>
          <w:p>
            <w:pPr>
              <w:adjustRightInd w:val="0"/>
              <w:snapToGrid w:val="0"/>
              <w:spacing w:line="340" w:lineRule="exact"/>
              <w:ind w:firstLine="0" w:firstLineChars="0"/>
              <w:jc w:val="center"/>
              <w:rPr>
                <w:sz w:val="21"/>
                <w:szCs w:val="21"/>
              </w:rPr>
            </w:pPr>
            <w:r>
              <w:rPr>
                <w:kern w:val="0"/>
                <w:sz w:val="21"/>
                <w:szCs w:val="21"/>
              </w:rPr>
              <w:t>机械冲洗维修废水</w:t>
            </w:r>
          </w:p>
        </w:tc>
        <w:tc>
          <w:tcPr>
            <w:tcW w:w="1985" w:type="dxa"/>
            <w:vAlign w:val="center"/>
          </w:tcPr>
          <w:p>
            <w:pPr>
              <w:adjustRightInd w:val="0"/>
              <w:snapToGrid w:val="0"/>
              <w:spacing w:line="340" w:lineRule="exact"/>
              <w:ind w:firstLine="0" w:firstLineChars="0"/>
              <w:jc w:val="center"/>
              <w:rPr>
                <w:sz w:val="21"/>
                <w:szCs w:val="21"/>
              </w:rPr>
            </w:pPr>
            <w:r>
              <w:rPr>
                <w:kern w:val="0"/>
                <w:sz w:val="21"/>
                <w:szCs w:val="21"/>
              </w:rPr>
              <w:t>10.8m³/次（830m³/施工期）</w:t>
            </w:r>
          </w:p>
        </w:tc>
        <w:tc>
          <w:tcPr>
            <w:tcW w:w="2903" w:type="dxa"/>
            <w:tcBorders>
              <w:top w:val="single" w:color="auto" w:sz="6" w:space="0"/>
            </w:tcBorders>
            <w:vAlign w:val="center"/>
          </w:tcPr>
          <w:p>
            <w:pPr>
              <w:adjustRightInd w:val="0"/>
              <w:snapToGrid w:val="0"/>
              <w:spacing w:line="340" w:lineRule="exact"/>
              <w:ind w:firstLine="0" w:firstLineChars="0"/>
              <w:jc w:val="center"/>
              <w:rPr>
                <w:sz w:val="21"/>
                <w:szCs w:val="21"/>
              </w:rPr>
            </w:pPr>
            <w:r>
              <w:rPr>
                <w:sz w:val="21"/>
                <w:szCs w:val="21"/>
              </w:rPr>
              <w:t>隔油沉淀处理后回用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restart"/>
            <w:vAlign w:val="center"/>
          </w:tcPr>
          <w:p>
            <w:pPr>
              <w:adjustRightInd w:val="0"/>
              <w:snapToGrid w:val="0"/>
              <w:spacing w:line="340" w:lineRule="exact"/>
              <w:ind w:firstLine="0" w:firstLineChars="0"/>
              <w:jc w:val="center"/>
              <w:rPr>
                <w:sz w:val="21"/>
                <w:szCs w:val="21"/>
              </w:rPr>
            </w:pPr>
            <w:r>
              <w:rPr>
                <w:sz w:val="21"/>
                <w:szCs w:val="21"/>
              </w:rPr>
              <w:t>固体废弃物</w:t>
            </w:r>
          </w:p>
        </w:tc>
        <w:tc>
          <w:tcPr>
            <w:tcW w:w="1690" w:type="dxa"/>
            <w:vAlign w:val="center"/>
          </w:tcPr>
          <w:p>
            <w:pPr>
              <w:adjustRightInd w:val="0"/>
              <w:snapToGrid w:val="0"/>
              <w:spacing w:line="340" w:lineRule="exact"/>
              <w:ind w:firstLine="0" w:firstLineChars="0"/>
              <w:jc w:val="center"/>
              <w:rPr>
                <w:sz w:val="21"/>
                <w:szCs w:val="21"/>
              </w:rPr>
            </w:pPr>
            <w:r>
              <w:rPr>
                <w:sz w:val="21"/>
                <w:szCs w:val="21"/>
              </w:rPr>
              <w:t>土石方开挖、导流工程拆除弃渣</w:t>
            </w:r>
          </w:p>
        </w:tc>
        <w:tc>
          <w:tcPr>
            <w:tcW w:w="1995" w:type="dxa"/>
            <w:vAlign w:val="center"/>
          </w:tcPr>
          <w:p>
            <w:pPr>
              <w:adjustRightInd w:val="0"/>
              <w:snapToGrid w:val="0"/>
              <w:spacing w:line="340" w:lineRule="exact"/>
              <w:ind w:firstLine="0" w:firstLineChars="0"/>
              <w:jc w:val="center"/>
              <w:rPr>
                <w:sz w:val="21"/>
                <w:szCs w:val="21"/>
              </w:rPr>
            </w:pPr>
            <w:r>
              <w:rPr>
                <w:sz w:val="21"/>
                <w:szCs w:val="21"/>
              </w:rPr>
              <w:t>工程弃渣</w:t>
            </w:r>
          </w:p>
        </w:tc>
        <w:tc>
          <w:tcPr>
            <w:tcW w:w="1985" w:type="dxa"/>
            <w:vAlign w:val="center"/>
          </w:tcPr>
          <w:p>
            <w:pPr>
              <w:adjustRightInd w:val="0"/>
              <w:snapToGrid w:val="0"/>
              <w:spacing w:line="340" w:lineRule="exact"/>
              <w:ind w:firstLine="0" w:firstLineChars="0"/>
              <w:jc w:val="center"/>
              <w:rPr>
                <w:sz w:val="21"/>
                <w:szCs w:val="21"/>
              </w:rPr>
            </w:pPr>
            <w:r>
              <w:rPr>
                <w:sz w:val="21"/>
                <w:szCs w:val="21"/>
              </w:rPr>
              <w:t>10.3万m</w:t>
            </w:r>
            <w:r>
              <w:rPr>
                <w:sz w:val="21"/>
                <w:szCs w:val="21"/>
                <w:vertAlign w:val="superscript"/>
              </w:rPr>
              <w:t>3</w:t>
            </w:r>
          </w:p>
        </w:tc>
        <w:tc>
          <w:tcPr>
            <w:tcW w:w="2903" w:type="dxa"/>
            <w:vAlign w:val="center"/>
          </w:tcPr>
          <w:p>
            <w:pPr>
              <w:adjustRightInd w:val="0"/>
              <w:snapToGrid w:val="0"/>
              <w:spacing w:line="340" w:lineRule="exact"/>
              <w:ind w:firstLine="0" w:firstLineChars="0"/>
              <w:jc w:val="center"/>
              <w:rPr>
                <w:sz w:val="21"/>
                <w:szCs w:val="21"/>
              </w:rPr>
            </w:pPr>
            <w:r>
              <w:rPr>
                <w:sz w:val="21"/>
                <w:szCs w:val="21"/>
              </w:rPr>
              <w:t>运至弃渣场处理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adjustRightInd w:val="0"/>
              <w:snapToGrid w:val="0"/>
              <w:spacing w:line="340" w:lineRule="exact"/>
              <w:ind w:firstLine="0" w:firstLineChars="0"/>
              <w:jc w:val="center"/>
              <w:rPr>
                <w:sz w:val="21"/>
                <w:szCs w:val="21"/>
              </w:rPr>
            </w:pPr>
            <w:r>
              <w:rPr>
                <w:sz w:val="21"/>
                <w:szCs w:val="21"/>
              </w:rPr>
              <w:t>机械设备维修、空压机及液压设备</w:t>
            </w:r>
          </w:p>
        </w:tc>
        <w:tc>
          <w:tcPr>
            <w:tcW w:w="1995" w:type="dxa"/>
            <w:vAlign w:val="center"/>
          </w:tcPr>
          <w:p>
            <w:pPr>
              <w:adjustRightInd w:val="0"/>
              <w:snapToGrid w:val="0"/>
              <w:spacing w:line="340" w:lineRule="exact"/>
              <w:ind w:firstLine="0" w:firstLineChars="0"/>
              <w:jc w:val="center"/>
              <w:rPr>
                <w:sz w:val="21"/>
                <w:szCs w:val="21"/>
              </w:rPr>
            </w:pPr>
            <w:r>
              <w:rPr>
                <w:sz w:val="21"/>
                <w:szCs w:val="21"/>
              </w:rPr>
              <w:t>废机油、废乳化液、废液压油及废机油桶、废乳化液桶、废液压油桶</w:t>
            </w:r>
          </w:p>
        </w:tc>
        <w:tc>
          <w:tcPr>
            <w:tcW w:w="1985" w:type="dxa"/>
            <w:vAlign w:val="center"/>
          </w:tcPr>
          <w:p>
            <w:pPr>
              <w:adjustRightInd w:val="0"/>
              <w:snapToGrid w:val="0"/>
              <w:spacing w:line="340" w:lineRule="exact"/>
              <w:ind w:firstLine="0" w:firstLineChars="0"/>
              <w:jc w:val="center"/>
              <w:rPr>
                <w:sz w:val="21"/>
                <w:szCs w:val="21"/>
              </w:rPr>
            </w:pPr>
            <w:r>
              <w:rPr>
                <w:sz w:val="21"/>
                <w:szCs w:val="21"/>
              </w:rPr>
              <w:t>0.2t</w:t>
            </w:r>
          </w:p>
        </w:tc>
        <w:tc>
          <w:tcPr>
            <w:tcW w:w="2903" w:type="dxa"/>
            <w:vAlign w:val="center"/>
          </w:tcPr>
          <w:p>
            <w:pPr>
              <w:adjustRightInd w:val="0"/>
              <w:snapToGrid w:val="0"/>
              <w:spacing w:line="340" w:lineRule="exact"/>
              <w:ind w:firstLine="0" w:firstLineChars="0"/>
              <w:jc w:val="center"/>
              <w:rPr>
                <w:sz w:val="21"/>
                <w:szCs w:val="21"/>
              </w:rPr>
            </w:pPr>
            <w:r>
              <w:rPr>
                <w:sz w:val="21"/>
                <w:szCs w:val="21"/>
              </w:rPr>
              <w:t>交由有资质对的单位回收处置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adjustRightInd w:val="0"/>
              <w:snapToGrid w:val="0"/>
              <w:spacing w:line="340" w:lineRule="exact"/>
              <w:ind w:firstLine="0" w:firstLineChars="0"/>
              <w:jc w:val="center"/>
              <w:rPr>
                <w:sz w:val="21"/>
                <w:szCs w:val="21"/>
              </w:rPr>
            </w:pPr>
            <w:r>
              <w:rPr>
                <w:sz w:val="21"/>
                <w:szCs w:val="21"/>
              </w:rPr>
              <w:t>施工人员</w:t>
            </w:r>
          </w:p>
        </w:tc>
        <w:tc>
          <w:tcPr>
            <w:tcW w:w="1995" w:type="dxa"/>
            <w:vAlign w:val="center"/>
          </w:tcPr>
          <w:p>
            <w:pPr>
              <w:adjustRightInd w:val="0"/>
              <w:snapToGrid w:val="0"/>
              <w:spacing w:line="340" w:lineRule="exact"/>
              <w:ind w:firstLine="0" w:firstLineChars="0"/>
              <w:jc w:val="center"/>
              <w:rPr>
                <w:sz w:val="21"/>
                <w:szCs w:val="21"/>
              </w:rPr>
            </w:pPr>
            <w:r>
              <w:rPr>
                <w:sz w:val="21"/>
                <w:szCs w:val="21"/>
              </w:rPr>
              <w:t>生活垃圾</w:t>
            </w:r>
          </w:p>
        </w:tc>
        <w:tc>
          <w:tcPr>
            <w:tcW w:w="1985" w:type="dxa"/>
            <w:vAlign w:val="center"/>
          </w:tcPr>
          <w:p>
            <w:pPr>
              <w:adjustRightInd w:val="0"/>
              <w:snapToGrid w:val="0"/>
              <w:spacing w:line="340" w:lineRule="exact"/>
              <w:ind w:firstLine="0" w:firstLineChars="0"/>
              <w:jc w:val="center"/>
              <w:rPr>
                <w:sz w:val="21"/>
                <w:szCs w:val="21"/>
              </w:rPr>
            </w:pPr>
            <w:r>
              <w:rPr>
                <w:sz w:val="21"/>
                <w:szCs w:val="21"/>
              </w:rPr>
              <w:t>54t</w:t>
            </w:r>
          </w:p>
        </w:tc>
        <w:tc>
          <w:tcPr>
            <w:tcW w:w="2903" w:type="dxa"/>
            <w:vAlign w:val="center"/>
          </w:tcPr>
          <w:p>
            <w:pPr>
              <w:adjustRightInd w:val="0"/>
              <w:snapToGrid w:val="0"/>
              <w:spacing w:line="340" w:lineRule="exact"/>
              <w:ind w:firstLine="0" w:firstLineChars="0"/>
              <w:jc w:val="center"/>
              <w:rPr>
                <w:sz w:val="21"/>
                <w:szCs w:val="21"/>
              </w:rPr>
            </w:pPr>
            <w:r>
              <w:rPr>
                <w:sz w:val="21"/>
                <w:szCs w:val="21"/>
              </w:rPr>
              <w:t>环卫部门清运处理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restart"/>
            <w:vAlign w:val="center"/>
          </w:tcPr>
          <w:p>
            <w:pPr>
              <w:adjustRightInd w:val="0"/>
              <w:snapToGrid w:val="0"/>
              <w:spacing w:line="340" w:lineRule="exact"/>
              <w:ind w:firstLine="0" w:firstLineChars="0"/>
              <w:jc w:val="center"/>
              <w:rPr>
                <w:sz w:val="21"/>
                <w:szCs w:val="21"/>
              </w:rPr>
            </w:pPr>
            <w:r>
              <w:rPr>
                <w:sz w:val="21"/>
                <w:szCs w:val="21"/>
              </w:rPr>
              <w:t>生态环境</w:t>
            </w:r>
          </w:p>
        </w:tc>
        <w:tc>
          <w:tcPr>
            <w:tcW w:w="1690" w:type="dxa"/>
            <w:vAlign w:val="center"/>
          </w:tcPr>
          <w:p>
            <w:pPr>
              <w:spacing w:line="340" w:lineRule="exact"/>
              <w:ind w:firstLine="0" w:firstLineChars="0"/>
              <w:jc w:val="center"/>
              <w:rPr>
                <w:sz w:val="21"/>
                <w:szCs w:val="21"/>
              </w:rPr>
            </w:pPr>
            <w:r>
              <w:rPr>
                <w:sz w:val="21"/>
                <w:szCs w:val="21"/>
              </w:rPr>
              <w:t>水土流失</w:t>
            </w:r>
          </w:p>
        </w:tc>
        <w:tc>
          <w:tcPr>
            <w:tcW w:w="1995" w:type="dxa"/>
            <w:vAlign w:val="center"/>
          </w:tcPr>
          <w:p>
            <w:pPr>
              <w:spacing w:line="340" w:lineRule="exact"/>
              <w:ind w:firstLine="0" w:firstLineChars="0"/>
              <w:rPr>
                <w:sz w:val="21"/>
                <w:szCs w:val="21"/>
              </w:rPr>
            </w:pPr>
            <w:r>
              <w:rPr>
                <w:sz w:val="21"/>
                <w:szCs w:val="21"/>
              </w:rPr>
              <w:t>雨季地表径流对松动的土层冲刷带走泥沙</w:t>
            </w:r>
          </w:p>
        </w:tc>
        <w:tc>
          <w:tcPr>
            <w:tcW w:w="1985" w:type="dxa"/>
            <w:vAlign w:val="center"/>
          </w:tcPr>
          <w:p>
            <w:pPr>
              <w:spacing w:line="340" w:lineRule="exact"/>
              <w:ind w:firstLine="0" w:firstLineChars="0"/>
              <w:rPr>
                <w:sz w:val="21"/>
                <w:szCs w:val="21"/>
              </w:rPr>
            </w:pPr>
            <w:r>
              <w:rPr>
                <w:sz w:val="21"/>
                <w:szCs w:val="21"/>
              </w:rPr>
              <w:t>损坏水土保持设施面积</w:t>
            </w:r>
            <w:r>
              <w:rPr>
                <w:rFonts w:hint="eastAsia"/>
                <w:sz w:val="21"/>
                <w:szCs w:val="21"/>
              </w:rPr>
              <w:t>74.5亩</w:t>
            </w:r>
            <w:r>
              <w:rPr>
                <w:sz w:val="21"/>
                <w:szCs w:val="21"/>
              </w:rPr>
              <w:t>，扰动陆域地表面积以</w:t>
            </w:r>
            <w:r>
              <w:rPr>
                <w:rFonts w:hint="eastAsia"/>
                <w:sz w:val="21"/>
                <w:szCs w:val="21"/>
              </w:rPr>
              <w:t>荒地、荒草地</w:t>
            </w:r>
            <w:r>
              <w:rPr>
                <w:sz w:val="21"/>
                <w:szCs w:val="21"/>
              </w:rPr>
              <w:t>为主</w:t>
            </w:r>
          </w:p>
        </w:tc>
        <w:tc>
          <w:tcPr>
            <w:tcW w:w="2903" w:type="dxa"/>
            <w:vAlign w:val="center"/>
          </w:tcPr>
          <w:p>
            <w:pPr>
              <w:spacing w:line="340" w:lineRule="exact"/>
              <w:ind w:firstLine="0" w:firstLineChars="0"/>
              <w:jc w:val="center"/>
              <w:rPr>
                <w:sz w:val="21"/>
                <w:szCs w:val="21"/>
              </w:rPr>
            </w:pPr>
            <w:r>
              <w:rPr>
                <w:sz w:val="21"/>
                <w:szCs w:val="21"/>
              </w:rPr>
              <w:t>降雨时易发生水土流失</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spacing w:line="340" w:lineRule="exact"/>
              <w:ind w:firstLine="0" w:firstLineChars="0"/>
              <w:jc w:val="center"/>
              <w:rPr>
                <w:sz w:val="21"/>
                <w:szCs w:val="21"/>
              </w:rPr>
            </w:pPr>
            <w:r>
              <w:rPr>
                <w:sz w:val="21"/>
                <w:szCs w:val="21"/>
              </w:rPr>
              <w:t>土地占用</w:t>
            </w:r>
          </w:p>
        </w:tc>
        <w:tc>
          <w:tcPr>
            <w:tcW w:w="1995" w:type="dxa"/>
            <w:vAlign w:val="center"/>
          </w:tcPr>
          <w:p>
            <w:pPr>
              <w:spacing w:line="340" w:lineRule="exact"/>
              <w:ind w:firstLine="0" w:firstLineChars="0"/>
              <w:rPr>
                <w:sz w:val="21"/>
                <w:szCs w:val="21"/>
              </w:rPr>
            </w:pPr>
            <w:r>
              <w:rPr>
                <w:sz w:val="21"/>
                <w:szCs w:val="21"/>
              </w:rPr>
              <w:t>征地、占地使土地使用功能改变</w:t>
            </w:r>
          </w:p>
        </w:tc>
        <w:tc>
          <w:tcPr>
            <w:tcW w:w="1985" w:type="dxa"/>
            <w:vAlign w:val="center"/>
          </w:tcPr>
          <w:p>
            <w:pPr>
              <w:spacing w:line="340" w:lineRule="exact"/>
              <w:ind w:firstLine="0" w:firstLineChars="0"/>
              <w:jc w:val="center"/>
              <w:rPr>
                <w:sz w:val="21"/>
                <w:szCs w:val="21"/>
              </w:rPr>
            </w:pPr>
            <w:r>
              <w:rPr>
                <w:sz w:val="21"/>
                <w:szCs w:val="21"/>
              </w:rPr>
              <w:t>占地</w:t>
            </w:r>
            <w:r>
              <w:rPr>
                <w:rFonts w:hint="eastAsia"/>
                <w:sz w:val="21"/>
                <w:szCs w:val="21"/>
              </w:rPr>
              <w:t>258.1亩</w:t>
            </w:r>
          </w:p>
        </w:tc>
        <w:tc>
          <w:tcPr>
            <w:tcW w:w="2903" w:type="dxa"/>
            <w:vAlign w:val="center"/>
          </w:tcPr>
          <w:p>
            <w:pPr>
              <w:spacing w:line="340" w:lineRule="exact"/>
              <w:ind w:firstLine="0" w:firstLineChars="0"/>
              <w:jc w:val="center"/>
              <w:rPr>
                <w:sz w:val="21"/>
                <w:szCs w:val="21"/>
              </w:rPr>
            </w:pPr>
            <w:r>
              <w:rPr>
                <w:rFonts w:hint="eastAsia"/>
                <w:sz w:val="21"/>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spacing w:line="340" w:lineRule="exact"/>
              <w:ind w:firstLine="0" w:firstLineChars="0"/>
              <w:jc w:val="center"/>
              <w:rPr>
                <w:sz w:val="21"/>
                <w:szCs w:val="21"/>
              </w:rPr>
            </w:pPr>
            <w:r>
              <w:rPr>
                <w:sz w:val="21"/>
                <w:szCs w:val="21"/>
              </w:rPr>
              <w:t>植被破坏</w:t>
            </w:r>
          </w:p>
        </w:tc>
        <w:tc>
          <w:tcPr>
            <w:tcW w:w="1995" w:type="dxa"/>
            <w:vAlign w:val="center"/>
          </w:tcPr>
          <w:p>
            <w:pPr>
              <w:spacing w:line="340" w:lineRule="exact"/>
              <w:ind w:firstLine="0" w:firstLineChars="0"/>
              <w:rPr>
                <w:sz w:val="21"/>
                <w:szCs w:val="21"/>
              </w:rPr>
            </w:pPr>
            <w:r>
              <w:rPr>
                <w:sz w:val="21"/>
                <w:szCs w:val="21"/>
              </w:rPr>
              <w:t>占地使原有</w:t>
            </w:r>
            <w:r>
              <w:rPr>
                <w:rFonts w:hint="eastAsia"/>
                <w:sz w:val="21"/>
                <w:szCs w:val="21"/>
              </w:rPr>
              <w:t>林地、旱地、草地</w:t>
            </w:r>
            <w:r>
              <w:rPr>
                <w:sz w:val="21"/>
                <w:szCs w:val="21"/>
              </w:rPr>
              <w:t>被破坏</w:t>
            </w:r>
          </w:p>
        </w:tc>
        <w:tc>
          <w:tcPr>
            <w:tcW w:w="1985" w:type="dxa"/>
            <w:vAlign w:val="center"/>
          </w:tcPr>
          <w:p>
            <w:pPr>
              <w:spacing w:line="340" w:lineRule="exact"/>
              <w:ind w:firstLine="0" w:firstLineChars="0"/>
              <w:jc w:val="center"/>
              <w:rPr>
                <w:sz w:val="21"/>
                <w:szCs w:val="21"/>
              </w:rPr>
            </w:pPr>
            <w:r>
              <w:rPr>
                <w:rFonts w:hint="eastAsia"/>
                <w:sz w:val="21"/>
                <w:szCs w:val="21"/>
              </w:rPr>
              <w:t>荒草地159.1亩</w:t>
            </w:r>
            <w:r>
              <w:rPr>
                <w:sz w:val="21"/>
                <w:szCs w:val="21"/>
              </w:rPr>
              <w:t>，</w:t>
            </w:r>
            <w:r>
              <w:rPr>
                <w:rFonts w:hint="eastAsia"/>
                <w:sz w:val="21"/>
                <w:szCs w:val="21"/>
              </w:rPr>
              <w:t>水田41.5亩、一般性湿地57.5</w:t>
            </w:r>
          </w:p>
        </w:tc>
        <w:tc>
          <w:tcPr>
            <w:tcW w:w="2903" w:type="dxa"/>
            <w:vAlign w:val="center"/>
          </w:tcPr>
          <w:p>
            <w:pPr>
              <w:spacing w:line="340" w:lineRule="exact"/>
              <w:ind w:firstLine="0" w:firstLineChars="0"/>
              <w:jc w:val="center"/>
              <w:rPr>
                <w:sz w:val="21"/>
                <w:szCs w:val="21"/>
              </w:rPr>
            </w:pPr>
            <w:r>
              <w:rPr>
                <w:sz w:val="21"/>
                <w:szCs w:val="21"/>
              </w:rPr>
              <w:t>破坏植被，减少生物量</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22" w:type="dxa"/>
            <w:vMerge w:val="continue"/>
            <w:vAlign w:val="center"/>
          </w:tcPr>
          <w:p>
            <w:pPr>
              <w:adjustRightInd w:val="0"/>
              <w:snapToGrid w:val="0"/>
              <w:spacing w:line="340" w:lineRule="exact"/>
              <w:ind w:firstLine="0" w:firstLineChars="0"/>
              <w:jc w:val="center"/>
              <w:rPr>
                <w:sz w:val="21"/>
                <w:szCs w:val="21"/>
              </w:rPr>
            </w:pPr>
          </w:p>
        </w:tc>
        <w:tc>
          <w:tcPr>
            <w:tcW w:w="1690" w:type="dxa"/>
            <w:vAlign w:val="center"/>
          </w:tcPr>
          <w:p>
            <w:pPr>
              <w:adjustRightInd w:val="0"/>
              <w:snapToGrid w:val="0"/>
              <w:spacing w:line="340" w:lineRule="exact"/>
              <w:ind w:firstLine="0" w:firstLineChars="0"/>
              <w:jc w:val="center"/>
              <w:rPr>
                <w:sz w:val="21"/>
                <w:szCs w:val="21"/>
              </w:rPr>
            </w:pPr>
            <w:r>
              <w:rPr>
                <w:sz w:val="21"/>
                <w:szCs w:val="21"/>
              </w:rPr>
              <w:t>弃土</w:t>
            </w:r>
          </w:p>
        </w:tc>
        <w:tc>
          <w:tcPr>
            <w:tcW w:w="1995" w:type="dxa"/>
            <w:vAlign w:val="center"/>
          </w:tcPr>
          <w:p>
            <w:pPr>
              <w:adjustRightInd w:val="0"/>
              <w:snapToGrid w:val="0"/>
              <w:spacing w:line="340" w:lineRule="exact"/>
              <w:ind w:firstLine="0" w:firstLineChars="0"/>
              <w:jc w:val="center"/>
              <w:rPr>
                <w:sz w:val="21"/>
                <w:szCs w:val="21"/>
              </w:rPr>
            </w:pPr>
            <w:r>
              <w:rPr>
                <w:sz w:val="21"/>
                <w:szCs w:val="21"/>
              </w:rPr>
              <w:t>临时堆放占地，有扬尘、水土流失发生的可能</w:t>
            </w:r>
          </w:p>
        </w:tc>
        <w:tc>
          <w:tcPr>
            <w:tcW w:w="1985" w:type="dxa"/>
            <w:vAlign w:val="center"/>
          </w:tcPr>
          <w:p>
            <w:pPr>
              <w:adjustRightInd w:val="0"/>
              <w:snapToGrid w:val="0"/>
              <w:spacing w:line="340" w:lineRule="exact"/>
              <w:ind w:firstLine="0" w:firstLineChars="0"/>
              <w:jc w:val="center"/>
              <w:rPr>
                <w:sz w:val="21"/>
                <w:szCs w:val="21"/>
              </w:rPr>
            </w:pPr>
            <w:r>
              <w:rPr>
                <w:rFonts w:hint="eastAsia"/>
                <w:sz w:val="21"/>
                <w:szCs w:val="21"/>
              </w:rPr>
              <w:t>3.33</w:t>
            </w:r>
            <w:r>
              <w:rPr>
                <w:sz w:val="21"/>
                <w:szCs w:val="21"/>
              </w:rPr>
              <w:t>万m</w:t>
            </w:r>
            <w:r>
              <w:rPr>
                <w:sz w:val="21"/>
                <w:szCs w:val="21"/>
                <w:vertAlign w:val="superscript"/>
              </w:rPr>
              <w:t>3</w:t>
            </w:r>
          </w:p>
        </w:tc>
        <w:tc>
          <w:tcPr>
            <w:tcW w:w="2903" w:type="dxa"/>
            <w:vAlign w:val="center"/>
          </w:tcPr>
          <w:p>
            <w:pPr>
              <w:adjustRightInd w:val="0"/>
              <w:snapToGrid w:val="0"/>
              <w:spacing w:line="340" w:lineRule="exact"/>
              <w:ind w:firstLine="0" w:firstLineChars="0"/>
              <w:jc w:val="center"/>
              <w:rPr>
                <w:sz w:val="21"/>
                <w:szCs w:val="21"/>
              </w:rPr>
            </w:pPr>
            <w:r>
              <w:rPr>
                <w:sz w:val="21"/>
                <w:szCs w:val="21"/>
              </w:rPr>
              <w:t>临时占地，弃土临时堆放，影响可能部分消除</w:t>
            </w:r>
          </w:p>
        </w:tc>
      </w:tr>
    </w:tbl>
    <w:p>
      <w:pPr>
        <w:pStyle w:val="7"/>
        <w:spacing w:before="120" w:beforeLines="50"/>
        <w:jc w:val="both"/>
        <w:rPr>
          <w:szCs w:val="24"/>
        </w:rPr>
      </w:pPr>
      <w:bookmarkStart w:id="604" w:name="_Toc534807039"/>
      <w:bookmarkStart w:id="605" w:name="_Toc536265123"/>
      <w:bookmarkStart w:id="606" w:name="_Toc534895256"/>
      <w:bookmarkStart w:id="607" w:name="_Toc534386280"/>
      <w:bookmarkStart w:id="608" w:name="_Toc3903260"/>
      <w:r>
        <w:rPr>
          <w:szCs w:val="24"/>
        </w:rPr>
        <w:t>3.</w:t>
      </w:r>
      <w:r>
        <w:rPr>
          <w:rFonts w:hint="eastAsia"/>
          <w:szCs w:val="24"/>
        </w:rPr>
        <w:t>3.2运行期影响源</w:t>
      </w:r>
      <w:r>
        <w:rPr>
          <w:szCs w:val="24"/>
        </w:rPr>
        <w:t>分析</w:t>
      </w:r>
      <w:bookmarkEnd w:id="604"/>
      <w:bookmarkEnd w:id="605"/>
      <w:bookmarkEnd w:id="606"/>
      <w:bookmarkEnd w:id="607"/>
      <w:bookmarkEnd w:id="608"/>
    </w:p>
    <w:p>
      <w:pPr>
        <w:ind w:firstLine="0" w:firstLineChars="0"/>
        <w:rPr>
          <w:b/>
        </w:rPr>
      </w:pPr>
      <w:bookmarkStart w:id="609" w:name="_Toc170981470"/>
      <w:bookmarkStart w:id="610" w:name="_Toc224879332"/>
      <w:bookmarkStart w:id="611" w:name="_Toc183011737"/>
      <w:bookmarkStart w:id="612" w:name="_Toc157479067"/>
      <w:bookmarkStart w:id="613" w:name="_Toc224879038"/>
      <w:bookmarkStart w:id="614" w:name="_Toc223843271"/>
      <w:bookmarkStart w:id="615" w:name="_Toc529279037"/>
      <w:bookmarkStart w:id="616" w:name="_Toc252288969"/>
      <w:bookmarkStart w:id="617" w:name="_Toc201932583"/>
      <w:bookmarkStart w:id="618" w:name="_Toc534895257"/>
      <w:bookmarkStart w:id="619" w:name="_Toc536265124"/>
      <w:bookmarkStart w:id="620" w:name="_Toc3903261"/>
      <w:bookmarkStart w:id="621" w:name="_Toc534807040"/>
      <w:bookmarkStart w:id="622" w:name="_Toc534386281"/>
      <w:r>
        <w:rPr>
          <w:b/>
        </w:rPr>
        <w:t>3.</w:t>
      </w:r>
      <w:bookmarkEnd w:id="609"/>
      <w:bookmarkEnd w:id="610"/>
      <w:bookmarkEnd w:id="611"/>
      <w:bookmarkEnd w:id="612"/>
      <w:bookmarkEnd w:id="613"/>
      <w:bookmarkEnd w:id="614"/>
      <w:bookmarkEnd w:id="615"/>
      <w:bookmarkEnd w:id="616"/>
      <w:bookmarkEnd w:id="617"/>
      <w:r>
        <w:rPr>
          <w:rFonts w:hint="eastAsia"/>
          <w:b/>
        </w:rPr>
        <w:t>3.2.1大坝蓄水</w:t>
      </w:r>
      <w:r>
        <w:rPr>
          <w:b/>
        </w:rPr>
        <w:t>影响</w:t>
      </w:r>
      <w:bookmarkEnd w:id="618"/>
      <w:bookmarkEnd w:id="619"/>
      <w:bookmarkEnd w:id="620"/>
      <w:bookmarkEnd w:id="621"/>
      <w:bookmarkEnd w:id="622"/>
    </w:p>
    <w:p>
      <w:pPr>
        <w:ind w:firstLine="480"/>
        <w:rPr>
          <w:rFonts w:hAnsi="宋体"/>
          <w:kern w:val="0"/>
          <w:szCs w:val="24"/>
        </w:rPr>
      </w:pPr>
      <w:r>
        <w:rPr>
          <w:rFonts w:hint="eastAsia" w:hAnsi="宋体"/>
          <w:kern w:val="0"/>
          <w:szCs w:val="24"/>
        </w:rPr>
        <w:t>(1)水质</w:t>
      </w:r>
    </w:p>
    <w:p>
      <w:pPr>
        <w:ind w:firstLine="480"/>
      </w:pPr>
      <w:r>
        <w:rPr>
          <w:rFonts w:hint="eastAsia" w:hAnsi="宋体"/>
          <w:kern w:val="0"/>
          <w:szCs w:val="24"/>
        </w:rPr>
        <w:t>上高</w:t>
      </w:r>
      <w:r>
        <w:rPr>
          <w:rFonts w:hAnsi="宋体"/>
          <w:kern w:val="0"/>
          <w:szCs w:val="24"/>
        </w:rPr>
        <w:t>县</w:t>
      </w:r>
      <w:r>
        <w:rPr>
          <w:rFonts w:hint="eastAsia" w:hAnsi="宋体"/>
          <w:kern w:val="0"/>
          <w:szCs w:val="24"/>
        </w:rPr>
        <w:t>毛家渡</w:t>
      </w:r>
      <w:r>
        <w:rPr>
          <w:rFonts w:hAnsi="宋体"/>
          <w:kern w:val="0"/>
          <w:szCs w:val="24"/>
        </w:rPr>
        <w:t>抬水工程运行后，水体体积增加，</w:t>
      </w:r>
      <w:r>
        <w:t>水位抬高，</w:t>
      </w:r>
      <w:r>
        <w:rPr>
          <w:rFonts w:hAnsi="宋体"/>
          <w:kern w:val="0"/>
          <w:szCs w:val="24"/>
        </w:rPr>
        <w:t>天然河道水位抬升</w:t>
      </w:r>
      <w:r>
        <w:rPr>
          <w:rFonts w:hint="eastAsia" w:hAnsi="宋体"/>
          <w:kern w:val="0"/>
          <w:szCs w:val="24"/>
        </w:rPr>
        <w:t>至</w:t>
      </w:r>
      <w:r>
        <w:rPr>
          <w:rFonts w:hint="eastAsia"/>
          <w:kern w:val="0"/>
          <w:szCs w:val="24"/>
        </w:rPr>
        <w:t>44.5</w:t>
      </w:r>
      <w:r>
        <w:rPr>
          <w:kern w:val="0"/>
          <w:szCs w:val="24"/>
        </w:rPr>
        <w:t>m</w:t>
      </w:r>
      <w:r>
        <w:rPr>
          <w:rFonts w:hAnsi="宋体"/>
          <w:kern w:val="0"/>
          <w:szCs w:val="24"/>
        </w:rPr>
        <w:t>，将淹没正常蓄水位以下的</w:t>
      </w:r>
      <w:r>
        <w:rPr>
          <w:rFonts w:hint="eastAsia" w:hAnsi="宋体"/>
          <w:kern w:val="0"/>
          <w:szCs w:val="24"/>
        </w:rPr>
        <w:t>荒草地、水田</w:t>
      </w:r>
      <w:r>
        <w:rPr>
          <w:rFonts w:hAnsi="宋体"/>
          <w:kern w:val="0"/>
          <w:szCs w:val="24"/>
        </w:rPr>
        <w:t>，植物腐烂将释放出有机物质，</w:t>
      </w:r>
      <w:r>
        <w:t>土地浸泡而使化肥和农药流失，增加</w:t>
      </w:r>
      <w:r>
        <w:rPr>
          <w:rFonts w:hint="eastAsia"/>
        </w:rPr>
        <w:t>锦河水中</w:t>
      </w:r>
      <w:r>
        <w:t>N、P等有机物</w:t>
      </w:r>
      <w:r>
        <w:rPr>
          <w:rFonts w:hAnsi="宋体"/>
          <w:kern w:val="0"/>
          <w:szCs w:val="24"/>
        </w:rPr>
        <w:t>；河流流速减慢，水体容量增大，悬浮物沉降作用加强，水体悬浮物浓度降低</w:t>
      </w:r>
      <w:r>
        <w:rPr>
          <w:rFonts w:hint="eastAsia" w:hAnsi="宋体"/>
          <w:kern w:val="0"/>
          <w:szCs w:val="24"/>
        </w:rPr>
        <w:t>，</w:t>
      </w:r>
      <w:r>
        <w:t>将使河道污染物稀释作用减弱，使入</w:t>
      </w:r>
      <w:r>
        <w:rPr>
          <w:rFonts w:hint="eastAsia"/>
        </w:rPr>
        <w:t>河</w:t>
      </w:r>
      <w:r>
        <w:t>的污染物质滞留于</w:t>
      </w:r>
      <w:r>
        <w:rPr>
          <w:rFonts w:hint="eastAsia"/>
        </w:rPr>
        <w:t>锦河抬水段</w:t>
      </w:r>
      <w:r>
        <w:t>，在不增加污染物排放的前提下，</w:t>
      </w:r>
      <w:r>
        <w:rPr>
          <w:rFonts w:hint="eastAsia"/>
        </w:rPr>
        <w:t>锦河抬水段</w:t>
      </w:r>
      <w:r>
        <w:t>水质基本维持现状。</w:t>
      </w:r>
    </w:p>
    <w:p>
      <w:pPr>
        <w:ind w:firstLine="480"/>
        <w:rPr>
          <w:rFonts w:hAnsi="宋体"/>
          <w:kern w:val="0"/>
          <w:szCs w:val="24"/>
        </w:rPr>
      </w:pPr>
      <w:r>
        <w:rPr>
          <w:rFonts w:hint="eastAsia" w:hAnsi="宋体"/>
          <w:kern w:val="0"/>
          <w:szCs w:val="24"/>
        </w:rPr>
        <w:t>上高</w:t>
      </w:r>
      <w:r>
        <w:rPr>
          <w:rFonts w:hAnsi="宋体"/>
          <w:kern w:val="0"/>
          <w:szCs w:val="24"/>
        </w:rPr>
        <w:t>县</w:t>
      </w:r>
      <w:r>
        <w:rPr>
          <w:rFonts w:hint="eastAsia" w:hAnsi="宋体"/>
          <w:kern w:val="0"/>
          <w:szCs w:val="24"/>
        </w:rPr>
        <w:t>毛家渡</w:t>
      </w:r>
      <w:r>
        <w:rPr>
          <w:rFonts w:hAnsi="宋体"/>
          <w:kern w:val="0"/>
          <w:szCs w:val="24"/>
        </w:rPr>
        <w:t>抬水工程运行后，</w:t>
      </w:r>
      <w:r>
        <w:rPr>
          <w:rFonts w:hint="eastAsia" w:hAnsi="宋体"/>
          <w:kern w:val="0"/>
          <w:szCs w:val="24"/>
        </w:rPr>
        <w:t>坝址下段项目无取水和灌溉任务，因此运行期河道天然来水全部下泄，严格按照工程设计生态下泄径流量为12.11m</w:t>
      </w:r>
      <w:r>
        <w:rPr>
          <w:rFonts w:hint="eastAsia" w:hAnsi="宋体"/>
          <w:kern w:val="0"/>
          <w:szCs w:val="24"/>
          <w:vertAlign w:val="superscript"/>
        </w:rPr>
        <w:t>3</w:t>
      </w:r>
      <w:r>
        <w:rPr>
          <w:rFonts w:hint="eastAsia" w:hAnsi="宋体"/>
          <w:kern w:val="0"/>
          <w:szCs w:val="24"/>
        </w:rPr>
        <w:t>/s下泄生态基流，保证下游生活及工农业供水同时满足生态需水要求。且根据本工程可行性研究报告，相较建坝前年径流量减少比例很小，不会降低坝址以下河段的纳污能力，且减少的水量主要用于河道蒸发、渗漏，有利于涵养地下水源、改善区域水环境。因此，项目建设对坝址下游河道水质影响较小。</w:t>
      </w:r>
    </w:p>
    <w:p>
      <w:pPr>
        <w:ind w:firstLine="480"/>
        <w:rPr>
          <w:rFonts w:hAnsi="宋体"/>
          <w:kern w:val="0"/>
          <w:szCs w:val="24"/>
        </w:rPr>
      </w:pPr>
      <w:r>
        <w:rPr>
          <w:rFonts w:hint="eastAsia" w:hAnsi="宋体"/>
          <w:kern w:val="0"/>
          <w:szCs w:val="24"/>
        </w:rPr>
        <w:t>(2)</w:t>
      </w:r>
      <w:r>
        <w:t>水温</w:t>
      </w:r>
    </w:p>
    <w:p>
      <w:pPr>
        <w:ind w:firstLine="480"/>
        <w:rPr>
          <w:kern w:val="0"/>
          <w:szCs w:val="24"/>
        </w:rPr>
      </w:pPr>
      <w:r>
        <w:rPr>
          <w:rFonts w:hint="eastAsia" w:hAnsi="宋体"/>
          <w:kern w:val="0"/>
          <w:szCs w:val="24"/>
        </w:rPr>
        <w:t>抬水工程蓄水后，水温将出现上层水温高，下层水温低的分层现象。</w:t>
      </w:r>
      <w:r>
        <w:rPr>
          <w:rFonts w:hint="eastAsia"/>
          <w:szCs w:val="24"/>
        </w:rPr>
        <w:t>根据</w:t>
      </w:r>
      <w:r>
        <w:rPr>
          <w:szCs w:val="24"/>
        </w:rPr>
        <w:t>可研</w:t>
      </w:r>
      <w:r>
        <w:rPr>
          <w:rFonts w:hint="eastAsia"/>
          <w:szCs w:val="24"/>
        </w:rPr>
        <w:t>报告</w:t>
      </w:r>
      <w:r>
        <w:rPr>
          <w:szCs w:val="24"/>
        </w:rPr>
        <w:t>，</w:t>
      </w:r>
      <w:r>
        <w:t>正常蓄水位</w:t>
      </w:r>
      <w:r>
        <w:rPr>
          <w:rFonts w:hint="eastAsia"/>
        </w:rPr>
        <w:t>44.5</w:t>
      </w:r>
      <w:r>
        <w:t>m，上下游水位差在0.1-0.3m之间，</w:t>
      </w:r>
      <w:r>
        <w:rPr>
          <w:rFonts w:hint="eastAsia"/>
        </w:rPr>
        <w:t>水文圈量</w:t>
      </w:r>
      <w:r>
        <w:t>估算</w:t>
      </w:r>
      <w:r>
        <w:rPr>
          <w:rFonts w:hint="eastAsia"/>
          <w:szCs w:val="24"/>
        </w:rPr>
        <w:t>工程抬水后，水</w:t>
      </w:r>
      <w:r>
        <w:rPr>
          <w:szCs w:val="24"/>
        </w:rPr>
        <w:t>容</w:t>
      </w:r>
      <w:r>
        <w:rPr>
          <w:rFonts w:hint="eastAsia"/>
          <w:szCs w:val="24"/>
        </w:rPr>
        <w:t>量约</w:t>
      </w:r>
      <w:r>
        <w:rPr>
          <w:szCs w:val="24"/>
        </w:rPr>
        <w:t>为</w:t>
      </w:r>
      <w:r>
        <w:rPr>
          <w:rFonts w:hint="eastAsia"/>
          <w:szCs w:val="24"/>
        </w:rPr>
        <w:t>1221万</w:t>
      </w:r>
      <w:r>
        <w:rPr>
          <w:szCs w:val="24"/>
        </w:rPr>
        <w:t>m</w:t>
      </w:r>
      <w:r>
        <w:rPr>
          <w:szCs w:val="24"/>
          <w:vertAlign w:val="superscript"/>
        </w:rPr>
        <w:t>3</w:t>
      </w:r>
      <w:r>
        <w:rPr>
          <w:rFonts w:hint="eastAsia"/>
          <w:szCs w:val="24"/>
        </w:rPr>
        <w:t>，</w:t>
      </w:r>
      <w:r>
        <w:rPr>
          <w:szCs w:val="24"/>
        </w:rPr>
        <w:t>多年平均年径流量</w:t>
      </w:r>
      <w:r>
        <w:rPr>
          <w:rFonts w:hint="eastAsia"/>
          <w:szCs w:val="24"/>
        </w:rPr>
        <w:t>381900.96万</w:t>
      </w:r>
      <w:r>
        <w:rPr>
          <w:szCs w:val="24"/>
        </w:rPr>
        <w:t>m</w:t>
      </w:r>
      <w:r>
        <w:rPr>
          <w:szCs w:val="24"/>
          <w:vertAlign w:val="superscript"/>
        </w:rPr>
        <w:t>3</w:t>
      </w:r>
      <w:r>
        <w:rPr>
          <w:rFonts w:hint="eastAsia"/>
          <w:szCs w:val="24"/>
        </w:rPr>
        <w:t>，经计算</w:t>
      </w:r>
      <w:r>
        <w:rPr>
          <w:szCs w:val="24"/>
        </w:rPr>
        <w:t>，</w:t>
      </w:r>
      <w:r>
        <w:rPr>
          <w:rFonts w:hint="eastAsia"/>
          <w:szCs w:val="24"/>
        </w:rPr>
        <w:t>上高</w:t>
      </w:r>
      <w:r>
        <w:rPr>
          <w:szCs w:val="24"/>
        </w:rPr>
        <w:t>县</w:t>
      </w:r>
      <w:r>
        <w:rPr>
          <w:rFonts w:hint="eastAsia"/>
          <w:szCs w:val="24"/>
        </w:rPr>
        <w:t>毛家渡</w:t>
      </w:r>
      <w:r>
        <w:rPr>
          <w:szCs w:val="24"/>
        </w:rPr>
        <w:t>抬水工程</w:t>
      </w:r>
      <w:r>
        <w:t>α</w:t>
      </w:r>
      <w:r>
        <w:rPr>
          <w:kern w:val="0"/>
          <w:szCs w:val="24"/>
        </w:rPr>
        <w:t>=</w:t>
      </w:r>
      <w:r>
        <w:rPr>
          <w:rFonts w:hint="eastAsia"/>
          <w:kern w:val="0"/>
          <w:szCs w:val="24"/>
        </w:rPr>
        <w:t>312.8，</w:t>
      </w:r>
      <w:r>
        <w:rPr>
          <w:kern w:val="0"/>
          <w:szCs w:val="24"/>
        </w:rPr>
        <w:t>远大于</w:t>
      </w:r>
      <w:r>
        <w:rPr>
          <w:szCs w:val="24"/>
        </w:rPr>
        <w:t>20，</w:t>
      </w:r>
      <w:r>
        <w:rPr>
          <w:rFonts w:hint="eastAsia"/>
          <w:szCs w:val="24"/>
        </w:rPr>
        <w:t>项目</w:t>
      </w:r>
      <w:r>
        <w:rPr>
          <w:kern w:val="0"/>
          <w:szCs w:val="24"/>
        </w:rPr>
        <w:t>水温结构为混合型</w:t>
      </w:r>
      <w:r>
        <w:rPr>
          <w:rFonts w:hint="eastAsia"/>
          <w:kern w:val="0"/>
          <w:szCs w:val="24"/>
        </w:rPr>
        <w:t>，因此，拟建项目建设不会出现水温分层现象。闸址处天然河道水温在 20~30℃之间，本工程闸坝建成后，由于工程调节能力小，水量交换相对频繁，工程前后坝址下泄水温变化不明显，不会对环境造成不利影响。</w:t>
      </w:r>
    </w:p>
    <w:p>
      <w:pPr>
        <w:ind w:firstLine="480"/>
      </w:pPr>
      <w:r>
        <w:rPr>
          <w:rFonts w:hint="eastAsia" w:hAnsi="宋体"/>
          <w:kern w:val="0"/>
          <w:szCs w:val="24"/>
        </w:rPr>
        <w:t>(3)</w:t>
      </w:r>
      <w:r>
        <w:t>水文情势</w:t>
      </w:r>
    </w:p>
    <w:p>
      <w:pPr>
        <w:autoSpaceDE w:val="0"/>
        <w:autoSpaceDN w:val="0"/>
        <w:adjustRightInd w:val="0"/>
        <w:ind w:firstLine="480"/>
        <w:rPr>
          <w:rFonts w:hAnsi="宋体"/>
          <w:kern w:val="0"/>
          <w:szCs w:val="24"/>
        </w:rPr>
      </w:pPr>
      <w:r>
        <w:rPr>
          <w:rFonts w:hint="eastAsia" w:ascii="宋体" w:hAnsi="宋体" w:cs="宋体"/>
          <w:kern w:val="0"/>
          <w:szCs w:val="24"/>
        </w:rPr>
        <w:t>①</w:t>
      </w:r>
      <w:r>
        <w:rPr>
          <w:rFonts w:hint="eastAsia" w:hAnsi="宋体"/>
          <w:kern w:val="0"/>
          <w:szCs w:val="24"/>
        </w:rPr>
        <w:t>坝上水文情势</w:t>
      </w:r>
    </w:p>
    <w:p>
      <w:pPr>
        <w:autoSpaceDE w:val="0"/>
        <w:autoSpaceDN w:val="0"/>
        <w:adjustRightInd w:val="0"/>
        <w:ind w:firstLine="480"/>
        <w:rPr>
          <w:rFonts w:hAnsi="宋体"/>
          <w:kern w:val="0"/>
          <w:szCs w:val="24"/>
        </w:rPr>
      </w:pPr>
      <w:r>
        <w:rPr>
          <w:rFonts w:hint="eastAsia" w:hAnsi="宋体"/>
          <w:kern w:val="0"/>
          <w:szCs w:val="24"/>
        </w:rPr>
        <w:t>本抬水坝建成后，坝址断面水位由原来的40.5m提高到44.5(正常蓄水位)，坝前水位抬升4m，河面水域面积变大，坝前水深增加，坝址上游水体流速从团结水电站大坝到坝前逐渐减小，水体流态趋缓，回水长度约14km，相应库容 1221万m</w:t>
      </w:r>
      <w:r>
        <w:rPr>
          <w:rFonts w:hint="eastAsia" w:hAnsi="宋体"/>
          <w:kern w:val="0"/>
          <w:szCs w:val="24"/>
          <w:vertAlign w:val="superscript"/>
        </w:rPr>
        <w:t>3</w:t>
      </w:r>
      <w:r>
        <w:rPr>
          <w:rFonts w:hint="eastAsia" w:hAnsi="宋体"/>
          <w:kern w:val="0"/>
          <w:szCs w:val="24"/>
        </w:rPr>
        <w:t>。运行期坝前水位基本在44.5～44.8之间变化。建成后，正常蓄水位时坝前平均水深仅增加4m，水面宽度增加15m。</w:t>
      </w:r>
    </w:p>
    <w:p>
      <w:pPr>
        <w:autoSpaceDE w:val="0"/>
        <w:autoSpaceDN w:val="0"/>
        <w:adjustRightInd w:val="0"/>
        <w:ind w:firstLine="480"/>
        <w:rPr>
          <w:rFonts w:hAnsi="宋体"/>
          <w:kern w:val="0"/>
          <w:szCs w:val="24"/>
        </w:rPr>
      </w:pPr>
      <w:r>
        <w:rPr>
          <w:rFonts w:hint="eastAsia" w:ascii="宋体" w:hAnsi="宋体" w:cs="宋体"/>
          <w:kern w:val="0"/>
          <w:szCs w:val="24"/>
        </w:rPr>
        <w:t>②</w:t>
      </w:r>
      <w:r>
        <w:rPr>
          <w:rFonts w:hint="eastAsia" w:hAnsi="宋体"/>
          <w:kern w:val="0"/>
          <w:szCs w:val="24"/>
        </w:rPr>
        <w:t>坝下水文情势</w:t>
      </w:r>
    </w:p>
    <w:p>
      <w:pPr>
        <w:autoSpaceDE w:val="0"/>
        <w:autoSpaceDN w:val="0"/>
        <w:adjustRightInd w:val="0"/>
        <w:ind w:firstLine="480"/>
        <w:rPr>
          <w:rFonts w:hAnsi="宋体"/>
          <w:kern w:val="0"/>
          <w:szCs w:val="24"/>
        </w:rPr>
      </w:pPr>
      <w:r>
        <w:rPr>
          <w:rFonts w:hint="eastAsia" w:hAnsi="宋体"/>
          <w:kern w:val="0"/>
          <w:szCs w:val="24"/>
        </w:rPr>
        <w:t>本项目工程主要任务是在抬高城区水位，兼顾防洪的一座液压坝，在满足河道防洪要求的基本前提下，拦蓄河道径流，改善区域生态环境，融合现状两岸自然景观，保护两岸滩地及堤防安全，促进当地经济快速发展。本项目无取水和灌溉任务，因此运行期河道天然来水全部下泄，且当天然来水不足时，项目通过生态基流排水管，严格按照工程设计生态下泄径流量为12.11m</w:t>
      </w:r>
      <w:r>
        <w:rPr>
          <w:rFonts w:hint="eastAsia" w:hAnsi="宋体"/>
          <w:kern w:val="0"/>
          <w:szCs w:val="24"/>
          <w:vertAlign w:val="superscript"/>
        </w:rPr>
        <w:t>3</w:t>
      </w:r>
      <w:r>
        <w:rPr>
          <w:rFonts w:hint="eastAsia" w:hAnsi="宋体"/>
          <w:kern w:val="0"/>
          <w:szCs w:val="24"/>
        </w:rPr>
        <w:t>/s下泄生态基流，保证下游生活及工农业供水同时满足生态需水要求。坝址下游流量减少，</w:t>
      </w:r>
      <w:r>
        <w:rPr>
          <w:rFonts w:hAnsi="宋体"/>
          <w:kern w:val="0"/>
          <w:szCs w:val="24"/>
        </w:rPr>
        <w:t>坝址至下游的</w:t>
      </w:r>
      <w:r>
        <w:rPr>
          <w:rFonts w:hint="eastAsia" w:hAnsi="宋体"/>
          <w:kern w:val="0"/>
          <w:szCs w:val="24"/>
        </w:rPr>
        <w:t>利高水电站</w:t>
      </w:r>
      <w:r>
        <w:rPr>
          <w:rFonts w:hAnsi="宋体"/>
          <w:kern w:val="0"/>
          <w:szCs w:val="24"/>
        </w:rPr>
        <w:t>河道将会产生减水河段，</w:t>
      </w:r>
      <w:r>
        <w:rPr>
          <w:rFonts w:hint="eastAsia" w:hAnsi="宋体"/>
          <w:kern w:val="0"/>
          <w:szCs w:val="24"/>
        </w:rPr>
        <w:t>运行后对当地生态环境和水环境有一定不利影响，通过下放生态流量，减轻水文情势可能造成的不利环境影响。</w:t>
      </w:r>
    </w:p>
    <w:p>
      <w:pPr>
        <w:ind w:firstLine="480"/>
        <w:rPr>
          <w:rFonts w:hAnsi="宋体"/>
          <w:kern w:val="0"/>
          <w:szCs w:val="24"/>
        </w:rPr>
      </w:pPr>
      <w:r>
        <w:rPr>
          <w:rFonts w:hint="eastAsia" w:hAnsi="宋体"/>
          <w:kern w:val="0"/>
          <w:szCs w:val="24"/>
        </w:rPr>
        <w:t>(4)对生态</w:t>
      </w:r>
      <w:r>
        <w:rPr>
          <w:rFonts w:hAnsi="宋体"/>
          <w:kern w:val="0"/>
          <w:szCs w:val="24"/>
        </w:rPr>
        <w:t>环境影响分析</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对植被及植物多样性影响分析</w:t>
      </w:r>
    </w:p>
    <w:p>
      <w:pPr>
        <w:ind w:firstLine="480"/>
      </w:pPr>
      <w:r>
        <w:rPr>
          <w:rFonts w:hint="eastAsia"/>
        </w:rPr>
        <w:t>正常蓄水后将使位于浸没区内的陆生植被由于淹没而消失，经采用异地迁移保护后可有效避免这些保护植物的消失；抬水坝形成后，水面增大，水流减缓，将使坝区的温度及湿度发生变化，从而在一定程度上改变淹没区的植被类型。</w:t>
      </w:r>
    </w:p>
    <w:p>
      <w:pPr>
        <w:ind w:firstLine="480"/>
      </w:pPr>
      <w:r>
        <w:rPr>
          <w:rFonts w:hint="eastAsia"/>
        </w:rPr>
        <w:t>抬水坝建成后将使坝址下游的水量减少，致使下游植物种类、群落结构的组成发生改变。</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对陆生动物影响分析</w:t>
      </w:r>
    </w:p>
    <w:p>
      <w:pPr>
        <w:ind w:firstLine="480"/>
      </w:pPr>
      <w:r>
        <w:rPr>
          <w:rFonts w:hint="eastAsia"/>
        </w:rPr>
        <w:t>抬水坝建成后建成后，由于水位升高，水面增大，将对部分鸟类、昆虫产生一定的影响，对兽类影响较小。</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对水生生态影响分析</w:t>
      </w:r>
    </w:p>
    <w:p>
      <w:pPr>
        <w:ind w:firstLine="480"/>
      </w:pPr>
      <w:r>
        <w:rPr>
          <w:rFonts w:hint="eastAsia"/>
        </w:rPr>
        <w:t>抬水坝建成运行后，由于大坝截流，阻断上下游连通性，也隔阻了上下游物质流通和生物信息的传递，使坝区由原来的河流环境改变为蓄水性缓流型水库环境，而坝址下游减水段水量将减少，从使库区和坝址下游减水段的浮游生物、底栖生物和鱼类因栖息生境的改变而受到不同程度的影响。</w:t>
      </w:r>
    </w:p>
    <w:p>
      <w:pPr>
        <w:ind w:firstLine="480"/>
        <w:rPr>
          <w:rFonts w:hAnsi="宋体"/>
          <w:kern w:val="0"/>
          <w:szCs w:val="24"/>
        </w:rPr>
      </w:pPr>
      <w:r>
        <w:rPr>
          <w:rFonts w:hint="eastAsia" w:hAnsi="宋体"/>
          <w:kern w:val="0"/>
          <w:szCs w:val="24"/>
        </w:rPr>
        <w:t>(5)对</w:t>
      </w:r>
      <w:r>
        <w:rPr>
          <w:rFonts w:hAnsi="宋体"/>
          <w:kern w:val="0"/>
          <w:szCs w:val="24"/>
        </w:rPr>
        <w:t>地下水</w:t>
      </w:r>
      <w:r>
        <w:rPr>
          <w:rFonts w:hint="eastAsia" w:hAnsi="宋体"/>
          <w:kern w:val="0"/>
          <w:szCs w:val="24"/>
        </w:rPr>
        <w:t>、</w:t>
      </w:r>
      <w:r>
        <w:rPr>
          <w:rFonts w:hAnsi="宋体"/>
          <w:kern w:val="0"/>
          <w:szCs w:val="24"/>
        </w:rPr>
        <w:t>土壤环境影响分析</w:t>
      </w:r>
    </w:p>
    <w:p>
      <w:pPr>
        <w:ind w:firstLine="480"/>
      </w:pPr>
      <w:r>
        <w:rPr>
          <w:rFonts w:hint="eastAsia"/>
        </w:rPr>
        <w:t>抬水坝建成运行后，随水位变化，可导致两岸坡和坝址上下游地下水水头和流场的变化，从而对地下水环境造成影响，同时有可能导致土地沙漠化、盐渍化及沼泽化等环境水文地质问题。</w:t>
      </w:r>
    </w:p>
    <w:p>
      <w:pPr>
        <w:ind w:firstLine="0" w:firstLineChars="0"/>
        <w:rPr>
          <w:b/>
        </w:rPr>
      </w:pPr>
      <w:bookmarkStart w:id="623" w:name="_Toc3903263"/>
      <w:bookmarkStart w:id="624" w:name="_Toc534386283"/>
      <w:bookmarkStart w:id="625" w:name="_Toc534895259"/>
      <w:bookmarkStart w:id="626" w:name="_Toc534807042"/>
      <w:bookmarkStart w:id="627" w:name="_Toc536265126"/>
      <w:r>
        <w:rPr>
          <w:b/>
        </w:rPr>
        <w:t>3.</w:t>
      </w:r>
      <w:r>
        <w:rPr>
          <w:rFonts w:hint="eastAsia"/>
          <w:b/>
        </w:rPr>
        <w:t>3</w:t>
      </w:r>
      <w:r>
        <w:rPr>
          <w:b/>
        </w:rPr>
        <w:t>.</w:t>
      </w:r>
      <w:r>
        <w:rPr>
          <w:rFonts w:hint="eastAsia"/>
          <w:b/>
        </w:rPr>
        <w:t>2.2</w:t>
      </w:r>
      <w:r>
        <w:rPr>
          <w:b/>
        </w:rPr>
        <w:t>运营期废水污染源</w:t>
      </w:r>
      <w:bookmarkEnd w:id="623"/>
      <w:bookmarkEnd w:id="624"/>
      <w:bookmarkEnd w:id="625"/>
      <w:bookmarkEnd w:id="626"/>
      <w:bookmarkEnd w:id="627"/>
    </w:p>
    <w:p>
      <w:pPr>
        <w:ind w:firstLine="480"/>
      </w:pPr>
      <w:r>
        <w:rPr>
          <w:rFonts w:hint="eastAsia"/>
        </w:rPr>
        <w:t>运营期废水主要为管理站职工值班产生的生活污水，管理站</w:t>
      </w:r>
      <w:r>
        <w:t>拟设管理人员2人，运行、观测及维护人员4人，共6人。</w:t>
      </w:r>
      <w:r>
        <w:rPr>
          <w:rFonts w:hint="eastAsia"/>
        </w:rPr>
        <w:t>项目</w:t>
      </w:r>
      <w:r>
        <w:t>闸站按“无人值守，少人值班”</w:t>
      </w:r>
      <w:r>
        <w:rPr>
          <w:rFonts w:hint="eastAsia"/>
        </w:rPr>
        <w:t>，每次</w:t>
      </w:r>
      <w:r>
        <w:t>值班为</w:t>
      </w:r>
      <w:r>
        <w:rPr>
          <w:rFonts w:hint="eastAsia"/>
        </w:rPr>
        <w:t>1人</w:t>
      </w:r>
      <w:r>
        <w:t>，</w:t>
      </w:r>
      <w:r>
        <w:rPr>
          <w:rFonts w:hint="eastAsia"/>
        </w:rPr>
        <w:t>不住宿，</w:t>
      </w:r>
      <w:r>
        <w:t>按《江西省生活用水定额》（DB36/T419-2017）所制定的用水定额核算该项目给排水量，员工人均用水量按</w:t>
      </w:r>
      <w:r>
        <w:rPr>
          <w:rFonts w:hint="eastAsia"/>
        </w:rPr>
        <w:t>10</w:t>
      </w:r>
      <w:r>
        <w:t>0L/d计，排放系数按0.8计，则生活污水排放量为0.08t/d（29.2t/a）。</w:t>
      </w:r>
    </w:p>
    <w:p>
      <w:pPr>
        <w:ind w:firstLine="480"/>
      </w:pPr>
      <w:r>
        <w:t>生活污水主要污染物产生浓度为COD：250mg/L、BOD：100mg/L、SS：150mg/L、氨氮：25mg/L。</w:t>
      </w:r>
      <w:r>
        <w:rPr>
          <w:rFonts w:hint="eastAsia"/>
        </w:rPr>
        <w:t>管理站职工生活污水</w:t>
      </w:r>
      <w:r>
        <w:rPr>
          <w:rFonts w:hAnsi="宋体"/>
          <w:kern w:val="10"/>
          <w:szCs w:val="24"/>
        </w:rPr>
        <w:t>经</w:t>
      </w:r>
      <w:r>
        <w:rPr>
          <w:rFonts w:hint="eastAsia" w:hAnsi="宋体"/>
          <w:kern w:val="10"/>
          <w:szCs w:val="24"/>
        </w:rPr>
        <w:t>化粪池处理</w:t>
      </w:r>
      <w:r>
        <w:rPr>
          <w:rFonts w:hAnsi="宋体"/>
          <w:kern w:val="10"/>
          <w:szCs w:val="24"/>
        </w:rPr>
        <w:t>后用于</w:t>
      </w:r>
      <w:r>
        <w:rPr>
          <w:rFonts w:hint="eastAsia" w:hAnsi="宋体"/>
          <w:kern w:val="10"/>
          <w:szCs w:val="24"/>
        </w:rPr>
        <w:t>周边</w:t>
      </w:r>
      <w:r>
        <w:t>菜地施肥</w:t>
      </w:r>
      <w:r>
        <w:rPr>
          <w:rFonts w:hint="eastAsia" w:hAnsi="宋体"/>
          <w:kern w:val="10"/>
          <w:szCs w:val="24"/>
        </w:rPr>
        <w:t>，不外排</w:t>
      </w:r>
      <w:r>
        <w:t>。</w:t>
      </w:r>
    </w:p>
    <w:p>
      <w:pPr>
        <w:pStyle w:val="1078"/>
        <w:spacing w:before="120" w:beforeLines="50" w:line="240" w:lineRule="auto"/>
        <w:ind w:firstLine="641"/>
        <w:rPr>
          <w:rFonts w:hAnsi="黑体" w:cs="黑体"/>
        </w:rPr>
      </w:pPr>
      <w:bookmarkStart w:id="628" w:name="_Toc536265127"/>
      <w:bookmarkStart w:id="629" w:name="_Toc534807043"/>
      <w:bookmarkStart w:id="630" w:name="_Toc534895260"/>
      <w:bookmarkStart w:id="631" w:name="_Toc534386284"/>
      <w:bookmarkStart w:id="632" w:name="_Toc3903264"/>
      <w:bookmarkStart w:id="633" w:name="_Toc334643171"/>
      <w:bookmarkStart w:id="634" w:name="_Toc252288970"/>
      <w:bookmarkStart w:id="635" w:name="_Toc224879333"/>
      <w:bookmarkStart w:id="636" w:name="_Toc187557869"/>
      <w:bookmarkStart w:id="637" w:name="_Toc223843272"/>
      <w:bookmarkStart w:id="638" w:name="_Toc224879039"/>
      <w:r>
        <w:rPr>
          <w:rFonts w:hint="eastAsia" w:hAnsi="黑体" w:cs="黑体"/>
        </w:rPr>
        <w:t>表3.3-7  生活污水主要污染指标值 单位：mg/L</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7"/>
        <w:gridCol w:w="1464"/>
        <w:gridCol w:w="2119"/>
        <w:gridCol w:w="2043"/>
        <w:gridCol w:w="18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restart"/>
            <w:vAlign w:val="center"/>
          </w:tcPr>
          <w:p>
            <w:pPr>
              <w:adjustRightInd w:val="0"/>
              <w:snapToGrid w:val="0"/>
              <w:spacing w:line="340" w:lineRule="exact"/>
              <w:ind w:firstLine="0" w:firstLineChars="0"/>
              <w:jc w:val="center"/>
              <w:rPr>
                <w:sz w:val="21"/>
                <w:szCs w:val="21"/>
              </w:rPr>
            </w:pPr>
            <w:r>
              <w:rPr>
                <w:sz w:val="21"/>
                <w:szCs w:val="21"/>
              </w:rPr>
              <w:t>排放量（m</w:t>
            </w:r>
            <w:r>
              <w:rPr>
                <w:sz w:val="21"/>
                <w:szCs w:val="21"/>
                <w:vertAlign w:val="superscript"/>
              </w:rPr>
              <w:t>3</w:t>
            </w:r>
            <w:r>
              <w:rPr>
                <w:sz w:val="21"/>
                <w:szCs w:val="21"/>
              </w:rPr>
              <w:t>/a）</w:t>
            </w:r>
          </w:p>
        </w:tc>
        <w:tc>
          <w:tcPr>
            <w:tcW w:w="938" w:type="dxa"/>
            <w:vMerge w:val="restart"/>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污染物名称</w:t>
            </w:r>
          </w:p>
        </w:tc>
        <w:tc>
          <w:tcPr>
            <w:tcW w:w="2667" w:type="dxa"/>
            <w:gridSpan w:val="2"/>
            <w:vAlign w:val="center"/>
          </w:tcPr>
          <w:p>
            <w:pPr>
              <w:adjustRightInd w:val="0"/>
              <w:snapToGrid w:val="0"/>
              <w:spacing w:line="340" w:lineRule="exact"/>
              <w:ind w:firstLine="0" w:firstLineChars="0"/>
              <w:jc w:val="center"/>
              <w:rPr>
                <w:sz w:val="21"/>
                <w:szCs w:val="21"/>
              </w:rPr>
            </w:pPr>
            <w:r>
              <w:rPr>
                <w:sz w:val="21"/>
                <w:szCs w:val="21"/>
              </w:rPr>
              <w:t>产生情况</w:t>
            </w:r>
          </w:p>
        </w:tc>
        <w:tc>
          <w:tcPr>
            <w:tcW w:w="1196" w:type="dxa"/>
            <w:vMerge w:val="restart"/>
            <w:vAlign w:val="center"/>
          </w:tcPr>
          <w:p>
            <w:pPr>
              <w:adjustRightInd w:val="0"/>
              <w:snapToGrid w:val="0"/>
              <w:spacing w:line="340" w:lineRule="exact"/>
              <w:ind w:firstLine="0" w:firstLineChars="0"/>
              <w:jc w:val="center"/>
              <w:rPr>
                <w:sz w:val="21"/>
                <w:szCs w:val="21"/>
              </w:rPr>
            </w:pPr>
            <w:r>
              <w:rPr>
                <w:sz w:val="21"/>
                <w:szCs w:val="21"/>
              </w:rPr>
              <w:t>采取措施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continue"/>
            <w:vAlign w:val="center"/>
          </w:tcPr>
          <w:p>
            <w:pPr>
              <w:adjustRightInd w:val="0"/>
              <w:snapToGrid w:val="0"/>
              <w:spacing w:line="340" w:lineRule="exact"/>
              <w:ind w:firstLine="0" w:firstLineChars="0"/>
              <w:jc w:val="center"/>
              <w:rPr>
                <w:sz w:val="21"/>
                <w:szCs w:val="21"/>
              </w:rPr>
            </w:pPr>
          </w:p>
        </w:tc>
        <w:tc>
          <w:tcPr>
            <w:tcW w:w="938" w:type="dxa"/>
            <w:vMerge w:val="continue"/>
            <w:tcMar>
              <w:left w:w="0" w:type="dxa"/>
              <w:right w:w="0" w:type="dxa"/>
            </w:tcMar>
            <w:vAlign w:val="center"/>
          </w:tcPr>
          <w:p>
            <w:pPr>
              <w:adjustRightInd w:val="0"/>
              <w:snapToGrid w:val="0"/>
              <w:spacing w:line="340" w:lineRule="exact"/>
              <w:ind w:firstLine="0" w:firstLineChars="0"/>
              <w:jc w:val="center"/>
              <w:rPr>
                <w:sz w:val="21"/>
                <w:szCs w:val="21"/>
              </w:rPr>
            </w:pPr>
          </w:p>
        </w:tc>
        <w:tc>
          <w:tcPr>
            <w:tcW w:w="1358" w:type="dxa"/>
            <w:vAlign w:val="center"/>
          </w:tcPr>
          <w:p>
            <w:pPr>
              <w:adjustRightInd w:val="0"/>
              <w:snapToGrid w:val="0"/>
              <w:spacing w:line="340" w:lineRule="exact"/>
              <w:ind w:firstLine="0" w:firstLineChars="0"/>
              <w:jc w:val="center"/>
              <w:rPr>
                <w:sz w:val="21"/>
                <w:szCs w:val="21"/>
              </w:rPr>
            </w:pPr>
            <w:r>
              <w:rPr>
                <w:sz w:val="21"/>
                <w:szCs w:val="21"/>
              </w:rPr>
              <w:t>产生浓度（mg/L）</w:t>
            </w:r>
          </w:p>
        </w:tc>
        <w:tc>
          <w:tcPr>
            <w:tcW w:w="1309" w:type="dxa"/>
            <w:vAlign w:val="center"/>
          </w:tcPr>
          <w:p>
            <w:pPr>
              <w:adjustRightInd w:val="0"/>
              <w:snapToGrid w:val="0"/>
              <w:spacing w:line="340" w:lineRule="exact"/>
              <w:ind w:firstLine="0" w:firstLineChars="0"/>
              <w:jc w:val="center"/>
              <w:rPr>
                <w:sz w:val="21"/>
                <w:szCs w:val="21"/>
              </w:rPr>
            </w:pPr>
            <w:r>
              <w:rPr>
                <w:sz w:val="21"/>
                <w:szCs w:val="21"/>
              </w:rPr>
              <w:t>产生量</w:t>
            </w:r>
          </w:p>
          <w:p>
            <w:pPr>
              <w:adjustRightInd w:val="0"/>
              <w:snapToGrid w:val="0"/>
              <w:spacing w:line="340" w:lineRule="exact"/>
              <w:ind w:firstLine="0" w:firstLineChars="0"/>
              <w:jc w:val="center"/>
              <w:rPr>
                <w:sz w:val="21"/>
                <w:szCs w:val="21"/>
              </w:rPr>
            </w:pPr>
            <w:r>
              <w:rPr>
                <w:sz w:val="21"/>
                <w:szCs w:val="21"/>
              </w:rPr>
              <w:t>(t/a)</w:t>
            </w:r>
          </w:p>
        </w:tc>
        <w:tc>
          <w:tcPr>
            <w:tcW w:w="1196" w:type="dxa"/>
            <w:vMerge w:val="continue"/>
            <w:vAlign w:val="center"/>
          </w:tcPr>
          <w:p>
            <w:pPr>
              <w:adjustRightInd w:val="0"/>
              <w:snapToGrid w:val="0"/>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restart"/>
            <w:vAlign w:val="center"/>
          </w:tcPr>
          <w:p>
            <w:pPr>
              <w:adjustRightInd w:val="0"/>
              <w:snapToGrid w:val="0"/>
              <w:spacing w:line="340" w:lineRule="exact"/>
              <w:ind w:firstLine="0" w:firstLineChars="0"/>
              <w:jc w:val="center"/>
              <w:rPr>
                <w:sz w:val="21"/>
                <w:szCs w:val="21"/>
              </w:rPr>
            </w:pPr>
            <w:bookmarkStart w:id="639" w:name="_Hlk232784183"/>
            <w:r>
              <w:rPr>
                <w:sz w:val="21"/>
                <w:szCs w:val="21"/>
              </w:rPr>
              <w:t>29.2</w:t>
            </w:r>
          </w:p>
        </w:tc>
        <w:tc>
          <w:tcPr>
            <w:tcW w:w="938" w:type="dxa"/>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COD</w:t>
            </w:r>
            <w:r>
              <w:rPr>
                <w:sz w:val="21"/>
                <w:szCs w:val="21"/>
                <w:vertAlign w:val="subscript"/>
              </w:rPr>
              <w:t>Cr</w:t>
            </w:r>
          </w:p>
        </w:tc>
        <w:tc>
          <w:tcPr>
            <w:tcW w:w="1358" w:type="dxa"/>
            <w:vAlign w:val="center"/>
          </w:tcPr>
          <w:p>
            <w:pPr>
              <w:adjustRightInd w:val="0"/>
              <w:snapToGrid w:val="0"/>
              <w:spacing w:line="340" w:lineRule="exact"/>
              <w:ind w:firstLine="0" w:firstLineChars="0"/>
              <w:jc w:val="center"/>
              <w:rPr>
                <w:sz w:val="21"/>
                <w:szCs w:val="21"/>
              </w:rPr>
            </w:pPr>
            <w:r>
              <w:rPr>
                <w:sz w:val="21"/>
                <w:szCs w:val="21"/>
              </w:rPr>
              <w:t>250</w:t>
            </w:r>
          </w:p>
        </w:tc>
        <w:tc>
          <w:tcPr>
            <w:tcW w:w="1309" w:type="dxa"/>
            <w:vAlign w:val="center"/>
          </w:tcPr>
          <w:p>
            <w:pPr>
              <w:adjustRightInd w:val="0"/>
              <w:snapToGrid w:val="0"/>
              <w:spacing w:line="340" w:lineRule="exact"/>
              <w:ind w:firstLine="0" w:firstLineChars="0"/>
              <w:jc w:val="center"/>
              <w:rPr>
                <w:sz w:val="21"/>
                <w:szCs w:val="21"/>
              </w:rPr>
            </w:pPr>
            <w:r>
              <w:rPr>
                <w:rFonts w:hint="eastAsia"/>
                <w:sz w:val="21"/>
                <w:szCs w:val="21"/>
              </w:rPr>
              <w:t>0.007</w:t>
            </w:r>
          </w:p>
        </w:tc>
        <w:tc>
          <w:tcPr>
            <w:tcW w:w="1196" w:type="dxa"/>
            <w:vMerge w:val="restart"/>
            <w:vAlign w:val="center"/>
          </w:tcPr>
          <w:p>
            <w:pPr>
              <w:adjustRightInd w:val="0"/>
              <w:snapToGrid w:val="0"/>
              <w:spacing w:line="340" w:lineRule="exact"/>
              <w:ind w:firstLine="0" w:firstLineChars="0"/>
              <w:jc w:val="center"/>
              <w:rPr>
                <w:sz w:val="21"/>
                <w:szCs w:val="21"/>
              </w:rPr>
            </w:pPr>
            <w:r>
              <w:rPr>
                <w:rFonts w:hint="eastAsia" w:hAnsi="宋体"/>
                <w:kern w:val="10"/>
                <w:sz w:val="21"/>
                <w:szCs w:val="21"/>
              </w:rPr>
              <w:t>化粪池处理</w:t>
            </w:r>
            <w:r>
              <w:rPr>
                <w:rFonts w:hAnsi="宋体"/>
                <w:kern w:val="10"/>
                <w:sz w:val="21"/>
                <w:szCs w:val="21"/>
              </w:rPr>
              <w:t>后用于</w:t>
            </w:r>
            <w:r>
              <w:rPr>
                <w:rFonts w:hint="eastAsia" w:hAnsi="宋体"/>
                <w:kern w:val="10"/>
                <w:sz w:val="21"/>
                <w:szCs w:val="21"/>
              </w:rPr>
              <w:t>周边</w:t>
            </w:r>
            <w:r>
              <w:rPr>
                <w:sz w:val="21"/>
                <w:szCs w:val="21"/>
              </w:rPr>
              <w:t>菜地施肥</w:t>
            </w:r>
            <w:r>
              <w:rPr>
                <w:rFonts w:hint="eastAsia" w:hAnsi="宋体"/>
                <w:kern w:val="10"/>
                <w:sz w:val="21"/>
                <w:szCs w:val="21"/>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continue"/>
            <w:vAlign w:val="center"/>
          </w:tcPr>
          <w:p>
            <w:pPr>
              <w:adjustRightInd w:val="0"/>
              <w:snapToGrid w:val="0"/>
              <w:spacing w:line="340" w:lineRule="exact"/>
              <w:ind w:firstLine="0" w:firstLineChars="0"/>
              <w:jc w:val="center"/>
              <w:rPr>
                <w:sz w:val="21"/>
                <w:szCs w:val="21"/>
              </w:rPr>
            </w:pPr>
          </w:p>
        </w:tc>
        <w:tc>
          <w:tcPr>
            <w:tcW w:w="938" w:type="dxa"/>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BOD</w:t>
            </w:r>
            <w:r>
              <w:rPr>
                <w:sz w:val="21"/>
                <w:szCs w:val="21"/>
                <w:vertAlign w:val="subscript"/>
              </w:rPr>
              <w:t>5</w:t>
            </w:r>
          </w:p>
        </w:tc>
        <w:tc>
          <w:tcPr>
            <w:tcW w:w="1358" w:type="dxa"/>
            <w:vAlign w:val="center"/>
          </w:tcPr>
          <w:p>
            <w:pPr>
              <w:adjustRightInd w:val="0"/>
              <w:snapToGrid w:val="0"/>
              <w:spacing w:line="340" w:lineRule="exact"/>
              <w:ind w:firstLine="0" w:firstLineChars="0"/>
              <w:jc w:val="center"/>
              <w:rPr>
                <w:sz w:val="21"/>
                <w:szCs w:val="21"/>
              </w:rPr>
            </w:pPr>
            <w:r>
              <w:rPr>
                <w:sz w:val="21"/>
                <w:szCs w:val="21"/>
              </w:rPr>
              <w:t>100</w:t>
            </w:r>
          </w:p>
        </w:tc>
        <w:tc>
          <w:tcPr>
            <w:tcW w:w="1309" w:type="dxa"/>
            <w:vAlign w:val="center"/>
          </w:tcPr>
          <w:p>
            <w:pPr>
              <w:adjustRightInd w:val="0"/>
              <w:snapToGrid w:val="0"/>
              <w:spacing w:line="340" w:lineRule="exact"/>
              <w:ind w:firstLine="0" w:firstLineChars="0"/>
              <w:jc w:val="center"/>
              <w:rPr>
                <w:sz w:val="21"/>
                <w:szCs w:val="21"/>
              </w:rPr>
            </w:pPr>
            <w:r>
              <w:rPr>
                <w:rFonts w:hint="eastAsia"/>
                <w:sz w:val="21"/>
                <w:szCs w:val="21"/>
              </w:rPr>
              <w:t>0.003</w:t>
            </w:r>
          </w:p>
        </w:tc>
        <w:tc>
          <w:tcPr>
            <w:tcW w:w="1196" w:type="dxa"/>
            <w:vMerge w:val="continue"/>
            <w:vAlign w:val="center"/>
          </w:tcPr>
          <w:p>
            <w:pPr>
              <w:adjustRightInd w:val="0"/>
              <w:snapToGrid w:val="0"/>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continue"/>
            <w:vAlign w:val="center"/>
          </w:tcPr>
          <w:p>
            <w:pPr>
              <w:adjustRightInd w:val="0"/>
              <w:snapToGrid w:val="0"/>
              <w:spacing w:line="340" w:lineRule="exact"/>
              <w:ind w:firstLine="0" w:firstLineChars="0"/>
              <w:jc w:val="center"/>
              <w:rPr>
                <w:sz w:val="21"/>
                <w:szCs w:val="21"/>
              </w:rPr>
            </w:pPr>
          </w:p>
        </w:tc>
        <w:tc>
          <w:tcPr>
            <w:tcW w:w="938" w:type="dxa"/>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SS</w:t>
            </w:r>
          </w:p>
        </w:tc>
        <w:tc>
          <w:tcPr>
            <w:tcW w:w="1358" w:type="dxa"/>
            <w:vAlign w:val="center"/>
          </w:tcPr>
          <w:p>
            <w:pPr>
              <w:adjustRightInd w:val="0"/>
              <w:snapToGrid w:val="0"/>
              <w:spacing w:line="340" w:lineRule="exact"/>
              <w:ind w:firstLine="0" w:firstLineChars="0"/>
              <w:jc w:val="center"/>
              <w:rPr>
                <w:sz w:val="21"/>
                <w:szCs w:val="21"/>
              </w:rPr>
            </w:pPr>
            <w:r>
              <w:rPr>
                <w:sz w:val="21"/>
                <w:szCs w:val="21"/>
              </w:rPr>
              <w:t>150</w:t>
            </w:r>
          </w:p>
        </w:tc>
        <w:tc>
          <w:tcPr>
            <w:tcW w:w="1309" w:type="dxa"/>
            <w:vAlign w:val="center"/>
          </w:tcPr>
          <w:p>
            <w:pPr>
              <w:adjustRightInd w:val="0"/>
              <w:snapToGrid w:val="0"/>
              <w:spacing w:line="340" w:lineRule="exact"/>
              <w:ind w:firstLine="0" w:firstLineChars="0"/>
              <w:jc w:val="center"/>
              <w:rPr>
                <w:sz w:val="21"/>
                <w:szCs w:val="21"/>
              </w:rPr>
            </w:pPr>
            <w:r>
              <w:rPr>
                <w:rFonts w:hint="eastAsia"/>
                <w:sz w:val="21"/>
                <w:szCs w:val="21"/>
              </w:rPr>
              <w:t>0.004</w:t>
            </w:r>
          </w:p>
        </w:tc>
        <w:tc>
          <w:tcPr>
            <w:tcW w:w="1196" w:type="dxa"/>
            <w:vMerge w:val="continue"/>
            <w:vAlign w:val="center"/>
          </w:tcPr>
          <w:p>
            <w:pPr>
              <w:adjustRightInd w:val="0"/>
              <w:snapToGrid w:val="0"/>
              <w:spacing w:line="3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1" w:type="dxa"/>
            <w:vMerge w:val="continue"/>
            <w:vAlign w:val="center"/>
          </w:tcPr>
          <w:p>
            <w:pPr>
              <w:adjustRightInd w:val="0"/>
              <w:snapToGrid w:val="0"/>
              <w:spacing w:line="340" w:lineRule="exact"/>
              <w:ind w:firstLine="0" w:firstLineChars="0"/>
              <w:jc w:val="center"/>
              <w:rPr>
                <w:sz w:val="21"/>
                <w:szCs w:val="21"/>
              </w:rPr>
            </w:pPr>
          </w:p>
        </w:tc>
        <w:tc>
          <w:tcPr>
            <w:tcW w:w="938" w:type="dxa"/>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NH</w:t>
            </w:r>
            <w:r>
              <w:rPr>
                <w:sz w:val="21"/>
                <w:szCs w:val="21"/>
                <w:vertAlign w:val="subscript"/>
              </w:rPr>
              <w:t>3</w:t>
            </w:r>
            <w:r>
              <w:rPr>
                <w:sz w:val="21"/>
                <w:szCs w:val="21"/>
              </w:rPr>
              <w:t>-N</w:t>
            </w:r>
          </w:p>
        </w:tc>
        <w:tc>
          <w:tcPr>
            <w:tcW w:w="1358" w:type="dxa"/>
            <w:vAlign w:val="center"/>
          </w:tcPr>
          <w:p>
            <w:pPr>
              <w:adjustRightInd w:val="0"/>
              <w:snapToGrid w:val="0"/>
              <w:spacing w:line="340" w:lineRule="exact"/>
              <w:ind w:firstLine="0" w:firstLineChars="0"/>
              <w:jc w:val="center"/>
              <w:rPr>
                <w:sz w:val="21"/>
                <w:szCs w:val="21"/>
              </w:rPr>
            </w:pPr>
            <w:r>
              <w:rPr>
                <w:sz w:val="21"/>
                <w:szCs w:val="21"/>
              </w:rPr>
              <w:t>25</w:t>
            </w:r>
          </w:p>
        </w:tc>
        <w:tc>
          <w:tcPr>
            <w:tcW w:w="1309" w:type="dxa"/>
            <w:vAlign w:val="center"/>
          </w:tcPr>
          <w:p>
            <w:pPr>
              <w:adjustRightInd w:val="0"/>
              <w:snapToGrid w:val="0"/>
              <w:spacing w:line="340" w:lineRule="exact"/>
              <w:ind w:firstLine="0" w:firstLineChars="0"/>
              <w:jc w:val="center"/>
              <w:rPr>
                <w:sz w:val="21"/>
                <w:szCs w:val="21"/>
              </w:rPr>
            </w:pPr>
            <w:r>
              <w:rPr>
                <w:rFonts w:hint="eastAsia"/>
                <w:sz w:val="21"/>
                <w:szCs w:val="21"/>
              </w:rPr>
              <w:t>0.001</w:t>
            </w:r>
          </w:p>
        </w:tc>
        <w:tc>
          <w:tcPr>
            <w:tcW w:w="1196" w:type="dxa"/>
            <w:vMerge w:val="continue"/>
            <w:vAlign w:val="center"/>
          </w:tcPr>
          <w:p>
            <w:pPr>
              <w:adjustRightInd w:val="0"/>
              <w:snapToGrid w:val="0"/>
              <w:spacing w:line="340" w:lineRule="exact"/>
              <w:ind w:firstLine="0" w:firstLineChars="0"/>
              <w:jc w:val="center"/>
              <w:rPr>
                <w:sz w:val="21"/>
                <w:szCs w:val="21"/>
              </w:rPr>
            </w:pPr>
          </w:p>
        </w:tc>
      </w:tr>
      <w:bookmarkEnd w:id="639"/>
    </w:tbl>
    <w:p>
      <w:pPr>
        <w:ind w:firstLine="0" w:firstLineChars="0"/>
        <w:rPr>
          <w:b/>
        </w:rPr>
      </w:pPr>
      <w:r>
        <w:rPr>
          <w:b/>
        </w:rPr>
        <w:t>3.</w:t>
      </w:r>
      <w:r>
        <w:rPr>
          <w:rFonts w:hint="eastAsia"/>
          <w:b/>
        </w:rPr>
        <w:t>3.2.3</w:t>
      </w:r>
      <w:r>
        <w:rPr>
          <w:b/>
        </w:rPr>
        <w:t>运营期固体废物污染源</w:t>
      </w:r>
      <w:bookmarkEnd w:id="628"/>
      <w:bookmarkEnd w:id="629"/>
      <w:bookmarkEnd w:id="630"/>
      <w:bookmarkEnd w:id="631"/>
      <w:bookmarkEnd w:id="632"/>
    </w:p>
    <w:p>
      <w:pPr>
        <w:autoSpaceDE w:val="0"/>
        <w:autoSpaceDN w:val="0"/>
        <w:adjustRightInd w:val="0"/>
        <w:ind w:firstLine="480"/>
      </w:pPr>
      <w:r>
        <w:t>运营期固体废物主要来源于管理人员，每次值班为1人，生活垃圾按0.5kg/人·d计，则生活垃圾产生量为0.5kg/d（0.18t/a）。由垃圾桶暂存，定期送</w:t>
      </w:r>
      <w:r>
        <w:rPr>
          <w:rFonts w:hint="eastAsia"/>
        </w:rPr>
        <w:t>上高</w:t>
      </w:r>
      <w:r>
        <w:t>县垃圾处理厂处置。</w:t>
      </w:r>
    </w:p>
    <w:p>
      <w:pPr>
        <w:ind w:firstLine="480"/>
      </w:pPr>
    </w:p>
    <w:bookmarkEnd w:id="633"/>
    <w:bookmarkEnd w:id="634"/>
    <w:bookmarkEnd w:id="635"/>
    <w:bookmarkEnd w:id="636"/>
    <w:bookmarkEnd w:id="637"/>
    <w:bookmarkEnd w:id="638"/>
    <w:p>
      <w:pPr>
        <w:ind w:firstLine="0" w:firstLineChars="0"/>
        <w:sectPr>
          <w:headerReference r:id="rId15" w:type="default"/>
          <w:pgSz w:w="11906" w:h="16838"/>
          <w:pgMar w:top="1814" w:right="1134" w:bottom="1701" w:left="1418" w:header="1134" w:footer="1021" w:gutter="0"/>
          <w:cols w:space="720" w:num="1"/>
          <w:docGrid w:linePitch="326" w:charSpace="0"/>
        </w:sectPr>
      </w:pPr>
    </w:p>
    <w:p>
      <w:pPr>
        <w:pStyle w:val="5"/>
        <w:numPr>
          <w:ilvl w:val="0"/>
          <w:numId w:val="0"/>
        </w:numPr>
        <w:ind w:left="420"/>
        <w:rPr>
          <w:rFonts w:ascii="Times New Roman"/>
          <w:lang w:val="en-GB"/>
        </w:rPr>
      </w:pPr>
      <w:bookmarkStart w:id="640" w:name="_Toc534807044"/>
      <w:bookmarkStart w:id="641" w:name="_Toc529279048"/>
      <w:bookmarkStart w:id="642" w:name="_Toc3903265"/>
      <w:bookmarkStart w:id="643" w:name="_Toc536265128"/>
      <w:bookmarkStart w:id="644" w:name="_Toc534386285"/>
      <w:bookmarkStart w:id="645" w:name="_Toc534895261"/>
      <w:bookmarkStart w:id="646" w:name="_Toc485486042"/>
      <w:bookmarkStart w:id="647" w:name="_Toc4473"/>
      <w:bookmarkStart w:id="648" w:name="_Toc489866724"/>
      <w:bookmarkStart w:id="649" w:name="_Toc480462642"/>
      <w:r>
        <w:rPr>
          <w:rFonts w:ascii="Times New Roman"/>
          <w:lang w:val="en-GB"/>
        </w:rPr>
        <w:t>第四章 环境</w:t>
      </w:r>
      <w:r>
        <w:rPr>
          <w:rFonts w:hint="eastAsia" w:ascii="Times New Roman"/>
          <w:lang w:val="en-GB"/>
        </w:rPr>
        <w:t>质量</w:t>
      </w:r>
      <w:r>
        <w:rPr>
          <w:rFonts w:ascii="Times New Roman"/>
          <w:lang w:val="en-GB"/>
        </w:rPr>
        <w:t>现状调查与评价</w:t>
      </w:r>
      <w:bookmarkEnd w:id="640"/>
      <w:bookmarkEnd w:id="641"/>
      <w:bookmarkEnd w:id="642"/>
      <w:bookmarkEnd w:id="643"/>
      <w:bookmarkEnd w:id="644"/>
      <w:bookmarkEnd w:id="645"/>
      <w:bookmarkEnd w:id="646"/>
      <w:bookmarkEnd w:id="647"/>
      <w:bookmarkEnd w:id="648"/>
      <w:bookmarkEnd w:id="649"/>
    </w:p>
    <w:p>
      <w:pPr>
        <w:pStyle w:val="6"/>
        <w:spacing w:beforeLines="50" w:afterLines="50"/>
        <w:rPr>
          <w:szCs w:val="28"/>
        </w:rPr>
      </w:pPr>
      <w:bookmarkStart w:id="650" w:name="_Toc3903266"/>
      <w:bookmarkStart w:id="651" w:name="_Toc536265129"/>
      <w:bookmarkStart w:id="652" w:name="_Toc334643174"/>
      <w:bookmarkStart w:id="653" w:name="_Toc534386286"/>
      <w:bookmarkStart w:id="654" w:name="_Toc241054643"/>
      <w:bookmarkStart w:id="655" w:name="_Toc529279049"/>
      <w:bookmarkStart w:id="656" w:name="_Toc534807045"/>
      <w:bookmarkStart w:id="657" w:name="_Toc534895262"/>
      <w:bookmarkStart w:id="658" w:name="_Toc14046"/>
      <w:r>
        <w:rPr>
          <w:szCs w:val="28"/>
        </w:rPr>
        <w:t>4.1自然环境</w:t>
      </w:r>
      <w:bookmarkEnd w:id="650"/>
      <w:bookmarkEnd w:id="651"/>
      <w:bookmarkEnd w:id="652"/>
      <w:bookmarkEnd w:id="653"/>
      <w:bookmarkEnd w:id="654"/>
      <w:bookmarkEnd w:id="655"/>
      <w:bookmarkEnd w:id="656"/>
      <w:bookmarkEnd w:id="657"/>
      <w:r>
        <w:rPr>
          <w:rFonts w:hint="eastAsia"/>
          <w:szCs w:val="28"/>
        </w:rPr>
        <w:t>概况</w:t>
      </w:r>
      <w:bookmarkEnd w:id="658"/>
    </w:p>
    <w:p>
      <w:pPr>
        <w:pStyle w:val="835"/>
        <w:spacing w:before="0" w:line="360" w:lineRule="auto"/>
      </w:pPr>
      <w:bookmarkStart w:id="659" w:name="_Toc3903267"/>
      <w:bookmarkStart w:id="660" w:name="_Toc534807046"/>
      <w:bookmarkStart w:id="661" w:name="_Toc241054644"/>
      <w:bookmarkStart w:id="662" w:name="_Toc534895263"/>
      <w:bookmarkStart w:id="663" w:name="_Toc536265130"/>
      <w:bookmarkStart w:id="664" w:name="_Toc534386287"/>
      <w:bookmarkStart w:id="665" w:name="_Toc529279050"/>
      <w:r>
        <w:t>4.1.1地理位置</w:t>
      </w:r>
      <w:bookmarkEnd w:id="659"/>
      <w:bookmarkEnd w:id="660"/>
      <w:bookmarkEnd w:id="661"/>
      <w:bookmarkEnd w:id="662"/>
      <w:bookmarkEnd w:id="663"/>
      <w:bookmarkEnd w:id="664"/>
      <w:bookmarkEnd w:id="665"/>
    </w:p>
    <w:p>
      <w:pPr>
        <w:ind w:firstLine="480"/>
      </w:pPr>
      <w:r>
        <w:t>上高县位于江西省西北部，地处赣江支流</w:t>
      </w:r>
      <w:r>
        <w:rPr>
          <w:rFonts w:hint="eastAsia"/>
        </w:rPr>
        <w:t>锦河</w:t>
      </w:r>
      <w:r>
        <w:t>中游，东与高安市为邻，西南同袁州区、西同万载县接壤，南和新余市渝水区、分宜县交界，北跟宜丰县相连；所辖地域处于北纬28</w:t>
      </w:r>
      <w:r>
        <w:rPr>
          <w:rFonts w:hint="eastAsia" w:ascii="微软雅黑" w:hAnsi="微软雅黑" w:eastAsia="微软雅黑" w:cs="微软雅黑"/>
          <w:vertAlign w:val="superscript"/>
        </w:rPr>
        <w:t>°</w:t>
      </w:r>
      <w:r>
        <w:t>02′～28</w:t>
      </w:r>
      <w:r>
        <w:rPr>
          <w:rFonts w:hint="eastAsia" w:ascii="微软雅黑" w:hAnsi="微软雅黑" w:eastAsia="微软雅黑" w:cs="微软雅黑"/>
          <w:vertAlign w:val="superscript"/>
        </w:rPr>
        <w:t>°</w:t>
      </w:r>
      <w:r>
        <w:t>25′和东经114</w:t>
      </w:r>
      <w:r>
        <w:rPr>
          <w:rFonts w:hint="eastAsia" w:ascii="微软雅黑" w:hAnsi="微软雅黑" w:eastAsia="微软雅黑" w:cs="微软雅黑"/>
          <w:vertAlign w:val="superscript"/>
        </w:rPr>
        <w:t>°</w:t>
      </w:r>
      <w:r>
        <w:t>28′～115</w:t>
      </w:r>
      <w:r>
        <w:rPr>
          <w:rFonts w:hint="eastAsia" w:ascii="微软雅黑" w:hAnsi="微软雅黑" w:eastAsia="微软雅黑" w:cs="微软雅黑"/>
          <w:vertAlign w:val="superscript"/>
        </w:rPr>
        <w:t>°</w:t>
      </w:r>
      <w:r>
        <w:t>10′之间，东西最大横距68千米，南北最大纵距45千米，总面积1350.25平方千米。</w:t>
      </w:r>
    </w:p>
    <w:p>
      <w:pPr>
        <w:ind w:firstLine="480"/>
      </w:pPr>
      <w:r>
        <w:rPr>
          <w:rFonts w:hint="eastAsia"/>
        </w:rPr>
        <w:t>上高</w:t>
      </w:r>
      <w:r>
        <w:t>县</w:t>
      </w:r>
      <w:r>
        <w:rPr>
          <w:rFonts w:hint="eastAsia"/>
        </w:rPr>
        <w:t>毛家渡</w:t>
      </w:r>
      <w:r>
        <w:t>抬水工程位</w:t>
      </w:r>
      <w:r>
        <w:rPr>
          <w:rFonts w:hint="eastAsia"/>
        </w:rPr>
        <w:t>上高</w:t>
      </w:r>
      <w:r>
        <w:t>县城东</w:t>
      </w:r>
      <w:r>
        <w:rPr>
          <w:rFonts w:hint="eastAsia"/>
        </w:rPr>
        <w:t>面</w:t>
      </w:r>
      <w:r>
        <w:t>，</w:t>
      </w:r>
      <w:r>
        <w:rPr>
          <w:rFonts w:hint="eastAsia"/>
        </w:rPr>
        <w:t>锦河</w:t>
      </w:r>
      <w:r>
        <w:t>大桥下游约</w:t>
      </w:r>
      <w:r>
        <w:rPr>
          <w:rFonts w:hint="eastAsia"/>
        </w:rPr>
        <w:t>1.8k</w:t>
      </w:r>
      <w:r>
        <w:t>m处，中心地理坐标为N28.</w:t>
      </w:r>
      <w:r>
        <w:rPr>
          <w:rFonts w:hint="eastAsia"/>
        </w:rPr>
        <w:t>242297552</w:t>
      </w:r>
      <w:r>
        <w:t>°，E11</w:t>
      </w:r>
      <w:r>
        <w:rPr>
          <w:rFonts w:hint="eastAsia"/>
        </w:rPr>
        <w:t>4</w:t>
      </w:r>
      <w:r>
        <w:t>.</w:t>
      </w:r>
      <w:r>
        <w:rPr>
          <w:rFonts w:hint="eastAsia"/>
        </w:rPr>
        <w:t>964376297</w:t>
      </w:r>
      <w:r>
        <w:t>°。工程具体位置详见附图一项目地理位置图。</w:t>
      </w:r>
    </w:p>
    <w:p>
      <w:pPr>
        <w:pStyle w:val="835"/>
        <w:spacing w:before="0" w:line="360" w:lineRule="auto"/>
      </w:pPr>
      <w:bookmarkStart w:id="666" w:name="_Toc529279052"/>
      <w:bookmarkStart w:id="667" w:name="_Toc534386290"/>
      <w:bookmarkStart w:id="668" w:name="_Toc534807049"/>
      <w:bookmarkStart w:id="669" w:name="_Toc3903270"/>
      <w:bookmarkStart w:id="670" w:name="_Toc534895266"/>
      <w:bookmarkStart w:id="671" w:name="_Toc536265133"/>
      <w:r>
        <w:t>4.1.</w:t>
      </w:r>
      <w:bookmarkEnd w:id="666"/>
      <w:r>
        <w:rPr>
          <w:rFonts w:hint="eastAsia"/>
        </w:rPr>
        <w:t>2</w:t>
      </w:r>
      <w:r>
        <w:t>区域地质</w:t>
      </w:r>
      <w:bookmarkEnd w:id="667"/>
      <w:bookmarkEnd w:id="668"/>
      <w:bookmarkEnd w:id="669"/>
      <w:bookmarkEnd w:id="670"/>
      <w:bookmarkEnd w:id="671"/>
      <w:r>
        <w:t>概况</w:t>
      </w:r>
    </w:p>
    <w:p>
      <w:pPr>
        <w:ind w:firstLine="0" w:firstLineChars="0"/>
        <w:rPr>
          <w:b/>
        </w:rPr>
      </w:pPr>
      <w:r>
        <w:rPr>
          <w:b/>
        </w:rPr>
        <w:t>4.1.</w:t>
      </w:r>
      <w:r>
        <w:rPr>
          <w:rFonts w:hint="eastAsia"/>
          <w:b/>
        </w:rPr>
        <w:t>2</w:t>
      </w:r>
      <w:r>
        <w:rPr>
          <w:b/>
        </w:rPr>
        <w:t>.1地形地貌</w:t>
      </w:r>
    </w:p>
    <w:p>
      <w:pPr>
        <w:ind w:firstLine="480"/>
      </w:pPr>
      <w:r>
        <w:t>上高县锦江流域整体地势西高东低，范围内两侧河岸属于堆积地形，地势相对平缓，是由砂砾层、蠕虫状红土、亚粘土、亚沙土组成的冲积平原及河漫滩平原。</w:t>
      </w:r>
    </w:p>
    <w:p>
      <w:pPr>
        <w:ind w:firstLine="480"/>
      </w:pPr>
      <w:r>
        <w:t>锦江流域内出露地层较多，主要由中元古界双桥山群变质岩系基底、泥盆系、石炭系、二迭系、三迭系、侏罗系、白垩系及第四系等地层组成。中元古界双桥山群变质岩系:区内分布较广，为一套巨厚的复理石建造的浅海相泥沙质碎屑沉积，并夹有凝灰和喷出岩；泥盆系：岩性主要为砾岩、砂岩、页岩和泥质灰岩等；石炭系：发育齐全，呈北东东向展布；二迭系：主要岩性有灰岩、钙质炭质页岩、硅质岩，细砂岩及粉砂质泥岩；三迭系：岩性主要为砾岩、砂岩、页岩夹煤线等；白垩系：岩性主要为砾岩、砂砾岩、泥岩等；第四系：自下更新统，全新统地层均有出露，上部为壤土、砂壤土等，下部为砂砾石层。更新统地层以残坡积、冲洪积为主，全新统主要为出露于河谷和山间盆地的冲积层。</w:t>
      </w:r>
    </w:p>
    <w:p>
      <w:pPr>
        <w:ind w:firstLine="480"/>
      </w:pPr>
      <w:r>
        <w:t>在地质构造上，流域处于杨子断块与华南断陷接壤地带，区内地质构造复杂。主要构造形迹有东西向褐皱、断裂，北东向断裂、褐皱构造，北北东向锦江“红盆”基底沉积构造，北东东向构造。</w:t>
      </w:r>
    </w:p>
    <w:p>
      <w:pPr>
        <w:ind w:firstLine="480"/>
      </w:pPr>
      <w:r>
        <w:t>本工程区主要地貌类型为河流冲积漫滩、阶地及构造剥蚀丘陵地形。地势自北向南倾斜，在锦河的一侧往往发育新月形的基座型冲积堆积阶地，阶地宽约300～500m，沿江形成条状狭长地带；构造剥蚀丘陵分布于四周，山顶标高大多为70~100m，山顶多呈馒头状，相对高差较小。地表踏勘中未发现大的滑坡、崩塌、泥石流、地面塌陷、落水洞等不良物理地质现象。</w:t>
      </w:r>
    </w:p>
    <w:p>
      <w:pPr>
        <w:ind w:firstLine="0" w:firstLineChars="0"/>
        <w:rPr>
          <w:b/>
        </w:rPr>
      </w:pPr>
      <w:r>
        <w:rPr>
          <w:b/>
        </w:rPr>
        <w:t>4.1.</w:t>
      </w:r>
      <w:r>
        <w:rPr>
          <w:rFonts w:hint="eastAsia"/>
          <w:b/>
        </w:rPr>
        <w:t>2</w:t>
      </w:r>
      <w:r>
        <w:rPr>
          <w:b/>
        </w:rPr>
        <w:t>.</w:t>
      </w:r>
      <w:r>
        <w:rPr>
          <w:rFonts w:hint="eastAsia"/>
          <w:b/>
        </w:rPr>
        <w:t>2</w:t>
      </w:r>
      <w:r>
        <w:rPr>
          <w:b/>
        </w:rPr>
        <w:t>地质构造及地震烈度</w:t>
      </w:r>
    </w:p>
    <w:p>
      <w:pPr>
        <w:ind w:firstLine="480"/>
      </w:pPr>
      <w:r>
        <w:rPr>
          <w:rFonts w:hint="eastAsia"/>
        </w:rPr>
        <w:t>锦河流域处于扬子断块与华南断陷接壤地带，位于扬子准地台、江南台隆、萍乡～乐平台陷、萍乡～高安凹褶断束内。由于构造历史悠久，及多次构造运动的演变，区内构造甚为复杂。但测区内地表多被第四系覆盖，构造形迹难以发现。</w:t>
      </w:r>
    </w:p>
    <w:p>
      <w:pPr>
        <w:ind w:firstLine="480"/>
      </w:pPr>
      <w:r>
        <w:rPr>
          <w:rFonts w:hint="eastAsia"/>
        </w:rPr>
        <w:t>据《中国地震动参数区划图》(GB18306-2001)的界定，本区地震动峰值加速度小于0.05g，相应地震基本烈度小于Ⅵ，区域稳定性较好。</w:t>
      </w:r>
    </w:p>
    <w:p>
      <w:pPr>
        <w:pStyle w:val="835"/>
        <w:spacing w:before="0" w:line="360" w:lineRule="auto"/>
      </w:pPr>
      <w:bookmarkStart w:id="672" w:name="_Toc534895264"/>
      <w:bookmarkStart w:id="673" w:name="_Toc536265131"/>
      <w:bookmarkStart w:id="674" w:name="_Toc534386288"/>
      <w:bookmarkStart w:id="675" w:name="_Toc3903268"/>
      <w:bookmarkStart w:id="676" w:name="_Toc534807047"/>
      <w:r>
        <w:t>4.1.</w:t>
      </w:r>
      <w:r>
        <w:rPr>
          <w:rFonts w:hint="eastAsia"/>
        </w:rPr>
        <w:t>3</w:t>
      </w:r>
      <w:r>
        <w:t>气候气象</w:t>
      </w:r>
      <w:bookmarkEnd w:id="672"/>
      <w:bookmarkEnd w:id="673"/>
      <w:bookmarkEnd w:id="674"/>
      <w:bookmarkEnd w:id="675"/>
      <w:bookmarkEnd w:id="676"/>
    </w:p>
    <w:p>
      <w:pPr>
        <w:ind w:firstLine="480"/>
      </w:pPr>
      <w:r>
        <w:t>上高县</w:t>
      </w:r>
      <w:r>
        <w:rPr>
          <w:rFonts w:hint="eastAsia"/>
        </w:rPr>
        <w:t>年平均气温为17.6℃，冬季最冷月1月平均气温为5.5℃，夏季最热月7月平均气温为29.1℃；极端最高气温为40.8℃，极端最低气温为-10.0℃；3月下旬进入春季，5月下旬后期进入夏季，9月下旬进入秋季，11月下旬进入冬季。一般11月下旬进入冬季。一般11月下旬开始出现初霜，2月底终霜，平均无霜期达276天。初雪平均日期在12月下旬，终雪平均日期为2月底，年平均降雪日为7天。</w:t>
      </w:r>
    </w:p>
    <w:p>
      <w:pPr>
        <w:ind w:firstLine="480"/>
      </w:pPr>
      <w:r>
        <w:rPr>
          <w:rFonts w:hint="eastAsia"/>
        </w:rPr>
        <w:t>年平均降水量为1718.4mm，4—6月平均降水量为763.6mm，占年降水量的44%；受季风影响，上半年各月降水量呈逐月增多，下半年各月降水量呈逐月减少；6月份降水量最多，平均为277mm；12月降水量最少，平均为49mm。</w:t>
      </w:r>
    </w:p>
    <w:p>
      <w:pPr>
        <w:ind w:firstLine="480"/>
      </w:pPr>
      <w:r>
        <w:rPr>
          <w:rFonts w:hint="eastAsia"/>
        </w:rPr>
        <w:t>年平均日照时数为1668.2小时；7月份日照时数最多，平均为243小时；2月份日照时数最少，平均为70小时。</w:t>
      </w:r>
    </w:p>
    <w:p>
      <w:pPr>
        <w:ind w:firstLine="480"/>
      </w:pPr>
      <w:r>
        <w:rPr>
          <w:rFonts w:hint="eastAsia"/>
        </w:rPr>
        <w:t>根据气候特点，县内主要灾害性天气有春季低温有雨，洪涝，夏季高温、伏秋干旱、大风冰雹、寒露风、冬季寒潮、冻害、雷电等。这些因素直接影响人们的生产、生活。</w:t>
      </w:r>
    </w:p>
    <w:p>
      <w:pPr>
        <w:ind w:firstLine="480"/>
      </w:pPr>
      <w:r>
        <w:rPr>
          <w:rFonts w:hint="eastAsia"/>
        </w:rPr>
        <w:t>上高县属中亚热带季风气候型，四季分明，春秋季短而冬夏季长，冬季冷而夏季热，春季湿而秋季干，热量资源丰富，降水充沛，日照充足，无霜期长，有着优越的气候条件。</w:t>
      </w:r>
    </w:p>
    <w:p>
      <w:pPr>
        <w:pStyle w:val="835"/>
        <w:spacing w:before="0" w:line="360" w:lineRule="auto"/>
      </w:pPr>
      <w:r>
        <w:t>4.1.</w:t>
      </w:r>
      <w:r>
        <w:rPr>
          <w:rFonts w:hint="eastAsia"/>
        </w:rPr>
        <w:t>4</w:t>
      </w:r>
      <w:r>
        <w:t>水文地质条件</w:t>
      </w:r>
    </w:p>
    <w:p>
      <w:pPr>
        <w:ind w:firstLine="480"/>
      </w:pPr>
      <w:r>
        <w:rPr>
          <w:rFonts w:hint="eastAsia"/>
        </w:rPr>
        <w:t>区内地下水类型主要为松散地层的孔隙潜水及基岩裂隙水，主要含水层为第四系冲洪积层的砂壤土、细砂层、砂卵砾石层，含水量丰富，透水性较强～强。壤土及残坡积层的水量贫乏，透水性较弱，板岩及变质砂岩基岩裂隙水不发育，透水性亦较弱；未见岩溶水发育。地下水的补给、迳流、排泄受大气降水影响明显，平枯水期地下水位略高于河水位，地下水排泄于河流沟谷中，汛期河水补给地下水。</w:t>
      </w:r>
    </w:p>
    <w:p>
      <w:pPr>
        <w:ind w:firstLine="480"/>
      </w:pPr>
      <w:r>
        <w:rPr>
          <w:rFonts w:hint="eastAsia"/>
        </w:rPr>
        <w:t>上坝址坝基位于弱风化变质砂岩上，地基承载力满足要求，抗滑条件较好，不存在不均匀沉降问题，存在坝基浅层渗漏问题；下坝址坝基位于弱风化板岩或弱风化变质砂岩上，应采取相应措施防坝基产生不均匀沉降；坝基局部存在浅层渗漏问题。</w:t>
      </w:r>
    </w:p>
    <w:p>
      <w:pPr>
        <w:ind w:firstLine="480"/>
      </w:pPr>
      <w:r>
        <w:rPr>
          <w:rFonts w:hint="eastAsia"/>
        </w:rPr>
        <w:t>下坝址坝基位于弱风化板岩或弱风化变质砂岩上，应采取相应措施防坝基产生不均匀沉降；坝基局部存在浅层渗漏问题，左岸绕渗问题小，右岸存在绕渗问题。</w:t>
      </w:r>
    </w:p>
    <w:p>
      <w:pPr>
        <w:ind w:firstLine="480"/>
      </w:pPr>
      <w:r>
        <w:rPr>
          <w:rFonts w:hint="eastAsia"/>
        </w:rPr>
        <w:t>本次勘察在锦河中取水样1组，取地下水1组，水质分析成果见下表：</w:t>
      </w:r>
    </w:p>
    <w:tbl>
      <w:tblPr>
        <w:tblStyle w:val="8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893"/>
        <w:gridCol w:w="893"/>
        <w:gridCol w:w="1031"/>
        <w:gridCol w:w="674"/>
        <w:gridCol w:w="512"/>
        <w:gridCol w:w="606"/>
        <w:gridCol w:w="656"/>
        <w:gridCol w:w="885"/>
        <w:gridCol w:w="596"/>
        <w:gridCol w:w="667"/>
        <w:gridCol w:w="893"/>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66" w:type="dxa"/>
            <w:vMerge w:val="restart"/>
            <w:tcBorders>
              <w:top w:val="single" w:color="auto" w:sz="12" w:space="0"/>
              <w:left w:val="single" w:color="auto" w:sz="12" w:space="0"/>
            </w:tcBorders>
            <w:vAlign w:val="center"/>
          </w:tcPr>
          <w:p>
            <w:pPr>
              <w:spacing w:line="340" w:lineRule="exact"/>
              <w:ind w:firstLine="0" w:firstLineChars="0"/>
              <w:rPr>
                <w:sz w:val="21"/>
              </w:rPr>
            </w:pPr>
            <w:r>
              <w:rPr>
                <w:rFonts w:hint="eastAsia"/>
                <w:sz w:val="21"/>
              </w:rPr>
              <w:t>取样</w:t>
            </w:r>
          </w:p>
          <w:p>
            <w:pPr>
              <w:spacing w:line="340" w:lineRule="exact"/>
              <w:ind w:firstLine="0" w:firstLineChars="0"/>
              <w:rPr>
                <w:sz w:val="21"/>
              </w:rPr>
            </w:pPr>
            <w:r>
              <w:rPr>
                <w:rFonts w:hint="eastAsia"/>
                <w:sz w:val="21"/>
              </w:rPr>
              <w:t>地点</w:t>
            </w:r>
          </w:p>
        </w:tc>
        <w:tc>
          <w:tcPr>
            <w:tcW w:w="807" w:type="dxa"/>
            <w:vMerge w:val="restart"/>
            <w:tcBorders>
              <w:top w:val="single" w:color="auto" w:sz="12" w:space="0"/>
            </w:tcBorders>
            <w:vAlign w:val="center"/>
          </w:tcPr>
          <w:p>
            <w:pPr>
              <w:spacing w:line="340" w:lineRule="exact"/>
              <w:ind w:firstLine="0" w:firstLineChars="0"/>
              <w:rPr>
                <w:sz w:val="21"/>
              </w:rPr>
            </w:pPr>
            <w:r>
              <w:rPr>
                <w:rFonts w:hint="eastAsia"/>
                <w:sz w:val="21"/>
              </w:rPr>
              <w:t>总硬度</w:t>
            </w:r>
            <w:r>
              <w:rPr>
                <w:sz w:val="21"/>
              </w:rPr>
              <w:t>mmol/</w:t>
            </w:r>
            <w:r>
              <w:rPr>
                <w:rFonts w:hint="eastAsia"/>
                <w:sz w:val="21"/>
              </w:rPr>
              <w:t>L</w:t>
            </w:r>
          </w:p>
        </w:tc>
        <w:tc>
          <w:tcPr>
            <w:tcW w:w="807" w:type="dxa"/>
            <w:vMerge w:val="restart"/>
            <w:tcBorders>
              <w:top w:val="single" w:color="auto" w:sz="12" w:space="0"/>
            </w:tcBorders>
            <w:vAlign w:val="center"/>
          </w:tcPr>
          <w:p>
            <w:pPr>
              <w:spacing w:line="340" w:lineRule="exact"/>
              <w:ind w:firstLine="0" w:firstLineChars="0"/>
              <w:rPr>
                <w:sz w:val="21"/>
              </w:rPr>
            </w:pPr>
            <w:r>
              <w:rPr>
                <w:rFonts w:hint="eastAsia"/>
                <w:sz w:val="21"/>
              </w:rPr>
              <w:t>总碱度</w:t>
            </w:r>
            <w:r>
              <w:rPr>
                <w:sz w:val="21"/>
              </w:rPr>
              <w:t>mmol/</w:t>
            </w:r>
            <w:r>
              <w:rPr>
                <w:rFonts w:hint="eastAsia"/>
                <w:sz w:val="21"/>
              </w:rPr>
              <w:t>L</w:t>
            </w:r>
          </w:p>
        </w:tc>
        <w:tc>
          <w:tcPr>
            <w:tcW w:w="687" w:type="dxa"/>
            <w:vMerge w:val="restart"/>
            <w:tcBorders>
              <w:top w:val="single" w:color="auto" w:sz="12" w:space="0"/>
            </w:tcBorders>
            <w:vAlign w:val="center"/>
          </w:tcPr>
          <w:p>
            <w:pPr>
              <w:spacing w:line="340" w:lineRule="exact"/>
              <w:ind w:firstLine="0" w:firstLineChars="0"/>
              <w:rPr>
                <w:sz w:val="21"/>
              </w:rPr>
            </w:pPr>
            <w:r>
              <w:rPr>
                <w:rFonts w:hint="eastAsia"/>
                <w:sz w:val="21"/>
              </w:rPr>
              <w:t>游离CO</w:t>
            </w:r>
            <w:r>
              <w:rPr>
                <w:rFonts w:hint="eastAsia"/>
                <w:sz w:val="21"/>
                <w:vertAlign w:val="subscript"/>
              </w:rPr>
              <w:t>2</w:t>
            </w:r>
            <w:r>
              <w:rPr>
                <w:sz w:val="21"/>
              </w:rPr>
              <w:t>mg/L</w:t>
            </w:r>
          </w:p>
        </w:tc>
        <w:tc>
          <w:tcPr>
            <w:tcW w:w="693" w:type="dxa"/>
            <w:vMerge w:val="restart"/>
            <w:tcBorders>
              <w:top w:val="single" w:color="auto" w:sz="12" w:space="0"/>
            </w:tcBorders>
            <w:vAlign w:val="center"/>
          </w:tcPr>
          <w:p>
            <w:pPr>
              <w:spacing w:line="340" w:lineRule="exact"/>
              <w:ind w:firstLine="0" w:firstLineChars="0"/>
              <w:rPr>
                <w:sz w:val="21"/>
              </w:rPr>
            </w:pPr>
            <w:r>
              <w:rPr>
                <w:rFonts w:hint="eastAsia"/>
                <w:sz w:val="21"/>
              </w:rPr>
              <w:t>侵蚀性CO</w:t>
            </w:r>
            <w:r>
              <w:rPr>
                <w:rFonts w:hint="eastAsia"/>
                <w:sz w:val="21"/>
                <w:vertAlign w:val="subscript"/>
              </w:rPr>
              <w:t>2</w:t>
            </w:r>
          </w:p>
          <w:p>
            <w:pPr>
              <w:spacing w:line="340" w:lineRule="exact"/>
              <w:ind w:firstLine="0" w:firstLineChars="0"/>
              <w:rPr>
                <w:sz w:val="21"/>
              </w:rPr>
            </w:pPr>
            <w:r>
              <w:rPr>
                <w:sz w:val="21"/>
              </w:rPr>
              <w:t>mg/L</w:t>
            </w:r>
          </w:p>
        </w:tc>
        <w:tc>
          <w:tcPr>
            <w:tcW w:w="663" w:type="dxa"/>
            <w:vMerge w:val="restart"/>
            <w:tcBorders>
              <w:top w:val="single" w:color="auto" w:sz="12" w:space="0"/>
            </w:tcBorders>
            <w:vAlign w:val="center"/>
          </w:tcPr>
          <w:p>
            <w:pPr>
              <w:spacing w:line="340" w:lineRule="exact"/>
              <w:ind w:firstLine="0" w:firstLineChars="0"/>
              <w:rPr>
                <w:sz w:val="21"/>
              </w:rPr>
            </w:pPr>
            <w:r>
              <w:rPr>
                <w:rFonts w:hint="eastAsia"/>
                <w:sz w:val="21"/>
              </w:rPr>
              <w:t>PH值</w:t>
            </w:r>
          </w:p>
        </w:tc>
        <w:tc>
          <w:tcPr>
            <w:tcW w:w="2032" w:type="dxa"/>
            <w:gridSpan w:val="3"/>
            <w:tcBorders>
              <w:top w:val="single" w:color="auto" w:sz="12" w:space="0"/>
            </w:tcBorders>
            <w:vAlign w:val="center"/>
          </w:tcPr>
          <w:p>
            <w:pPr>
              <w:spacing w:line="340" w:lineRule="exact"/>
              <w:ind w:firstLine="420"/>
              <w:jc w:val="center"/>
              <w:rPr>
                <w:sz w:val="21"/>
              </w:rPr>
            </w:pPr>
            <w:r>
              <w:rPr>
                <w:rFonts w:hint="eastAsia"/>
                <w:sz w:val="21"/>
              </w:rPr>
              <w:t>主要阳离子</w:t>
            </w:r>
          </w:p>
        </w:tc>
        <w:tc>
          <w:tcPr>
            <w:tcW w:w="2705" w:type="dxa"/>
            <w:gridSpan w:val="4"/>
            <w:tcBorders>
              <w:top w:val="single" w:color="auto" w:sz="12" w:space="0"/>
              <w:right w:val="single" w:color="auto" w:sz="12" w:space="0"/>
            </w:tcBorders>
            <w:vAlign w:val="center"/>
          </w:tcPr>
          <w:p>
            <w:pPr>
              <w:spacing w:line="340" w:lineRule="exact"/>
              <w:ind w:firstLine="420"/>
              <w:jc w:val="center"/>
              <w:rPr>
                <w:sz w:val="21"/>
              </w:rPr>
            </w:pPr>
            <w:r>
              <w:rPr>
                <w:rFonts w:hint="eastAsia"/>
                <w:sz w:val="21"/>
              </w:rPr>
              <w:t>主要阴离子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66" w:type="dxa"/>
            <w:vMerge w:val="continue"/>
            <w:tcBorders>
              <w:left w:val="single" w:color="auto" w:sz="12" w:space="0"/>
            </w:tcBorders>
            <w:vAlign w:val="center"/>
          </w:tcPr>
          <w:p>
            <w:pPr>
              <w:spacing w:line="340" w:lineRule="exact"/>
              <w:ind w:firstLine="420"/>
              <w:jc w:val="center"/>
              <w:rPr>
                <w:sz w:val="21"/>
              </w:rPr>
            </w:pPr>
          </w:p>
        </w:tc>
        <w:tc>
          <w:tcPr>
            <w:tcW w:w="807" w:type="dxa"/>
            <w:vMerge w:val="continue"/>
            <w:vAlign w:val="center"/>
          </w:tcPr>
          <w:p>
            <w:pPr>
              <w:spacing w:line="340" w:lineRule="exact"/>
              <w:ind w:firstLine="420"/>
              <w:jc w:val="center"/>
              <w:rPr>
                <w:sz w:val="21"/>
              </w:rPr>
            </w:pPr>
          </w:p>
        </w:tc>
        <w:tc>
          <w:tcPr>
            <w:tcW w:w="807" w:type="dxa"/>
            <w:vMerge w:val="continue"/>
            <w:vAlign w:val="center"/>
          </w:tcPr>
          <w:p>
            <w:pPr>
              <w:spacing w:line="340" w:lineRule="exact"/>
              <w:ind w:firstLine="420"/>
              <w:jc w:val="center"/>
              <w:rPr>
                <w:sz w:val="21"/>
              </w:rPr>
            </w:pPr>
          </w:p>
        </w:tc>
        <w:tc>
          <w:tcPr>
            <w:tcW w:w="687" w:type="dxa"/>
            <w:vMerge w:val="continue"/>
            <w:vAlign w:val="center"/>
          </w:tcPr>
          <w:p>
            <w:pPr>
              <w:spacing w:line="340" w:lineRule="exact"/>
              <w:ind w:firstLine="420"/>
              <w:jc w:val="center"/>
              <w:rPr>
                <w:sz w:val="21"/>
              </w:rPr>
            </w:pPr>
          </w:p>
        </w:tc>
        <w:tc>
          <w:tcPr>
            <w:tcW w:w="693" w:type="dxa"/>
            <w:vMerge w:val="continue"/>
            <w:vAlign w:val="center"/>
          </w:tcPr>
          <w:p>
            <w:pPr>
              <w:spacing w:line="340" w:lineRule="exact"/>
              <w:ind w:firstLine="420"/>
              <w:jc w:val="center"/>
              <w:rPr>
                <w:sz w:val="21"/>
              </w:rPr>
            </w:pPr>
          </w:p>
        </w:tc>
        <w:tc>
          <w:tcPr>
            <w:tcW w:w="663" w:type="dxa"/>
            <w:vMerge w:val="continue"/>
            <w:vAlign w:val="center"/>
          </w:tcPr>
          <w:p>
            <w:pPr>
              <w:spacing w:line="340" w:lineRule="exact"/>
              <w:ind w:firstLine="420"/>
              <w:jc w:val="center"/>
              <w:rPr>
                <w:sz w:val="21"/>
              </w:rPr>
            </w:pPr>
          </w:p>
        </w:tc>
        <w:tc>
          <w:tcPr>
            <w:tcW w:w="670" w:type="dxa"/>
            <w:vAlign w:val="center"/>
          </w:tcPr>
          <w:p>
            <w:pPr>
              <w:spacing w:line="340" w:lineRule="exact"/>
              <w:ind w:firstLine="0" w:firstLineChars="0"/>
              <w:rPr>
                <w:sz w:val="21"/>
              </w:rPr>
            </w:pPr>
            <w:r>
              <w:rPr>
                <w:rFonts w:hint="eastAsia"/>
                <w:sz w:val="21"/>
              </w:rPr>
              <w:t>Ca</w:t>
            </w:r>
            <w:r>
              <w:rPr>
                <w:rFonts w:hint="eastAsia"/>
                <w:sz w:val="21"/>
                <w:vertAlign w:val="superscript"/>
              </w:rPr>
              <w:t>2+</w:t>
            </w:r>
          </w:p>
        </w:tc>
        <w:tc>
          <w:tcPr>
            <w:tcW w:w="672" w:type="dxa"/>
            <w:vAlign w:val="center"/>
          </w:tcPr>
          <w:p>
            <w:pPr>
              <w:spacing w:line="340" w:lineRule="exact"/>
              <w:ind w:firstLine="0" w:firstLineChars="0"/>
              <w:rPr>
                <w:sz w:val="21"/>
              </w:rPr>
            </w:pPr>
            <w:r>
              <w:rPr>
                <w:rFonts w:hint="eastAsia"/>
                <w:sz w:val="21"/>
              </w:rPr>
              <w:t>Mg</w:t>
            </w:r>
            <w:r>
              <w:rPr>
                <w:rFonts w:hint="eastAsia"/>
                <w:sz w:val="21"/>
                <w:vertAlign w:val="superscript"/>
              </w:rPr>
              <w:t>2+</w:t>
            </w:r>
          </w:p>
        </w:tc>
        <w:tc>
          <w:tcPr>
            <w:tcW w:w="690" w:type="dxa"/>
            <w:vAlign w:val="center"/>
          </w:tcPr>
          <w:p>
            <w:pPr>
              <w:spacing w:line="340" w:lineRule="exact"/>
              <w:ind w:firstLine="0" w:firstLineChars="0"/>
              <w:rPr>
                <w:sz w:val="21"/>
              </w:rPr>
            </w:pPr>
            <w:r>
              <w:rPr>
                <w:rFonts w:hint="eastAsia"/>
                <w:sz w:val="21"/>
              </w:rPr>
              <w:t>K</w:t>
            </w:r>
            <w:r>
              <w:rPr>
                <w:rFonts w:hint="eastAsia"/>
                <w:sz w:val="21"/>
                <w:vertAlign w:val="superscript"/>
              </w:rPr>
              <w:t>+</w:t>
            </w:r>
            <w:r>
              <w:rPr>
                <w:rFonts w:hint="eastAsia"/>
                <w:sz w:val="21"/>
              </w:rPr>
              <w:t>+Na</w:t>
            </w:r>
            <w:r>
              <w:rPr>
                <w:rFonts w:hint="eastAsia"/>
                <w:sz w:val="21"/>
                <w:vertAlign w:val="superscript"/>
              </w:rPr>
              <w:t>+</w:t>
            </w:r>
          </w:p>
        </w:tc>
        <w:tc>
          <w:tcPr>
            <w:tcW w:w="666" w:type="dxa"/>
            <w:vAlign w:val="center"/>
          </w:tcPr>
          <w:p>
            <w:pPr>
              <w:spacing w:line="340" w:lineRule="exact"/>
              <w:ind w:firstLine="0" w:firstLineChars="0"/>
              <w:rPr>
                <w:sz w:val="21"/>
              </w:rPr>
            </w:pPr>
            <w:r>
              <w:rPr>
                <w:rFonts w:hint="eastAsia"/>
                <w:sz w:val="21"/>
              </w:rPr>
              <w:t>Cl</w:t>
            </w:r>
            <w:r>
              <w:rPr>
                <w:rFonts w:hint="eastAsia"/>
                <w:sz w:val="21"/>
                <w:vertAlign w:val="superscript"/>
              </w:rPr>
              <w:t>-</w:t>
            </w:r>
          </w:p>
        </w:tc>
        <w:tc>
          <w:tcPr>
            <w:tcW w:w="673" w:type="dxa"/>
            <w:vAlign w:val="center"/>
          </w:tcPr>
          <w:p>
            <w:pPr>
              <w:spacing w:line="340" w:lineRule="exact"/>
              <w:ind w:firstLine="0" w:firstLineChars="0"/>
              <w:rPr>
                <w:sz w:val="21"/>
              </w:rPr>
            </w:pPr>
            <w:r>
              <w:rPr>
                <w:rFonts w:hint="eastAsia"/>
                <w:sz w:val="21"/>
              </w:rPr>
              <w:t>SO</w:t>
            </w:r>
            <w:r>
              <w:rPr>
                <w:rFonts w:hint="eastAsia"/>
                <w:sz w:val="21"/>
                <w:vertAlign w:val="subscript"/>
              </w:rPr>
              <w:t>4</w:t>
            </w:r>
            <w:r>
              <w:rPr>
                <w:rFonts w:hint="eastAsia"/>
                <w:sz w:val="21"/>
                <w:vertAlign w:val="superscript"/>
              </w:rPr>
              <w:t>2-</w:t>
            </w:r>
          </w:p>
        </w:tc>
        <w:tc>
          <w:tcPr>
            <w:tcW w:w="691" w:type="dxa"/>
            <w:vAlign w:val="center"/>
          </w:tcPr>
          <w:p>
            <w:pPr>
              <w:spacing w:line="340" w:lineRule="exact"/>
              <w:ind w:firstLine="0" w:firstLineChars="0"/>
              <w:rPr>
                <w:sz w:val="21"/>
              </w:rPr>
            </w:pPr>
            <w:r>
              <w:rPr>
                <w:rFonts w:hint="eastAsia"/>
                <w:sz w:val="21"/>
              </w:rPr>
              <w:t>HCO</w:t>
            </w:r>
            <w:r>
              <w:rPr>
                <w:rFonts w:hint="eastAsia"/>
                <w:sz w:val="21"/>
                <w:vertAlign w:val="subscript"/>
              </w:rPr>
              <w:t>3</w:t>
            </w:r>
            <w:r>
              <w:rPr>
                <w:rFonts w:hint="eastAsia"/>
                <w:sz w:val="21"/>
                <w:vertAlign w:val="superscript"/>
              </w:rPr>
              <w:t>-</w:t>
            </w:r>
          </w:p>
        </w:tc>
        <w:tc>
          <w:tcPr>
            <w:tcW w:w="675" w:type="dxa"/>
            <w:tcBorders>
              <w:right w:val="single" w:color="auto" w:sz="12" w:space="0"/>
            </w:tcBorders>
            <w:vAlign w:val="center"/>
          </w:tcPr>
          <w:p>
            <w:pPr>
              <w:spacing w:line="340" w:lineRule="exact"/>
              <w:ind w:firstLine="0" w:firstLineChars="0"/>
              <w:rPr>
                <w:sz w:val="21"/>
              </w:rPr>
            </w:pPr>
            <w:r>
              <w:rPr>
                <w:rFonts w:hint="eastAsia"/>
                <w:sz w:val="21"/>
              </w:rPr>
              <w:t>CO</w:t>
            </w:r>
            <w:r>
              <w:rPr>
                <w:rFonts w:hint="eastAsia"/>
                <w:sz w:val="21"/>
                <w:vertAlign w:val="subscript"/>
              </w:rPr>
              <w:t>3</w:t>
            </w:r>
            <w:r>
              <w:rPr>
                <w:rFonts w:hint="eastAsia"/>
                <w:sz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66" w:type="dxa"/>
            <w:vMerge w:val="continue"/>
            <w:tcBorders>
              <w:left w:val="single" w:color="auto" w:sz="12" w:space="0"/>
            </w:tcBorders>
            <w:vAlign w:val="center"/>
          </w:tcPr>
          <w:p>
            <w:pPr>
              <w:spacing w:line="340" w:lineRule="exact"/>
              <w:ind w:firstLine="420"/>
              <w:jc w:val="center"/>
              <w:rPr>
                <w:sz w:val="21"/>
              </w:rPr>
            </w:pPr>
          </w:p>
        </w:tc>
        <w:tc>
          <w:tcPr>
            <w:tcW w:w="807" w:type="dxa"/>
            <w:vMerge w:val="continue"/>
            <w:vAlign w:val="center"/>
          </w:tcPr>
          <w:p>
            <w:pPr>
              <w:spacing w:line="340" w:lineRule="exact"/>
              <w:ind w:firstLine="420"/>
              <w:jc w:val="center"/>
              <w:rPr>
                <w:sz w:val="21"/>
              </w:rPr>
            </w:pPr>
          </w:p>
        </w:tc>
        <w:tc>
          <w:tcPr>
            <w:tcW w:w="807" w:type="dxa"/>
            <w:vMerge w:val="continue"/>
            <w:vAlign w:val="center"/>
          </w:tcPr>
          <w:p>
            <w:pPr>
              <w:spacing w:line="340" w:lineRule="exact"/>
              <w:ind w:firstLine="420"/>
              <w:jc w:val="center"/>
              <w:rPr>
                <w:sz w:val="21"/>
              </w:rPr>
            </w:pPr>
          </w:p>
        </w:tc>
        <w:tc>
          <w:tcPr>
            <w:tcW w:w="687" w:type="dxa"/>
            <w:vMerge w:val="continue"/>
            <w:vAlign w:val="center"/>
          </w:tcPr>
          <w:p>
            <w:pPr>
              <w:spacing w:line="340" w:lineRule="exact"/>
              <w:ind w:firstLine="420"/>
              <w:jc w:val="center"/>
              <w:rPr>
                <w:sz w:val="21"/>
              </w:rPr>
            </w:pPr>
          </w:p>
        </w:tc>
        <w:tc>
          <w:tcPr>
            <w:tcW w:w="693" w:type="dxa"/>
            <w:vMerge w:val="continue"/>
            <w:vAlign w:val="center"/>
          </w:tcPr>
          <w:p>
            <w:pPr>
              <w:spacing w:line="340" w:lineRule="exact"/>
              <w:ind w:firstLine="420"/>
              <w:jc w:val="center"/>
              <w:rPr>
                <w:sz w:val="21"/>
              </w:rPr>
            </w:pPr>
          </w:p>
        </w:tc>
        <w:tc>
          <w:tcPr>
            <w:tcW w:w="663" w:type="dxa"/>
            <w:vMerge w:val="continue"/>
            <w:vAlign w:val="center"/>
          </w:tcPr>
          <w:p>
            <w:pPr>
              <w:spacing w:line="340" w:lineRule="exact"/>
              <w:ind w:firstLine="420"/>
              <w:jc w:val="center"/>
              <w:rPr>
                <w:sz w:val="21"/>
              </w:rPr>
            </w:pPr>
          </w:p>
        </w:tc>
        <w:tc>
          <w:tcPr>
            <w:tcW w:w="3371" w:type="dxa"/>
            <w:gridSpan w:val="5"/>
            <w:vAlign w:val="center"/>
          </w:tcPr>
          <w:p>
            <w:pPr>
              <w:spacing w:line="340" w:lineRule="exact"/>
              <w:ind w:firstLine="420"/>
              <w:jc w:val="center"/>
              <w:rPr>
                <w:sz w:val="21"/>
              </w:rPr>
            </w:pPr>
            <w:r>
              <w:rPr>
                <w:sz w:val="21"/>
              </w:rPr>
              <w:t>mg/L</w:t>
            </w:r>
          </w:p>
        </w:tc>
        <w:tc>
          <w:tcPr>
            <w:tcW w:w="691" w:type="dxa"/>
            <w:vAlign w:val="center"/>
          </w:tcPr>
          <w:p>
            <w:pPr>
              <w:spacing w:line="340" w:lineRule="exact"/>
              <w:ind w:firstLine="0" w:firstLineChars="0"/>
              <w:rPr>
                <w:sz w:val="21"/>
              </w:rPr>
            </w:pPr>
            <w:r>
              <w:rPr>
                <w:sz w:val="21"/>
              </w:rPr>
              <w:t>mmol/L</w:t>
            </w:r>
          </w:p>
        </w:tc>
        <w:tc>
          <w:tcPr>
            <w:tcW w:w="675" w:type="dxa"/>
            <w:tcBorders>
              <w:right w:val="single" w:color="auto" w:sz="12" w:space="0"/>
            </w:tcBorders>
            <w:vAlign w:val="center"/>
          </w:tcPr>
          <w:p>
            <w:pPr>
              <w:spacing w:line="340" w:lineRule="exact"/>
              <w:ind w:firstLine="0" w:firstLineChars="0"/>
              <w:rPr>
                <w:sz w:val="21"/>
              </w:rPr>
            </w:pPr>
            <w:r>
              <w:rPr>
                <w:sz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tcBorders>
              <w:left w:val="single" w:color="auto" w:sz="12" w:space="0"/>
            </w:tcBorders>
            <w:vAlign w:val="center"/>
          </w:tcPr>
          <w:p>
            <w:pPr>
              <w:spacing w:line="340" w:lineRule="exact"/>
              <w:ind w:firstLine="0" w:firstLineChars="0"/>
              <w:rPr>
                <w:sz w:val="21"/>
              </w:rPr>
            </w:pPr>
            <w:r>
              <w:rPr>
                <w:rFonts w:hint="eastAsia"/>
                <w:sz w:val="21"/>
              </w:rPr>
              <w:t>河水</w:t>
            </w:r>
          </w:p>
        </w:tc>
        <w:tc>
          <w:tcPr>
            <w:tcW w:w="807" w:type="dxa"/>
            <w:vAlign w:val="center"/>
          </w:tcPr>
          <w:p>
            <w:pPr>
              <w:spacing w:line="340" w:lineRule="exact"/>
              <w:ind w:firstLine="0" w:firstLineChars="0"/>
              <w:rPr>
                <w:sz w:val="21"/>
              </w:rPr>
            </w:pPr>
            <w:r>
              <w:rPr>
                <w:rFonts w:hint="eastAsia"/>
                <w:sz w:val="21"/>
              </w:rPr>
              <w:t>0.810</w:t>
            </w:r>
          </w:p>
        </w:tc>
        <w:tc>
          <w:tcPr>
            <w:tcW w:w="807" w:type="dxa"/>
            <w:vAlign w:val="center"/>
          </w:tcPr>
          <w:p>
            <w:pPr>
              <w:spacing w:line="340" w:lineRule="exact"/>
              <w:ind w:firstLine="0" w:firstLineChars="0"/>
              <w:rPr>
                <w:sz w:val="21"/>
              </w:rPr>
            </w:pPr>
            <w:r>
              <w:rPr>
                <w:rFonts w:hint="eastAsia"/>
                <w:sz w:val="21"/>
              </w:rPr>
              <w:t>1.462</w:t>
            </w:r>
          </w:p>
        </w:tc>
        <w:tc>
          <w:tcPr>
            <w:tcW w:w="687" w:type="dxa"/>
            <w:vAlign w:val="center"/>
          </w:tcPr>
          <w:p>
            <w:pPr>
              <w:spacing w:line="340" w:lineRule="exact"/>
              <w:ind w:firstLine="0" w:firstLineChars="0"/>
              <w:rPr>
                <w:sz w:val="21"/>
              </w:rPr>
            </w:pPr>
            <w:r>
              <w:rPr>
                <w:rFonts w:hint="eastAsia"/>
                <w:sz w:val="21"/>
              </w:rPr>
              <w:t>5.71</w:t>
            </w:r>
          </w:p>
        </w:tc>
        <w:tc>
          <w:tcPr>
            <w:tcW w:w="693" w:type="dxa"/>
            <w:vAlign w:val="center"/>
          </w:tcPr>
          <w:p>
            <w:pPr>
              <w:spacing w:line="340" w:lineRule="exact"/>
              <w:ind w:firstLine="0" w:firstLineChars="0"/>
              <w:rPr>
                <w:sz w:val="21"/>
              </w:rPr>
            </w:pPr>
            <w:r>
              <w:rPr>
                <w:rFonts w:hint="eastAsia"/>
                <w:sz w:val="21"/>
              </w:rPr>
              <w:t>0.83</w:t>
            </w:r>
          </w:p>
        </w:tc>
        <w:tc>
          <w:tcPr>
            <w:tcW w:w="663" w:type="dxa"/>
            <w:vAlign w:val="center"/>
          </w:tcPr>
          <w:p>
            <w:pPr>
              <w:spacing w:line="340" w:lineRule="exact"/>
              <w:ind w:firstLine="0" w:firstLineChars="0"/>
              <w:rPr>
                <w:sz w:val="21"/>
              </w:rPr>
            </w:pPr>
            <w:r>
              <w:rPr>
                <w:rFonts w:hint="eastAsia"/>
                <w:sz w:val="21"/>
              </w:rPr>
              <w:t>6.8</w:t>
            </w:r>
          </w:p>
        </w:tc>
        <w:tc>
          <w:tcPr>
            <w:tcW w:w="670" w:type="dxa"/>
            <w:vAlign w:val="center"/>
          </w:tcPr>
          <w:p>
            <w:pPr>
              <w:spacing w:line="340" w:lineRule="exact"/>
              <w:ind w:firstLine="0" w:firstLineChars="0"/>
              <w:rPr>
                <w:sz w:val="21"/>
              </w:rPr>
            </w:pPr>
            <w:r>
              <w:rPr>
                <w:rFonts w:hint="eastAsia"/>
                <w:sz w:val="21"/>
              </w:rPr>
              <w:t>25.5</w:t>
            </w:r>
          </w:p>
        </w:tc>
        <w:tc>
          <w:tcPr>
            <w:tcW w:w="672" w:type="dxa"/>
            <w:vAlign w:val="center"/>
          </w:tcPr>
          <w:p>
            <w:pPr>
              <w:spacing w:line="340" w:lineRule="exact"/>
              <w:ind w:firstLine="0" w:firstLineChars="0"/>
              <w:rPr>
                <w:sz w:val="21"/>
              </w:rPr>
            </w:pPr>
            <w:r>
              <w:rPr>
                <w:rFonts w:hint="eastAsia"/>
                <w:sz w:val="21"/>
              </w:rPr>
              <w:t>4.20</w:t>
            </w:r>
          </w:p>
        </w:tc>
        <w:tc>
          <w:tcPr>
            <w:tcW w:w="690" w:type="dxa"/>
            <w:vAlign w:val="center"/>
          </w:tcPr>
          <w:p>
            <w:pPr>
              <w:spacing w:line="340" w:lineRule="exact"/>
              <w:ind w:firstLine="0" w:firstLineChars="0"/>
              <w:rPr>
                <w:sz w:val="21"/>
              </w:rPr>
            </w:pPr>
            <w:r>
              <w:rPr>
                <w:rFonts w:hint="eastAsia"/>
                <w:sz w:val="21"/>
              </w:rPr>
              <w:t>7.05</w:t>
            </w:r>
          </w:p>
        </w:tc>
        <w:tc>
          <w:tcPr>
            <w:tcW w:w="666" w:type="dxa"/>
            <w:vAlign w:val="center"/>
          </w:tcPr>
          <w:p>
            <w:pPr>
              <w:spacing w:line="340" w:lineRule="exact"/>
              <w:ind w:firstLine="0" w:firstLineChars="0"/>
              <w:rPr>
                <w:sz w:val="21"/>
              </w:rPr>
            </w:pPr>
            <w:r>
              <w:rPr>
                <w:rFonts w:hint="eastAsia"/>
                <w:sz w:val="21"/>
              </w:rPr>
              <w:t>6.74</w:t>
            </w:r>
          </w:p>
        </w:tc>
        <w:tc>
          <w:tcPr>
            <w:tcW w:w="673" w:type="dxa"/>
            <w:vAlign w:val="center"/>
          </w:tcPr>
          <w:p>
            <w:pPr>
              <w:spacing w:line="340" w:lineRule="exact"/>
              <w:ind w:firstLine="0" w:firstLineChars="0"/>
              <w:rPr>
                <w:sz w:val="21"/>
              </w:rPr>
            </w:pPr>
            <w:r>
              <w:rPr>
                <w:rFonts w:hint="eastAsia"/>
                <w:sz w:val="21"/>
              </w:rPr>
              <w:t>12.0</w:t>
            </w:r>
          </w:p>
        </w:tc>
        <w:tc>
          <w:tcPr>
            <w:tcW w:w="691" w:type="dxa"/>
            <w:vAlign w:val="center"/>
          </w:tcPr>
          <w:p>
            <w:pPr>
              <w:spacing w:line="340" w:lineRule="exact"/>
              <w:ind w:firstLine="0" w:firstLineChars="0"/>
              <w:rPr>
                <w:sz w:val="21"/>
              </w:rPr>
            </w:pPr>
            <w:r>
              <w:rPr>
                <w:rFonts w:hint="eastAsia"/>
                <w:sz w:val="21"/>
              </w:rPr>
              <w:t>1.462</w:t>
            </w:r>
          </w:p>
        </w:tc>
        <w:tc>
          <w:tcPr>
            <w:tcW w:w="675" w:type="dxa"/>
            <w:tcBorders>
              <w:right w:val="single" w:color="auto" w:sz="12" w:space="0"/>
            </w:tcBorders>
            <w:vAlign w:val="center"/>
          </w:tcPr>
          <w:p>
            <w:pPr>
              <w:spacing w:line="340" w:lineRule="exact"/>
              <w:ind w:firstLine="420"/>
              <w:jc w:val="center"/>
              <w:rPr>
                <w:sz w:val="21"/>
              </w:rPr>
            </w:pPr>
            <w:r>
              <w:rPr>
                <w:rFonts w:hint="eastAsia"/>
                <w:sz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dxa"/>
            <w:tcBorders>
              <w:left w:val="single" w:color="auto" w:sz="12" w:space="0"/>
              <w:bottom w:val="single" w:color="auto" w:sz="12" w:space="0"/>
            </w:tcBorders>
            <w:vAlign w:val="center"/>
          </w:tcPr>
          <w:p>
            <w:pPr>
              <w:spacing w:line="340" w:lineRule="exact"/>
              <w:ind w:firstLine="0" w:firstLineChars="0"/>
              <w:rPr>
                <w:sz w:val="21"/>
              </w:rPr>
            </w:pPr>
            <w:r>
              <w:rPr>
                <w:rFonts w:hint="eastAsia"/>
                <w:sz w:val="21"/>
              </w:rPr>
              <w:t>地下水</w:t>
            </w:r>
          </w:p>
        </w:tc>
        <w:tc>
          <w:tcPr>
            <w:tcW w:w="807" w:type="dxa"/>
            <w:tcBorders>
              <w:bottom w:val="single" w:color="auto" w:sz="12" w:space="0"/>
            </w:tcBorders>
            <w:vAlign w:val="center"/>
          </w:tcPr>
          <w:p>
            <w:pPr>
              <w:spacing w:line="340" w:lineRule="exact"/>
              <w:ind w:firstLine="0" w:firstLineChars="0"/>
              <w:rPr>
                <w:sz w:val="21"/>
              </w:rPr>
            </w:pPr>
            <w:r>
              <w:rPr>
                <w:rFonts w:hint="eastAsia"/>
                <w:sz w:val="21"/>
              </w:rPr>
              <w:t>1.404</w:t>
            </w:r>
          </w:p>
        </w:tc>
        <w:tc>
          <w:tcPr>
            <w:tcW w:w="807" w:type="dxa"/>
            <w:tcBorders>
              <w:bottom w:val="single" w:color="auto" w:sz="12" w:space="0"/>
            </w:tcBorders>
            <w:vAlign w:val="center"/>
          </w:tcPr>
          <w:p>
            <w:pPr>
              <w:spacing w:line="340" w:lineRule="exact"/>
              <w:ind w:firstLine="0" w:firstLineChars="0"/>
              <w:rPr>
                <w:sz w:val="21"/>
              </w:rPr>
            </w:pPr>
            <w:r>
              <w:rPr>
                <w:rFonts w:hint="eastAsia"/>
                <w:sz w:val="21"/>
              </w:rPr>
              <w:t>2.016</w:t>
            </w:r>
          </w:p>
        </w:tc>
        <w:tc>
          <w:tcPr>
            <w:tcW w:w="687" w:type="dxa"/>
            <w:tcBorders>
              <w:bottom w:val="single" w:color="auto" w:sz="12" w:space="0"/>
            </w:tcBorders>
            <w:vAlign w:val="center"/>
          </w:tcPr>
          <w:p>
            <w:pPr>
              <w:spacing w:line="340" w:lineRule="exact"/>
              <w:ind w:firstLine="0" w:firstLineChars="0"/>
              <w:rPr>
                <w:sz w:val="21"/>
              </w:rPr>
            </w:pPr>
            <w:r>
              <w:rPr>
                <w:rFonts w:hint="eastAsia"/>
                <w:sz w:val="21"/>
              </w:rPr>
              <w:t>42.6</w:t>
            </w:r>
          </w:p>
        </w:tc>
        <w:tc>
          <w:tcPr>
            <w:tcW w:w="693" w:type="dxa"/>
            <w:tcBorders>
              <w:bottom w:val="single" w:color="auto" w:sz="12" w:space="0"/>
            </w:tcBorders>
            <w:vAlign w:val="center"/>
          </w:tcPr>
          <w:p>
            <w:pPr>
              <w:spacing w:line="340" w:lineRule="exact"/>
              <w:ind w:firstLine="0" w:firstLineChars="0"/>
              <w:rPr>
                <w:sz w:val="21"/>
              </w:rPr>
            </w:pPr>
            <w:r>
              <w:rPr>
                <w:rFonts w:hint="eastAsia"/>
                <w:sz w:val="21"/>
              </w:rPr>
              <w:t>59.9</w:t>
            </w:r>
          </w:p>
        </w:tc>
        <w:tc>
          <w:tcPr>
            <w:tcW w:w="663" w:type="dxa"/>
            <w:tcBorders>
              <w:bottom w:val="single" w:color="auto" w:sz="12" w:space="0"/>
            </w:tcBorders>
            <w:vAlign w:val="center"/>
          </w:tcPr>
          <w:p>
            <w:pPr>
              <w:spacing w:line="340" w:lineRule="exact"/>
              <w:ind w:firstLine="0" w:firstLineChars="0"/>
              <w:rPr>
                <w:sz w:val="21"/>
              </w:rPr>
            </w:pPr>
            <w:r>
              <w:rPr>
                <w:rFonts w:hint="eastAsia"/>
                <w:sz w:val="21"/>
              </w:rPr>
              <w:t>6.9</w:t>
            </w:r>
          </w:p>
        </w:tc>
        <w:tc>
          <w:tcPr>
            <w:tcW w:w="670" w:type="dxa"/>
            <w:tcBorders>
              <w:bottom w:val="single" w:color="auto" w:sz="12" w:space="0"/>
            </w:tcBorders>
            <w:vAlign w:val="center"/>
          </w:tcPr>
          <w:p>
            <w:pPr>
              <w:spacing w:line="340" w:lineRule="exact"/>
              <w:ind w:firstLine="0" w:firstLineChars="0"/>
              <w:rPr>
                <w:sz w:val="21"/>
              </w:rPr>
            </w:pPr>
            <w:r>
              <w:rPr>
                <w:rFonts w:hint="eastAsia"/>
                <w:sz w:val="21"/>
              </w:rPr>
              <w:t>41.6</w:t>
            </w:r>
          </w:p>
        </w:tc>
        <w:tc>
          <w:tcPr>
            <w:tcW w:w="672" w:type="dxa"/>
            <w:tcBorders>
              <w:bottom w:val="single" w:color="auto" w:sz="12" w:space="0"/>
            </w:tcBorders>
            <w:vAlign w:val="center"/>
          </w:tcPr>
          <w:p>
            <w:pPr>
              <w:spacing w:line="340" w:lineRule="exact"/>
              <w:ind w:firstLine="0" w:firstLineChars="0"/>
              <w:rPr>
                <w:sz w:val="21"/>
              </w:rPr>
            </w:pPr>
            <w:r>
              <w:rPr>
                <w:rFonts w:hint="eastAsia"/>
                <w:sz w:val="21"/>
              </w:rPr>
              <w:t>8.92</w:t>
            </w:r>
          </w:p>
        </w:tc>
        <w:tc>
          <w:tcPr>
            <w:tcW w:w="690" w:type="dxa"/>
            <w:tcBorders>
              <w:bottom w:val="single" w:color="auto" w:sz="12" w:space="0"/>
            </w:tcBorders>
            <w:vAlign w:val="center"/>
          </w:tcPr>
          <w:p>
            <w:pPr>
              <w:spacing w:line="340" w:lineRule="exact"/>
              <w:ind w:firstLine="0" w:firstLineChars="0"/>
              <w:rPr>
                <w:sz w:val="21"/>
              </w:rPr>
            </w:pPr>
            <w:r>
              <w:rPr>
                <w:rFonts w:hint="eastAsia"/>
                <w:sz w:val="21"/>
              </w:rPr>
              <w:t>3.82</w:t>
            </w:r>
          </w:p>
        </w:tc>
        <w:tc>
          <w:tcPr>
            <w:tcW w:w="666" w:type="dxa"/>
            <w:tcBorders>
              <w:bottom w:val="single" w:color="auto" w:sz="12" w:space="0"/>
            </w:tcBorders>
            <w:vAlign w:val="center"/>
          </w:tcPr>
          <w:p>
            <w:pPr>
              <w:spacing w:line="340" w:lineRule="exact"/>
              <w:ind w:firstLine="0" w:firstLineChars="0"/>
              <w:rPr>
                <w:sz w:val="21"/>
              </w:rPr>
            </w:pPr>
            <w:r>
              <w:rPr>
                <w:rFonts w:hint="eastAsia"/>
                <w:sz w:val="21"/>
              </w:rPr>
              <w:t>20.2</w:t>
            </w:r>
          </w:p>
        </w:tc>
        <w:tc>
          <w:tcPr>
            <w:tcW w:w="673" w:type="dxa"/>
            <w:tcBorders>
              <w:bottom w:val="single" w:color="auto" w:sz="12" w:space="0"/>
            </w:tcBorders>
            <w:vAlign w:val="center"/>
          </w:tcPr>
          <w:p>
            <w:pPr>
              <w:spacing w:line="340" w:lineRule="exact"/>
              <w:ind w:firstLine="0" w:firstLineChars="0"/>
              <w:rPr>
                <w:sz w:val="21"/>
              </w:rPr>
            </w:pPr>
            <w:r>
              <w:rPr>
                <w:rFonts w:hint="eastAsia"/>
                <w:sz w:val="21"/>
              </w:rPr>
              <w:t>18.0</w:t>
            </w:r>
          </w:p>
        </w:tc>
        <w:tc>
          <w:tcPr>
            <w:tcW w:w="691" w:type="dxa"/>
            <w:tcBorders>
              <w:bottom w:val="single" w:color="auto" w:sz="12" w:space="0"/>
            </w:tcBorders>
            <w:vAlign w:val="center"/>
          </w:tcPr>
          <w:p>
            <w:pPr>
              <w:spacing w:line="340" w:lineRule="exact"/>
              <w:ind w:firstLine="0" w:firstLineChars="0"/>
              <w:rPr>
                <w:sz w:val="21"/>
              </w:rPr>
            </w:pPr>
            <w:r>
              <w:rPr>
                <w:rFonts w:hint="eastAsia"/>
                <w:sz w:val="21"/>
              </w:rPr>
              <w:t>2.016</w:t>
            </w:r>
          </w:p>
        </w:tc>
        <w:tc>
          <w:tcPr>
            <w:tcW w:w="675" w:type="dxa"/>
            <w:tcBorders>
              <w:bottom w:val="single" w:color="auto" w:sz="12" w:space="0"/>
              <w:right w:val="single" w:color="auto" w:sz="12" w:space="0"/>
            </w:tcBorders>
            <w:vAlign w:val="center"/>
          </w:tcPr>
          <w:p>
            <w:pPr>
              <w:spacing w:line="340" w:lineRule="exact"/>
              <w:ind w:firstLine="420"/>
              <w:jc w:val="center"/>
              <w:rPr>
                <w:sz w:val="21"/>
              </w:rPr>
            </w:pPr>
            <w:r>
              <w:rPr>
                <w:rFonts w:hint="eastAsia"/>
                <w:sz w:val="21"/>
              </w:rPr>
              <w:t>0</w:t>
            </w:r>
          </w:p>
        </w:tc>
      </w:tr>
    </w:tbl>
    <w:p>
      <w:pPr>
        <w:ind w:firstLine="480"/>
      </w:pPr>
      <w:r>
        <w:rPr>
          <w:rFonts w:hint="eastAsia"/>
        </w:rPr>
        <w:t>地下水及河水均为C</w:t>
      </w:r>
      <w:r>
        <w:rPr>
          <w:rFonts w:hint="eastAsia"/>
          <w:vertAlign w:val="subscript"/>
        </w:rPr>
        <w:t>I</w:t>
      </w:r>
      <w:r>
        <w:rPr>
          <w:rFonts w:hint="eastAsia"/>
          <w:vertAlign w:val="superscript"/>
        </w:rPr>
        <w:t>Ca</w:t>
      </w:r>
      <w:r>
        <w:rPr>
          <w:rFonts w:hint="eastAsia"/>
        </w:rPr>
        <w:t>型水。</w:t>
      </w:r>
    </w:p>
    <w:p>
      <w:pPr>
        <w:ind w:firstLine="480"/>
      </w:pPr>
      <w:r>
        <w:rPr>
          <w:rFonts w:hint="eastAsia"/>
        </w:rPr>
        <w:t>根据《水利水电工程地质勘察规范》(GB50487-99)附录环境水对砼的腐蚀性评价如下：</w:t>
      </w:r>
    </w:p>
    <w:p>
      <w:pPr>
        <w:ind w:firstLine="480"/>
      </w:pPr>
      <w:r>
        <w:rPr>
          <w:rFonts w:hint="eastAsia"/>
        </w:rPr>
        <w:t>地下水对砼具碳酸型中等腐蚀。环境水对钢结构具弱腐蚀性，地下水和河水均无其它类型腐蚀。</w:t>
      </w:r>
    </w:p>
    <w:p>
      <w:pPr>
        <w:pStyle w:val="7"/>
      </w:pPr>
      <w:bookmarkStart w:id="677" w:name="_Toc529279054"/>
      <w:bookmarkStart w:id="678" w:name="_Toc3903272"/>
      <w:bookmarkStart w:id="679" w:name="_Toc534386292"/>
      <w:bookmarkStart w:id="680" w:name="_Toc534895268"/>
      <w:bookmarkStart w:id="681" w:name="_Toc534807051"/>
      <w:bookmarkStart w:id="682" w:name="_Toc536265135"/>
      <w:r>
        <w:t>4.1.</w:t>
      </w:r>
      <w:bookmarkEnd w:id="677"/>
      <w:r>
        <w:rPr>
          <w:rFonts w:hint="eastAsia"/>
        </w:rPr>
        <w:t>5</w:t>
      </w:r>
      <w:r>
        <w:t>水系水文泥沙</w:t>
      </w:r>
      <w:bookmarkEnd w:id="678"/>
      <w:bookmarkEnd w:id="679"/>
      <w:bookmarkEnd w:id="680"/>
      <w:bookmarkEnd w:id="681"/>
      <w:bookmarkEnd w:id="682"/>
    </w:p>
    <w:p>
      <w:pPr>
        <w:ind w:firstLine="0" w:firstLineChars="0"/>
        <w:rPr>
          <w:b/>
        </w:rPr>
      </w:pPr>
      <w:bookmarkStart w:id="683" w:name="_Toc103272002"/>
      <w:bookmarkStart w:id="684" w:name="_Toc269188096"/>
      <w:bookmarkStart w:id="685" w:name="_Toc334643175"/>
      <w:bookmarkStart w:id="686" w:name="_Toc43977761"/>
      <w:bookmarkStart w:id="687" w:name="_Toc103272298"/>
      <w:bookmarkStart w:id="688" w:name="_Toc109205159"/>
      <w:bookmarkStart w:id="689" w:name="_Toc103681328"/>
      <w:r>
        <w:rPr>
          <w:b/>
        </w:rPr>
        <w:t>4.1.</w:t>
      </w:r>
      <w:r>
        <w:rPr>
          <w:rFonts w:hint="eastAsia"/>
          <w:b/>
        </w:rPr>
        <w:t>5</w:t>
      </w:r>
      <w:r>
        <w:rPr>
          <w:b/>
        </w:rPr>
        <w:t>.1河流水系</w:t>
      </w:r>
    </w:p>
    <w:p>
      <w:pPr>
        <w:pStyle w:val="74"/>
        <w:spacing w:before="0" w:beforeAutospacing="0" w:after="0" w:afterAutospacing="0" w:line="360" w:lineRule="auto"/>
        <w:ind w:firstLine="480" w:firstLineChars="200"/>
        <w:jc w:val="both"/>
        <w:rPr>
          <w:rFonts w:ascii="Times New Roman" w:hAnsi="Times New Roman"/>
          <w:snapToGrid w:val="0"/>
          <w:kern w:val="2"/>
          <w:szCs w:val="20"/>
        </w:rPr>
      </w:pPr>
      <w:r>
        <w:rPr>
          <w:rFonts w:hint="eastAsia" w:ascii="Times New Roman" w:hAnsi="Times New Roman"/>
          <w:snapToGrid w:val="0"/>
          <w:kern w:val="2"/>
          <w:szCs w:val="20"/>
        </w:rPr>
        <w:t>上高</w:t>
      </w:r>
      <w:r>
        <w:rPr>
          <w:rFonts w:ascii="Times New Roman" w:hAnsi="Times New Roman"/>
          <w:snapToGrid w:val="0"/>
          <w:kern w:val="2"/>
          <w:szCs w:val="20"/>
        </w:rPr>
        <w:t>县境内主要河流为</w:t>
      </w:r>
      <w:r>
        <w:rPr>
          <w:rFonts w:hint="eastAsia" w:ascii="Times New Roman" w:hAnsi="Times New Roman"/>
          <w:snapToGrid w:val="0"/>
          <w:kern w:val="2"/>
          <w:szCs w:val="20"/>
        </w:rPr>
        <w:t>锦河</w:t>
      </w:r>
      <w:r>
        <w:rPr>
          <w:rFonts w:ascii="Times New Roman" w:hAnsi="Times New Roman"/>
          <w:snapToGrid w:val="0"/>
          <w:kern w:val="2"/>
          <w:szCs w:val="20"/>
        </w:rPr>
        <w:t>及其支流，拟建抬水坝位于</w:t>
      </w:r>
      <w:r>
        <w:rPr>
          <w:rFonts w:hint="eastAsia" w:ascii="Times New Roman" w:hAnsi="Times New Roman"/>
          <w:snapToGrid w:val="0"/>
          <w:kern w:val="2"/>
          <w:szCs w:val="20"/>
        </w:rPr>
        <w:t>锦河</w:t>
      </w:r>
      <w:r>
        <w:rPr>
          <w:rFonts w:ascii="Times New Roman" w:hAnsi="Times New Roman"/>
          <w:snapToGrid w:val="0"/>
          <w:kern w:val="2"/>
          <w:szCs w:val="20"/>
        </w:rPr>
        <w:t>干流，拟建坝址上游约</w:t>
      </w:r>
      <w:r>
        <w:rPr>
          <w:rFonts w:hint="eastAsia" w:ascii="Times New Roman" w:hAnsi="Times New Roman"/>
          <w:snapToGrid w:val="0"/>
          <w:kern w:val="2"/>
          <w:szCs w:val="20"/>
        </w:rPr>
        <w:t>1.8</w:t>
      </w:r>
      <w:r>
        <w:rPr>
          <w:rFonts w:ascii="Times New Roman" w:hAnsi="Times New Roman"/>
          <w:snapToGrid w:val="0"/>
          <w:kern w:val="2"/>
          <w:szCs w:val="20"/>
        </w:rPr>
        <w:t>km处有</w:t>
      </w:r>
      <w:r>
        <w:rPr>
          <w:rFonts w:hint="eastAsia" w:ascii="Times New Roman" w:hAnsi="Times New Roman"/>
          <w:snapToGrid w:val="0"/>
          <w:kern w:val="2"/>
          <w:szCs w:val="20"/>
        </w:rPr>
        <w:t>锦河大桥</w:t>
      </w:r>
      <w:r>
        <w:rPr>
          <w:rFonts w:ascii="Times New Roman" w:hAnsi="Times New Roman"/>
          <w:snapToGrid w:val="0"/>
          <w:kern w:val="2"/>
          <w:szCs w:val="20"/>
        </w:rPr>
        <w:t>。</w:t>
      </w:r>
      <w:r>
        <w:rPr>
          <w:rFonts w:hint="eastAsia" w:ascii="Times New Roman" w:hAnsi="Times New Roman"/>
          <w:snapToGrid w:val="0"/>
          <w:kern w:val="2"/>
          <w:szCs w:val="20"/>
        </w:rPr>
        <w:t>锦河</w:t>
      </w:r>
      <w:r>
        <w:rPr>
          <w:rFonts w:ascii="Times New Roman" w:hAnsi="Times New Roman"/>
          <w:snapToGrid w:val="0"/>
          <w:kern w:val="2"/>
          <w:szCs w:val="20"/>
        </w:rPr>
        <w:t>古名蜀江，属赣江支流，发源于袁州区慈化镇锡杖山，自万载县湖潭入县，流经镇渡、徐家渡，中途流经宜丰县芳溪镇、石市镇，</w:t>
      </w:r>
      <w:r>
        <w:rPr>
          <w:rFonts w:hint="eastAsia" w:ascii="Times New Roman" w:hAnsi="Times New Roman"/>
          <w:snapToGrid w:val="0"/>
          <w:kern w:val="2"/>
          <w:szCs w:val="20"/>
        </w:rPr>
        <w:t>锦河</w:t>
      </w:r>
      <w:r>
        <w:rPr>
          <w:rFonts w:ascii="Times New Roman" w:hAnsi="Times New Roman"/>
          <w:snapToGrid w:val="0"/>
          <w:kern w:val="2"/>
          <w:szCs w:val="20"/>
        </w:rPr>
        <w:t>、县城、塔下、新界埠、敖山、泗溪等乡镇，在泗溪镇良田村入高安市。境内流程71千米，河面平均宽190米，县城洪水水位标高50.12米（1993年7月6日），枯水水位标高41.66米（1997年3月15日），平常流量为18～20立方米/秒，最大流量2980立方米/秒（1993年7月6日）。</w:t>
      </w:r>
      <w:r>
        <w:rPr>
          <w:rFonts w:hint="eastAsia" w:ascii="Times New Roman" w:hAnsi="Times New Roman"/>
          <w:snapToGrid w:val="0"/>
          <w:kern w:val="2"/>
          <w:szCs w:val="20"/>
        </w:rPr>
        <w:t>锦河</w:t>
      </w:r>
      <w:r>
        <w:rPr>
          <w:rFonts w:ascii="Times New Roman" w:hAnsi="Times New Roman"/>
          <w:snapToGrid w:val="0"/>
          <w:kern w:val="2"/>
          <w:szCs w:val="20"/>
        </w:rPr>
        <w:t>河床多由卵石及粗、细砂组成，沿江两岸以沙壤土为主，植被稀疏，多灌木及草层，水土流失较严重。支流有坪溪水、罗河、耶溪、江口水、水口水、蒙水、漳河等。</w:t>
      </w:r>
    </w:p>
    <w:p>
      <w:pPr>
        <w:adjustRightInd w:val="0"/>
        <w:snapToGrid w:val="0"/>
        <w:ind w:firstLine="480"/>
        <w:rPr>
          <w:snapToGrid w:val="0"/>
        </w:rPr>
      </w:pPr>
      <w:r>
        <w:rPr>
          <w:rFonts w:hint="eastAsia"/>
          <w:snapToGrid w:val="0"/>
        </w:rPr>
        <w:t>河道蜿蜒曲折，尤其是高安以下河段更为突出，局部河段呈U型迂回流向。锦河干流沿岸的丘陵和河谷平原相间，较大的河谷平原有株潭、潭埠、万载、徐家渡、上高及下游的药湖、流湖区。河源至凌江口为上游山丘区，属中丘陵地区，上游河面较窄，一般在50-80m</w:t>
      </w:r>
      <w:r>
        <w:rPr>
          <w:snapToGrid w:val="0"/>
        </w:rPr>
        <w:t>。</w:t>
      </w:r>
      <w:r>
        <w:rPr>
          <w:rFonts w:hint="eastAsia"/>
          <w:snapToGrid w:val="0"/>
        </w:rPr>
        <w:t>凌江口至高安为中游低丘陵区，高安以下为下游冲积平原，中下游河槽逐渐开阔，河宽120-280m。上游河床多</w:t>
      </w:r>
      <w:r>
        <w:rPr>
          <w:snapToGrid w:val="0"/>
        </w:rPr>
        <w:t>卵石</w:t>
      </w:r>
      <w:r>
        <w:rPr>
          <w:rFonts w:hint="eastAsia"/>
          <w:snapToGrid w:val="0"/>
        </w:rPr>
        <w:t>、粗沙、细沙，中下游多为细沙</w:t>
      </w:r>
      <w:r>
        <w:rPr>
          <w:snapToGrid w:val="0"/>
        </w:rPr>
        <w:t>。</w:t>
      </w:r>
      <w:r>
        <w:rPr>
          <w:rFonts w:hint="eastAsia"/>
          <w:snapToGrid w:val="0"/>
        </w:rPr>
        <w:t>由于沿河山丘植被较差，水土流失严重，河床逐年抬高。锦河干流河床为古老型，相对稳定。</w:t>
      </w:r>
    </w:p>
    <w:p>
      <w:pPr>
        <w:ind w:firstLine="0" w:firstLineChars="0"/>
        <w:rPr>
          <w:b/>
        </w:rPr>
      </w:pPr>
      <w:r>
        <w:rPr>
          <w:b/>
        </w:rPr>
        <w:t>4.1.</w:t>
      </w:r>
      <w:r>
        <w:rPr>
          <w:rFonts w:hint="eastAsia"/>
          <w:b/>
        </w:rPr>
        <w:t>5</w:t>
      </w:r>
      <w:r>
        <w:rPr>
          <w:b/>
        </w:rPr>
        <w:t>.2水文</w:t>
      </w:r>
    </w:p>
    <w:p>
      <w:pPr>
        <w:adjustRightInd w:val="0"/>
        <w:snapToGrid w:val="0"/>
        <w:ind w:firstLine="480"/>
        <w:rPr>
          <w:snapToGrid w:val="0"/>
        </w:rPr>
      </w:pPr>
      <w:r>
        <w:rPr>
          <w:rFonts w:hint="eastAsia"/>
          <w:snapToGrid w:val="0"/>
        </w:rPr>
        <w:t>上高县域河溪众多，水量充足，集雨面积较大，境内流程为71公里，河面平均宽度190 米，年平均径流量12.5 立方/秒，锦江是县域主要水源，最大流量可达4530 立方米/秒，最小枯水流量为5.22 立方米/秒，平常流量为18~20 立方米/秒。</w:t>
      </w:r>
    </w:p>
    <w:p>
      <w:pPr>
        <w:adjustRightInd w:val="0"/>
        <w:snapToGrid w:val="0"/>
        <w:ind w:firstLine="480"/>
        <w:rPr>
          <w:snapToGrid w:val="0"/>
        </w:rPr>
      </w:pPr>
      <w:r>
        <w:rPr>
          <w:snapToGrid w:val="0"/>
        </w:rPr>
        <w:t>毛家渡抬水工程流域属</w:t>
      </w:r>
      <w:r>
        <w:rPr>
          <w:rFonts w:hint="eastAsia"/>
          <w:snapToGrid w:val="0"/>
        </w:rPr>
        <w:t>赣江</w:t>
      </w:r>
      <w:r>
        <w:rPr>
          <w:snapToGrid w:val="0"/>
        </w:rPr>
        <w:t>水系</w:t>
      </w:r>
      <w:r>
        <w:rPr>
          <w:rFonts w:hint="eastAsia"/>
          <w:snapToGrid w:val="0"/>
        </w:rPr>
        <w:t>锦河</w:t>
      </w:r>
      <w:r>
        <w:rPr>
          <w:snapToGrid w:val="0"/>
        </w:rPr>
        <w:t>干流。</w:t>
      </w:r>
      <w:r>
        <w:rPr>
          <w:rFonts w:hint="eastAsia"/>
          <w:snapToGrid w:val="0"/>
        </w:rPr>
        <w:t>锦河</w:t>
      </w:r>
      <w:r>
        <w:rPr>
          <w:snapToGrid w:val="0"/>
        </w:rPr>
        <w:t>系</w:t>
      </w:r>
      <w:r>
        <w:rPr>
          <w:rFonts w:hint="eastAsia"/>
          <w:snapToGrid w:val="0"/>
        </w:rPr>
        <w:t>赣江</w:t>
      </w:r>
      <w:r>
        <w:rPr>
          <w:snapToGrid w:val="0"/>
        </w:rPr>
        <w:t>一级支流，</w:t>
      </w:r>
      <w:r>
        <w:rPr>
          <w:rFonts w:hint="eastAsia"/>
          <w:snapToGrid w:val="0"/>
        </w:rPr>
        <w:t>位于</w:t>
      </w:r>
      <w:r>
        <w:rPr>
          <w:snapToGrid w:val="0"/>
        </w:rPr>
        <w:t>东经114°00′～115°38′，北纬27°59′～28°23′之间</w:t>
      </w:r>
      <w:r>
        <w:rPr>
          <w:rFonts w:hint="eastAsia"/>
          <w:snapToGrid w:val="0"/>
        </w:rPr>
        <w:t>，地处江西省的西部，为赣江下游西岸的主要支流之一。锦河发源于湘赣交界的幕埠山脉东麓的坪子岭，自西向东流经袁州区的慈化镇、万载县、宜丰县石市镇、上高县、高安市、丰城市的药湖地区和南昌市新建区松湖地区，在新建区的四峰汇入赣江。锦河流域呈狭长叶状，地势由北向东倾斜。多数山脉为东西走向。河道长304.55km，平均坡降为1.29‰，全流域面积7884km</w:t>
      </w:r>
      <w:r>
        <w:rPr>
          <w:rFonts w:hint="eastAsia"/>
          <w:snapToGrid w:val="0"/>
          <w:vertAlign w:val="superscript"/>
        </w:rPr>
        <w:t>2</w:t>
      </w:r>
      <w:r>
        <w:rPr>
          <w:rFonts w:hint="eastAsia"/>
          <w:snapToGrid w:val="0"/>
        </w:rPr>
        <w:t>。</w:t>
      </w:r>
    </w:p>
    <w:p>
      <w:pPr>
        <w:adjustRightInd w:val="0"/>
        <w:snapToGrid w:val="0"/>
        <w:ind w:firstLine="480"/>
        <w:rPr>
          <w:snapToGrid w:val="0"/>
        </w:rPr>
      </w:pPr>
      <w:r>
        <w:rPr>
          <w:rFonts w:hint="eastAsia"/>
          <w:snapToGrid w:val="0"/>
        </w:rPr>
        <w:t>锦河流域内处于上高县附近的水文测站主要有：牛头山水文站、上高水文站。</w:t>
      </w:r>
      <w:r>
        <w:rPr>
          <w:snapToGrid w:val="0"/>
        </w:rPr>
        <w:t>上高水文站距离毛家渡抬水坝较近，集雨面积相差不大，本次采用上高水文站作为水文计算的参证站。</w:t>
      </w:r>
    </w:p>
    <w:p>
      <w:pPr>
        <w:adjustRightInd w:val="0"/>
        <w:snapToGrid w:val="0"/>
        <w:ind w:firstLine="480"/>
        <w:rPr>
          <w:snapToGrid w:val="0"/>
        </w:rPr>
      </w:pPr>
      <w:r>
        <w:rPr>
          <w:snapToGrid w:val="0"/>
        </w:rPr>
        <w:t>上高水文站位于上高县敖阳镇，地处上高县主城区，地理坐标为：东经114°56′，北纬28°15′。该站1947 年4 月设立为水位站，1949 年3 月停测，1951 年1 月增加雨量观测，同年5 月恢复为水位站，1952 年5 月改为水文站，同年12 月又改为为水位站。1955 年4 月恢复为水文站，基本水尺上迁约340m，控制流域面积4076km2，1957 年3 月又改为水位站，1985 年改为水文站，同年5 月开始观测流量至今。</w:t>
      </w:r>
    </w:p>
    <w:p>
      <w:pPr>
        <w:adjustRightInd w:val="0"/>
        <w:snapToGrid w:val="0"/>
        <w:ind w:firstLine="480"/>
      </w:pPr>
      <w:r>
        <w:rPr>
          <w:snapToGrid w:val="0"/>
        </w:rPr>
        <w:t>毛家渡抬水工程的坝址设计洪水计算，系采用水文比拟法，根据</w:t>
      </w:r>
      <w:r>
        <w:rPr>
          <w:rFonts w:hint="eastAsia"/>
          <w:snapToGrid w:val="0"/>
        </w:rPr>
        <w:t>上高水文站</w:t>
      </w:r>
      <w:r>
        <w:rPr>
          <w:snapToGrid w:val="0"/>
        </w:rPr>
        <w:t>设计洪水，按面积比的2/3次方，计算得到抬水工程坝址的设计洪峰流量。经分析计算，坝址校核洪水标准（P=2%）的洪峰流量为4110m</w:t>
      </w:r>
      <w:r>
        <w:rPr>
          <w:snapToGrid w:val="0"/>
          <w:vertAlign w:val="superscript"/>
        </w:rPr>
        <w:t>3</w:t>
      </w:r>
      <w:r>
        <w:rPr>
          <w:snapToGrid w:val="0"/>
        </w:rPr>
        <w:t>/s；设计洪水标准（P=5%）的洪峰流量为3568m</w:t>
      </w:r>
      <w:r>
        <w:rPr>
          <w:snapToGrid w:val="0"/>
          <w:vertAlign w:val="superscript"/>
        </w:rPr>
        <w:t>3</w:t>
      </w:r>
      <w:r>
        <w:rPr>
          <w:snapToGrid w:val="0"/>
        </w:rPr>
        <w:t>/s。</w:t>
      </w:r>
    </w:p>
    <w:p>
      <w:pPr>
        <w:ind w:firstLine="0" w:firstLineChars="0"/>
        <w:rPr>
          <w:b/>
        </w:rPr>
      </w:pPr>
      <w:r>
        <w:rPr>
          <w:b/>
        </w:rPr>
        <w:t>4.1.</w:t>
      </w:r>
      <w:r>
        <w:rPr>
          <w:rFonts w:hint="eastAsia"/>
          <w:b/>
        </w:rPr>
        <w:t>5</w:t>
      </w:r>
      <w:r>
        <w:rPr>
          <w:b/>
        </w:rPr>
        <w:t>.3径流</w:t>
      </w:r>
    </w:p>
    <w:p>
      <w:pPr>
        <w:ind w:firstLine="480"/>
      </w:pPr>
      <w:r>
        <w:rPr>
          <w:rFonts w:hint="eastAsia"/>
        </w:rPr>
        <w:t>锦河</w:t>
      </w:r>
      <w:r>
        <w:t>流域面积</w:t>
      </w:r>
      <w:r>
        <w:rPr>
          <w:rFonts w:hint="eastAsia"/>
        </w:rPr>
        <w:t>7884</w:t>
      </w:r>
      <w:r>
        <w:t>km</w:t>
      </w:r>
      <w:r>
        <w:rPr>
          <w:vertAlign w:val="superscript"/>
        </w:rPr>
        <w:t>2</w:t>
      </w:r>
      <w:r>
        <w:t>，主河道长度</w:t>
      </w:r>
      <w:r>
        <w:rPr>
          <w:rFonts w:hint="eastAsia"/>
        </w:rPr>
        <w:t>304.55</w:t>
      </w:r>
      <w:r>
        <w:t>km，流域多年平均降水量</w:t>
      </w:r>
      <w:r>
        <w:rPr>
          <w:rFonts w:hint="eastAsia"/>
        </w:rPr>
        <w:t>1681</w:t>
      </w:r>
      <w:r>
        <w:t>.0mm，上游山区可达2000mm，多年平均产水量42.82亿m</w:t>
      </w:r>
      <w:r>
        <w:rPr>
          <w:vertAlign w:val="superscript"/>
        </w:rPr>
        <w:t>3</w:t>
      </w:r>
      <w:r>
        <w:t>。流域内设</w:t>
      </w:r>
      <w:r>
        <w:rPr>
          <w:rFonts w:hint="eastAsia"/>
        </w:rPr>
        <w:t>危坊</w:t>
      </w:r>
      <w:r>
        <w:t>、</w:t>
      </w:r>
      <w:r>
        <w:rPr>
          <w:rFonts w:hint="eastAsia"/>
        </w:rPr>
        <w:t>牛头山</w:t>
      </w:r>
      <w:r>
        <w:t>、</w:t>
      </w:r>
      <w:r>
        <w:rPr>
          <w:rFonts w:hint="eastAsia"/>
        </w:rPr>
        <w:t>贾村、上高、高安及宜丰6</w:t>
      </w:r>
      <w:r>
        <w:t>个水文站。</w:t>
      </w:r>
    </w:p>
    <w:p>
      <w:pPr>
        <w:ind w:firstLine="480"/>
      </w:pPr>
      <w:r>
        <w:rPr>
          <w:rFonts w:hint="eastAsia"/>
        </w:rPr>
        <w:t>锦河流域内处于上高县附近的水文测站主要有：牛头山水文站、上高水文站。上高水文站距离毛家渡抬水坝较近，集雨面积相差不大，本次采用上高水文站作为水文计算的参证站。</w:t>
      </w:r>
    </w:p>
    <w:p>
      <w:pPr>
        <w:ind w:firstLine="480"/>
      </w:pPr>
      <w:r>
        <w:rPr>
          <w:rFonts w:hint="eastAsia"/>
        </w:rPr>
        <w:t>毛家渡抬水工程的坝址设计洪水计算，系采用水文比拟法，根据上高水文站设计洪水，按面积比的2/3次方，计算得到抬水工程坝址的设计洪峰流量。经分析计算，坝址校核洪水标准（P=2%）的洪峰流量为4110m</w:t>
      </w:r>
      <w:r>
        <w:rPr>
          <w:rFonts w:hint="eastAsia"/>
          <w:vertAlign w:val="superscript"/>
        </w:rPr>
        <w:t>3</w:t>
      </w:r>
      <w:r>
        <w:rPr>
          <w:rFonts w:hint="eastAsia"/>
        </w:rPr>
        <w:t>/s；设计洪水标准（P=5%）的洪峰流量为3568m</w:t>
      </w:r>
      <w:r>
        <w:rPr>
          <w:rFonts w:hint="eastAsia"/>
          <w:vertAlign w:val="superscript"/>
        </w:rPr>
        <w:t>3</w:t>
      </w:r>
      <w:r>
        <w:rPr>
          <w:rFonts w:hint="eastAsia"/>
        </w:rPr>
        <w:t>/s。</w:t>
      </w:r>
    </w:p>
    <w:p>
      <w:pPr>
        <w:ind w:firstLine="0" w:firstLineChars="0"/>
        <w:rPr>
          <w:b/>
        </w:rPr>
      </w:pPr>
      <w:r>
        <w:rPr>
          <w:b/>
        </w:rPr>
        <w:t>4.1.</w:t>
      </w:r>
      <w:r>
        <w:rPr>
          <w:rFonts w:hint="eastAsia"/>
          <w:b/>
        </w:rPr>
        <w:t>5</w:t>
      </w:r>
      <w:r>
        <w:rPr>
          <w:b/>
        </w:rPr>
        <w:t>.4洪水</w:t>
      </w:r>
    </w:p>
    <w:p>
      <w:pPr>
        <w:adjustRightInd w:val="0"/>
        <w:snapToGrid w:val="0"/>
        <w:ind w:firstLine="480"/>
      </w:pPr>
      <w:r>
        <w:rPr>
          <w:rFonts w:hint="eastAsia"/>
        </w:rPr>
        <w:t>锦河流域洪水由暴雨形成，洪水季节与暴雨季节一致，大洪水主要由锋面雨、气旋雨形成，但有时台风雨也可能形成特大洪水。洪水最早出现在3-4月，但是洪量值相对较小，5-7月上旬为洪水的主要季节，往往造成峰高量大的洪水，在梅雨季节往往形成多个洪峰，一次洪水过程历时一般为3-7天。锦河</w:t>
      </w:r>
      <w:r>
        <w:t>为雨洪式河流，洪水由暴雨形成，因此，洪水季节与暴雨季节相一致。一般每年自</w:t>
      </w:r>
      <w:r>
        <w:rPr>
          <w:rFonts w:hint="eastAsia"/>
        </w:rPr>
        <w:t>3-</w:t>
      </w:r>
      <w:r>
        <w:t>4月份起，流域开始出现洪水，但峰量不大；5、6月份为出现洪水的主要季节，尤其是6月份，往往由大强度暴雨产生峰高量大的大量级洪水；7～9月由于受台风影响，也会出现短历时的中等洪水；</w:t>
      </w:r>
      <w:r>
        <w:rPr>
          <w:rFonts w:hint="eastAsia"/>
        </w:rPr>
        <w:t>锦河</w:t>
      </w:r>
      <w:r>
        <w:t>流域3月或10月偶尔也会发生中等洪水。</w:t>
      </w:r>
      <w:r>
        <w:rPr>
          <w:rFonts w:hint="eastAsia"/>
        </w:rPr>
        <w:t>锦河</w:t>
      </w:r>
      <w:r>
        <w:t>流域4～6月份洪水往往峰高量大，7～9月份洪水过程一般较尖。由于中上游河槽调蓄能力较小，一次暴雨即形成一个洪峰，在梅雨季节往往形成连续多个洪峰，一次洪水过程一般为3～</w:t>
      </w:r>
      <w:r>
        <w:rPr>
          <w:rFonts w:hint="eastAsia"/>
        </w:rPr>
        <w:t>7</w:t>
      </w:r>
      <w:r>
        <w:t>天。</w:t>
      </w:r>
    </w:p>
    <w:p>
      <w:pPr>
        <w:adjustRightInd w:val="0"/>
        <w:snapToGrid w:val="0"/>
        <w:ind w:firstLine="560"/>
        <w:rPr>
          <w:rFonts w:ascii="宋体" w:hAnsi="宋体"/>
          <w:sz w:val="28"/>
          <w:szCs w:val="24"/>
        </w:rPr>
      </w:pPr>
      <w:r>
        <w:rPr>
          <w:rFonts w:hint="eastAsia" w:ascii="宋体" w:hAnsi="宋体"/>
          <w:sz w:val="28"/>
          <w:szCs w:val="24"/>
        </w:rPr>
        <w:t>根据水利部门和规划部门提供基础数据如下表：</w:t>
      </w:r>
    </w:p>
    <w:tbl>
      <w:tblPr>
        <w:tblStyle w:val="8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88"/>
        <w:gridCol w:w="3188"/>
        <w:gridCol w:w="31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数值特</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吴淞高程（水利）</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黄海高程（建设）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 xml:space="preserve">50 </w:t>
            </w:r>
            <w:r>
              <w:rPr>
                <w:sz w:val="21"/>
                <w:szCs w:val="21"/>
              </w:rPr>
              <w:t>年一遇洪水位</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51.000</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49.200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 xml:space="preserve">50 </w:t>
            </w:r>
            <w:r>
              <w:rPr>
                <w:sz w:val="21"/>
                <w:szCs w:val="21"/>
              </w:rPr>
              <w:t>年一遇洪水位</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50.150</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48.350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 xml:space="preserve">50 </w:t>
            </w:r>
            <w:r>
              <w:rPr>
                <w:sz w:val="21"/>
                <w:szCs w:val="21"/>
              </w:rPr>
              <w:t>年一遇洪水位</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48.275</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46.475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历年平均水位</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41.590</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39.790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历年最低水位</w:t>
            </w:r>
          </w:p>
        </w:tc>
        <w:tc>
          <w:tcPr>
            <w:tcW w:w="1666" w:type="pct"/>
            <w:tcBorders>
              <w:tl2br w:val="nil"/>
              <w:tr2bl w:val="nil"/>
            </w:tcBorders>
            <w:vAlign w:val="center"/>
          </w:tcPr>
          <w:p>
            <w:pPr>
              <w:adjustRightInd w:val="0"/>
              <w:snapToGrid w:val="0"/>
              <w:spacing w:line="340" w:lineRule="exact"/>
              <w:ind w:firstLine="0" w:firstLineChars="0"/>
              <w:jc w:val="center"/>
              <w:rPr>
                <w:sz w:val="21"/>
                <w:szCs w:val="21"/>
              </w:rPr>
            </w:pPr>
            <w:r>
              <w:rPr>
                <w:rFonts w:eastAsia="TimesNewRomanPSMT"/>
                <w:sz w:val="21"/>
                <w:szCs w:val="21"/>
              </w:rPr>
              <w:t>40.530</w:t>
            </w:r>
            <w:r>
              <w:rPr>
                <w:sz w:val="21"/>
                <w:szCs w:val="21"/>
              </w:rPr>
              <w:t>（</w:t>
            </w:r>
            <w:r>
              <w:rPr>
                <w:rFonts w:eastAsia="TimesNewRomanPSMT"/>
                <w:sz w:val="21"/>
                <w:szCs w:val="21"/>
              </w:rPr>
              <w:t xml:space="preserve">07 </w:t>
            </w:r>
            <w:r>
              <w:rPr>
                <w:sz w:val="21"/>
                <w:szCs w:val="21"/>
              </w:rPr>
              <w:t>年</w:t>
            </w:r>
            <w:r>
              <w:rPr>
                <w:rFonts w:eastAsia="TimesNewRomanPSMT"/>
                <w:sz w:val="21"/>
                <w:szCs w:val="21"/>
              </w:rPr>
              <w:t xml:space="preserve">8 </w:t>
            </w:r>
            <w:r>
              <w:rPr>
                <w:sz w:val="21"/>
                <w:szCs w:val="21"/>
              </w:rPr>
              <w:t>月</w:t>
            </w:r>
            <w:r>
              <w:rPr>
                <w:rFonts w:eastAsia="TimesNewRomanPSMT"/>
                <w:sz w:val="21"/>
                <w:szCs w:val="21"/>
              </w:rPr>
              <w:t xml:space="preserve">15 </w:t>
            </w:r>
            <w:r>
              <w:rPr>
                <w:sz w:val="21"/>
                <w:szCs w:val="21"/>
              </w:rPr>
              <w:t>日）</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38.730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adjustRightInd w:val="0"/>
              <w:snapToGrid w:val="0"/>
              <w:spacing w:line="340" w:lineRule="exact"/>
              <w:ind w:firstLine="420"/>
              <w:jc w:val="center"/>
              <w:rPr>
                <w:sz w:val="21"/>
                <w:szCs w:val="21"/>
              </w:rPr>
            </w:pPr>
            <w:r>
              <w:rPr>
                <w:sz w:val="21"/>
                <w:szCs w:val="21"/>
              </w:rPr>
              <w:t>警戒水位</w:t>
            </w:r>
          </w:p>
        </w:tc>
        <w:tc>
          <w:tcPr>
            <w:tcW w:w="1666"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48.500</w:t>
            </w:r>
          </w:p>
        </w:tc>
        <w:tc>
          <w:tcPr>
            <w:tcW w:w="1667" w:type="pct"/>
            <w:tcBorders>
              <w:tl2br w:val="nil"/>
              <w:tr2bl w:val="nil"/>
            </w:tcBorders>
            <w:vAlign w:val="center"/>
          </w:tcPr>
          <w:p>
            <w:pPr>
              <w:adjustRightInd w:val="0"/>
              <w:snapToGrid w:val="0"/>
              <w:spacing w:line="340" w:lineRule="exact"/>
              <w:ind w:firstLine="420"/>
              <w:jc w:val="center"/>
              <w:rPr>
                <w:sz w:val="21"/>
                <w:szCs w:val="21"/>
              </w:rPr>
            </w:pPr>
            <w:r>
              <w:rPr>
                <w:rFonts w:eastAsia="TimesNewRomanPSMT"/>
                <w:sz w:val="21"/>
                <w:szCs w:val="21"/>
              </w:rPr>
              <w:t>46.700</w:t>
            </w:r>
          </w:p>
        </w:tc>
      </w:tr>
    </w:tbl>
    <w:p>
      <w:pPr>
        <w:ind w:firstLine="0" w:firstLineChars="0"/>
        <w:rPr>
          <w:b/>
        </w:rPr>
      </w:pPr>
      <w:r>
        <w:rPr>
          <w:b/>
        </w:rPr>
        <w:t>4.1.</w:t>
      </w:r>
      <w:r>
        <w:rPr>
          <w:rFonts w:hint="eastAsia"/>
          <w:b/>
        </w:rPr>
        <w:t>5</w:t>
      </w:r>
      <w:r>
        <w:rPr>
          <w:b/>
        </w:rPr>
        <w:t>.</w:t>
      </w:r>
      <w:r>
        <w:rPr>
          <w:rFonts w:hint="eastAsia"/>
          <w:b/>
        </w:rPr>
        <w:t>5</w:t>
      </w:r>
      <w:r>
        <w:rPr>
          <w:b/>
        </w:rPr>
        <w:t>泥沙</w:t>
      </w:r>
    </w:p>
    <w:p>
      <w:pPr>
        <w:autoSpaceDE w:val="0"/>
        <w:autoSpaceDN w:val="0"/>
        <w:adjustRightInd w:val="0"/>
        <w:ind w:firstLine="480"/>
      </w:pPr>
      <w:r>
        <w:rPr>
          <w:rFonts w:hint="eastAsia"/>
        </w:rPr>
        <w:t>锦河</w:t>
      </w:r>
      <w:r>
        <w:t>流域的泥沙来源主要是暴雨洪水对表土的侵蚀。流域内仅</w:t>
      </w:r>
      <w:r>
        <w:rPr>
          <w:rFonts w:hint="eastAsia"/>
        </w:rPr>
        <w:t>高安</w:t>
      </w:r>
      <w:r>
        <w:t>站有泥沙观测资料。根据</w:t>
      </w:r>
      <w:r>
        <w:rPr>
          <w:rFonts w:hint="eastAsia"/>
        </w:rPr>
        <w:t>高安</w:t>
      </w:r>
      <w:r>
        <w:t>站资料统计，该站多年平均</w:t>
      </w:r>
      <w:r>
        <w:rPr>
          <w:rFonts w:hint="eastAsia"/>
        </w:rPr>
        <w:t>输</w:t>
      </w:r>
      <w:r>
        <w:t>沙量</w:t>
      </w:r>
      <w:r>
        <w:rPr>
          <w:rFonts w:hint="eastAsia"/>
        </w:rPr>
        <w:t>52.8万t</w:t>
      </w:r>
      <w:r>
        <w:t>，</w:t>
      </w:r>
      <w:r>
        <w:rPr>
          <w:rFonts w:hint="eastAsia"/>
        </w:rPr>
        <w:t>实测最大输沙量为114万t，多年平均侵蚀模数为90.1t/km</w:t>
      </w:r>
      <w:r>
        <w:rPr>
          <w:rFonts w:hint="eastAsia"/>
          <w:vertAlign w:val="superscript"/>
        </w:rPr>
        <w:t>2</w:t>
      </w:r>
      <w:r>
        <w:t>。以</w:t>
      </w:r>
      <w:r>
        <w:rPr>
          <w:rFonts w:hint="eastAsia"/>
        </w:rPr>
        <w:t>高安</w:t>
      </w:r>
      <w:r>
        <w:t>站为依据站推算</w:t>
      </w:r>
      <w:r>
        <w:rPr>
          <w:rFonts w:hint="eastAsia"/>
        </w:rPr>
        <w:t>毛家渡</w:t>
      </w:r>
      <w:r>
        <w:t>抬水坝断面泥沙情况见下表4.1-1。</w:t>
      </w:r>
    </w:p>
    <w:p>
      <w:pPr>
        <w:autoSpaceDE w:val="0"/>
        <w:autoSpaceDN w:val="0"/>
        <w:spacing w:before="120" w:beforeLines="50" w:line="240" w:lineRule="auto"/>
        <w:ind w:firstLine="0" w:firstLineChars="0"/>
        <w:jc w:val="center"/>
        <w:rPr>
          <w:rFonts w:ascii="黑体" w:hAnsi="黑体" w:eastAsia="黑体" w:cs="黑体"/>
        </w:rPr>
      </w:pPr>
      <w:r>
        <w:rPr>
          <w:rFonts w:hint="eastAsia" w:ascii="黑体" w:hAnsi="黑体" w:eastAsia="黑体" w:cs="黑体"/>
        </w:rPr>
        <w:t>表4.1-1  控制断面泥沙统计表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76"/>
        <w:gridCol w:w="1090"/>
        <w:gridCol w:w="2141"/>
        <w:gridCol w:w="1653"/>
        <w:gridCol w:w="1805"/>
        <w:gridCol w:w="14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0" w:type="pct"/>
            <w:vMerge w:val="restart"/>
            <w:vAlign w:val="center"/>
          </w:tcPr>
          <w:p>
            <w:pPr>
              <w:widowControl/>
              <w:spacing w:line="340" w:lineRule="exact"/>
              <w:ind w:firstLine="0" w:firstLineChars="0"/>
              <w:jc w:val="center"/>
              <w:rPr>
                <w:kern w:val="0"/>
                <w:sz w:val="21"/>
                <w:szCs w:val="21"/>
              </w:rPr>
            </w:pPr>
            <w:r>
              <w:rPr>
                <w:kern w:val="0"/>
                <w:sz w:val="21"/>
                <w:szCs w:val="21"/>
              </w:rPr>
              <w:t>断面</w:t>
            </w:r>
          </w:p>
        </w:tc>
        <w:tc>
          <w:tcPr>
            <w:tcW w:w="576" w:type="pct"/>
            <w:vMerge w:val="restart"/>
            <w:vAlign w:val="center"/>
          </w:tcPr>
          <w:p>
            <w:pPr>
              <w:widowControl/>
              <w:spacing w:line="340" w:lineRule="exact"/>
              <w:ind w:firstLine="0" w:firstLineChars="0"/>
              <w:jc w:val="center"/>
              <w:rPr>
                <w:kern w:val="0"/>
                <w:sz w:val="21"/>
                <w:szCs w:val="21"/>
              </w:rPr>
            </w:pPr>
            <w:r>
              <w:rPr>
                <w:kern w:val="0"/>
                <w:sz w:val="21"/>
                <w:szCs w:val="21"/>
              </w:rPr>
              <w:t>控制面积（km</w:t>
            </w:r>
            <w:r>
              <w:rPr>
                <w:kern w:val="0"/>
                <w:sz w:val="21"/>
                <w:szCs w:val="21"/>
                <w:vertAlign w:val="superscript"/>
              </w:rPr>
              <w:t>2</w:t>
            </w:r>
            <w:r>
              <w:rPr>
                <w:kern w:val="0"/>
                <w:sz w:val="21"/>
                <w:szCs w:val="21"/>
              </w:rPr>
              <w:t>）</w:t>
            </w:r>
          </w:p>
        </w:tc>
        <w:tc>
          <w:tcPr>
            <w:tcW w:w="1125" w:type="pct"/>
            <w:vMerge w:val="restart"/>
            <w:vAlign w:val="center"/>
          </w:tcPr>
          <w:p>
            <w:pPr>
              <w:widowControl/>
              <w:spacing w:line="340" w:lineRule="exact"/>
              <w:ind w:firstLine="0" w:firstLineChars="0"/>
              <w:jc w:val="center"/>
              <w:rPr>
                <w:kern w:val="0"/>
                <w:sz w:val="21"/>
                <w:szCs w:val="21"/>
              </w:rPr>
            </w:pPr>
            <w:r>
              <w:rPr>
                <w:kern w:val="0"/>
                <w:sz w:val="21"/>
                <w:szCs w:val="21"/>
              </w:rPr>
              <w:t>多年平均含沙量(kg/m</w:t>
            </w:r>
            <w:r>
              <w:rPr>
                <w:kern w:val="0"/>
                <w:sz w:val="21"/>
                <w:szCs w:val="21"/>
                <w:vertAlign w:val="superscript"/>
              </w:rPr>
              <w:t>3</w:t>
            </w:r>
            <w:r>
              <w:rPr>
                <w:kern w:val="0"/>
                <w:sz w:val="21"/>
                <w:szCs w:val="21"/>
              </w:rPr>
              <w:t>)</w:t>
            </w:r>
          </w:p>
        </w:tc>
        <w:tc>
          <w:tcPr>
            <w:tcW w:w="870" w:type="pct"/>
            <w:vMerge w:val="restart"/>
            <w:vAlign w:val="center"/>
          </w:tcPr>
          <w:p>
            <w:pPr>
              <w:widowControl/>
              <w:spacing w:line="340" w:lineRule="exact"/>
              <w:ind w:firstLine="0" w:firstLineChars="0"/>
              <w:jc w:val="center"/>
              <w:rPr>
                <w:kern w:val="0"/>
                <w:sz w:val="21"/>
                <w:szCs w:val="21"/>
              </w:rPr>
            </w:pPr>
            <w:r>
              <w:rPr>
                <w:kern w:val="0"/>
                <w:sz w:val="21"/>
                <w:szCs w:val="21"/>
              </w:rPr>
              <w:t>多年平均输沙量(万t)</w:t>
            </w:r>
          </w:p>
        </w:tc>
        <w:tc>
          <w:tcPr>
            <w:tcW w:w="949" w:type="pct"/>
            <w:vMerge w:val="restart"/>
            <w:vAlign w:val="center"/>
          </w:tcPr>
          <w:p>
            <w:pPr>
              <w:widowControl/>
              <w:spacing w:line="340" w:lineRule="exact"/>
              <w:ind w:firstLine="0" w:firstLineChars="0"/>
              <w:jc w:val="center"/>
              <w:rPr>
                <w:kern w:val="0"/>
                <w:sz w:val="21"/>
                <w:szCs w:val="21"/>
              </w:rPr>
            </w:pPr>
            <w:r>
              <w:rPr>
                <w:kern w:val="0"/>
                <w:sz w:val="21"/>
                <w:szCs w:val="21"/>
              </w:rPr>
              <w:t>多年平均输沙模数(t/km</w:t>
            </w:r>
            <w:r>
              <w:rPr>
                <w:kern w:val="0"/>
                <w:sz w:val="21"/>
                <w:szCs w:val="21"/>
                <w:vertAlign w:val="superscript"/>
              </w:rPr>
              <w:t>2</w:t>
            </w:r>
            <w:r>
              <w:rPr>
                <w:kern w:val="0"/>
                <w:sz w:val="21"/>
                <w:szCs w:val="21"/>
              </w:rPr>
              <w:t>)</w:t>
            </w:r>
          </w:p>
        </w:tc>
        <w:tc>
          <w:tcPr>
            <w:tcW w:w="740" w:type="pct"/>
            <w:vMerge w:val="restart"/>
            <w:vAlign w:val="center"/>
          </w:tcPr>
          <w:p>
            <w:pPr>
              <w:widowControl/>
              <w:spacing w:line="340" w:lineRule="exact"/>
              <w:ind w:firstLine="0" w:firstLineChars="0"/>
              <w:jc w:val="center"/>
              <w:rPr>
                <w:kern w:val="0"/>
                <w:sz w:val="21"/>
                <w:szCs w:val="21"/>
              </w:rPr>
            </w:pPr>
            <w:r>
              <w:rPr>
                <w:kern w:val="0"/>
                <w:sz w:val="21"/>
                <w:szCs w:val="21"/>
              </w:rPr>
              <w:t>资料起讫年份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0" w:type="pct"/>
            <w:vMerge w:val="continue"/>
            <w:vAlign w:val="center"/>
          </w:tcPr>
          <w:p>
            <w:pPr>
              <w:widowControl/>
              <w:spacing w:line="340" w:lineRule="exact"/>
              <w:ind w:firstLine="0" w:firstLineChars="0"/>
              <w:jc w:val="center"/>
              <w:rPr>
                <w:kern w:val="0"/>
                <w:sz w:val="21"/>
                <w:szCs w:val="21"/>
              </w:rPr>
            </w:pPr>
          </w:p>
        </w:tc>
        <w:tc>
          <w:tcPr>
            <w:tcW w:w="576" w:type="pct"/>
            <w:vMerge w:val="continue"/>
            <w:vAlign w:val="center"/>
          </w:tcPr>
          <w:p>
            <w:pPr>
              <w:widowControl/>
              <w:spacing w:line="340" w:lineRule="exact"/>
              <w:ind w:firstLine="0" w:firstLineChars="0"/>
              <w:jc w:val="center"/>
              <w:rPr>
                <w:kern w:val="0"/>
                <w:sz w:val="21"/>
                <w:szCs w:val="21"/>
              </w:rPr>
            </w:pPr>
          </w:p>
        </w:tc>
        <w:tc>
          <w:tcPr>
            <w:tcW w:w="1125" w:type="pct"/>
            <w:vMerge w:val="continue"/>
            <w:vAlign w:val="center"/>
          </w:tcPr>
          <w:p>
            <w:pPr>
              <w:widowControl/>
              <w:spacing w:line="340" w:lineRule="exact"/>
              <w:ind w:firstLine="0" w:firstLineChars="0"/>
              <w:jc w:val="center"/>
              <w:rPr>
                <w:kern w:val="0"/>
                <w:sz w:val="21"/>
                <w:szCs w:val="21"/>
              </w:rPr>
            </w:pPr>
          </w:p>
        </w:tc>
        <w:tc>
          <w:tcPr>
            <w:tcW w:w="870" w:type="pct"/>
            <w:vMerge w:val="continue"/>
            <w:vAlign w:val="center"/>
          </w:tcPr>
          <w:p>
            <w:pPr>
              <w:widowControl/>
              <w:spacing w:line="340" w:lineRule="exact"/>
              <w:ind w:firstLine="0" w:firstLineChars="0"/>
              <w:jc w:val="center"/>
              <w:rPr>
                <w:kern w:val="0"/>
                <w:sz w:val="21"/>
                <w:szCs w:val="21"/>
              </w:rPr>
            </w:pPr>
          </w:p>
        </w:tc>
        <w:tc>
          <w:tcPr>
            <w:tcW w:w="949" w:type="pct"/>
            <w:vMerge w:val="continue"/>
            <w:vAlign w:val="center"/>
          </w:tcPr>
          <w:p>
            <w:pPr>
              <w:widowControl/>
              <w:spacing w:line="340" w:lineRule="exact"/>
              <w:ind w:firstLine="0" w:firstLineChars="0"/>
              <w:jc w:val="center"/>
              <w:rPr>
                <w:kern w:val="0"/>
                <w:sz w:val="21"/>
                <w:szCs w:val="21"/>
              </w:rPr>
            </w:pPr>
          </w:p>
        </w:tc>
        <w:tc>
          <w:tcPr>
            <w:tcW w:w="740" w:type="pct"/>
            <w:vMerge w:val="continue"/>
            <w:vAlign w:val="center"/>
          </w:tcPr>
          <w:p>
            <w:pPr>
              <w:widowControl/>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0" w:type="pct"/>
            <w:noWrap/>
            <w:vAlign w:val="center"/>
          </w:tcPr>
          <w:p>
            <w:pPr>
              <w:widowControl/>
              <w:spacing w:line="340" w:lineRule="exact"/>
              <w:ind w:firstLine="0" w:firstLineChars="0"/>
              <w:jc w:val="center"/>
              <w:rPr>
                <w:kern w:val="0"/>
                <w:sz w:val="21"/>
                <w:szCs w:val="21"/>
              </w:rPr>
            </w:pPr>
            <w:r>
              <w:rPr>
                <w:rFonts w:hint="eastAsia"/>
                <w:kern w:val="0"/>
                <w:sz w:val="21"/>
                <w:szCs w:val="21"/>
              </w:rPr>
              <w:t>高安</w:t>
            </w:r>
          </w:p>
        </w:tc>
        <w:tc>
          <w:tcPr>
            <w:tcW w:w="576" w:type="pct"/>
            <w:noWrap/>
            <w:vAlign w:val="center"/>
          </w:tcPr>
          <w:p>
            <w:pPr>
              <w:widowControl/>
              <w:spacing w:line="340" w:lineRule="exact"/>
              <w:ind w:firstLine="0" w:firstLineChars="0"/>
              <w:jc w:val="center"/>
              <w:rPr>
                <w:kern w:val="0"/>
                <w:sz w:val="21"/>
                <w:szCs w:val="21"/>
              </w:rPr>
            </w:pPr>
            <w:r>
              <w:rPr>
                <w:rFonts w:hint="eastAsia"/>
                <w:kern w:val="0"/>
                <w:sz w:val="21"/>
                <w:szCs w:val="21"/>
              </w:rPr>
              <w:t>6215</w:t>
            </w:r>
          </w:p>
        </w:tc>
        <w:tc>
          <w:tcPr>
            <w:tcW w:w="1125" w:type="pct"/>
            <w:noWrap/>
            <w:vAlign w:val="center"/>
          </w:tcPr>
          <w:p>
            <w:pPr>
              <w:widowControl/>
              <w:spacing w:line="340" w:lineRule="exact"/>
              <w:ind w:firstLine="0" w:firstLineChars="0"/>
              <w:jc w:val="center"/>
              <w:rPr>
                <w:kern w:val="0"/>
                <w:sz w:val="21"/>
                <w:szCs w:val="21"/>
              </w:rPr>
            </w:pPr>
            <w:r>
              <w:rPr>
                <w:kern w:val="0"/>
                <w:sz w:val="21"/>
                <w:szCs w:val="21"/>
              </w:rPr>
              <w:t>0.10</w:t>
            </w:r>
            <w:r>
              <w:rPr>
                <w:rFonts w:hint="eastAsia"/>
                <w:kern w:val="0"/>
                <w:sz w:val="21"/>
                <w:szCs w:val="21"/>
              </w:rPr>
              <w:t>0</w:t>
            </w:r>
          </w:p>
        </w:tc>
        <w:tc>
          <w:tcPr>
            <w:tcW w:w="870" w:type="pct"/>
            <w:noWrap/>
            <w:vAlign w:val="center"/>
          </w:tcPr>
          <w:p>
            <w:pPr>
              <w:widowControl/>
              <w:spacing w:line="340" w:lineRule="exact"/>
              <w:ind w:firstLine="0" w:firstLineChars="0"/>
              <w:jc w:val="center"/>
              <w:rPr>
                <w:kern w:val="0"/>
                <w:sz w:val="21"/>
                <w:szCs w:val="21"/>
              </w:rPr>
            </w:pPr>
            <w:r>
              <w:rPr>
                <w:rFonts w:hint="eastAsia"/>
                <w:kern w:val="0"/>
                <w:sz w:val="21"/>
                <w:szCs w:val="21"/>
              </w:rPr>
              <w:t>52.8</w:t>
            </w:r>
          </w:p>
        </w:tc>
        <w:tc>
          <w:tcPr>
            <w:tcW w:w="949" w:type="pct"/>
            <w:noWrap/>
            <w:vAlign w:val="center"/>
          </w:tcPr>
          <w:p>
            <w:pPr>
              <w:widowControl/>
              <w:spacing w:line="340" w:lineRule="exact"/>
              <w:ind w:firstLine="0" w:firstLineChars="0"/>
              <w:jc w:val="center"/>
              <w:rPr>
                <w:kern w:val="0"/>
                <w:sz w:val="21"/>
                <w:szCs w:val="21"/>
              </w:rPr>
            </w:pPr>
            <w:r>
              <w:rPr>
                <w:rFonts w:hint="eastAsia"/>
                <w:kern w:val="0"/>
                <w:sz w:val="21"/>
                <w:szCs w:val="21"/>
              </w:rPr>
              <w:t>90.1</w:t>
            </w:r>
          </w:p>
        </w:tc>
        <w:tc>
          <w:tcPr>
            <w:tcW w:w="740" w:type="pct"/>
            <w:noWrap/>
            <w:vAlign w:val="center"/>
          </w:tcPr>
          <w:p>
            <w:pPr>
              <w:widowControl/>
              <w:spacing w:line="340" w:lineRule="exact"/>
              <w:ind w:firstLine="0" w:firstLineChars="0"/>
              <w:jc w:val="center"/>
              <w:rPr>
                <w:kern w:val="0"/>
                <w:sz w:val="21"/>
                <w:szCs w:val="21"/>
              </w:rPr>
            </w:pPr>
            <w:r>
              <w:rPr>
                <w:kern w:val="0"/>
                <w:sz w:val="21"/>
                <w:szCs w:val="21"/>
              </w:rPr>
              <w:t>1957~2009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40" w:type="pct"/>
            <w:noWrap/>
            <w:vAlign w:val="center"/>
          </w:tcPr>
          <w:p>
            <w:pPr>
              <w:widowControl/>
              <w:spacing w:line="340" w:lineRule="exact"/>
              <w:ind w:firstLine="0" w:firstLineChars="0"/>
              <w:jc w:val="center"/>
              <w:rPr>
                <w:kern w:val="0"/>
                <w:sz w:val="21"/>
                <w:szCs w:val="21"/>
              </w:rPr>
            </w:pPr>
            <w:r>
              <w:rPr>
                <w:rFonts w:hint="eastAsia"/>
                <w:kern w:val="0"/>
                <w:sz w:val="21"/>
                <w:szCs w:val="21"/>
              </w:rPr>
              <w:t>毛家渡</w:t>
            </w:r>
            <w:r>
              <w:rPr>
                <w:kern w:val="0"/>
                <w:sz w:val="21"/>
                <w:szCs w:val="21"/>
              </w:rPr>
              <w:t>抬水坝</w:t>
            </w:r>
          </w:p>
        </w:tc>
        <w:tc>
          <w:tcPr>
            <w:tcW w:w="576" w:type="pct"/>
            <w:noWrap/>
            <w:vAlign w:val="center"/>
          </w:tcPr>
          <w:p>
            <w:pPr>
              <w:widowControl/>
              <w:spacing w:line="340" w:lineRule="exact"/>
              <w:ind w:firstLine="0" w:firstLineChars="0"/>
              <w:jc w:val="center"/>
              <w:rPr>
                <w:kern w:val="0"/>
                <w:sz w:val="21"/>
                <w:szCs w:val="21"/>
              </w:rPr>
            </w:pPr>
            <w:r>
              <w:rPr>
                <w:rFonts w:hint="eastAsia"/>
                <w:kern w:val="0"/>
                <w:sz w:val="21"/>
                <w:szCs w:val="21"/>
              </w:rPr>
              <w:t>4150</w:t>
            </w:r>
          </w:p>
        </w:tc>
        <w:tc>
          <w:tcPr>
            <w:tcW w:w="1125" w:type="pct"/>
            <w:noWrap/>
            <w:vAlign w:val="center"/>
          </w:tcPr>
          <w:p>
            <w:pPr>
              <w:widowControl/>
              <w:spacing w:line="340" w:lineRule="exact"/>
              <w:ind w:firstLine="0" w:firstLineChars="0"/>
              <w:jc w:val="center"/>
              <w:rPr>
                <w:kern w:val="0"/>
                <w:sz w:val="21"/>
                <w:szCs w:val="21"/>
              </w:rPr>
            </w:pPr>
            <w:r>
              <w:rPr>
                <w:kern w:val="0"/>
                <w:sz w:val="21"/>
                <w:szCs w:val="21"/>
              </w:rPr>
              <w:t>0.101</w:t>
            </w:r>
          </w:p>
        </w:tc>
        <w:tc>
          <w:tcPr>
            <w:tcW w:w="870" w:type="pct"/>
            <w:noWrap/>
            <w:vAlign w:val="center"/>
          </w:tcPr>
          <w:p>
            <w:pPr>
              <w:widowControl/>
              <w:spacing w:line="340" w:lineRule="exact"/>
              <w:ind w:firstLine="0" w:firstLineChars="0"/>
              <w:jc w:val="center"/>
              <w:rPr>
                <w:kern w:val="0"/>
                <w:sz w:val="21"/>
                <w:szCs w:val="21"/>
              </w:rPr>
            </w:pPr>
            <w:r>
              <w:rPr>
                <w:kern w:val="0"/>
                <w:sz w:val="21"/>
                <w:szCs w:val="21"/>
              </w:rPr>
              <w:t>15.8</w:t>
            </w:r>
          </w:p>
        </w:tc>
        <w:tc>
          <w:tcPr>
            <w:tcW w:w="949" w:type="pct"/>
            <w:noWrap/>
            <w:vAlign w:val="center"/>
          </w:tcPr>
          <w:p>
            <w:pPr>
              <w:widowControl/>
              <w:spacing w:line="340" w:lineRule="exact"/>
              <w:ind w:firstLine="0" w:firstLineChars="0"/>
              <w:jc w:val="center"/>
              <w:rPr>
                <w:kern w:val="0"/>
                <w:sz w:val="21"/>
                <w:szCs w:val="21"/>
              </w:rPr>
            </w:pPr>
            <w:r>
              <w:rPr>
                <w:kern w:val="0"/>
                <w:sz w:val="21"/>
                <w:szCs w:val="21"/>
              </w:rPr>
              <w:t>111</w:t>
            </w:r>
          </w:p>
        </w:tc>
        <w:tc>
          <w:tcPr>
            <w:tcW w:w="740" w:type="pct"/>
            <w:noWrap/>
            <w:vAlign w:val="center"/>
          </w:tcPr>
          <w:p>
            <w:pPr>
              <w:widowControl/>
              <w:spacing w:line="340" w:lineRule="exact"/>
              <w:ind w:firstLine="0" w:firstLineChars="0"/>
              <w:jc w:val="center"/>
              <w:rPr>
                <w:kern w:val="0"/>
                <w:sz w:val="21"/>
                <w:szCs w:val="21"/>
              </w:rPr>
            </w:pPr>
            <w:r>
              <w:rPr>
                <w:kern w:val="0"/>
                <w:sz w:val="21"/>
                <w:szCs w:val="21"/>
              </w:rPr>
              <w:t>/</w:t>
            </w:r>
          </w:p>
        </w:tc>
      </w:tr>
      <w:bookmarkEnd w:id="683"/>
      <w:bookmarkEnd w:id="684"/>
      <w:bookmarkEnd w:id="685"/>
      <w:bookmarkEnd w:id="686"/>
      <w:bookmarkEnd w:id="687"/>
      <w:bookmarkEnd w:id="688"/>
      <w:bookmarkEnd w:id="689"/>
    </w:tbl>
    <w:p>
      <w:pPr>
        <w:pStyle w:val="7"/>
      </w:pPr>
      <w:bookmarkStart w:id="690" w:name="_Toc529279055"/>
      <w:bookmarkStart w:id="691" w:name="_Toc3903273"/>
      <w:bookmarkStart w:id="692" w:name="_Toc534386293"/>
      <w:bookmarkStart w:id="693" w:name="_Toc470505772"/>
      <w:bookmarkStart w:id="694" w:name="_Toc534807052"/>
      <w:bookmarkStart w:id="695" w:name="_Toc536265136"/>
      <w:bookmarkStart w:id="696" w:name="_Toc534895269"/>
      <w:r>
        <w:rPr>
          <w:rFonts w:hint="eastAsia"/>
        </w:rPr>
        <w:t>4.1.6自然资源</w:t>
      </w:r>
    </w:p>
    <w:p>
      <w:pPr>
        <w:pStyle w:val="74"/>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上高县早在宋、元、明三朝，朝廷在蒙山设立“蒙山务”、“蒙山银场提举司”，开采冶炼白银，稳产时年产白银3万两，开采时间长达160多年。石灰石矿遍布70%以上县境，储量约200亿吨。储量较大的还有水泥灰岩、硅灰石、钴等。境内有七宝山铁矿等矿产企业。农业优势比较明显，是全国商品粮基地县、全国瘦肉型生猪基地县、全国优质苎麻基地县、全国“三辣”之乡，素有“赣中粮仓”之称。</w:t>
      </w:r>
    </w:p>
    <w:p>
      <w:pPr>
        <w:pStyle w:val="74"/>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①土地资源</w:t>
      </w:r>
      <w:r>
        <w:rPr>
          <w:rFonts w:ascii="Times New Roman" w:hAnsi="Times New Roman"/>
        </w:rPr>
        <w:t>：</w:t>
      </w:r>
      <w:r>
        <w:rPr>
          <w:rFonts w:ascii="Times New Roman" w:hAnsi="Times New Roman"/>
          <w:kern w:val="2"/>
        </w:rPr>
        <w:t>据1986年县土管局土地利用现状调查，全县土地面积约13.5万公顷。上高县地处中亚热带湘赣丘陵区中部，土地资源具有多种特征：一是全县有岩石裸露山地约4260公顷（约占全县土地面积3.1%）；二是水域面积0.71万公顷（约占全县土地面积5.3%）；三是林地面积约6.03万公顷（约占全县土地面积44.67%）；四是耕地面积约2.7万公顷（约占全县土地面积19.9%）；五是其他用地（包括居民点及矿山用地约1026.7公顷，交通用地约586.7公顷，牧草地1万公顷，园地2166.7公顷）和没有被利用的土地共2.6万公顷（占全县土地面积19.28%）。</w:t>
      </w:r>
    </w:p>
    <w:p>
      <w:pPr>
        <w:pStyle w:val="74"/>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②植物资源：锦江流域（上高县）维管植物共有92 科，科内所含属数、种数差异较大，其中含10种以上的科共有7个，计80属144 种，占总科数的7.6﹪，总属数的36.19﹪，总种数的42.98﹪。</w:t>
      </w:r>
    </w:p>
    <w:p>
      <w:pPr>
        <w:pStyle w:val="74"/>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这些较大的科为：禾本科（Gramineae 29 属/39 种）、菊科（Compositae21 属/34 种）、莎草科（Cyperaceae 6 属/17 种）、蓼科（Polygonaceae3 属/16 种）、蔷薇科（Rosaceae 7 属/16 种）、唇形科（Labiatae 9属/11 种）、玄参科（Scrophulariaceae 5 属/11 种），其中含10 种以上的属仅蓼属（Polygonum 11）1个。它们在本区具有明显优势，占有主导地区，对本区植被的形成和发展具有重要作用。</w:t>
      </w:r>
    </w:p>
    <w:p>
      <w:pPr>
        <w:pStyle w:val="74"/>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根据吴征镒关于中国种子植物科的分布区类型的划分方法，锦江流域（上高县）种子植物科的分布区类型共有13 种，其中世界分布（42 科，50％）、泛热带分布（18 科，21.43％）、北温带和南温带间断分布（8科，9.52％）所占的比例较大。</w:t>
      </w:r>
    </w:p>
    <w:p>
      <w:pPr>
        <w:ind w:firstLine="480"/>
        <w:rPr>
          <w:szCs w:val="24"/>
        </w:rPr>
      </w:pPr>
      <w:r>
        <w:rPr>
          <w:szCs w:val="24"/>
        </w:rPr>
        <w:t>③动物资源：锦江流域（上高县）地形较复杂、水面宽广，生物多样性较丰富，分布的动物种类较多。通过实地调查和原始资料的整理，在锦江流域（上高县）发现野生脊椎动物共计105 种，隶属于28 目57科，其种数为江西已知脊椎动物总数的12.34%。其中鱼类有4 目9 科24 种，种数占江西已知鱼类的11.54%；两栖动物有2 目5 科9 种，其种数为江西已知两栖动物的23.08%；爬行动物有2 目7 科11 种，其种数为江西已知爬行动物的13.92%；鸟类有15 目31 科54 种，其种数为江西已知鸟类的12.86%；哺乳动物有5 目5 科7 种，其种数为江西已知哺乳动物的6.67%。</w:t>
      </w:r>
    </w:p>
    <w:p>
      <w:pPr>
        <w:ind w:firstLine="480"/>
        <w:rPr>
          <w:szCs w:val="24"/>
        </w:rPr>
      </w:pPr>
      <w:r>
        <w:rPr>
          <w:szCs w:val="24"/>
        </w:rPr>
        <w:t>④水面资源：县境内的水资源主要来自降雨。1986～2005年总降雨量34668.7毫米，年平均1733.4毫米，县境内水资源比较丰富。年降雨多集中在4～6月，约占全年降雨量50%。根据水文部门按径流深等直线图计算，全县平水年总水量约11.3亿立方米。锦河年径流量25.6亿立方米。全县地表水按相应频率50%计算，年径流总量11.7亿立方米，地下水按均匀布井法和模数法计算，流量9.9立方米/秒，按频率50%计算，年径流量为3.1亿立方米。据勘测，全县水力资源可开发的蕴藏量10252千瓦，以新界埠乡水力资源最为丰富。</w:t>
      </w:r>
    </w:p>
    <w:p>
      <w:pPr>
        <w:ind w:firstLine="480"/>
        <w:rPr>
          <w:szCs w:val="24"/>
        </w:rPr>
      </w:pPr>
      <w:r>
        <w:rPr>
          <w:szCs w:val="24"/>
        </w:rPr>
        <w:t>⑤矿产资源：金属矿藏有铁（赤铁矿、褐铁矿、黄铁矿、硫铁矿、磷铁矿）、铜、铅（铅锌）、锌、钨、钴（钴铁矿）、锡、镁、镍、银等。赤铁矿：县内赤铁矿有8个矿点，主要分布在七宝山、铁子岭、铜鼓岭、宝丰山等地，总探明储量达2350万吨。七宝山赤铁矿位于天山脚下石门岭，矿区长320米、宽310米，平均厚度30.89米，深约100米，探明储量达2250万吨，矿石品位42.92%。铁子岭赤铁矿位于新界埠乡桥子头村民小组，矿区长250米、宽45米，探明储量42万吨，矿石品位45%左右。铜鼓岭赤铁矿位于上甘山林场铜鼓岭分场，矿区长170米、宽40米、深20米，探明储量61万吨；褐铁矿：县内主要有4处：七宝山、三碗饭、龙山上、江家山。七宝山褐铁矿是江西省六大矿山之一，储量440万吨，品位42.92%；三碗饭褐铁矿位于翰堂镇境内，储量1800吨；龙山上褐铁矿位于锦河镇境内，储量约500吨；江家山褐铁矿位于锦河镇境内，储量约400吨；黄铁矿：主要有马湖黄铁矿，位于南港镇境内，储量约150万吨；铜矿：县内铜矿有3处：下坑里、下嘴龙、太子壁。下坑里、下嘴龙、太子壁铜矿位于蒙山林场，储量共达9000万吨；铅锌矿：分布在七宝山和蒙山，矿藏量约1700万吨；钴矿：分布在七宝山，是江西至今仅知的原生钴矿，保有含量占全省钴矿保有量72.3%；钴铁矿  主要分布在七宝山、铜鼓岭、铁子岭、燕子窝等地。七宝山钴铁矿区储量69.5万吨，品位45.79%，属开采矿区；铜鼓岭钴铁矿区储量15.98万吨，品位39.5%，属停采矿区；铁子岭钴铁矿区储量39.3万吨，品位41.75%，属开采矿区；燕子窝钴铁矿区，储量371.2万吨，品位33.42%，属未利用矿区；钴铅锌矿：主要分布在七宝山，属伴生矿，品位29.77%，储量328.6万吨，属开采矿区；钴铁锌矿：主要分布在七宝山，属伴生矿、中型矿区，品位1.48%，储量15853吨，属开采矿区；另外，七宝山还有硫铁矿、磷铁矿，蒙山太子壁的锡、钨多金属矿和银矿储量也很丰富，历史上曾多次开采。</w:t>
      </w:r>
    </w:p>
    <w:p>
      <w:pPr>
        <w:ind w:firstLine="480"/>
        <w:rPr>
          <w:szCs w:val="24"/>
        </w:rPr>
      </w:pPr>
      <w:r>
        <w:rPr>
          <w:szCs w:val="24"/>
        </w:rPr>
        <w:t>非金属矿藏方面，初步勘探上高境内主要有大理石、熔剂灰岩、白云岩、水泥灰岩、花岗岩、硅灰石、水泥粘土、萤石、瓷土、石灰石、石英石、红石、煤及珠明料等。</w:t>
      </w:r>
    </w:p>
    <w:p>
      <w:pPr>
        <w:ind w:firstLine="480"/>
      </w:pPr>
      <w:r>
        <w:t>⑥土壤：上高县土壤共含6 个土类：水稻土、草甸土、红壤土、紫色土、石灰石土和山地黄壤。还包括19 个土类、40 个土属、49 个土种，受地貌影响，全县土壤分布大致为：山地多黄壤、丘陵多红壤，锦江两岸多水稻土。红壤是全县分布最广的一个土类，遍及全县丘陵区，面积约103.2 万亩，占总面积的51.1%；水稻土是耕地中数量最多的一个土类，面积34 万亩，占总面积的16.8%；其中乌泥田、乌潮沙泥田、乌泥田肥力较高，氧化还原作用强，有机质含量3%左右，质地适中，通气良好，复种指数高，为本县主要水稻高产地带。</w:t>
      </w:r>
    </w:p>
    <w:p>
      <w:pPr>
        <w:ind w:firstLine="480"/>
      </w:pPr>
      <w:r>
        <w:t>锦江流域（上高县）多为冲积平原区，范围内为河流冲积母质，由水稻土、红壤、草甸土、紫色土组成。两岸多为水稻土为主，河床以细沙为主，河谷以沙壤土为主。</w:t>
      </w:r>
    </w:p>
    <w:p>
      <w:pPr>
        <w:ind w:firstLine="480"/>
        <w:rPr>
          <w:snapToGrid w:val="0"/>
          <w:kern w:val="0"/>
          <w:szCs w:val="24"/>
        </w:rPr>
      </w:pPr>
      <w:r>
        <w:t>经现场实地踏勘和调查，评价区内不涉及天然林、公益林等，</w:t>
      </w:r>
      <w:r>
        <w:rPr>
          <w:snapToGrid w:val="0"/>
          <w:kern w:val="0"/>
          <w:szCs w:val="24"/>
        </w:rPr>
        <w:t>无已探明的矿藏珍贵的野生动物、植物保护资源，无国家和地方指定的重点文物保护单位和名胜古迹评价范围内无国家和地方指定的重点文物保护单位，无名胜古迹。</w:t>
      </w:r>
    </w:p>
    <w:p>
      <w:pPr>
        <w:pStyle w:val="7"/>
      </w:pPr>
      <w:r>
        <w:rPr>
          <w:rFonts w:hint="eastAsia"/>
        </w:rPr>
        <w:t>4.1.7上高县土地利用现状</w:t>
      </w:r>
    </w:p>
    <w:p>
      <w:pPr>
        <w:ind w:firstLine="480"/>
      </w:pPr>
      <w:r>
        <w:rPr>
          <w:rFonts w:hint="eastAsia"/>
        </w:rPr>
        <w:t>根据</w:t>
      </w:r>
      <w:r>
        <w:t>县</w:t>
      </w:r>
      <w:r>
        <w:rPr>
          <w:rFonts w:hint="eastAsia"/>
        </w:rPr>
        <w:t>自然资源局</w:t>
      </w:r>
      <w:r>
        <w:t>土地利用现状调查，全县土地面积约13.5万公顷。上高县地处中亚热带湘赣丘陵区中部，土地资源具有多种特征：一是全县有岩石裸露山地约4260公顷（约占全县土地面积3.1%）；二是水域面积0.71万公顷（约占全县土地面积5.3%）；三是林地面积约6.03万公顷（约占全县土地面积44.67%）；四是耕地面积约2.7万公顷（约占全县土地面积19.9%）；五是其他用地（包括居民点及矿山用地约1026.7公顷，交通用地约586.7公顷，牧草地1万公顷，园地2166.7公顷）和没有被利用的土地共2.6万公顷（占全县土地面积19.28%）。</w:t>
      </w:r>
    </w:p>
    <w:p>
      <w:pPr>
        <w:ind w:firstLine="480"/>
      </w:pPr>
      <w:r>
        <w:t>具体情况详见表4.</w:t>
      </w:r>
      <w:r>
        <w:rPr>
          <w:rFonts w:hint="eastAsia"/>
        </w:rPr>
        <w:t>1</w:t>
      </w:r>
      <w:r>
        <w:t>-2。</w:t>
      </w:r>
    </w:p>
    <w:p>
      <w:pPr>
        <w:autoSpaceDE w:val="0"/>
        <w:autoSpaceDN w:val="0"/>
        <w:adjustRightInd w:val="0"/>
        <w:spacing w:before="120" w:beforeLines="50" w:line="240" w:lineRule="auto"/>
        <w:ind w:firstLine="198" w:firstLineChars="0"/>
        <w:jc w:val="center"/>
        <w:rPr>
          <w:rFonts w:ascii="黑体" w:hAnsi="宋体" w:eastAsia="黑体"/>
        </w:rPr>
      </w:pPr>
      <w:r>
        <w:rPr>
          <w:rFonts w:hint="eastAsia" w:ascii="黑体" w:hAnsi="宋体" w:eastAsia="黑体"/>
        </w:rPr>
        <w:t xml:space="preserve">表 4.1-2 上高县土地利用现状表 </w:t>
      </w:r>
      <w:r>
        <w:rPr>
          <w:rFonts w:hint="eastAsia" w:ascii="黑体" w:hAnsi="宋体" w:eastAsia="黑体"/>
        </w:rPr>
        <w:tab/>
      </w:r>
      <w:r>
        <w:rPr>
          <w:rFonts w:hint="eastAsia" w:ascii="黑体" w:hAnsi="宋体" w:eastAsia="黑体"/>
        </w:rPr>
        <w:t>单位 ：hm</w:t>
      </w:r>
      <w:r>
        <w:rPr>
          <w:rFonts w:hint="eastAsia" w:ascii="黑体" w:hAnsi="宋体" w:eastAsia="黑体"/>
          <w:vertAlign w:val="superscript"/>
        </w:rPr>
        <w:t>2</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105"/>
        <w:gridCol w:w="953"/>
        <w:gridCol w:w="1105"/>
        <w:gridCol w:w="819"/>
        <w:gridCol w:w="967"/>
        <w:gridCol w:w="2500"/>
        <w:gridCol w:w="1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vMerge w:val="restart"/>
            <w:tcBorders>
              <w:top w:val="single" w:color="auto" w:sz="12" w:space="0"/>
              <w:bottom w:val="single" w:color="auto" w:sz="4" w:space="0"/>
            </w:tcBorders>
            <w:vAlign w:val="center"/>
          </w:tcPr>
          <w:p>
            <w:pPr>
              <w:spacing w:line="340" w:lineRule="exact"/>
              <w:ind w:firstLine="0" w:firstLineChars="0"/>
              <w:jc w:val="center"/>
              <w:rPr>
                <w:sz w:val="21"/>
                <w:szCs w:val="21"/>
              </w:rPr>
            </w:pPr>
            <w:r>
              <w:rPr>
                <w:rFonts w:hAnsi="宋体"/>
                <w:sz w:val="21"/>
                <w:szCs w:val="21"/>
              </w:rPr>
              <w:t>地域</w:t>
            </w:r>
          </w:p>
          <w:p>
            <w:pPr>
              <w:spacing w:line="340" w:lineRule="exact"/>
              <w:ind w:firstLine="0" w:firstLineChars="0"/>
              <w:jc w:val="center"/>
              <w:rPr>
                <w:sz w:val="21"/>
                <w:szCs w:val="21"/>
              </w:rPr>
            </w:pPr>
            <w:r>
              <w:rPr>
                <w:rFonts w:hAnsi="宋体"/>
                <w:sz w:val="21"/>
                <w:szCs w:val="21"/>
              </w:rPr>
              <w:t>名称</w:t>
            </w:r>
          </w:p>
        </w:tc>
        <w:tc>
          <w:tcPr>
            <w:tcW w:w="4478" w:type="pct"/>
            <w:gridSpan w:val="7"/>
            <w:tcBorders>
              <w:top w:val="single" w:color="auto" w:sz="12" w:space="0"/>
              <w:bottom w:val="single" w:color="auto" w:sz="4" w:space="0"/>
            </w:tcBorders>
            <w:vAlign w:val="center"/>
          </w:tcPr>
          <w:p>
            <w:pPr>
              <w:spacing w:line="340" w:lineRule="exact"/>
              <w:ind w:firstLine="420"/>
              <w:jc w:val="center"/>
              <w:rPr>
                <w:kern w:val="0"/>
                <w:sz w:val="21"/>
                <w:szCs w:val="21"/>
              </w:rPr>
            </w:pPr>
            <w:r>
              <w:rPr>
                <w:rFonts w:hAnsi="宋体"/>
                <w:kern w:val="0"/>
                <w:sz w:val="21"/>
                <w:szCs w:val="21"/>
              </w:rPr>
              <w:t>土地利用类型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1" w:type="pct"/>
            <w:vMerge w:val="continue"/>
            <w:tcBorders>
              <w:top w:val="single" w:color="auto" w:sz="4" w:space="0"/>
              <w:bottom w:val="single" w:color="auto" w:sz="4" w:space="0"/>
            </w:tcBorders>
            <w:vAlign w:val="center"/>
          </w:tcPr>
          <w:p>
            <w:pPr>
              <w:spacing w:line="340" w:lineRule="exact"/>
              <w:ind w:firstLine="420"/>
              <w:jc w:val="center"/>
              <w:rPr>
                <w:sz w:val="21"/>
                <w:szCs w:val="21"/>
              </w:rPr>
            </w:pPr>
          </w:p>
        </w:tc>
        <w:tc>
          <w:tcPr>
            <w:tcW w:w="577"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int="eastAsia" w:hAnsi="宋体"/>
                <w:sz w:val="21"/>
                <w:szCs w:val="21"/>
              </w:rPr>
              <w:t>山地</w:t>
            </w:r>
          </w:p>
        </w:tc>
        <w:tc>
          <w:tcPr>
            <w:tcW w:w="498"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int="eastAsia" w:hAnsi="宋体"/>
                <w:sz w:val="21"/>
                <w:szCs w:val="21"/>
              </w:rPr>
              <w:t>水域面积</w:t>
            </w:r>
          </w:p>
        </w:tc>
        <w:tc>
          <w:tcPr>
            <w:tcW w:w="577"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Ansi="宋体"/>
                <w:sz w:val="21"/>
                <w:szCs w:val="21"/>
              </w:rPr>
              <w:t>林地</w:t>
            </w:r>
          </w:p>
        </w:tc>
        <w:tc>
          <w:tcPr>
            <w:tcW w:w="428"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int="eastAsia" w:hAnsi="宋体"/>
                <w:sz w:val="21"/>
                <w:szCs w:val="21"/>
              </w:rPr>
              <w:t>耕地</w:t>
            </w:r>
          </w:p>
        </w:tc>
        <w:tc>
          <w:tcPr>
            <w:tcW w:w="505" w:type="pct"/>
            <w:tcBorders>
              <w:top w:val="single" w:color="auto" w:sz="4" w:space="0"/>
              <w:bottom w:val="single" w:color="auto" w:sz="4" w:space="0"/>
            </w:tcBorders>
            <w:vAlign w:val="center"/>
          </w:tcPr>
          <w:p>
            <w:pPr>
              <w:spacing w:line="340" w:lineRule="exact"/>
              <w:ind w:firstLine="0" w:firstLineChars="0"/>
              <w:jc w:val="center"/>
              <w:rPr>
                <w:sz w:val="21"/>
                <w:szCs w:val="21"/>
              </w:rPr>
            </w:pPr>
            <w:r>
              <w:rPr>
                <w:rFonts w:hint="eastAsia" w:hAnsi="宋体"/>
                <w:sz w:val="21"/>
                <w:szCs w:val="21"/>
              </w:rPr>
              <w:t>其他</w:t>
            </w:r>
          </w:p>
        </w:tc>
        <w:tc>
          <w:tcPr>
            <w:tcW w:w="1306" w:type="pct"/>
            <w:tcBorders>
              <w:top w:val="single" w:color="auto" w:sz="4" w:space="0"/>
              <w:bottom w:val="single" w:color="auto" w:sz="4" w:space="0"/>
              <w:right w:val="single" w:color="auto" w:sz="8" w:space="0"/>
            </w:tcBorders>
            <w:vAlign w:val="center"/>
          </w:tcPr>
          <w:p>
            <w:pPr>
              <w:spacing w:line="340" w:lineRule="exact"/>
              <w:ind w:firstLine="0" w:firstLineChars="0"/>
              <w:jc w:val="center"/>
              <w:rPr>
                <w:sz w:val="21"/>
                <w:szCs w:val="21"/>
              </w:rPr>
            </w:pPr>
            <w:r>
              <w:rPr>
                <w:rFonts w:hAnsi="宋体"/>
                <w:sz w:val="21"/>
                <w:szCs w:val="21"/>
              </w:rPr>
              <w:t>未利用土地</w:t>
            </w:r>
          </w:p>
        </w:tc>
        <w:tc>
          <w:tcPr>
            <w:tcW w:w="583" w:type="pct"/>
            <w:tcBorders>
              <w:top w:val="single" w:color="auto" w:sz="4" w:space="0"/>
              <w:left w:val="single" w:color="auto" w:sz="8" w:space="0"/>
              <w:bottom w:val="single" w:color="auto" w:sz="4" w:space="0"/>
            </w:tcBorders>
            <w:vAlign w:val="center"/>
          </w:tcPr>
          <w:p>
            <w:pPr>
              <w:spacing w:line="340" w:lineRule="exact"/>
              <w:ind w:firstLine="0" w:firstLineChars="0"/>
              <w:jc w:val="center"/>
              <w:rPr>
                <w:sz w:val="21"/>
                <w:szCs w:val="21"/>
              </w:rPr>
            </w:pPr>
            <w:r>
              <w:rPr>
                <w:rFonts w:hAnsi="宋体"/>
                <w:sz w:val="21"/>
                <w:szCs w:val="21"/>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tcBorders>
              <w:top w:val="single" w:color="auto" w:sz="4" w:space="0"/>
            </w:tcBorders>
            <w:vAlign w:val="center"/>
          </w:tcPr>
          <w:p>
            <w:pPr>
              <w:spacing w:line="340" w:lineRule="exact"/>
              <w:ind w:firstLine="0" w:firstLineChars="0"/>
              <w:jc w:val="center"/>
              <w:rPr>
                <w:sz w:val="21"/>
                <w:szCs w:val="21"/>
              </w:rPr>
            </w:pPr>
            <w:r>
              <w:rPr>
                <w:rFonts w:hint="eastAsia" w:hAnsi="宋体"/>
                <w:sz w:val="21"/>
                <w:szCs w:val="21"/>
              </w:rPr>
              <w:t>上高县</w:t>
            </w:r>
          </w:p>
        </w:tc>
        <w:tc>
          <w:tcPr>
            <w:tcW w:w="577"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4260</w:t>
            </w:r>
          </w:p>
        </w:tc>
        <w:tc>
          <w:tcPr>
            <w:tcW w:w="498"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0.71</w:t>
            </w:r>
          </w:p>
        </w:tc>
        <w:tc>
          <w:tcPr>
            <w:tcW w:w="577"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6.03万</w:t>
            </w:r>
          </w:p>
        </w:tc>
        <w:tc>
          <w:tcPr>
            <w:tcW w:w="428"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2.7</w:t>
            </w:r>
          </w:p>
        </w:tc>
        <w:tc>
          <w:tcPr>
            <w:tcW w:w="505" w:type="pct"/>
            <w:tcBorders>
              <w:top w:val="single" w:color="auto" w:sz="4" w:space="0"/>
            </w:tcBorders>
            <w:vAlign w:val="center"/>
          </w:tcPr>
          <w:p>
            <w:pPr>
              <w:spacing w:line="340" w:lineRule="exact"/>
              <w:ind w:firstLine="0" w:firstLineChars="0"/>
              <w:jc w:val="center"/>
              <w:rPr>
                <w:sz w:val="21"/>
                <w:szCs w:val="21"/>
              </w:rPr>
            </w:pPr>
            <w:r>
              <w:rPr>
                <w:rFonts w:hint="eastAsia"/>
                <w:sz w:val="21"/>
                <w:szCs w:val="21"/>
              </w:rPr>
              <w:t>13780.1</w:t>
            </w:r>
          </w:p>
        </w:tc>
        <w:tc>
          <w:tcPr>
            <w:tcW w:w="1306" w:type="pct"/>
            <w:tcBorders>
              <w:top w:val="single" w:color="auto" w:sz="4" w:space="0"/>
              <w:right w:val="single" w:color="auto" w:sz="8" w:space="0"/>
            </w:tcBorders>
            <w:vAlign w:val="center"/>
          </w:tcPr>
          <w:p>
            <w:pPr>
              <w:spacing w:line="340" w:lineRule="exact"/>
              <w:ind w:firstLine="0" w:firstLineChars="0"/>
              <w:jc w:val="center"/>
              <w:rPr>
                <w:sz w:val="21"/>
                <w:szCs w:val="21"/>
              </w:rPr>
            </w:pPr>
            <w:r>
              <w:rPr>
                <w:rFonts w:hint="eastAsia"/>
                <w:sz w:val="21"/>
                <w:szCs w:val="21"/>
              </w:rPr>
              <w:t>2.6万</w:t>
            </w:r>
          </w:p>
        </w:tc>
        <w:tc>
          <w:tcPr>
            <w:tcW w:w="583" w:type="pct"/>
            <w:tcBorders>
              <w:top w:val="single" w:color="auto" w:sz="4" w:space="0"/>
              <w:left w:val="single" w:color="auto" w:sz="8" w:space="0"/>
            </w:tcBorders>
            <w:vAlign w:val="center"/>
          </w:tcPr>
          <w:p>
            <w:pPr>
              <w:spacing w:line="340" w:lineRule="exact"/>
              <w:ind w:firstLine="0" w:firstLineChars="0"/>
              <w:jc w:val="center"/>
              <w:rPr>
                <w:sz w:val="21"/>
                <w:szCs w:val="21"/>
              </w:rPr>
            </w:pPr>
            <w:r>
              <w:rPr>
                <w:rFonts w:hint="eastAsia"/>
                <w:sz w:val="21"/>
                <w:szCs w:val="21"/>
              </w:rPr>
              <w:t>13.5万</w:t>
            </w:r>
          </w:p>
        </w:tc>
      </w:tr>
    </w:tbl>
    <w:p>
      <w:pPr>
        <w:pStyle w:val="6"/>
        <w:spacing w:beforeLines="50" w:afterLines="50"/>
        <w:rPr>
          <w:szCs w:val="28"/>
        </w:rPr>
      </w:pPr>
      <w:bookmarkStart w:id="697" w:name="_Toc503115772"/>
      <w:bookmarkStart w:id="698" w:name="_Toc479587935"/>
      <w:bookmarkStart w:id="699" w:name="_Toc479587682"/>
      <w:bookmarkStart w:id="700" w:name="_Toc5961595"/>
      <w:bookmarkStart w:id="701" w:name="_Toc13892"/>
      <w:r>
        <w:rPr>
          <w:rFonts w:hint="eastAsia"/>
          <w:szCs w:val="28"/>
        </w:rPr>
        <w:t>4.2上高县保护区</w:t>
      </w:r>
      <w:bookmarkEnd w:id="697"/>
      <w:bookmarkEnd w:id="698"/>
      <w:bookmarkEnd w:id="699"/>
      <w:r>
        <w:rPr>
          <w:rFonts w:hint="eastAsia"/>
          <w:szCs w:val="28"/>
        </w:rPr>
        <w:t>概况</w:t>
      </w:r>
      <w:bookmarkEnd w:id="700"/>
      <w:bookmarkEnd w:id="701"/>
    </w:p>
    <w:p>
      <w:pPr>
        <w:pStyle w:val="33"/>
        <w:kinsoku w:val="0"/>
        <w:overflowPunct w:val="0"/>
        <w:spacing w:after="0"/>
        <w:ind w:firstLine="480"/>
      </w:pPr>
      <w:bookmarkStart w:id="702" w:name="_Toc503115776"/>
      <w:r>
        <w:rPr>
          <w:rFonts w:hint="eastAsia"/>
        </w:rPr>
        <w:t>(1)上高县自然保护区</w:t>
      </w:r>
    </w:p>
    <w:p>
      <w:pPr>
        <w:ind w:firstLine="480"/>
      </w:pPr>
      <w:r>
        <w:rPr>
          <w:rFonts w:hint="eastAsia"/>
        </w:rPr>
        <w:t>上高县涉及到的自然保护区有1个，为</w:t>
      </w:r>
      <w:r>
        <w:t>南港水源涵养县级森林生态自然保护区</w:t>
      </w:r>
      <w:r>
        <w:rPr>
          <w:rFonts w:hint="eastAsia"/>
        </w:rPr>
        <w:t>。</w:t>
      </w:r>
      <w:r>
        <w:t>南港水源涵养</w:t>
      </w:r>
      <w:r>
        <w:rPr>
          <w:rFonts w:hint="eastAsia"/>
        </w:rPr>
        <w:t>位于上高县境内，以中亚热带常绿阔叶林为主要保护对象，会使上高县生态系统得到完整、有效的保护。</w:t>
      </w:r>
      <w:r>
        <w:t>具体情况</w:t>
      </w:r>
      <w:r>
        <w:rPr>
          <w:rFonts w:hint="eastAsia"/>
        </w:rPr>
        <w:t>详见表4.2-1。</w:t>
      </w:r>
    </w:p>
    <w:p>
      <w:pPr>
        <w:pStyle w:val="33"/>
        <w:kinsoku w:val="0"/>
        <w:overflowPunct w:val="0"/>
        <w:spacing w:before="120" w:beforeLines="50" w:after="0" w:line="240" w:lineRule="auto"/>
        <w:ind w:firstLine="0" w:firstLineChars="0"/>
        <w:jc w:val="center"/>
        <w:rPr>
          <w:rFonts w:ascii="黑体" w:hAnsi="黑体" w:eastAsia="黑体" w:cs="黑体"/>
        </w:rPr>
      </w:pPr>
      <w:r>
        <w:rPr>
          <w:rFonts w:hint="eastAsia" w:ascii="黑体" w:hAnsi="黑体" w:eastAsia="黑体" w:cs="黑体"/>
        </w:rPr>
        <w:t>表4.2-1  上高县自然保护区分布情况一览表</w:t>
      </w:r>
    </w:p>
    <w:tbl>
      <w:tblPr>
        <w:tblStyle w:val="8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3"/>
        <w:gridCol w:w="1237"/>
        <w:gridCol w:w="593"/>
        <w:gridCol w:w="2349"/>
        <w:gridCol w:w="712"/>
        <w:gridCol w:w="640"/>
        <w:gridCol w:w="806"/>
        <w:gridCol w:w="1278"/>
        <w:gridCol w:w="15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4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序号</w:t>
            </w:r>
          </w:p>
        </w:tc>
        <w:tc>
          <w:tcPr>
            <w:tcW w:w="657"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保护区名称</w:t>
            </w:r>
          </w:p>
        </w:tc>
        <w:tc>
          <w:tcPr>
            <w:tcW w:w="315" w:type="pct"/>
            <w:vAlign w:val="center"/>
          </w:tcPr>
          <w:p>
            <w:pPr>
              <w:autoSpaceDE w:val="0"/>
              <w:autoSpaceDN w:val="0"/>
              <w:adjustRightInd w:val="0"/>
              <w:spacing w:line="340" w:lineRule="exact"/>
              <w:ind w:firstLine="0" w:firstLineChars="0"/>
              <w:jc w:val="center"/>
              <w:rPr>
                <w:rFonts w:hAnsi="宋体"/>
                <w:kern w:val="0"/>
                <w:sz w:val="21"/>
                <w:szCs w:val="21"/>
              </w:rPr>
            </w:pPr>
            <w:r>
              <w:rPr>
                <w:rFonts w:hAnsi="宋体"/>
                <w:kern w:val="0"/>
                <w:sz w:val="21"/>
                <w:szCs w:val="21"/>
              </w:rPr>
              <w:t>保护</w:t>
            </w:r>
          </w:p>
          <w:p>
            <w:pPr>
              <w:autoSpaceDE w:val="0"/>
              <w:autoSpaceDN w:val="0"/>
              <w:adjustRightInd w:val="0"/>
              <w:spacing w:line="340" w:lineRule="exact"/>
              <w:ind w:firstLine="0" w:firstLineChars="0"/>
              <w:jc w:val="center"/>
              <w:rPr>
                <w:kern w:val="0"/>
                <w:sz w:val="21"/>
                <w:szCs w:val="21"/>
              </w:rPr>
            </w:pPr>
            <w:r>
              <w:rPr>
                <w:rFonts w:hAnsi="宋体"/>
                <w:kern w:val="0"/>
                <w:sz w:val="21"/>
                <w:szCs w:val="21"/>
              </w:rPr>
              <w:t>类型</w:t>
            </w:r>
          </w:p>
        </w:tc>
        <w:tc>
          <w:tcPr>
            <w:tcW w:w="1248"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四至界线</w:t>
            </w:r>
          </w:p>
        </w:tc>
        <w:tc>
          <w:tcPr>
            <w:tcW w:w="378"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批准时间</w:t>
            </w:r>
            <w:r>
              <w:rPr>
                <w:kern w:val="0"/>
                <w:sz w:val="21"/>
                <w:szCs w:val="21"/>
              </w:rPr>
              <w:t>(</w:t>
            </w:r>
            <w:r>
              <w:rPr>
                <w:rFonts w:hAnsi="宋体"/>
                <w:kern w:val="0"/>
                <w:sz w:val="21"/>
                <w:szCs w:val="21"/>
              </w:rPr>
              <w:t>年</w:t>
            </w:r>
            <w:r>
              <w:rPr>
                <w:kern w:val="0"/>
                <w:sz w:val="21"/>
                <w:szCs w:val="21"/>
              </w:rPr>
              <w:t>)</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批准机关</w:t>
            </w:r>
          </w:p>
        </w:tc>
        <w:tc>
          <w:tcPr>
            <w:tcW w:w="428" w:type="pct"/>
            <w:vAlign w:val="center"/>
          </w:tcPr>
          <w:p>
            <w:pPr>
              <w:autoSpaceDE w:val="0"/>
              <w:autoSpaceDN w:val="0"/>
              <w:adjustRightInd w:val="0"/>
              <w:spacing w:line="340" w:lineRule="exact"/>
              <w:ind w:firstLine="0" w:firstLineChars="0"/>
              <w:jc w:val="center"/>
              <w:rPr>
                <w:rFonts w:hAnsi="宋体"/>
                <w:kern w:val="0"/>
                <w:sz w:val="21"/>
                <w:szCs w:val="21"/>
              </w:rPr>
            </w:pPr>
            <w:r>
              <w:rPr>
                <w:rFonts w:hAnsi="宋体"/>
                <w:kern w:val="0"/>
                <w:sz w:val="21"/>
                <w:szCs w:val="21"/>
              </w:rPr>
              <w:t>面积</w:t>
            </w:r>
          </w:p>
          <w:p>
            <w:pPr>
              <w:autoSpaceDE w:val="0"/>
              <w:autoSpaceDN w:val="0"/>
              <w:adjustRightInd w:val="0"/>
              <w:spacing w:line="340" w:lineRule="exact"/>
              <w:ind w:firstLine="0" w:firstLineChars="0"/>
              <w:jc w:val="center"/>
              <w:rPr>
                <w:kern w:val="0"/>
                <w:sz w:val="21"/>
                <w:szCs w:val="21"/>
              </w:rPr>
            </w:pPr>
            <w:r>
              <w:rPr>
                <w:kern w:val="0"/>
                <w:sz w:val="21"/>
                <w:szCs w:val="21"/>
              </w:rPr>
              <w:t>(</w:t>
            </w:r>
            <w:r>
              <w:rPr>
                <w:rFonts w:hAnsi="宋体"/>
                <w:kern w:val="0"/>
                <w:sz w:val="21"/>
                <w:szCs w:val="21"/>
              </w:rPr>
              <w:t>公顷</w:t>
            </w:r>
            <w:r>
              <w:rPr>
                <w:kern w:val="0"/>
                <w:sz w:val="21"/>
                <w:szCs w:val="21"/>
              </w:rPr>
              <w:t>)</w:t>
            </w:r>
          </w:p>
        </w:tc>
        <w:tc>
          <w:tcPr>
            <w:tcW w:w="679" w:type="pct"/>
            <w:vAlign w:val="center"/>
          </w:tcPr>
          <w:p>
            <w:pPr>
              <w:autoSpaceDE w:val="0"/>
              <w:autoSpaceDN w:val="0"/>
              <w:adjustRightInd w:val="0"/>
              <w:spacing w:line="340" w:lineRule="exact"/>
              <w:ind w:firstLine="0" w:firstLineChars="0"/>
              <w:jc w:val="center"/>
              <w:rPr>
                <w:kern w:val="0"/>
                <w:sz w:val="21"/>
                <w:szCs w:val="21"/>
              </w:rPr>
            </w:pPr>
            <w:r>
              <w:rPr>
                <w:rFonts w:hint="eastAsia" w:hAnsi="宋体"/>
                <w:kern w:val="0"/>
                <w:sz w:val="21"/>
                <w:szCs w:val="21"/>
              </w:rPr>
              <w:t>序号</w:t>
            </w:r>
          </w:p>
        </w:tc>
        <w:tc>
          <w:tcPr>
            <w:tcW w:w="805" w:type="pct"/>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距工程直线距离(km)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4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w:t>
            </w:r>
          </w:p>
        </w:tc>
        <w:tc>
          <w:tcPr>
            <w:tcW w:w="657" w:type="pct"/>
            <w:vAlign w:val="center"/>
          </w:tcPr>
          <w:p>
            <w:pPr>
              <w:autoSpaceDE w:val="0"/>
              <w:autoSpaceDN w:val="0"/>
              <w:adjustRightInd w:val="0"/>
              <w:spacing w:line="340" w:lineRule="exact"/>
              <w:ind w:firstLine="0" w:firstLineChars="0"/>
              <w:jc w:val="center"/>
              <w:rPr>
                <w:kern w:val="0"/>
                <w:sz w:val="21"/>
                <w:szCs w:val="21"/>
              </w:rPr>
            </w:pPr>
            <w:r>
              <w:rPr>
                <w:rFonts w:hint="eastAsia" w:hAnsi="宋体"/>
                <w:sz w:val="21"/>
                <w:szCs w:val="21"/>
              </w:rPr>
              <w:t>南港水源涵养县级森林生态</w:t>
            </w:r>
            <w:r>
              <w:rPr>
                <w:rFonts w:hAnsi="宋体"/>
                <w:sz w:val="21"/>
                <w:szCs w:val="21"/>
              </w:rPr>
              <w:t>自然保护区</w:t>
            </w:r>
          </w:p>
        </w:tc>
        <w:tc>
          <w:tcPr>
            <w:tcW w:w="31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森林</w:t>
            </w:r>
            <w:r>
              <w:rPr>
                <w:rFonts w:hint="eastAsia" w:hAnsi="宋体"/>
                <w:kern w:val="0"/>
                <w:sz w:val="21"/>
                <w:szCs w:val="21"/>
              </w:rPr>
              <w:t>生态</w:t>
            </w:r>
          </w:p>
        </w:tc>
        <w:tc>
          <w:tcPr>
            <w:tcW w:w="1248" w:type="pct"/>
            <w:vAlign w:val="center"/>
          </w:tcPr>
          <w:p>
            <w:pPr>
              <w:autoSpaceDE w:val="0"/>
              <w:autoSpaceDN w:val="0"/>
              <w:adjustRightInd w:val="0"/>
              <w:spacing w:line="340" w:lineRule="exact"/>
              <w:ind w:firstLine="0" w:firstLineChars="0"/>
              <w:jc w:val="center"/>
              <w:rPr>
                <w:sz w:val="21"/>
                <w:szCs w:val="21"/>
              </w:rPr>
            </w:pPr>
            <w:r>
              <w:rPr>
                <w:rFonts w:hAnsi="宋体"/>
                <w:sz w:val="21"/>
                <w:szCs w:val="21"/>
              </w:rPr>
              <w:t>东经</w:t>
            </w:r>
            <w:r>
              <w:rPr>
                <w:sz w:val="21"/>
                <w:szCs w:val="21"/>
              </w:rPr>
              <w:t>114°47'26″-114°48'35″</w:t>
            </w:r>
          </w:p>
          <w:p>
            <w:pPr>
              <w:autoSpaceDE w:val="0"/>
              <w:autoSpaceDN w:val="0"/>
              <w:adjustRightInd w:val="0"/>
              <w:spacing w:line="340" w:lineRule="exact"/>
              <w:ind w:firstLine="0" w:firstLineChars="0"/>
              <w:jc w:val="center"/>
              <w:rPr>
                <w:kern w:val="0"/>
                <w:sz w:val="21"/>
                <w:szCs w:val="21"/>
              </w:rPr>
            </w:pPr>
            <w:r>
              <w:rPr>
                <w:rFonts w:hAnsi="宋体"/>
                <w:sz w:val="21"/>
                <w:szCs w:val="21"/>
              </w:rPr>
              <w:t>北纬</w:t>
            </w:r>
            <w:r>
              <w:rPr>
                <w:sz w:val="21"/>
                <w:szCs w:val="21"/>
              </w:rPr>
              <w:t>28°40'52″-28°42'29″</w:t>
            </w:r>
          </w:p>
        </w:tc>
        <w:tc>
          <w:tcPr>
            <w:tcW w:w="378"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2016</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县政府</w:t>
            </w:r>
          </w:p>
        </w:tc>
        <w:tc>
          <w:tcPr>
            <w:tcW w:w="428"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5214</w:t>
            </w:r>
          </w:p>
        </w:tc>
        <w:tc>
          <w:tcPr>
            <w:tcW w:w="679" w:type="pct"/>
            <w:vAlign w:val="center"/>
          </w:tcPr>
          <w:tbl>
            <w:tblPr>
              <w:tblStyle w:val="82"/>
              <w:tblW w:w="1076" w:type="dxa"/>
              <w:tblInd w:w="0" w:type="dxa"/>
              <w:tblLayout w:type="autofit"/>
              <w:tblCellMar>
                <w:top w:w="0" w:type="dxa"/>
                <w:left w:w="0" w:type="dxa"/>
                <w:bottom w:w="0" w:type="dxa"/>
                <w:right w:w="0" w:type="dxa"/>
              </w:tblCellMar>
            </w:tblPr>
            <w:tblGrid>
              <w:gridCol w:w="6"/>
              <w:gridCol w:w="1070"/>
            </w:tblGrid>
            <w:tr>
              <w:tblPrEx>
                <w:tblCellMar>
                  <w:top w:w="0" w:type="dxa"/>
                  <w:left w:w="0" w:type="dxa"/>
                  <w:bottom w:w="0" w:type="dxa"/>
                  <w:right w:w="0" w:type="dxa"/>
                </w:tblCellMar>
              </w:tblPrEx>
              <w:tc>
                <w:tcPr>
                  <w:tcW w:w="0" w:type="auto"/>
                  <w:vAlign w:val="center"/>
                </w:tcPr>
                <w:p>
                  <w:pPr>
                    <w:widowControl/>
                    <w:spacing w:line="340" w:lineRule="exact"/>
                    <w:ind w:firstLine="320" w:firstLineChars="0"/>
                    <w:jc w:val="center"/>
                    <w:rPr>
                      <w:kern w:val="0"/>
                      <w:sz w:val="21"/>
                      <w:szCs w:val="21"/>
                    </w:rPr>
                  </w:pPr>
                </w:p>
              </w:tc>
              <w:tc>
                <w:tcPr>
                  <w:tcW w:w="1070" w:type="dxa"/>
                  <w:vAlign w:val="center"/>
                </w:tcPr>
                <w:p>
                  <w:pPr>
                    <w:widowControl/>
                    <w:spacing w:line="340" w:lineRule="exact"/>
                    <w:ind w:firstLine="0" w:firstLineChars="0"/>
                    <w:jc w:val="center"/>
                    <w:rPr>
                      <w:kern w:val="0"/>
                      <w:sz w:val="21"/>
                      <w:szCs w:val="21"/>
                    </w:rPr>
                  </w:pPr>
                  <w:r>
                    <w:rPr>
                      <w:rFonts w:hint="eastAsia"/>
                      <w:kern w:val="0"/>
                      <w:sz w:val="21"/>
                      <w:szCs w:val="21"/>
                    </w:rPr>
                    <w:t>赣144</w:t>
                  </w:r>
                </w:p>
              </w:tc>
            </w:tr>
          </w:tbl>
          <w:p>
            <w:pPr>
              <w:autoSpaceDE w:val="0"/>
              <w:autoSpaceDN w:val="0"/>
              <w:adjustRightInd w:val="0"/>
              <w:spacing w:line="340" w:lineRule="exact"/>
              <w:ind w:firstLine="0" w:firstLineChars="0"/>
              <w:jc w:val="center"/>
              <w:rPr>
                <w:kern w:val="0"/>
                <w:sz w:val="21"/>
                <w:szCs w:val="21"/>
              </w:rPr>
            </w:pPr>
          </w:p>
        </w:tc>
        <w:tc>
          <w:tcPr>
            <w:tcW w:w="805" w:type="pct"/>
          </w:tcPr>
          <w:p>
            <w:pPr>
              <w:widowControl/>
              <w:spacing w:line="340" w:lineRule="exact"/>
              <w:ind w:firstLine="0" w:firstLineChars="0"/>
              <w:jc w:val="center"/>
              <w:rPr>
                <w:kern w:val="0"/>
                <w:sz w:val="21"/>
                <w:szCs w:val="21"/>
              </w:rPr>
            </w:pPr>
            <w:r>
              <w:rPr>
                <w:rFonts w:hint="eastAsia" w:hAnsi="宋体"/>
                <w:sz w:val="21"/>
                <w:szCs w:val="21"/>
              </w:rPr>
              <w:t>与工程最近直线距离22.0km</w:t>
            </w:r>
            <w:r>
              <w:rPr>
                <w:rFonts w:hint="eastAsia"/>
                <w:sz w:val="21"/>
                <w:szCs w:val="21"/>
              </w:rPr>
              <w:t>。</w:t>
            </w:r>
          </w:p>
        </w:tc>
      </w:tr>
    </w:tbl>
    <w:p>
      <w:pPr>
        <w:pStyle w:val="33"/>
        <w:kinsoku w:val="0"/>
        <w:overflowPunct w:val="0"/>
        <w:spacing w:before="120" w:beforeLines="50" w:after="0"/>
        <w:ind w:firstLine="480"/>
      </w:pPr>
      <w:r>
        <w:rPr>
          <w:rFonts w:hint="eastAsia"/>
        </w:rPr>
        <w:t>本工程不在上高县自然保护区范围内，见附图十五，空间上不重叠，没有直接影响。</w:t>
      </w:r>
    </w:p>
    <w:p>
      <w:pPr>
        <w:pStyle w:val="33"/>
        <w:kinsoku w:val="0"/>
        <w:overflowPunct w:val="0"/>
        <w:spacing w:after="0"/>
        <w:ind w:firstLine="480"/>
      </w:pPr>
      <w:r>
        <w:rPr>
          <w:rFonts w:hint="eastAsia"/>
        </w:rPr>
        <w:t>(2)上高县风景名胜区</w:t>
      </w:r>
    </w:p>
    <w:p>
      <w:pPr>
        <w:autoSpaceDE w:val="0"/>
        <w:autoSpaceDN w:val="0"/>
        <w:adjustRightInd w:val="0"/>
        <w:ind w:firstLine="480"/>
      </w:pPr>
      <w:r>
        <w:t>上高县风景名胜区主要为九峰省级森林公园、镜山森林公园及翠霞省级森林公园。九峰山位于上高县西南方，距县城35公里，是幕阜山脉末山的主峰，总面积50平方公里，最高峰云霄岭，海拔801.9米，据同治九年《上高县志》称：“有寺凡九，惟末山九峰最高，末山与蒙山并峙，蒙最大，末最高，与匡庐、西山并称雄盛”。九峰山境幽静，景色宜人，素有天作园林之称。远眺罗列森平，如辕门戈戟；近看则古木千嶂，树翠草绿，林荫蔽日。</w:t>
      </w:r>
    </w:p>
    <w:p>
      <w:pPr>
        <w:autoSpaceDE w:val="0"/>
        <w:autoSpaceDN w:val="0"/>
        <w:adjustRightInd w:val="0"/>
        <w:ind w:firstLine="480"/>
      </w:pPr>
      <w:r>
        <w:t>镜山公园地处上高城区，320国道旁。向外，东距南昌112公里，西离宜春96公里，南邻新余64公里；向内，南靠镜山休闲广场，东依科技工业园，东邻上高会战阵亡烈士纪念馆。其规划面积为128亩，目前已建设90亩，是镶嵌于城镇中的一颗绿色珍珠。可开发的景点有：镜山湖、龙泉寺、别墅群、动物园、嘹望台等。镜山距县城东一公里处，“其山有三，端圆如镜。”镜山有上镜山、中镜山、下镜山三座山峰，其山顶皆如圆镜一般，故取名镜山。它西枕敖岭，南临锦水。中镜山、下镜山与上镜山对峙形成的峡谷</w:t>
      </w:r>
      <w:r>
        <w:rPr>
          <w:rFonts w:hint="eastAsia"/>
        </w:rPr>
        <w:t>—</w:t>
      </w:r>
      <w:r>
        <w:t>镜山口，320国道贯穿而过，山上松杉蔽日，林深草长，地形极为险要。1941年发生的“上高会战”，中-队就是充分利用这一天然屏障——镜山口，诱日军于镜山以东的广阔地区，大败日军于镜山脚下，镜山口因此被誉为“抗战圣地”。镜山森林公园包括“镜山夜月”、“镜山休闲广场”、“镜山烈士陵园”、“电视发射台”、“镜山水库”、“镜山寺古遗址”等景观。</w:t>
      </w:r>
    </w:p>
    <w:p>
      <w:pPr>
        <w:autoSpaceDE w:val="0"/>
        <w:autoSpaceDN w:val="0"/>
        <w:adjustRightInd w:val="0"/>
        <w:ind w:firstLine="480"/>
      </w:pPr>
      <w:r>
        <w:t>翠霞省级森林公园，位于江西省上高县，科技工业园区的北面，资源丰富，森林植被近2千亩，郁郁葱葱、绿峦叠翠；公园整体呈带状，地形地貌类型有一定变化，有蜿蜒起伏的山丘和狭长幽静的谷地。植物生长茂密丰富；园区内森林覆盖率达92.0%，有绿荫覆盖的大片区林海，有山清水秀、花俊草茂的谷地，丰富的森林资源构成了别具魅力的森林景观。包括了林地、水库、溪流、野生动物栖息地等基本类型。其中以鸟类栖息地、林地、树丛类型居多，以大树、林间花弅和溪流较珍贵。</w:t>
      </w:r>
    </w:p>
    <w:p>
      <w:pPr>
        <w:pStyle w:val="33"/>
        <w:kinsoku w:val="0"/>
        <w:overflowPunct w:val="0"/>
        <w:spacing w:after="0"/>
        <w:ind w:firstLine="480"/>
      </w:pPr>
      <w:r>
        <w:rPr>
          <w:rFonts w:hint="eastAsia"/>
        </w:rPr>
        <w:t>(3)上高锦河</w:t>
      </w:r>
      <w:r>
        <w:t>省级湿地公园</w:t>
      </w:r>
    </w:p>
    <w:p>
      <w:pPr>
        <w:pStyle w:val="440"/>
        <w:spacing w:line="360" w:lineRule="auto"/>
        <w:ind w:firstLine="480" w:firstLineChars="200"/>
        <w:jc w:val="both"/>
        <w:rPr>
          <w:color w:val="auto"/>
        </w:rPr>
      </w:pPr>
      <w:r>
        <w:rPr>
          <w:rFonts w:hint="eastAsia"/>
          <w:color w:val="auto"/>
          <w:kern w:val="2"/>
          <w:sz w:val="24"/>
        </w:rPr>
        <w:t>上高锦河</w:t>
      </w:r>
      <w:r>
        <w:rPr>
          <w:color w:val="auto"/>
          <w:kern w:val="2"/>
          <w:sz w:val="24"/>
        </w:rPr>
        <w:t>省级湿地公园位于</w:t>
      </w:r>
      <w:r>
        <w:rPr>
          <w:rFonts w:hint="eastAsia"/>
          <w:color w:val="auto"/>
          <w:kern w:val="2"/>
          <w:sz w:val="24"/>
        </w:rPr>
        <w:t>上高</w:t>
      </w:r>
      <w:r>
        <w:rPr>
          <w:color w:val="auto"/>
          <w:kern w:val="2"/>
          <w:sz w:val="24"/>
        </w:rPr>
        <w:t>县城</w:t>
      </w:r>
      <w:r>
        <w:rPr>
          <w:rFonts w:hint="eastAsia"/>
          <w:color w:val="auto"/>
          <w:kern w:val="2"/>
          <w:sz w:val="24"/>
        </w:rPr>
        <w:t>西部</w:t>
      </w:r>
      <w:r>
        <w:rPr>
          <w:color w:val="auto"/>
          <w:kern w:val="2"/>
          <w:sz w:val="24"/>
        </w:rPr>
        <w:t>，</w:t>
      </w:r>
      <w:r>
        <w:rPr>
          <w:rFonts w:hint="eastAsia"/>
          <w:color w:val="auto"/>
          <w:kern w:val="2"/>
          <w:sz w:val="24"/>
        </w:rPr>
        <w:t>西起凌江大桥（上游）、至城区东面锦河大桥（下游）的锦河河段，</w:t>
      </w:r>
      <w:r>
        <w:rPr>
          <w:color w:val="auto"/>
          <w:kern w:val="2"/>
          <w:sz w:val="24"/>
        </w:rPr>
        <w:t>主要包括</w:t>
      </w:r>
      <w:r>
        <w:rPr>
          <w:rFonts w:hint="eastAsia"/>
          <w:color w:val="auto"/>
          <w:kern w:val="2"/>
          <w:sz w:val="24"/>
        </w:rPr>
        <w:t>全部的河道及两侧部分农用地和洪泛平原湿地</w:t>
      </w:r>
      <w:r>
        <w:rPr>
          <w:color w:val="auto"/>
          <w:kern w:val="2"/>
          <w:sz w:val="24"/>
        </w:rPr>
        <w:t>。规划总面积</w:t>
      </w:r>
      <w:r>
        <w:rPr>
          <w:rFonts w:hint="eastAsia"/>
          <w:color w:val="auto"/>
          <w:kern w:val="2"/>
          <w:sz w:val="24"/>
        </w:rPr>
        <w:t>500.85</w:t>
      </w:r>
      <w:r>
        <w:rPr>
          <w:color w:val="auto"/>
          <w:kern w:val="2"/>
          <w:sz w:val="24"/>
        </w:rPr>
        <w:t>公顷，湿地面积</w:t>
      </w:r>
      <w:r>
        <w:rPr>
          <w:rFonts w:hint="eastAsia"/>
          <w:color w:val="auto"/>
          <w:kern w:val="2"/>
          <w:sz w:val="24"/>
        </w:rPr>
        <w:t>307.52</w:t>
      </w:r>
      <w:r>
        <w:rPr>
          <w:color w:val="auto"/>
          <w:kern w:val="2"/>
          <w:sz w:val="24"/>
        </w:rPr>
        <w:t>公顷，四至界线为E11</w:t>
      </w:r>
      <w:r>
        <w:rPr>
          <w:rFonts w:hint="eastAsia"/>
          <w:color w:val="auto"/>
          <w:kern w:val="2"/>
          <w:sz w:val="24"/>
        </w:rPr>
        <w:t>4</w:t>
      </w:r>
      <w:r>
        <w:rPr>
          <w:color w:val="auto"/>
          <w:kern w:val="2"/>
          <w:sz w:val="24"/>
        </w:rPr>
        <w:t>°</w:t>
      </w:r>
      <w:r>
        <w:rPr>
          <w:rFonts w:hint="eastAsia"/>
          <w:color w:val="auto"/>
          <w:kern w:val="2"/>
          <w:sz w:val="24"/>
        </w:rPr>
        <w:t>50</w:t>
      </w:r>
      <w:r>
        <w:rPr>
          <w:color w:val="auto"/>
          <w:kern w:val="2"/>
          <w:sz w:val="24"/>
        </w:rPr>
        <w:t>′</w:t>
      </w:r>
      <w:r>
        <w:rPr>
          <w:rFonts w:hint="eastAsia"/>
          <w:color w:val="auto"/>
          <w:kern w:val="2"/>
          <w:sz w:val="24"/>
        </w:rPr>
        <w:t>44</w:t>
      </w:r>
      <w:r>
        <w:rPr>
          <w:color w:val="auto"/>
          <w:kern w:val="2"/>
          <w:sz w:val="24"/>
        </w:rPr>
        <w:t>"</w:t>
      </w:r>
      <w:r>
        <w:rPr>
          <w:rFonts w:hint="eastAsia" w:ascii="MS Mincho" w:hAnsi="MS Mincho" w:eastAsia="MS Mincho" w:cs="MS Mincho"/>
          <w:color w:val="auto"/>
          <w:kern w:val="2"/>
          <w:sz w:val="24"/>
        </w:rPr>
        <w:t>〜</w:t>
      </w:r>
      <w:r>
        <w:rPr>
          <w:color w:val="auto"/>
          <w:kern w:val="2"/>
          <w:sz w:val="24"/>
        </w:rPr>
        <w:t>11</w:t>
      </w:r>
      <w:r>
        <w:rPr>
          <w:rFonts w:hint="eastAsia"/>
          <w:color w:val="auto"/>
          <w:kern w:val="2"/>
          <w:sz w:val="24"/>
        </w:rPr>
        <w:t>4</w:t>
      </w:r>
      <w:r>
        <w:rPr>
          <w:color w:val="auto"/>
          <w:kern w:val="2"/>
          <w:sz w:val="24"/>
        </w:rPr>
        <w:t>°</w:t>
      </w:r>
      <w:r>
        <w:rPr>
          <w:rFonts w:hint="eastAsia"/>
          <w:color w:val="auto"/>
          <w:kern w:val="2"/>
          <w:sz w:val="24"/>
        </w:rPr>
        <w:t>57</w:t>
      </w:r>
      <w:r>
        <w:rPr>
          <w:color w:val="auto"/>
          <w:kern w:val="2"/>
          <w:sz w:val="24"/>
        </w:rPr>
        <w:t>′</w:t>
      </w:r>
      <w:r>
        <w:rPr>
          <w:rFonts w:hint="eastAsia"/>
          <w:color w:val="auto"/>
          <w:kern w:val="2"/>
          <w:sz w:val="24"/>
        </w:rPr>
        <w:t>39</w:t>
      </w:r>
      <w:r>
        <w:rPr>
          <w:color w:val="auto"/>
          <w:kern w:val="2"/>
          <w:sz w:val="24"/>
        </w:rPr>
        <w:t>"，N28°</w:t>
      </w:r>
      <w:r>
        <w:rPr>
          <w:rFonts w:hint="eastAsia"/>
          <w:color w:val="auto"/>
          <w:kern w:val="2"/>
          <w:sz w:val="24"/>
        </w:rPr>
        <w:t>16</w:t>
      </w:r>
      <w:r>
        <w:rPr>
          <w:color w:val="auto"/>
          <w:kern w:val="2"/>
          <w:sz w:val="24"/>
        </w:rPr>
        <w:t>′</w:t>
      </w:r>
      <w:r>
        <w:rPr>
          <w:rFonts w:hint="eastAsia"/>
          <w:color w:val="auto"/>
          <w:kern w:val="2"/>
          <w:sz w:val="24"/>
        </w:rPr>
        <w:t>52</w:t>
      </w:r>
      <w:r>
        <w:rPr>
          <w:color w:val="auto"/>
          <w:kern w:val="2"/>
          <w:sz w:val="24"/>
        </w:rPr>
        <w:t>"</w:t>
      </w:r>
      <w:r>
        <w:rPr>
          <w:rFonts w:hint="eastAsia" w:ascii="MS Mincho" w:hAnsi="MS Mincho" w:eastAsia="MS Mincho" w:cs="MS Mincho"/>
          <w:color w:val="auto"/>
          <w:kern w:val="2"/>
          <w:sz w:val="24"/>
        </w:rPr>
        <w:t>〜</w:t>
      </w:r>
      <w:r>
        <w:rPr>
          <w:color w:val="auto"/>
          <w:kern w:val="2"/>
          <w:sz w:val="24"/>
        </w:rPr>
        <w:t>28°</w:t>
      </w:r>
      <w:r>
        <w:rPr>
          <w:rFonts w:hint="eastAsia"/>
          <w:color w:val="auto"/>
          <w:kern w:val="2"/>
          <w:sz w:val="24"/>
        </w:rPr>
        <w:t>13</w:t>
      </w:r>
      <w:r>
        <w:rPr>
          <w:color w:val="auto"/>
          <w:kern w:val="2"/>
          <w:sz w:val="24"/>
        </w:rPr>
        <w:t>′</w:t>
      </w:r>
      <w:r>
        <w:rPr>
          <w:rFonts w:hint="eastAsia"/>
          <w:color w:val="auto"/>
          <w:kern w:val="2"/>
          <w:sz w:val="24"/>
        </w:rPr>
        <w:t>49</w:t>
      </w:r>
      <w:r>
        <w:rPr>
          <w:color w:val="auto"/>
          <w:kern w:val="2"/>
          <w:sz w:val="24"/>
        </w:rPr>
        <w:t>"。湿地公园内湿地为永久性河流湿地、洪泛平原湿地、草本沼泽和库塘湿地四大类型湿地，湿地总面积为</w:t>
      </w:r>
      <w:r>
        <w:rPr>
          <w:rFonts w:hint="eastAsia"/>
          <w:color w:val="auto"/>
          <w:kern w:val="2"/>
          <w:sz w:val="24"/>
        </w:rPr>
        <w:t>307.52</w:t>
      </w:r>
      <w:r>
        <w:rPr>
          <w:color w:val="auto"/>
          <w:kern w:val="2"/>
          <w:sz w:val="24"/>
        </w:rPr>
        <w:t>公顷，湿地率为</w:t>
      </w:r>
      <w:r>
        <w:rPr>
          <w:rFonts w:hint="eastAsia"/>
          <w:color w:val="auto"/>
          <w:kern w:val="2"/>
          <w:sz w:val="24"/>
        </w:rPr>
        <w:t>61.4</w:t>
      </w:r>
      <w:r>
        <w:rPr>
          <w:color w:val="auto"/>
          <w:kern w:val="2"/>
          <w:sz w:val="24"/>
        </w:rPr>
        <w:t>%。</w:t>
      </w:r>
      <w:r>
        <w:rPr>
          <w:rFonts w:hint="eastAsia"/>
          <w:color w:val="auto"/>
          <w:kern w:val="2"/>
          <w:sz w:val="24"/>
        </w:rPr>
        <w:t>上高锦河</w:t>
      </w:r>
      <w:r>
        <w:rPr>
          <w:color w:val="auto"/>
          <w:kern w:val="2"/>
          <w:sz w:val="24"/>
        </w:rPr>
        <w:t>省级湿地公园分为</w:t>
      </w:r>
      <w:r>
        <w:rPr>
          <w:rFonts w:hint="eastAsia"/>
          <w:color w:val="auto"/>
          <w:kern w:val="2"/>
          <w:sz w:val="24"/>
        </w:rPr>
        <w:t>5</w:t>
      </w:r>
      <w:r>
        <w:rPr>
          <w:color w:val="auto"/>
          <w:kern w:val="2"/>
          <w:sz w:val="24"/>
        </w:rPr>
        <w:t>个功能区，分别是</w:t>
      </w:r>
      <w:r>
        <w:rPr>
          <w:rFonts w:hint="eastAsia"/>
          <w:color w:val="auto"/>
          <w:kern w:val="2"/>
          <w:sz w:val="24"/>
        </w:rPr>
        <w:t>锦河</w:t>
      </w:r>
      <w:r>
        <w:rPr>
          <w:color w:val="auto"/>
          <w:kern w:val="2"/>
          <w:sz w:val="24"/>
        </w:rPr>
        <w:t>湿地水源保护保育区、</w:t>
      </w:r>
      <w:r>
        <w:rPr>
          <w:rFonts w:hint="eastAsia"/>
          <w:color w:val="auto"/>
          <w:kern w:val="2"/>
          <w:sz w:val="24"/>
        </w:rPr>
        <w:t>恢复重建区</w:t>
      </w:r>
      <w:r>
        <w:rPr>
          <w:color w:val="auto"/>
          <w:kern w:val="2"/>
          <w:sz w:val="24"/>
        </w:rPr>
        <w:t>、</w:t>
      </w:r>
      <w:r>
        <w:rPr>
          <w:rFonts w:hint="eastAsia"/>
          <w:color w:val="auto"/>
          <w:kern w:val="2"/>
          <w:sz w:val="24"/>
        </w:rPr>
        <w:t>宣教展示区</w:t>
      </w:r>
      <w:r>
        <w:rPr>
          <w:color w:val="auto"/>
          <w:kern w:val="2"/>
          <w:sz w:val="24"/>
        </w:rPr>
        <w:t>、</w:t>
      </w:r>
      <w:r>
        <w:rPr>
          <w:rFonts w:hint="eastAsia"/>
          <w:color w:val="auto"/>
          <w:kern w:val="2"/>
          <w:sz w:val="24"/>
        </w:rPr>
        <w:t>合理利用区和管理服务区</w:t>
      </w:r>
      <w:r>
        <w:rPr>
          <w:color w:val="auto"/>
          <w:kern w:val="2"/>
          <w:sz w:val="24"/>
        </w:rPr>
        <w:t>。</w:t>
      </w:r>
      <w:r>
        <w:rPr>
          <w:rFonts w:hint="eastAsia"/>
          <w:color w:val="auto"/>
          <w:kern w:val="2"/>
          <w:sz w:val="24"/>
        </w:rPr>
        <w:t>项目各功能分区情况详见表4.2-2</w:t>
      </w:r>
      <w:r>
        <w:rPr>
          <w:rFonts w:hint="eastAsia"/>
          <w:color w:val="auto"/>
        </w:rPr>
        <w:t>。</w:t>
      </w:r>
    </w:p>
    <w:p>
      <w:pPr>
        <w:spacing w:before="120" w:beforeLines="50" w:line="240" w:lineRule="auto"/>
        <w:ind w:firstLine="480"/>
        <w:jc w:val="center"/>
        <w:rPr>
          <w:rFonts w:ascii="黑体" w:hAnsi="黑体" w:eastAsia="黑体" w:cs="黑体"/>
        </w:rPr>
      </w:pPr>
      <w:r>
        <w:rPr>
          <w:rFonts w:hint="eastAsia" w:ascii="黑体" w:hAnsi="黑体" w:eastAsia="黑体" w:cs="黑体"/>
        </w:rPr>
        <w:t>表4.2-2  上高锦河省级湿地公园功能分区表</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977"/>
        <w:gridCol w:w="1013"/>
        <w:gridCol w:w="1283"/>
        <w:gridCol w:w="1015"/>
        <w:gridCol w:w="1214"/>
        <w:gridCol w:w="31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功能</w:t>
            </w:r>
          </w:p>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分区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功能区名称</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面积（</w:t>
            </w:r>
            <w:r>
              <w:rPr>
                <w:rFonts w:hAnsi="宋体"/>
                <w:kern w:val="0"/>
                <w:sz w:val="21"/>
                <w:szCs w:val="21"/>
              </w:rPr>
              <w:t>hm</w:t>
            </w:r>
            <w:r>
              <w:rPr>
                <w:rFonts w:hAnsi="宋体"/>
                <w:kern w:val="0"/>
                <w:sz w:val="21"/>
                <w:szCs w:val="21"/>
                <w:vertAlign w:val="superscript"/>
              </w:rPr>
              <w:t>2</w:t>
            </w:r>
            <w:r>
              <w:rPr>
                <w:rFonts w:hint="eastAsia" w:hAnsi="宋体"/>
                <w:kern w:val="0"/>
                <w:sz w:val="21"/>
                <w:szCs w:val="21"/>
              </w:rPr>
              <w:t>）</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占公园面积比例（</w:t>
            </w:r>
            <w:r>
              <w:rPr>
                <w:rFonts w:hAnsi="宋体"/>
                <w:kern w:val="0"/>
                <w:sz w:val="21"/>
                <w:szCs w:val="21"/>
              </w:rPr>
              <w:t>%</w:t>
            </w:r>
            <w:r>
              <w:rPr>
                <w:rFonts w:hint="eastAsia" w:hAnsi="宋体"/>
                <w:kern w:val="0"/>
                <w:sz w:val="21"/>
                <w:szCs w:val="21"/>
              </w:rPr>
              <w:t>）</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湿地面积（</w:t>
            </w:r>
            <w:r>
              <w:rPr>
                <w:rFonts w:hAnsi="宋体"/>
                <w:kern w:val="0"/>
                <w:sz w:val="21"/>
                <w:szCs w:val="21"/>
              </w:rPr>
              <w:t>hm</w:t>
            </w:r>
            <w:r>
              <w:rPr>
                <w:rFonts w:hAnsi="宋体"/>
                <w:kern w:val="0"/>
                <w:sz w:val="21"/>
                <w:szCs w:val="21"/>
                <w:vertAlign w:val="superscript"/>
              </w:rPr>
              <w:t>2</w:t>
            </w:r>
            <w:r>
              <w:rPr>
                <w:rFonts w:hint="eastAsia" w:hAnsi="宋体"/>
                <w:kern w:val="0"/>
                <w:sz w:val="21"/>
                <w:szCs w:val="21"/>
              </w:rPr>
              <w:t>）</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占湿地面积比例（%）</w:t>
            </w:r>
          </w:p>
        </w:tc>
        <w:tc>
          <w:tcPr>
            <w:tcW w:w="1642" w:type="pct"/>
            <w:vAlign w:val="center"/>
          </w:tcPr>
          <w:p>
            <w:pPr>
              <w:autoSpaceDE w:val="0"/>
              <w:autoSpaceDN w:val="0"/>
              <w:adjustRightInd w:val="0"/>
              <w:spacing w:line="340" w:lineRule="exact"/>
              <w:ind w:firstLine="420"/>
              <w:jc w:val="center"/>
              <w:rPr>
                <w:rFonts w:hAnsi="宋体"/>
                <w:kern w:val="0"/>
                <w:sz w:val="21"/>
                <w:szCs w:val="21"/>
              </w:rPr>
            </w:pPr>
            <w:r>
              <w:rPr>
                <w:rFonts w:hint="eastAsia" w:hAnsi="宋体"/>
                <w:kern w:val="0"/>
                <w:sz w:val="21"/>
                <w:szCs w:val="21"/>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湿地保育区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锦河天然湿地保育区</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207.58</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41.44</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153.34</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49.87</w:t>
            </w:r>
          </w:p>
        </w:tc>
        <w:tc>
          <w:tcPr>
            <w:tcW w:w="164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本</w:t>
            </w:r>
            <w:r>
              <w:rPr>
                <w:rFonts w:hAnsi="宋体"/>
                <w:kern w:val="0"/>
                <w:sz w:val="21"/>
                <w:szCs w:val="21"/>
              </w:rPr>
              <w:t>区</w:t>
            </w:r>
            <w:r>
              <w:rPr>
                <w:rFonts w:hint="eastAsia" w:hAnsi="宋体"/>
                <w:kern w:val="0"/>
                <w:sz w:val="21"/>
                <w:szCs w:val="21"/>
              </w:rPr>
              <w:t>包括湿地公园内凌江大桥到下游团结大桥之间的河道及两侧湿地，</w:t>
            </w:r>
            <w:r>
              <w:rPr>
                <w:rFonts w:hAnsi="宋体"/>
                <w:kern w:val="0"/>
                <w:sz w:val="21"/>
                <w:szCs w:val="21"/>
              </w:rPr>
              <w:t>以保护</w:t>
            </w:r>
            <w:r>
              <w:rPr>
                <w:rFonts w:hint="eastAsia" w:hAnsi="宋体"/>
                <w:kern w:val="0"/>
                <w:sz w:val="21"/>
                <w:szCs w:val="21"/>
              </w:rPr>
              <w:t>锦河</w:t>
            </w:r>
            <w:r>
              <w:rPr>
                <w:rFonts w:hAnsi="宋体"/>
                <w:kern w:val="0"/>
                <w:sz w:val="21"/>
                <w:szCs w:val="21"/>
              </w:rPr>
              <w:t>水体</w:t>
            </w:r>
            <w:r>
              <w:rPr>
                <w:rFonts w:hint="eastAsia" w:hAnsi="宋体"/>
                <w:kern w:val="0"/>
                <w:sz w:val="21"/>
                <w:szCs w:val="21"/>
              </w:rPr>
              <w:t>、水质</w:t>
            </w:r>
            <w:r>
              <w:rPr>
                <w:rFonts w:hAnsi="宋体"/>
                <w:kern w:val="0"/>
                <w:sz w:val="21"/>
                <w:szCs w:val="21"/>
              </w:rPr>
              <w:t>为主，</w:t>
            </w:r>
            <w:r>
              <w:rPr>
                <w:rFonts w:hint="eastAsia" w:hAnsi="宋体"/>
                <w:kern w:val="0"/>
                <w:sz w:val="21"/>
                <w:szCs w:val="21"/>
              </w:rPr>
              <w:t>保障上高县饮用水源的生态安全和农业灌溉用水的需水量；保护现有鸟类和鱼类资源，营造适宜湿地动植物栖息的生境，提高生物多样性</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恢复重建区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斜口河流湿地健康恢复区</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100.91</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20.15</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57.73</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18.77</w:t>
            </w:r>
          </w:p>
        </w:tc>
        <w:tc>
          <w:tcPr>
            <w:tcW w:w="164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本</w:t>
            </w:r>
            <w:r>
              <w:rPr>
                <w:rFonts w:hAnsi="宋体"/>
                <w:kern w:val="0"/>
                <w:sz w:val="21"/>
                <w:szCs w:val="21"/>
              </w:rPr>
              <w:t>区</w:t>
            </w:r>
            <w:r>
              <w:rPr>
                <w:rFonts w:hint="eastAsia" w:hAnsi="宋体"/>
                <w:kern w:val="0"/>
                <w:sz w:val="21"/>
                <w:szCs w:val="21"/>
              </w:rPr>
              <w:t>包括团结大桥至上高团结新村附近的河道及两侧部分和叉口和绿地（未包括上保区域），通过生态工程措施恢复湿地健康，打造近自然的河流景观生态系统；修复河岸植被生长带，营造出湿地植被、灌木和乔木相结合的复合群落结构，丰富河岸带生物多样性，恢复和重建良好的生态驳岸和营造水禽生物栖息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宣教展示区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田北湿地科普宣教区</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62.66</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12.51</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34.97</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11.37</w:t>
            </w:r>
          </w:p>
        </w:tc>
        <w:tc>
          <w:tcPr>
            <w:tcW w:w="164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本区位于镜山大桥至下游锦河大桥段，是湿地公园内开展湿地科普宣教的重要场所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合理利用区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塔下生态景观休闲区</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113.11</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22.59</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61.48</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19.99</w:t>
            </w:r>
          </w:p>
        </w:tc>
        <w:tc>
          <w:tcPr>
            <w:tcW w:w="164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本</w:t>
            </w:r>
            <w:r>
              <w:rPr>
                <w:rFonts w:hAnsi="宋体"/>
                <w:kern w:val="0"/>
                <w:sz w:val="21"/>
                <w:szCs w:val="21"/>
              </w:rPr>
              <w:t>区</w:t>
            </w:r>
            <w:r>
              <w:rPr>
                <w:rFonts w:hint="eastAsia" w:hAnsi="宋体"/>
                <w:kern w:val="0"/>
                <w:sz w:val="21"/>
                <w:szCs w:val="21"/>
              </w:rPr>
              <w:t>河道及两侧部分河叉口和绿地，上游至团结新村附近、下游至镜山大桥位置，利用区域内的湿地景观资源、历史人文景观资源和城市基础设施条件成为上高市民休闲娱乐、康体健身和区域湿地生态观光旅游的目的地</w:t>
            </w:r>
            <w:r>
              <w:rPr>
                <w:rFonts w:hAnsi="宋体"/>
                <w:kern w:val="0"/>
                <w:sz w:val="21"/>
                <w:szCs w:val="21"/>
              </w:rPr>
              <w:t>，</w:t>
            </w:r>
            <w:r>
              <w:rPr>
                <w:rFonts w:hint="eastAsia" w:hAnsi="宋体"/>
                <w:kern w:val="0"/>
                <w:sz w:val="21"/>
                <w:szCs w:val="21"/>
              </w:rPr>
              <w:t>最终成为上高城市风貌景观变迁的风光带，生态景观展示</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管理服务区</w:t>
            </w:r>
          </w:p>
        </w:tc>
        <w:tc>
          <w:tcPr>
            <w:tcW w:w="50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新城管理服务区</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16.59</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3.31</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0</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0</w:t>
            </w:r>
          </w:p>
        </w:tc>
        <w:tc>
          <w:tcPr>
            <w:tcW w:w="1642"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主要以管理、服务为主，也兼具湿地科普，湿地文化展示的功能。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2" w:type="pct"/>
            <w:gridSpan w:val="2"/>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总计</w:t>
            </w:r>
          </w:p>
        </w:tc>
        <w:tc>
          <w:tcPr>
            <w:tcW w:w="529"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500.85</w:t>
            </w:r>
          </w:p>
        </w:tc>
        <w:tc>
          <w:tcPr>
            <w:tcW w:w="670" w:type="pct"/>
            <w:vAlign w:val="center"/>
          </w:tcPr>
          <w:p>
            <w:pPr>
              <w:autoSpaceDE w:val="0"/>
              <w:autoSpaceDN w:val="0"/>
              <w:adjustRightInd w:val="0"/>
              <w:spacing w:line="340" w:lineRule="exact"/>
              <w:ind w:firstLine="0" w:firstLineChars="0"/>
              <w:jc w:val="center"/>
              <w:rPr>
                <w:rFonts w:hAnsi="宋体"/>
                <w:kern w:val="0"/>
                <w:sz w:val="21"/>
                <w:szCs w:val="21"/>
              </w:rPr>
            </w:pPr>
            <w:r>
              <w:rPr>
                <w:rFonts w:hAnsi="宋体"/>
                <w:kern w:val="0"/>
                <w:sz w:val="21"/>
                <w:szCs w:val="21"/>
              </w:rPr>
              <w:t>100</w:t>
            </w:r>
          </w:p>
        </w:tc>
        <w:tc>
          <w:tcPr>
            <w:tcW w:w="530"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307.52</w:t>
            </w:r>
          </w:p>
        </w:tc>
        <w:tc>
          <w:tcPr>
            <w:tcW w:w="634" w:type="pct"/>
            <w:vAlign w:val="center"/>
          </w:tcPr>
          <w:p>
            <w:pPr>
              <w:autoSpaceDE w:val="0"/>
              <w:autoSpaceDN w:val="0"/>
              <w:adjustRightInd w:val="0"/>
              <w:spacing w:line="340" w:lineRule="exact"/>
              <w:ind w:firstLine="0" w:firstLineChars="0"/>
              <w:jc w:val="center"/>
              <w:rPr>
                <w:rFonts w:hAnsi="宋体"/>
                <w:kern w:val="0"/>
                <w:sz w:val="21"/>
                <w:szCs w:val="21"/>
              </w:rPr>
            </w:pPr>
            <w:r>
              <w:rPr>
                <w:rFonts w:hint="eastAsia" w:hAnsi="宋体"/>
                <w:kern w:val="0"/>
                <w:sz w:val="21"/>
                <w:szCs w:val="21"/>
              </w:rPr>
              <w:t>100</w:t>
            </w:r>
          </w:p>
        </w:tc>
        <w:tc>
          <w:tcPr>
            <w:tcW w:w="1642" w:type="pct"/>
            <w:vAlign w:val="center"/>
          </w:tcPr>
          <w:p>
            <w:pPr>
              <w:autoSpaceDE w:val="0"/>
              <w:autoSpaceDN w:val="0"/>
              <w:adjustRightInd w:val="0"/>
              <w:spacing w:line="340" w:lineRule="exact"/>
              <w:ind w:firstLine="420"/>
              <w:jc w:val="center"/>
              <w:rPr>
                <w:rFonts w:hAnsi="宋体"/>
                <w:kern w:val="0"/>
                <w:sz w:val="21"/>
                <w:szCs w:val="21"/>
              </w:rPr>
            </w:pPr>
          </w:p>
        </w:tc>
      </w:tr>
    </w:tbl>
    <w:p>
      <w:pPr>
        <w:spacing w:before="120" w:beforeLines="50"/>
        <w:ind w:firstLine="480"/>
        <w:rPr>
          <w:rFonts w:ascii="宋体" w:hAnsi="宋体"/>
        </w:rPr>
      </w:pPr>
      <w:r>
        <w:rPr>
          <w:rFonts w:hint="eastAsia"/>
        </w:rPr>
        <w:t>本项目在上高锦河</w:t>
      </w:r>
      <w:r>
        <w:t>省级湿地公园</w:t>
      </w:r>
      <w:r>
        <w:rPr>
          <w:rFonts w:hint="eastAsia" w:ascii="宋体" w:hAnsi="宋体"/>
        </w:rPr>
        <w:t>之外，</w:t>
      </w:r>
      <w:r>
        <w:rPr>
          <w:rFonts w:hint="eastAsia"/>
        </w:rPr>
        <w:t>上高锦河</w:t>
      </w:r>
      <w:r>
        <w:t>省级湿地公园</w:t>
      </w:r>
      <w:r>
        <w:rPr>
          <w:rFonts w:ascii="宋体" w:hAnsi="宋体"/>
        </w:rPr>
        <w:t>与</w:t>
      </w:r>
      <w:r>
        <w:rPr>
          <w:rFonts w:hint="eastAsia" w:ascii="宋体" w:hAnsi="宋体"/>
        </w:rPr>
        <w:t>工程坝址</w:t>
      </w:r>
      <w:r>
        <w:rPr>
          <w:rFonts w:ascii="宋体" w:hAnsi="宋体"/>
        </w:rPr>
        <w:t>位置关系见</w:t>
      </w:r>
      <w:r>
        <w:rPr>
          <w:rFonts w:hint="eastAsia"/>
          <w:szCs w:val="24"/>
          <w:lang w:val="zh-TW"/>
        </w:rPr>
        <w:t>附图十</w:t>
      </w:r>
      <w:r>
        <w:rPr>
          <w:rFonts w:ascii="宋体" w:hAnsi="宋体"/>
        </w:rPr>
        <w:t>。</w:t>
      </w:r>
    </w:p>
    <w:p>
      <w:pPr>
        <w:pStyle w:val="33"/>
        <w:kinsoku w:val="0"/>
        <w:overflowPunct w:val="0"/>
        <w:spacing w:after="0"/>
        <w:ind w:firstLine="480"/>
      </w:pPr>
      <w:r>
        <w:rPr>
          <w:rFonts w:hint="eastAsia"/>
        </w:rPr>
        <w:t>(4)饮用水源保护区</w:t>
      </w:r>
      <w:bookmarkEnd w:id="702"/>
    </w:p>
    <w:p>
      <w:pPr>
        <w:autoSpaceDE w:val="0"/>
        <w:autoSpaceDN w:val="0"/>
        <w:adjustRightInd w:val="0"/>
        <w:ind w:firstLine="480"/>
        <w:rPr>
          <w:szCs w:val="24"/>
        </w:rPr>
      </w:pPr>
      <w:r>
        <w:rPr>
          <w:szCs w:val="24"/>
          <w:lang w:val="zh-TW"/>
        </w:rPr>
        <w:t>根据现场调查及咨询相关单位，</w:t>
      </w:r>
      <w:r>
        <w:rPr>
          <w:spacing w:val="-8"/>
        </w:rPr>
        <w:t>与</w:t>
      </w:r>
      <w:r>
        <w:rPr>
          <w:szCs w:val="24"/>
        </w:rPr>
        <w:t>毛家渡抬水工程最近的饮用水源取水口有2处，上高</w:t>
      </w:r>
      <w:r>
        <w:rPr>
          <w:szCs w:val="24"/>
          <w:lang w:val="zh-TW"/>
        </w:rPr>
        <w:t>县新界埠镇自来水厂取水口及</w:t>
      </w:r>
      <w:r>
        <w:t>上高县第二自来水厂取水口</w:t>
      </w:r>
      <w:r>
        <w:rPr>
          <w:szCs w:val="24"/>
          <w:lang w:val="zh-TW"/>
        </w:rPr>
        <w:t>。</w:t>
      </w:r>
      <w:r>
        <w:rPr>
          <w:szCs w:val="24"/>
        </w:rPr>
        <w:t>上高</w:t>
      </w:r>
      <w:r>
        <w:rPr>
          <w:szCs w:val="24"/>
          <w:lang w:val="zh-TW"/>
        </w:rPr>
        <w:t>县新界埠镇自来水厂取水口位于江西省上高县</w:t>
      </w:r>
      <w:r>
        <w:rPr>
          <w:szCs w:val="24"/>
        </w:rPr>
        <w:t>新界埠镇坎上村，东经115°3'41.50″，北纬28°13'46.8″，上高县第二自来水厂取水口位于江西省上高县钟家渡拦河坝上游150m，东经114°48'47"，北纬28°16'22"，</w:t>
      </w:r>
      <w:r>
        <w:rPr>
          <w:szCs w:val="24"/>
          <w:lang w:val="zh-TW"/>
        </w:rPr>
        <w:t>自来水厂取水口</w:t>
      </w:r>
      <w:r>
        <w:rPr>
          <w:szCs w:val="24"/>
        </w:rPr>
        <w:t>情况详见表4.2-3。</w:t>
      </w:r>
    </w:p>
    <w:p>
      <w:pPr>
        <w:spacing w:before="120" w:beforeLines="50" w:line="240" w:lineRule="auto"/>
        <w:ind w:firstLine="480"/>
        <w:jc w:val="center"/>
        <w:rPr>
          <w:rFonts w:ascii="黑体" w:hAnsi="黑体" w:eastAsia="黑体"/>
        </w:rPr>
      </w:pPr>
      <w:r>
        <w:rPr>
          <w:rFonts w:hint="eastAsia" w:ascii="黑体" w:hAnsi="黑体" w:eastAsia="黑体"/>
        </w:rPr>
        <w:t>表4.2-3  上高</w:t>
      </w:r>
      <w:r>
        <w:rPr>
          <w:rFonts w:ascii="黑体" w:hAnsi="黑体" w:eastAsia="黑体"/>
        </w:rPr>
        <w:t>县自来水厂取水口</w:t>
      </w:r>
      <w:r>
        <w:rPr>
          <w:rFonts w:hint="eastAsia" w:ascii="黑体" w:hAnsi="黑体" w:eastAsia="黑体"/>
        </w:rPr>
        <w:t>情况一览表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88"/>
        <w:gridCol w:w="1775"/>
        <w:gridCol w:w="1333"/>
        <w:gridCol w:w="1134"/>
        <w:gridCol w:w="2143"/>
        <w:gridCol w:w="23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88" w:type="dxa"/>
            <w:vAlign w:val="center"/>
          </w:tcPr>
          <w:p>
            <w:pPr>
              <w:spacing w:line="340" w:lineRule="exact"/>
              <w:ind w:firstLine="0" w:firstLineChars="0"/>
              <w:jc w:val="center"/>
              <w:rPr>
                <w:sz w:val="21"/>
                <w:szCs w:val="21"/>
              </w:rPr>
            </w:pPr>
            <w:r>
              <w:rPr>
                <w:sz w:val="21"/>
                <w:szCs w:val="21"/>
              </w:rPr>
              <w:t>序号</w:t>
            </w:r>
          </w:p>
        </w:tc>
        <w:tc>
          <w:tcPr>
            <w:tcW w:w="1775" w:type="dxa"/>
            <w:vAlign w:val="center"/>
          </w:tcPr>
          <w:p>
            <w:pPr>
              <w:spacing w:line="340" w:lineRule="exact"/>
              <w:ind w:firstLine="0" w:firstLineChars="0"/>
              <w:jc w:val="center"/>
              <w:rPr>
                <w:sz w:val="21"/>
                <w:szCs w:val="21"/>
              </w:rPr>
            </w:pPr>
            <w:r>
              <w:rPr>
                <w:sz w:val="21"/>
                <w:szCs w:val="21"/>
              </w:rPr>
              <w:t>名称</w:t>
            </w:r>
          </w:p>
        </w:tc>
        <w:tc>
          <w:tcPr>
            <w:tcW w:w="1333" w:type="dxa"/>
            <w:vAlign w:val="center"/>
          </w:tcPr>
          <w:p>
            <w:pPr>
              <w:spacing w:line="340" w:lineRule="exact"/>
              <w:ind w:firstLine="0" w:firstLineChars="0"/>
              <w:jc w:val="center"/>
              <w:rPr>
                <w:sz w:val="21"/>
                <w:szCs w:val="21"/>
              </w:rPr>
            </w:pPr>
            <w:r>
              <w:rPr>
                <w:rFonts w:hint="eastAsia"/>
                <w:sz w:val="21"/>
                <w:szCs w:val="21"/>
              </w:rPr>
              <w:t>位置</w:t>
            </w:r>
          </w:p>
        </w:tc>
        <w:tc>
          <w:tcPr>
            <w:tcW w:w="1134" w:type="dxa"/>
            <w:vAlign w:val="center"/>
          </w:tcPr>
          <w:p>
            <w:pPr>
              <w:spacing w:line="340" w:lineRule="exact"/>
              <w:ind w:firstLine="0" w:firstLineChars="0"/>
              <w:jc w:val="center"/>
              <w:rPr>
                <w:sz w:val="21"/>
                <w:szCs w:val="21"/>
              </w:rPr>
            </w:pPr>
            <w:r>
              <w:rPr>
                <w:sz w:val="21"/>
                <w:szCs w:val="21"/>
              </w:rPr>
              <w:t>始建时间</w:t>
            </w:r>
          </w:p>
        </w:tc>
        <w:tc>
          <w:tcPr>
            <w:tcW w:w="2143" w:type="dxa"/>
            <w:vAlign w:val="center"/>
          </w:tcPr>
          <w:p>
            <w:pPr>
              <w:spacing w:line="340" w:lineRule="exact"/>
              <w:ind w:firstLine="0" w:firstLineChars="0"/>
              <w:jc w:val="center"/>
              <w:rPr>
                <w:sz w:val="21"/>
                <w:szCs w:val="21"/>
              </w:rPr>
            </w:pPr>
            <w:r>
              <w:rPr>
                <w:sz w:val="21"/>
                <w:szCs w:val="21"/>
              </w:rPr>
              <w:t>现状供水规模（m</w:t>
            </w:r>
            <w:r>
              <w:rPr>
                <w:sz w:val="21"/>
                <w:szCs w:val="21"/>
                <w:vertAlign w:val="superscript"/>
              </w:rPr>
              <w:t>3</w:t>
            </w:r>
            <w:r>
              <w:rPr>
                <w:sz w:val="21"/>
                <w:szCs w:val="21"/>
              </w:rPr>
              <w:t>/d）</w:t>
            </w:r>
          </w:p>
        </w:tc>
        <w:tc>
          <w:tcPr>
            <w:tcW w:w="0" w:type="auto"/>
            <w:vAlign w:val="center"/>
          </w:tcPr>
          <w:p>
            <w:pPr>
              <w:spacing w:line="340" w:lineRule="exact"/>
              <w:ind w:firstLine="0" w:firstLineChars="0"/>
              <w:rPr>
                <w:sz w:val="21"/>
                <w:szCs w:val="21"/>
              </w:rPr>
            </w:pPr>
            <w:r>
              <w:rPr>
                <w:sz w:val="21"/>
                <w:szCs w:val="21"/>
              </w:rPr>
              <w:t>设计日供水规模（m</w:t>
            </w:r>
            <w:r>
              <w:rPr>
                <w:sz w:val="21"/>
                <w:szCs w:val="21"/>
                <w:vertAlign w:val="superscript"/>
              </w:rPr>
              <w:t>3</w:t>
            </w:r>
            <w:r>
              <w:rPr>
                <w:sz w:val="21"/>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88" w:type="dxa"/>
            <w:vAlign w:val="center"/>
          </w:tcPr>
          <w:p>
            <w:pPr>
              <w:spacing w:line="340" w:lineRule="exact"/>
              <w:ind w:firstLine="0" w:firstLineChars="0"/>
              <w:jc w:val="center"/>
              <w:rPr>
                <w:sz w:val="21"/>
                <w:szCs w:val="21"/>
              </w:rPr>
            </w:pPr>
            <w:r>
              <w:rPr>
                <w:sz w:val="21"/>
                <w:szCs w:val="21"/>
              </w:rPr>
              <w:t>1</w:t>
            </w:r>
          </w:p>
        </w:tc>
        <w:tc>
          <w:tcPr>
            <w:tcW w:w="1775" w:type="dxa"/>
            <w:vAlign w:val="center"/>
          </w:tcPr>
          <w:p>
            <w:pPr>
              <w:spacing w:line="340" w:lineRule="exact"/>
              <w:ind w:firstLine="0" w:firstLineChars="0"/>
              <w:jc w:val="center"/>
              <w:rPr>
                <w:sz w:val="21"/>
                <w:szCs w:val="21"/>
              </w:rPr>
            </w:pPr>
            <w:r>
              <w:rPr>
                <w:rFonts w:hint="eastAsia"/>
                <w:sz w:val="21"/>
                <w:szCs w:val="21"/>
              </w:rPr>
              <w:t>上高</w:t>
            </w:r>
            <w:r>
              <w:rPr>
                <w:sz w:val="21"/>
                <w:szCs w:val="21"/>
              </w:rPr>
              <w:t>县</w:t>
            </w:r>
            <w:r>
              <w:rPr>
                <w:rFonts w:hint="eastAsia"/>
                <w:sz w:val="21"/>
                <w:szCs w:val="21"/>
              </w:rPr>
              <w:t>第二</w:t>
            </w:r>
            <w:r>
              <w:rPr>
                <w:sz w:val="21"/>
                <w:szCs w:val="21"/>
              </w:rPr>
              <w:t>自来水厂取水口</w:t>
            </w:r>
          </w:p>
        </w:tc>
        <w:tc>
          <w:tcPr>
            <w:tcW w:w="1333" w:type="dxa"/>
            <w:vAlign w:val="center"/>
          </w:tcPr>
          <w:p>
            <w:pPr>
              <w:spacing w:line="340" w:lineRule="exact"/>
              <w:ind w:firstLine="0" w:firstLineChars="0"/>
              <w:jc w:val="center"/>
              <w:rPr>
                <w:sz w:val="21"/>
                <w:szCs w:val="21"/>
              </w:rPr>
            </w:pPr>
            <w:r>
              <w:rPr>
                <w:rFonts w:hint="eastAsia"/>
                <w:sz w:val="21"/>
                <w:szCs w:val="21"/>
                <w:lang w:val="zh-TW"/>
              </w:rPr>
              <w:t>上高</w:t>
            </w:r>
            <w:r>
              <w:rPr>
                <w:sz w:val="21"/>
                <w:szCs w:val="21"/>
                <w:lang w:val="zh-TW"/>
              </w:rPr>
              <w:t>县</w:t>
            </w:r>
            <w:r>
              <w:rPr>
                <w:rFonts w:hint="eastAsia"/>
                <w:sz w:val="21"/>
                <w:szCs w:val="21"/>
                <w:lang w:val="zh-TW"/>
              </w:rPr>
              <w:t>钟家渡拦河坝上游</w:t>
            </w:r>
          </w:p>
        </w:tc>
        <w:tc>
          <w:tcPr>
            <w:tcW w:w="1134" w:type="dxa"/>
            <w:vAlign w:val="center"/>
          </w:tcPr>
          <w:p>
            <w:pPr>
              <w:spacing w:line="340" w:lineRule="exact"/>
              <w:ind w:firstLine="0" w:firstLineChars="0"/>
              <w:jc w:val="center"/>
              <w:rPr>
                <w:sz w:val="21"/>
                <w:szCs w:val="21"/>
              </w:rPr>
            </w:pPr>
            <w:r>
              <w:rPr>
                <w:rFonts w:hint="eastAsia"/>
                <w:sz w:val="21"/>
                <w:szCs w:val="21"/>
              </w:rPr>
              <w:t>2017</w:t>
            </w:r>
          </w:p>
        </w:tc>
        <w:tc>
          <w:tcPr>
            <w:tcW w:w="2143" w:type="dxa"/>
            <w:vAlign w:val="center"/>
          </w:tcPr>
          <w:p>
            <w:pPr>
              <w:spacing w:line="340" w:lineRule="exact"/>
              <w:ind w:firstLine="0" w:firstLineChars="0"/>
              <w:jc w:val="center"/>
              <w:rPr>
                <w:sz w:val="21"/>
                <w:szCs w:val="21"/>
              </w:rPr>
            </w:pPr>
            <w:r>
              <w:rPr>
                <w:rFonts w:hint="eastAsia"/>
                <w:sz w:val="21"/>
                <w:szCs w:val="21"/>
              </w:rPr>
              <w:t>60000</w:t>
            </w:r>
          </w:p>
        </w:tc>
        <w:tc>
          <w:tcPr>
            <w:tcW w:w="0" w:type="auto"/>
            <w:vAlign w:val="center"/>
          </w:tcPr>
          <w:p>
            <w:pPr>
              <w:spacing w:line="340" w:lineRule="exact"/>
              <w:ind w:firstLine="0" w:firstLineChars="0"/>
              <w:jc w:val="center"/>
              <w:rPr>
                <w:sz w:val="21"/>
                <w:szCs w:val="21"/>
              </w:rPr>
            </w:pPr>
            <w:r>
              <w:rPr>
                <w:rFonts w:hint="eastAsia"/>
                <w:sz w:val="21"/>
                <w:szCs w:val="21"/>
              </w:rPr>
              <w:t>90000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88" w:type="dxa"/>
            <w:vAlign w:val="center"/>
          </w:tcPr>
          <w:p>
            <w:pPr>
              <w:spacing w:line="340" w:lineRule="exact"/>
              <w:ind w:firstLine="0" w:firstLineChars="0"/>
              <w:jc w:val="center"/>
              <w:rPr>
                <w:sz w:val="21"/>
                <w:szCs w:val="21"/>
              </w:rPr>
            </w:pPr>
            <w:r>
              <w:rPr>
                <w:rFonts w:hint="eastAsia"/>
                <w:sz w:val="21"/>
                <w:szCs w:val="21"/>
              </w:rPr>
              <w:t>2</w:t>
            </w:r>
          </w:p>
        </w:tc>
        <w:tc>
          <w:tcPr>
            <w:tcW w:w="1775" w:type="dxa"/>
            <w:vAlign w:val="center"/>
          </w:tcPr>
          <w:p>
            <w:pPr>
              <w:spacing w:line="340" w:lineRule="exact"/>
              <w:ind w:firstLine="0" w:firstLineChars="0"/>
              <w:jc w:val="center"/>
              <w:rPr>
                <w:sz w:val="21"/>
                <w:szCs w:val="21"/>
              </w:rPr>
            </w:pPr>
            <w:r>
              <w:rPr>
                <w:rFonts w:hint="eastAsia"/>
                <w:sz w:val="21"/>
                <w:szCs w:val="21"/>
              </w:rPr>
              <w:t>上高县新界埠镇自来水厂取水口</w:t>
            </w:r>
          </w:p>
        </w:tc>
        <w:tc>
          <w:tcPr>
            <w:tcW w:w="1333" w:type="dxa"/>
            <w:vAlign w:val="center"/>
          </w:tcPr>
          <w:p>
            <w:pPr>
              <w:spacing w:line="340" w:lineRule="exact"/>
              <w:ind w:firstLine="0" w:firstLineChars="0"/>
              <w:jc w:val="center"/>
              <w:rPr>
                <w:sz w:val="21"/>
                <w:szCs w:val="21"/>
              </w:rPr>
            </w:pPr>
            <w:r>
              <w:rPr>
                <w:rFonts w:hint="eastAsia"/>
                <w:sz w:val="21"/>
                <w:szCs w:val="21"/>
              </w:rPr>
              <w:t>上高县新界埠镇坎上村</w:t>
            </w:r>
          </w:p>
        </w:tc>
        <w:tc>
          <w:tcPr>
            <w:tcW w:w="1134" w:type="dxa"/>
            <w:vAlign w:val="center"/>
          </w:tcPr>
          <w:p>
            <w:pPr>
              <w:spacing w:line="340" w:lineRule="exact"/>
              <w:ind w:firstLine="0" w:firstLineChars="0"/>
              <w:jc w:val="center"/>
              <w:rPr>
                <w:sz w:val="21"/>
                <w:szCs w:val="21"/>
              </w:rPr>
            </w:pPr>
            <w:r>
              <w:rPr>
                <w:rFonts w:hint="eastAsia"/>
                <w:sz w:val="21"/>
                <w:szCs w:val="21"/>
              </w:rPr>
              <w:t>2017</w:t>
            </w:r>
          </w:p>
        </w:tc>
        <w:tc>
          <w:tcPr>
            <w:tcW w:w="2143" w:type="dxa"/>
            <w:vAlign w:val="center"/>
          </w:tcPr>
          <w:p>
            <w:pPr>
              <w:spacing w:line="340" w:lineRule="exact"/>
              <w:ind w:firstLine="0" w:firstLineChars="0"/>
              <w:jc w:val="center"/>
              <w:rPr>
                <w:sz w:val="21"/>
                <w:szCs w:val="21"/>
              </w:rPr>
            </w:pPr>
            <w:r>
              <w:rPr>
                <w:rFonts w:hint="eastAsia"/>
                <w:sz w:val="21"/>
                <w:szCs w:val="21"/>
              </w:rPr>
              <w:t>274</w:t>
            </w:r>
          </w:p>
        </w:tc>
        <w:tc>
          <w:tcPr>
            <w:tcW w:w="0" w:type="auto"/>
            <w:vAlign w:val="center"/>
          </w:tcPr>
          <w:p>
            <w:pPr>
              <w:spacing w:line="340" w:lineRule="exact"/>
              <w:ind w:firstLine="0" w:firstLineChars="0"/>
              <w:jc w:val="center"/>
              <w:rPr>
                <w:sz w:val="21"/>
                <w:szCs w:val="21"/>
              </w:rPr>
            </w:pPr>
            <w:r>
              <w:rPr>
                <w:rFonts w:hint="eastAsia"/>
                <w:sz w:val="21"/>
                <w:szCs w:val="21"/>
              </w:rPr>
              <w:t>1500</w:t>
            </w:r>
          </w:p>
        </w:tc>
      </w:tr>
    </w:tbl>
    <w:p>
      <w:pPr>
        <w:spacing w:before="120" w:beforeLines="50"/>
        <w:ind w:firstLine="480"/>
      </w:pPr>
      <w:r>
        <w:t>根据《江西省生活饮用水水源污染防治办法》第九条规定“江河饮用水源保护区一般按以下范围划定：(一)一级保护区：自取水点起算，上游1000米至下游100米的水域和取水点一侧的滩地以及迎水面堤脚向背水面延伸100米的陆域；(二)二级保护区：自一级保护区上界起上溯3000米的水域和取水点一侧的滩地以及迎水面堤脚向背水面延伸100米的陆域。”项目坝址</w:t>
      </w:r>
      <w:r>
        <w:rPr>
          <w:rFonts w:hAnsi="宋体"/>
        </w:rPr>
        <w:t>位于</w:t>
      </w:r>
      <w:r>
        <w:rPr>
          <w:rFonts w:hint="eastAsia"/>
        </w:rPr>
        <w:t>上高</w:t>
      </w:r>
      <w:r>
        <w:t>县供水公司取水口下游约6.3km</w:t>
      </w:r>
      <w:r>
        <w:rPr>
          <w:rFonts w:hAnsi="宋体"/>
        </w:rPr>
        <w:t>，距离</w:t>
      </w:r>
      <w:r>
        <w:rPr>
          <w:rFonts w:hint="eastAsia"/>
        </w:rPr>
        <w:t>上高</w:t>
      </w:r>
      <w:r>
        <w:t>县供水公司取水口</w:t>
      </w:r>
      <w:r>
        <w:rPr>
          <w:rFonts w:hAnsi="宋体"/>
        </w:rPr>
        <w:t>二级保护区的距离约</w:t>
      </w:r>
      <w:r>
        <w:t>6.1km</w:t>
      </w:r>
      <w:r>
        <w:rPr>
          <w:rFonts w:hAnsi="宋体"/>
        </w:rPr>
        <w:t>，</w:t>
      </w:r>
      <w:r>
        <w:t>项目坝址</w:t>
      </w:r>
      <w:r>
        <w:rPr>
          <w:rFonts w:hAnsi="宋体"/>
        </w:rPr>
        <w:t>位于</w:t>
      </w:r>
      <w:r>
        <w:t>安义县黄洲镇自来水厂取水口上游约7.35km</w:t>
      </w:r>
      <w:r>
        <w:rPr>
          <w:rFonts w:hAnsi="宋体"/>
        </w:rPr>
        <w:t>，距离</w:t>
      </w:r>
      <w:r>
        <w:t>取水口</w:t>
      </w:r>
      <w:r>
        <w:rPr>
          <w:rFonts w:hAnsi="宋体"/>
        </w:rPr>
        <w:t>二级保护区的距离约</w:t>
      </w:r>
      <w:r>
        <w:t>3.5km</w:t>
      </w:r>
      <w:r>
        <w:rPr>
          <w:rFonts w:hAnsi="宋体"/>
        </w:rPr>
        <w:t>，</w:t>
      </w:r>
      <w:r>
        <w:t>不涉及集中式饮用水源保护区，工程与饮用水源保护区位置关系情况详见附图六、附图八，</w:t>
      </w:r>
      <w:r>
        <w:rPr>
          <w:rFonts w:hint="eastAsia"/>
          <w:szCs w:val="24"/>
          <w:lang w:val="zh-TW"/>
        </w:rPr>
        <w:t>上高</w:t>
      </w:r>
      <w:r>
        <w:rPr>
          <w:szCs w:val="24"/>
          <w:lang w:val="zh-TW"/>
        </w:rPr>
        <w:t>县自来水厂</w:t>
      </w:r>
      <w:r>
        <w:t>饮</w:t>
      </w:r>
      <w:r>
        <w:rPr>
          <w:rFonts w:hAnsi="宋体"/>
        </w:rPr>
        <w:t>用水源地划定情况详见表</w:t>
      </w:r>
      <w:r>
        <w:t>4.2-</w:t>
      </w:r>
      <w:r>
        <w:rPr>
          <w:rFonts w:hint="eastAsia"/>
        </w:rPr>
        <w:t>4</w:t>
      </w:r>
      <w:r>
        <w:rPr>
          <w:rFonts w:hAnsi="宋体"/>
        </w:rPr>
        <w:t>。</w:t>
      </w:r>
    </w:p>
    <w:p>
      <w:pPr>
        <w:pStyle w:val="33"/>
        <w:kinsoku w:val="0"/>
        <w:overflowPunct w:val="0"/>
        <w:spacing w:before="120" w:beforeLines="50" w:after="0" w:line="240" w:lineRule="auto"/>
        <w:ind w:firstLine="0" w:firstLineChars="0"/>
        <w:jc w:val="center"/>
        <w:rPr>
          <w:rFonts w:ascii="黑体" w:hAnsi="黑体" w:eastAsia="黑体"/>
          <w:bCs/>
        </w:rPr>
      </w:pPr>
      <w:r>
        <w:rPr>
          <w:rFonts w:hint="eastAsia" w:ascii="黑体" w:hAnsi="黑体" w:eastAsia="黑体"/>
          <w:bCs/>
        </w:rPr>
        <w:t>表</w:t>
      </w:r>
      <w:r>
        <w:rPr>
          <w:rFonts w:ascii="黑体" w:hAnsi="黑体" w:eastAsia="黑体"/>
          <w:bCs/>
          <w:spacing w:val="-63"/>
        </w:rPr>
        <w:t xml:space="preserve"> </w:t>
      </w:r>
      <w:r>
        <w:rPr>
          <w:rFonts w:hint="eastAsia" w:ascii="黑体" w:hAnsi="黑体" w:eastAsia="黑体"/>
          <w:bCs/>
        </w:rPr>
        <w:t>4.2</w:t>
      </w:r>
      <w:r>
        <w:rPr>
          <w:rFonts w:ascii="黑体" w:hAnsi="黑体" w:eastAsia="黑体"/>
          <w:bCs/>
        </w:rPr>
        <w:t>-</w:t>
      </w:r>
      <w:r>
        <w:rPr>
          <w:rFonts w:hint="eastAsia" w:ascii="黑体" w:hAnsi="黑体" w:eastAsia="黑体"/>
          <w:bCs/>
        </w:rPr>
        <w:t>4 上高</w:t>
      </w:r>
      <w:r>
        <w:rPr>
          <w:rFonts w:ascii="黑体" w:hAnsi="黑体" w:eastAsia="黑体"/>
          <w:bCs/>
        </w:rPr>
        <w:t>县自来水厂</w:t>
      </w:r>
      <w:r>
        <w:rPr>
          <w:rFonts w:hint="eastAsia" w:ascii="黑体" w:hAnsi="黑体" w:eastAsia="黑体"/>
          <w:bCs/>
        </w:rPr>
        <w:t>水源地划定情况</w:t>
      </w:r>
    </w:p>
    <w:tbl>
      <w:tblPr>
        <w:tblStyle w:val="8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68"/>
        <w:gridCol w:w="2468"/>
        <w:gridCol w:w="1374"/>
        <w:gridCol w:w="2610"/>
        <w:gridCol w:w="2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8" w:type="pct"/>
            <w:tcBorders>
              <w:top w:val="single" w:color="auto" w:sz="12" w:space="0"/>
              <w:bottom w:val="single" w:color="auto" w:sz="4" w:space="0"/>
            </w:tcBorders>
            <w:vAlign w:val="center"/>
          </w:tcPr>
          <w:p>
            <w:pPr>
              <w:pStyle w:val="694"/>
              <w:kinsoku w:val="0"/>
              <w:overflowPunct w:val="0"/>
              <w:spacing w:line="340" w:lineRule="exact"/>
              <w:jc w:val="center"/>
              <w:rPr>
                <w:bCs/>
                <w:szCs w:val="21"/>
              </w:rPr>
            </w:pPr>
            <w:r>
              <w:rPr>
                <w:rFonts w:hAnsi="宋体"/>
                <w:bCs/>
                <w:szCs w:val="21"/>
              </w:rPr>
              <w:t>序号</w:t>
            </w:r>
          </w:p>
        </w:tc>
        <w:tc>
          <w:tcPr>
            <w:tcW w:w="1311" w:type="pct"/>
            <w:tcBorders>
              <w:top w:val="single" w:color="auto" w:sz="12" w:space="0"/>
              <w:bottom w:val="single" w:color="auto" w:sz="4" w:space="0"/>
            </w:tcBorders>
            <w:vAlign w:val="center"/>
          </w:tcPr>
          <w:p>
            <w:pPr>
              <w:pStyle w:val="694"/>
              <w:kinsoku w:val="0"/>
              <w:overflowPunct w:val="0"/>
              <w:spacing w:line="340" w:lineRule="exact"/>
              <w:jc w:val="center"/>
              <w:rPr>
                <w:bCs/>
                <w:szCs w:val="21"/>
              </w:rPr>
            </w:pPr>
            <w:r>
              <w:rPr>
                <w:rFonts w:hAnsi="宋体"/>
                <w:bCs/>
                <w:spacing w:val="3"/>
                <w:szCs w:val="21"/>
              </w:rPr>
              <w:t>水源保护</w:t>
            </w:r>
            <w:r>
              <w:rPr>
                <w:rFonts w:hAnsi="宋体"/>
                <w:bCs/>
                <w:szCs w:val="21"/>
              </w:rPr>
              <w:t>区名称</w:t>
            </w:r>
          </w:p>
        </w:tc>
        <w:tc>
          <w:tcPr>
            <w:tcW w:w="730" w:type="pct"/>
            <w:tcBorders>
              <w:top w:val="single" w:color="auto" w:sz="12" w:space="0"/>
              <w:bottom w:val="single" w:color="auto" w:sz="4" w:space="0"/>
            </w:tcBorders>
            <w:vAlign w:val="center"/>
          </w:tcPr>
          <w:p>
            <w:pPr>
              <w:pStyle w:val="694"/>
              <w:kinsoku w:val="0"/>
              <w:overflowPunct w:val="0"/>
              <w:spacing w:line="340" w:lineRule="exact"/>
              <w:jc w:val="center"/>
              <w:rPr>
                <w:rFonts w:hAnsi="宋体"/>
                <w:bCs/>
                <w:spacing w:val="3"/>
                <w:szCs w:val="21"/>
              </w:rPr>
            </w:pPr>
            <w:r>
              <w:rPr>
                <w:rFonts w:hint="eastAsia" w:hAnsi="宋体"/>
                <w:bCs/>
                <w:spacing w:val="3"/>
                <w:szCs w:val="21"/>
              </w:rPr>
              <w:t>取水规模</w:t>
            </w:r>
          </w:p>
        </w:tc>
        <w:tc>
          <w:tcPr>
            <w:tcW w:w="1386" w:type="pct"/>
            <w:tcBorders>
              <w:top w:val="single" w:color="auto" w:sz="12" w:space="0"/>
              <w:bottom w:val="single" w:color="auto" w:sz="4" w:space="0"/>
            </w:tcBorders>
            <w:vAlign w:val="center"/>
          </w:tcPr>
          <w:p>
            <w:pPr>
              <w:pStyle w:val="694"/>
              <w:kinsoku w:val="0"/>
              <w:overflowPunct w:val="0"/>
              <w:spacing w:line="340" w:lineRule="exact"/>
              <w:jc w:val="center"/>
              <w:rPr>
                <w:rFonts w:hAnsi="宋体"/>
                <w:bCs/>
                <w:spacing w:val="3"/>
                <w:szCs w:val="21"/>
              </w:rPr>
            </w:pPr>
            <w:r>
              <w:rPr>
                <w:rFonts w:hint="eastAsia" w:hAnsi="宋体"/>
                <w:bCs/>
                <w:spacing w:val="3"/>
                <w:szCs w:val="21"/>
              </w:rPr>
              <w:t>是否进行保护区划定</w:t>
            </w:r>
          </w:p>
        </w:tc>
        <w:tc>
          <w:tcPr>
            <w:tcW w:w="1161" w:type="pct"/>
            <w:tcBorders>
              <w:top w:val="single" w:color="auto" w:sz="12" w:space="0"/>
              <w:bottom w:val="single" w:color="auto" w:sz="4" w:space="0"/>
            </w:tcBorders>
            <w:vAlign w:val="center"/>
          </w:tcPr>
          <w:p>
            <w:pPr>
              <w:pStyle w:val="694"/>
              <w:kinsoku w:val="0"/>
              <w:overflowPunct w:val="0"/>
              <w:spacing w:line="340" w:lineRule="exact"/>
              <w:jc w:val="center"/>
              <w:rPr>
                <w:rFonts w:hAnsi="宋体"/>
                <w:bCs/>
                <w:spacing w:val="3"/>
                <w:szCs w:val="21"/>
              </w:rPr>
            </w:pPr>
            <w:r>
              <w:rPr>
                <w:rFonts w:hint="eastAsia" w:hAnsi="宋体"/>
                <w:bCs/>
                <w:spacing w:val="3"/>
                <w:szCs w:val="21"/>
              </w:rPr>
              <w:t>环评及批复情况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08" w:type="pct"/>
            <w:tcBorders>
              <w:top w:val="single" w:color="auto" w:sz="4" w:space="0"/>
            </w:tcBorders>
            <w:vAlign w:val="center"/>
          </w:tcPr>
          <w:p>
            <w:pPr>
              <w:pStyle w:val="33"/>
              <w:kinsoku w:val="0"/>
              <w:overflowPunct w:val="0"/>
              <w:spacing w:after="0" w:line="340" w:lineRule="exact"/>
              <w:ind w:firstLine="0" w:firstLineChars="0"/>
              <w:jc w:val="center"/>
              <w:rPr>
                <w:bCs/>
                <w:sz w:val="21"/>
                <w:szCs w:val="21"/>
              </w:rPr>
            </w:pPr>
            <w:r>
              <w:rPr>
                <w:bCs/>
                <w:sz w:val="21"/>
                <w:szCs w:val="21"/>
              </w:rPr>
              <w:t>1</w:t>
            </w:r>
          </w:p>
        </w:tc>
        <w:tc>
          <w:tcPr>
            <w:tcW w:w="1311" w:type="pct"/>
            <w:tcBorders>
              <w:top w:val="single" w:color="auto" w:sz="4" w:space="0"/>
            </w:tcBorders>
            <w:vAlign w:val="center"/>
          </w:tcPr>
          <w:p>
            <w:pPr>
              <w:pStyle w:val="694"/>
              <w:kinsoku w:val="0"/>
              <w:overflowPunct w:val="0"/>
              <w:spacing w:line="340" w:lineRule="exact"/>
              <w:jc w:val="center"/>
              <w:rPr>
                <w:szCs w:val="21"/>
              </w:rPr>
            </w:pPr>
            <w:r>
              <w:rPr>
                <w:rFonts w:hint="eastAsia"/>
                <w:szCs w:val="21"/>
              </w:rPr>
              <w:t>上高</w:t>
            </w:r>
            <w:r>
              <w:rPr>
                <w:szCs w:val="21"/>
              </w:rPr>
              <w:t>县</w:t>
            </w:r>
            <w:r>
              <w:rPr>
                <w:rFonts w:hint="eastAsia"/>
                <w:szCs w:val="21"/>
              </w:rPr>
              <w:t>第二</w:t>
            </w:r>
            <w:r>
              <w:rPr>
                <w:szCs w:val="21"/>
              </w:rPr>
              <w:t>自来水厂取水口</w:t>
            </w:r>
          </w:p>
        </w:tc>
        <w:tc>
          <w:tcPr>
            <w:tcW w:w="730" w:type="pct"/>
            <w:tcBorders>
              <w:top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3285万</w:t>
            </w:r>
            <w:r>
              <w:rPr>
                <w:szCs w:val="21"/>
              </w:rPr>
              <w:t>m</w:t>
            </w:r>
            <w:r>
              <w:rPr>
                <w:szCs w:val="21"/>
                <w:vertAlign w:val="superscript"/>
              </w:rPr>
              <w:t>3</w:t>
            </w:r>
            <w:r>
              <w:rPr>
                <w:szCs w:val="21"/>
              </w:rPr>
              <w:t>/</w:t>
            </w:r>
            <w:r>
              <w:rPr>
                <w:rFonts w:hint="eastAsia"/>
                <w:szCs w:val="21"/>
              </w:rPr>
              <w:t>a</w:t>
            </w:r>
          </w:p>
        </w:tc>
        <w:tc>
          <w:tcPr>
            <w:tcW w:w="1386" w:type="pct"/>
            <w:tcBorders>
              <w:top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已划定</w:t>
            </w:r>
          </w:p>
        </w:tc>
        <w:tc>
          <w:tcPr>
            <w:tcW w:w="1161" w:type="pct"/>
            <w:tcBorders>
              <w:top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无</w:t>
            </w:r>
          </w:p>
        </w:tc>
      </w:tr>
    </w:tbl>
    <w:p>
      <w:pPr>
        <w:pStyle w:val="33"/>
        <w:kinsoku w:val="0"/>
        <w:overflowPunct w:val="0"/>
        <w:spacing w:before="120" w:beforeLines="50" w:after="0"/>
        <w:ind w:firstLine="480"/>
      </w:pPr>
      <w:r>
        <w:rPr>
          <w:rFonts w:hint="eastAsia"/>
        </w:rPr>
        <w:t>(5)鱼类“</w:t>
      </w:r>
      <w:r>
        <w:rPr>
          <w:rFonts w:hint="eastAsia" w:ascii="宋体" w:hAnsi="宋体"/>
        </w:rPr>
        <w:t>三场一通道</w:t>
      </w:r>
      <w:r>
        <w:rPr>
          <w:rFonts w:hint="eastAsia"/>
        </w:rPr>
        <w:t>”分布</w:t>
      </w:r>
    </w:p>
    <w:p>
      <w:pPr>
        <w:pStyle w:val="33"/>
        <w:kinsoku w:val="0"/>
        <w:overflowPunct w:val="0"/>
        <w:spacing w:after="0"/>
        <w:ind w:firstLine="480"/>
        <w:rPr>
          <w:rFonts w:ascii="宋体" w:hAnsi="宋体"/>
        </w:rPr>
      </w:pPr>
      <w:r>
        <w:rPr>
          <w:rFonts w:hint="eastAsia" w:ascii="宋体" w:hAnsi="宋体"/>
        </w:rPr>
        <w:t>根据上高县农业农村局提供的资料，</w:t>
      </w:r>
      <w:r>
        <w:rPr>
          <w:rFonts w:hint="eastAsia"/>
        </w:rPr>
        <w:t>上高</w:t>
      </w:r>
      <w:r>
        <w:t>县</w:t>
      </w:r>
      <w:r>
        <w:rPr>
          <w:rFonts w:hint="eastAsia"/>
        </w:rPr>
        <w:t>毛家渡</w:t>
      </w:r>
      <w:r>
        <w:t>抬水工程位于</w:t>
      </w:r>
      <w:r>
        <w:rPr>
          <w:rFonts w:hint="eastAsia"/>
        </w:rPr>
        <w:t>上高</w:t>
      </w:r>
      <w:r>
        <w:t>县城</w:t>
      </w:r>
      <w:r>
        <w:rPr>
          <w:rFonts w:hint="eastAsia"/>
        </w:rPr>
        <w:t>城北</w:t>
      </w:r>
      <w:r>
        <w:t>，</w:t>
      </w:r>
      <w:r>
        <w:rPr>
          <w:rFonts w:hint="eastAsia"/>
        </w:rPr>
        <w:t>锦河</w:t>
      </w:r>
      <w:r>
        <w:t>大桥下游约</w:t>
      </w:r>
      <w:r>
        <w:rPr>
          <w:rFonts w:hint="eastAsia"/>
        </w:rPr>
        <w:t>1.8k</w:t>
      </w:r>
      <w:r>
        <w:t>m处，</w:t>
      </w:r>
      <w:r>
        <w:rPr>
          <w:rFonts w:hint="eastAsia"/>
          <w:szCs w:val="24"/>
        </w:rPr>
        <w:t>不涉及鱼类“三场一通道”</w:t>
      </w:r>
      <w:r>
        <w:rPr>
          <w:rFonts w:hint="eastAsia" w:ascii="宋体" w:hAnsi="宋体"/>
        </w:rPr>
        <w:t>分</w:t>
      </w:r>
      <w:r>
        <w:rPr>
          <w:rFonts w:hint="eastAsia"/>
          <w:szCs w:val="24"/>
        </w:rPr>
        <w:t>布。</w:t>
      </w:r>
    </w:p>
    <w:p>
      <w:pPr>
        <w:pStyle w:val="33"/>
        <w:kinsoku w:val="0"/>
        <w:overflowPunct w:val="0"/>
        <w:spacing w:after="0"/>
        <w:ind w:firstLine="480"/>
      </w:pPr>
      <w:r>
        <w:rPr>
          <w:rFonts w:hint="eastAsia"/>
        </w:rPr>
        <w:t>(6)生态保护红线</w:t>
      </w:r>
    </w:p>
    <w:p>
      <w:pPr>
        <w:pStyle w:val="1341"/>
        <w:spacing w:line="360" w:lineRule="auto"/>
        <w:ind w:firstLine="480"/>
        <w:rPr>
          <w:color w:val="auto"/>
        </w:rPr>
      </w:pPr>
      <w:r>
        <w:rPr>
          <w:rFonts w:hint="eastAsia"/>
          <w:color w:val="auto"/>
        </w:rPr>
        <w:t>根据《江西省生态保护红线》，本项目不涉及生态保护红线，</w:t>
      </w:r>
      <w:r>
        <w:rPr>
          <w:color w:val="auto"/>
        </w:rPr>
        <w:t>具体见附图十</w:t>
      </w:r>
      <w:r>
        <w:rPr>
          <w:rFonts w:hint="eastAsia"/>
          <w:color w:val="auto"/>
        </w:rPr>
        <w:t>八。</w:t>
      </w:r>
    </w:p>
    <w:p>
      <w:pPr>
        <w:pStyle w:val="33"/>
        <w:numPr>
          <w:ilvl w:val="0"/>
          <w:numId w:val="7"/>
        </w:numPr>
        <w:kinsoku w:val="0"/>
        <w:overflowPunct w:val="0"/>
        <w:spacing w:after="0"/>
        <w:ind w:firstLine="480"/>
        <w:rPr>
          <w:color w:val="0000FF"/>
          <w:szCs w:val="24"/>
        </w:rPr>
      </w:pPr>
      <w:r>
        <w:rPr>
          <w:rFonts w:hint="eastAsia"/>
          <w:color w:val="0000FF"/>
          <w:szCs w:val="24"/>
        </w:rPr>
        <w:t>河道开发状况</w:t>
      </w:r>
    </w:p>
    <w:p>
      <w:pPr>
        <w:ind w:firstLine="480"/>
        <w:rPr>
          <w:color w:val="0000FF"/>
          <w:szCs w:val="24"/>
        </w:rPr>
      </w:pPr>
      <w:r>
        <w:rPr>
          <w:color w:val="0000FF"/>
          <w:szCs w:val="24"/>
        </w:rPr>
        <w:t>本项目地表水评价范围为坝址上游</w:t>
      </w:r>
      <w:r>
        <w:rPr>
          <w:rFonts w:hint="eastAsia"/>
          <w:color w:val="0000FF"/>
          <w:szCs w:val="24"/>
        </w:rPr>
        <w:t>14km处的团结水电站溢流坝</w:t>
      </w:r>
      <w:r>
        <w:rPr>
          <w:color w:val="0000FF"/>
          <w:szCs w:val="24"/>
        </w:rPr>
        <w:t>至坝址下游约</w:t>
      </w:r>
      <w:r>
        <w:rPr>
          <w:rFonts w:hint="eastAsia"/>
          <w:snapToGrid w:val="0"/>
          <w:color w:val="0000FF"/>
        </w:rPr>
        <w:t>14.8</w:t>
      </w:r>
      <w:r>
        <w:rPr>
          <w:snapToGrid w:val="0"/>
          <w:color w:val="0000FF"/>
        </w:rPr>
        <w:t>km处有</w:t>
      </w:r>
      <w:r>
        <w:rPr>
          <w:rFonts w:hint="eastAsia"/>
          <w:snapToGrid w:val="0"/>
          <w:color w:val="0000FF"/>
        </w:rPr>
        <w:t>利高水电站橡胶坝</w:t>
      </w:r>
      <w:r>
        <w:rPr>
          <w:color w:val="0000FF"/>
          <w:szCs w:val="24"/>
        </w:rPr>
        <w:t>，地表水评价范围共</w:t>
      </w:r>
      <w:r>
        <w:rPr>
          <w:rFonts w:hint="eastAsia"/>
          <w:color w:val="0000FF"/>
          <w:szCs w:val="24"/>
        </w:rPr>
        <w:t>28.8k</w:t>
      </w:r>
      <w:r>
        <w:rPr>
          <w:color w:val="0000FF"/>
          <w:szCs w:val="24"/>
        </w:rPr>
        <w:t>m</w:t>
      </w:r>
      <w:r>
        <w:rPr>
          <w:rFonts w:hint="eastAsia"/>
          <w:color w:val="0000FF"/>
          <w:szCs w:val="24"/>
        </w:rPr>
        <w:t>的锦河</w:t>
      </w:r>
      <w:r>
        <w:rPr>
          <w:color w:val="0000FF"/>
          <w:szCs w:val="24"/>
        </w:rPr>
        <w:t>河段。</w:t>
      </w:r>
      <w:r>
        <w:rPr>
          <w:rFonts w:hint="eastAsia"/>
          <w:color w:val="0000FF"/>
          <w:szCs w:val="24"/>
        </w:rPr>
        <w:t>在评价范围内，河道内有建设团结溢流坝、石湖闸、光明堤、利高水电站</w:t>
      </w:r>
    </w:p>
    <w:p>
      <w:pPr>
        <w:spacing w:before="120" w:beforeLines="50" w:line="240" w:lineRule="auto"/>
        <w:ind w:firstLine="480"/>
        <w:jc w:val="center"/>
        <w:rPr>
          <w:rFonts w:ascii="黑体" w:hAnsi="黑体" w:eastAsia="黑体"/>
          <w:color w:val="0000FF"/>
        </w:rPr>
      </w:pPr>
      <w:r>
        <w:rPr>
          <w:rFonts w:hint="eastAsia" w:ascii="黑体" w:hAnsi="黑体" w:eastAsia="黑体"/>
          <w:color w:val="0000FF"/>
        </w:rPr>
        <w:t>表4.2-5 评价范围内河道开发情况一览表</w:t>
      </w:r>
    </w:p>
    <w:tbl>
      <w:tblPr>
        <w:tblStyle w:val="8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86"/>
        <w:gridCol w:w="1965"/>
        <w:gridCol w:w="2270"/>
        <w:gridCol w:w="1338"/>
        <w:gridCol w:w="30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18" w:type="pct"/>
            <w:vAlign w:val="center"/>
          </w:tcPr>
          <w:p>
            <w:pPr>
              <w:spacing w:line="340" w:lineRule="exact"/>
              <w:ind w:firstLine="0" w:firstLineChars="0"/>
              <w:jc w:val="center"/>
              <w:rPr>
                <w:color w:val="0000FF"/>
                <w:sz w:val="21"/>
                <w:szCs w:val="21"/>
              </w:rPr>
            </w:pPr>
            <w:r>
              <w:rPr>
                <w:color w:val="0000FF"/>
                <w:sz w:val="21"/>
                <w:szCs w:val="21"/>
              </w:rPr>
              <w:t>序号</w:t>
            </w:r>
          </w:p>
        </w:tc>
        <w:tc>
          <w:tcPr>
            <w:tcW w:w="1044" w:type="pct"/>
            <w:vAlign w:val="center"/>
          </w:tcPr>
          <w:p>
            <w:pPr>
              <w:spacing w:line="340" w:lineRule="exact"/>
              <w:ind w:firstLine="0" w:firstLineChars="0"/>
              <w:jc w:val="center"/>
              <w:rPr>
                <w:color w:val="0000FF"/>
                <w:sz w:val="21"/>
                <w:szCs w:val="21"/>
              </w:rPr>
            </w:pPr>
            <w:r>
              <w:rPr>
                <w:color w:val="0000FF"/>
                <w:sz w:val="21"/>
                <w:szCs w:val="21"/>
              </w:rPr>
              <w:t>名称</w:t>
            </w:r>
          </w:p>
        </w:tc>
        <w:tc>
          <w:tcPr>
            <w:tcW w:w="1206" w:type="pct"/>
            <w:vAlign w:val="center"/>
          </w:tcPr>
          <w:p>
            <w:pPr>
              <w:spacing w:line="340" w:lineRule="exact"/>
              <w:ind w:firstLine="0" w:firstLineChars="0"/>
              <w:jc w:val="center"/>
              <w:rPr>
                <w:color w:val="0000FF"/>
                <w:sz w:val="21"/>
                <w:szCs w:val="21"/>
              </w:rPr>
            </w:pPr>
            <w:r>
              <w:rPr>
                <w:rFonts w:hint="eastAsia"/>
                <w:color w:val="0000FF"/>
                <w:sz w:val="21"/>
                <w:szCs w:val="21"/>
              </w:rPr>
              <w:t>位置</w:t>
            </w:r>
          </w:p>
        </w:tc>
        <w:tc>
          <w:tcPr>
            <w:tcW w:w="711" w:type="pct"/>
            <w:vAlign w:val="center"/>
          </w:tcPr>
          <w:p>
            <w:pPr>
              <w:spacing w:line="340" w:lineRule="exact"/>
              <w:ind w:firstLine="0" w:firstLineChars="0"/>
              <w:jc w:val="center"/>
              <w:rPr>
                <w:color w:val="0000FF"/>
                <w:sz w:val="21"/>
                <w:szCs w:val="21"/>
              </w:rPr>
            </w:pPr>
            <w:r>
              <w:rPr>
                <w:color w:val="0000FF"/>
                <w:sz w:val="21"/>
                <w:szCs w:val="21"/>
              </w:rPr>
              <w:t>始建时间</w:t>
            </w:r>
          </w:p>
        </w:tc>
        <w:tc>
          <w:tcPr>
            <w:tcW w:w="1617" w:type="pct"/>
            <w:vAlign w:val="center"/>
          </w:tcPr>
          <w:p>
            <w:pPr>
              <w:spacing w:line="340" w:lineRule="exact"/>
              <w:ind w:firstLine="0" w:firstLineChars="0"/>
              <w:jc w:val="center"/>
              <w:rPr>
                <w:color w:val="0000FF"/>
                <w:sz w:val="21"/>
                <w:szCs w:val="21"/>
              </w:rPr>
            </w:pPr>
            <w:r>
              <w:rPr>
                <w:color w:val="0000FF"/>
                <w:sz w:val="21"/>
                <w:szCs w:val="21"/>
              </w:rPr>
              <w:t>规模</w:t>
            </w:r>
            <w:r>
              <w:rPr>
                <w:rFonts w:hint="eastAsia"/>
                <w:color w:val="0000FF"/>
                <w:sz w:val="21"/>
                <w:szCs w:val="21"/>
              </w:rPr>
              <w:t>及情况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18" w:type="pct"/>
            <w:vAlign w:val="center"/>
          </w:tcPr>
          <w:p>
            <w:pPr>
              <w:spacing w:line="340" w:lineRule="exact"/>
              <w:ind w:firstLine="0" w:firstLineChars="0"/>
              <w:jc w:val="center"/>
              <w:rPr>
                <w:color w:val="0000FF"/>
                <w:sz w:val="21"/>
                <w:szCs w:val="21"/>
              </w:rPr>
            </w:pPr>
            <w:r>
              <w:rPr>
                <w:color w:val="0000FF"/>
                <w:sz w:val="21"/>
                <w:szCs w:val="21"/>
              </w:rPr>
              <w:t>1</w:t>
            </w:r>
          </w:p>
        </w:tc>
        <w:tc>
          <w:tcPr>
            <w:tcW w:w="1044" w:type="pct"/>
            <w:vAlign w:val="center"/>
          </w:tcPr>
          <w:p>
            <w:pPr>
              <w:spacing w:line="340" w:lineRule="exact"/>
              <w:ind w:firstLine="0" w:firstLineChars="0"/>
              <w:jc w:val="center"/>
              <w:rPr>
                <w:color w:val="0000FF"/>
                <w:sz w:val="21"/>
                <w:szCs w:val="21"/>
              </w:rPr>
            </w:pPr>
            <w:r>
              <w:rPr>
                <w:rFonts w:hint="eastAsia"/>
                <w:color w:val="0000FF"/>
                <w:sz w:val="21"/>
                <w:szCs w:val="21"/>
              </w:rPr>
              <w:t>团结溢流坝</w:t>
            </w:r>
          </w:p>
        </w:tc>
        <w:tc>
          <w:tcPr>
            <w:tcW w:w="1206" w:type="pct"/>
            <w:vAlign w:val="center"/>
          </w:tcPr>
          <w:p>
            <w:pPr>
              <w:spacing w:line="340" w:lineRule="exact"/>
              <w:ind w:firstLine="0" w:firstLineChars="0"/>
              <w:jc w:val="center"/>
              <w:rPr>
                <w:color w:val="0000FF"/>
                <w:sz w:val="21"/>
                <w:szCs w:val="21"/>
              </w:rPr>
            </w:pPr>
            <w:r>
              <w:rPr>
                <w:rFonts w:hint="eastAsia"/>
                <w:color w:val="0000FF"/>
                <w:sz w:val="21"/>
                <w:szCs w:val="21"/>
              </w:rPr>
              <w:t>本坝址上游14km</w:t>
            </w:r>
          </w:p>
        </w:tc>
        <w:tc>
          <w:tcPr>
            <w:tcW w:w="711" w:type="pct"/>
            <w:vAlign w:val="center"/>
          </w:tcPr>
          <w:p>
            <w:pPr>
              <w:spacing w:line="340" w:lineRule="exact"/>
              <w:ind w:firstLine="0" w:firstLineChars="0"/>
              <w:jc w:val="center"/>
              <w:rPr>
                <w:color w:val="0000FF"/>
                <w:sz w:val="21"/>
                <w:szCs w:val="21"/>
              </w:rPr>
            </w:pPr>
            <w:r>
              <w:rPr>
                <w:rFonts w:hint="eastAsia"/>
                <w:color w:val="0000FF"/>
                <w:sz w:val="21"/>
                <w:szCs w:val="21"/>
              </w:rPr>
              <w:t>1975年</w:t>
            </w:r>
          </w:p>
        </w:tc>
        <w:tc>
          <w:tcPr>
            <w:tcW w:w="1617" w:type="pct"/>
            <w:vAlign w:val="center"/>
          </w:tcPr>
          <w:p>
            <w:pPr>
              <w:spacing w:line="340" w:lineRule="exact"/>
              <w:ind w:firstLine="0" w:firstLineChars="0"/>
              <w:jc w:val="center"/>
              <w:rPr>
                <w:color w:val="0000FF"/>
                <w:sz w:val="21"/>
                <w:szCs w:val="21"/>
              </w:rPr>
            </w:pPr>
            <w:r>
              <w:rPr>
                <w:rFonts w:hint="eastAsia"/>
                <w:color w:val="0000FF"/>
                <w:sz w:val="21"/>
                <w:szCs w:val="21"/>
              </w:rPr>
              <w:t>装机容量为 4×250kw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18" w:type="pct"/>
            <w:vAlign w:val="center"/>
          </w:tcPr>
          <w:p>
            <w:pPr>
              <w:spacing w:line="340" w:lineRule="exact"/>
              <w:ind w:firstLine="0" w:firstLineChars="0"/>
              <w:jc w:val="center"/>
              <w:rPr>
                <w:color w:val="0000FF"/>
                <w:sz w:val="21"/>
                <w:szCs w:val="21"/>
              </w:rPr>
            </w:pPr>
            <w:r>
              <w:rPr>
                <w:rFonts w:hint="eastAsia"/>
                <w:color w:val="0000FF"/>
                <w:sz w:val="21"/>
                <w:szCs w:val="21"/>
              </w:rPr>
              <w:t>2</w:t>
            </w:r>
          </w:p>
        </w:tc>
        <w:tc>
          <w:tcPr>
            <w:tcW w:w="1044" w:type="pct"/>
            <w:vAlign w:val="center"/>
          </w:tcPr>
          <w:p>
            <w:pPr>
              <w:spacing w:line="340" w:lineRule="exact"/>
              <w:ind w:firstLine="0" w:firstLineChars="0"/>
              <w:jc w:val="center"/>
              <w:rPr>
                <w:color w:val="0000FF"/>
                <w:sz w:val="21"/>
                <w:szCs w:val="21"/>
              </w:rPr>
            </w:pPr>
            <w:r>
              <w:rPr>
                <w:rFonts w:hint="eastAsia"/>
                <w:color w:val="0000FF"/>
                <w:sz w:val="21"/>
                <w:szCs w:val="21"/>
              </w:rPr>
              <w:t>石湖闸</w:t>
            </w:r>
          </w:p>
        </w:tc>
        <w:tc>
          <w:tcPr>
            <w:tcW w:w="1206" w:type="pct"/>
            <w:vAlign w:val="center"/>
          </w:tcPr>
          <w:p>
            <w:pPr>
              <w:spacing w:line="340" w:lineRule="exact"/>
              <w:ind w:firstLine="0" w:firstLineChars="0"/>
              <w:jc w:val="center"/>
              <w:rPr>
                <w:color w:val="0000FF"/>
                <w:sz w:val="21"/>
                <w:szCs w:val="21"/>
              </w:rPr>
            </w:pPr>
            <w:r>
              <w:rPr>
                <w:rFonts w:hint="eastAsia"/>
                <w:color w:val="0000FF"/>
                <w:sz w:val="21"/>
                <w:szCs w:val="21"/>
              </w:rPr>
              <w:t>锦江右岸上高大桥上游</w:t>
            </w:r>
          </w:p>
        </w:tc>
        <w:tc>
          <w:tcPr>
            <w:tcW w:w="711" w:type="pct"/>
            <w:vAlign w:val="center"/>
          </w:tcPr>
          <w:p>
            <w:pPr>
              <w:spacing w:line="340" w:lineRule="exact"/>
              <w:ind w:firstLine="0" w:firstLineChars="0"/>
              <w:jc w:val="center"/>
              <w:rPr>
                <w:color w:val="0000FF"/>
                <w:sz w:val="21"/>
                <w:szCs w:val="21"/>
              </w:rPr>
            </w:pPr>
            <w:r>
              <w:rPr>
                <w:rFonts w:hint="eastAsia"/>
                <w:color w:val="0000FF"/>
                <w:sz w:val="21"/>
                <w:szCs w:val="21"/>
              </w:rPr>
              <w:t>年代久远</w:t>
            </w:r>
          </w:p>
        </w:tc>
        <w:tc>
          <w:tcPr>
            <w:tcW w:w="1617" w:type="pct"/>
            <w:vAlign w:val="center"/>
          </w:tcPr>
          <w:p>
            <w:pPr>
              <w:spacing w:line="340" w:lineRule="exact"/>
              <w:ind w:firstLine="0" w:firstLineChars="0"/>
              <w:jc w:val="center"/>
              <w:rPr>
                <w:color w:val="0000FF"/>
                <w:sz w:val="21"/>
                <w:szCs w:val="21"/>
              </w:rPr>
            </w:pPr>
            <w:r>
              <w:rPr>
                <w:rFonts w:hint="eastAsia"/>
                <w:color w:val="0000FF"/>
                <w:sz w:val="21"/>
                <w:szCs w:val="21"/>
              </w:rPr>
              <w:t>箱涵式，孔数为1，孔口直径为1.3m×15m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18" w:type="pct"/>
            <w:vAlign w:val="center"/>
          </w:tcPr>
          <w:p>
            <w:pPr>
              <w:spacing w:line="340" w:lineRule="exact"/>
              <w:ind w:firstLine="0" w:firstLineChars="0"/>
              <w:jc w:val="center"/>
              <w:rPr>
                <w:color w:val="0000FF"/>
                <w:sz w:val="21"/>
                <w:szCs w:val="21"/>
              </w:rPr>
            </w:pPr>
            <w:r>
              <w:rPr>
                <w:rFonts w:hint="eastAsia"/>
                <w:color w:val="0000FF"/>
                <w:sz w:val="21"/>
                <w:szCs w:val="21"/>
              </w:rPr>
              <w:t>3</w:t>
            </w:r>
          </w:p>
        </w:tc>
        <w:tc>
          <w:tcPr>
            <w:tcW w:w="1044" w:type="pct"/>
            <w:vAlign w:val="center"/>
          </w:tcPr>
          <w:p>
            <w:pPr>
              <w:spacing w:line="340" w:lineRule="exact"/>
              <w:ind w:firstLine="0" w:firstLineChars="0"/>
              <w:jc w:val="center"/>
              <w:rPr>
                <w:color w:val="0000FF"/>
                <w:sz w:val="21"/>
                <w:szCs w:val="21"/>
              </w:rPr>
            </w:pPr>
            <w:r>
              <w:rPr>
                <w:rFonts w:hint="eastAsia"/>
                <w:color w:val="0000FF"/>
                <w:sz w:val="21"/>
                <w:szCs w:val="21"/>
              </w:rPr>
              <w:t>光明堤</w:t>
            </w:r>
          </w:p>
        </w:tc>
        <w:tc>
          <w:tcPr>
            <w:tcW w:w="1206" w:type="pct"/>
            <w:vAlign w:val="center"/>
          </w:tcPr>
          <w:p>
            <w:pPr>
              <w:spacing w:line="340" w:lineRule="exact"/>
              <w:ind w:firstLine="0" w:firstLineChars="0"/>
              <w:jc w:val="center"/>
              <w:rPr>
                <w:color w:val="0000FF"/>
                <w:sz w:val="21"/>
                <w:szCs w:val="21"/>
              </w:rPr>
            </w:pPr>
            <w:r>
              <w:rPr>
                <w:rFonts w:hint="eastAsia"/>
                <w:color w:val="0000FF"/>
                <w:sz w:val="21"/>
                <w:szCs w:val="21"/>
              </w:rPr>
              <w:t>锦江右岸，黄家村至戴家村附近</w:t>
            </w:r>
          </w:p>
        </w:tc>
        <w:tc>
          <w:tcPr>
            <w:tcW w:w="711" w:type="pct"/>
            <w:vAlign w:val="center"/>
          </w:tcPr>
          <w:p>
            <w:pPr>
              <w:spacing w:line="340" w:lineRule="exact"/>
              <w:ind w:firstLine="0" w:firstLineChars="0"/>
              <w:jc w:val="center"/>
              <w:rPr>
                <w:color w:val="0000FF"/>
                <w:sz w:val="21"/>
                <w:szCs w:val="21"/>
              </w:rPr>
            </w:pPr>
            <w:r>
              <w:rPr>
                <w:rFonts w:hint="eastAsia"/>
                <w:color w:val="0000FF"/>
                <w:sz w:val="21"/>
                <w:szCs w:val="21"/>
              </w:rPr>
              <w:t>2010年</w:t>
            </w:r>
          </w:p>
        </w:tc>
        <w:tc>
          <w:tcPr>
            <w:tcW w:w="1617" w:type="pct"/>
            <w:vAlign w:val="center"/>
          </w:tcPr>
          <w:p>
            <w:pPr>
              <w:tabs>
                <w:tab w:val="right" w:leader="dot" w:pos="8400"/>
              </w:tabs>
              <w:spacing w:line="340" w:lineRule="exact"/>
              <w:ind w:firstLine="420"/>
              <w:rPr>
                <w:color w:val="0000FF"/>
                <w:sz w:val="21"/>
                <w:szCs w:val="21"/>
              </w:rPr>
            </w:pPr>
            <w:r>
              <w:rPr>
                <w:rFonts w:hint="eastAsia"/>
                <w:color w:val="0000FF"/>
                <w:sz w:val="21"/>
                <w:szCs w:val="21"/>
              </w:rPr>
              <w:t>5级提防，规划对光明堤在锦西区内的3.41 km按20年一遇防洪标准加高加固，并上延光明堤上接石井下游附近高地，上延段堤防长0.87 km。设计堤顶高程为49.38~48.53 m，堤顶宽度6 m，内外边坡均为1:3，外坡采用生态护坡，内坡采用草皮护坡。堤顶路面考虑交通要求，采用混凝土路面。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18" w:type="pct"/>
            <w:vAlign w:val="center"/>
          </w:tcPr>
          <w:p>
            <w:pPr>
              <w:spacing w:line="340" w:lineRule="exact"/>
              <w:ind w:firstLine="0" w:firstLineChars="0"/>
              <w:jc w:val="center"/>
              <w:rPr>
                <w:color w:val="0000FF"/>
                <w:sz w:val="21"/>
                <w:szCs w:val="21"/>
              </w:rPr>
            </w:pPr>
            <w:r>
              <w:rPr>
                <w:rFonts w:hint="eastAsia"/>
                <w:color w:val="0000FF"/>
                <w:sz w:val="21"/>
                <w:szCs w:val="21"/>
              </w:rPr>
              <w:t>4</w:t>
            </w:r>
          </w:p>
        </w:tc>
        <w:tc>
          <w:tcPr>
            <w:tcW w:w="1044" w:type="pct"/>
            <w:vAlign w:val="center"/>
          </w:tcPr>
          <w:p>
            <w:pPr>
              <w:spacing w:line="340" w:lineRule="exact"/>
              <w:ind w:firstLine="0" w:firstLineChars="0"/>
              <w:jc w:val="center"/>
              <w:rPr>
                <w:color w:val="0000FF"/>
                <w:sz w:val="21"/>
                <w:szCs w:val="21"/>
              </w:rPr>
            </w:pPr>
            <w:r>
              <w:rPr>
                <w:rFonts w:hint="eastAsia"/>
                <w:color w:val="0000FF"/>
                <w:sz w:val="21"/>
                <w:szCs w:val="21"/>
              </w:rPr>
              <w:t>利高水电站</w:t>
            </w:r>
          </w:p>
        </w:tc>
        <w:tc>
          <w:tcPr>
            <w:tcW w:w="1206" w:type="pct"/>
            <w:vAlign w:val="center"/>
          </w:tcPr>
          <w:p>
            <w:pPr>
              <w:spacing w:line="340" w:lineRule="exact"/>
              <w:ind w:firstLine="0" w:firstLineChars="0"/>
              <w:jc w:val="center"/>
              <w:rPr>
                <w:color w:val="0000FF"/>
                <w:sz w:val="21"/>
                <w:szCs w:val="21"/>
              </w:rPr>
            </w:pPr>
            <w:r>
              <w:rPr>
                <w:rFonts w:hint="eastAsia"/>
                <w:color w:val="0000FF"/>
                <w:sz w:val="21"/>
                <w:szCs w:val="21"/>
              </w:rPr>
              <w:t>本坝址下游14.8km</w:t>
            </w:r>
          </w:p>
        </w:tc>
        <w:tc>
          <w:tcPr>
            <w:tcW w:w="711" w:type="pct"/>
            <w:vAlign w:val="center"/>
          </w:tcPr>
          <w:p>
            <w:pPr>
              <w:spacing w:line="340" w:lineRule="exact"/>
              <w:ind w:firstLine="0" w:firstLineChars="0"/>
              <w:jc w:val="center"/>
              <w:rPr>
                <w:color w:val="0000FF"/>
                <w:sz w:val="21"/>
                <w:szCs w:val="21"/>
              </w:rPr>
            </w:pPr>
            <w:r>
              <w:rPr>
                <w:rFonts w:hint="eastAsia"/>
                <w:color w:val="0000FF"/>
                <w:sz w:val="21"/>
                <w:szCs w:val="21"/>
              </w:rPr>
              <w:t>2004年</w:t>
            </w:r>
          </w:p>
        </w:tc>
        <w:tc>
          <w:tcPr>
            <w:tcW w:w="1617" w:type="pct"/>
            <w:vAlign w:val="center"/>
          </w:tcPr>
          <w:p>
            <w:pPr>
              <w:spacing w:line="340" w:lineRule="exact"/>
              <w:ind w:firstLine="0" w:firstLineChars="0"/>
              <w:jc w:val="center"/>
              <w:rPr>
                <w:color w:val="0000FF"/>
                <w:sz w:val="21"/>
                <w:szCs w:val="21"/>
              </w:rPr>
            </w:pPr>
            <w:r>
              <w:rPr>
                <w:rFonts w:hint="eastAsia"/>
                <w:color w:val="0000FF"/>
                <w:sz w:val="21"/>
                <w:szCs w:val="21"/>
              </w:rPr>
              <w:t>装机容量为8×320kw</w:t>
            </w:r>
          </w:p>
        </w:tc>
      </w:tr>
    </w:tbl>
    <w:p>
      <w:pPr>
        <w:pStyle w:val="6"/>
        <w:spacing w:beforeLines="50" w:afterLines="50"/>
        <w:rPr>
          <w:szCs w:val="28"/>
        </w:rPr>
      </w:pPr>
      <w:bookmarkStart w:id="703" w:name="_Toc7360"/>
      <w:r>
        <w:rPr>
          <w:rFonts w:hint="eastAsia"/>
          <w:szCs w:val="28"/>
        </w:rPr>
        <w:t>4.3区域污染源</w:t>
      </w:r>
      <w:bookmarkEnd w:id="703"/>
    </w:p>
    <w:p>
      <w:pPr>
        <w:autoSpaceDE w:val="0"/>
        <w:autoSpaceDN w:val="0"/>
        <w:adjustRightInd w:val="0"/>
        <w:ind w:firstLine="480"/>
        <w:rPr>
          <w:rFonts w:ascii="CIDFont+F5" w:eastAsia="CIDFont+F5" w:cs="CIDFont+F5"/>
          <w:kern w:val="0"/>
          <w:szCs w:val="24"/>
        </w:rPr>
      </w:pPr>
      <w:r>
        <w:rPr>
          <w:rFonts w:hint="eastAsia"/>
          <w:szCs w:val="24"/>
        </w:rPr>
        <w:t>针对拟建工程，对毛家渡天水工程施工区、库区及坝下污染源开展了现场调查，调查范围为</w:t>
      </w:r>
      <w:r>
        <w:rPr>
          <w:szCs w:val="24"/>
        </w:rPr>
        <w:t>坝址上游</w:t>
      </w:r>
      <w:r>
        <w:rPr>
          <w:rFonts w:hint="eastAsia"/>
          <w:szCs w:val="24"/>
        </w:rPr>
        <w:t>14km处的团结电站大坝</w:t>
      </w:r>
      <w:r>
        <w:rPr>
          <w:szCs w:val="24"/>
        </w:rPr>
        <w:t>至坝址下游约</w:t>
      </w:r>
      <w:r>
        <w:rPr>
          <w:rFonts w:hint="eastAsia"/>
          <w:szCs w:val="24"/>
        </w:rPr>
        <w:t>14.8</w:t>
      </w:r>
      <w:r>
        <w:rPr>
          <w:szCs w:val="24"/>
        </w:rPr>
        <w:t>km处</w:t>
      </w:r>
      <w:r>
        <w:rPr>
          <w:rFonts w:hint="eastAsia"/>
          <w:szCs w:val="24"/>
        </w:rPr>
        <w:t>的上高利高水电站大坝。</w:t>
      </w:r>
    </w:p>
    <w:p>
      <w:pPr>
        <w:autoSpaceDE w:val="0"/>
        <w:autoSpaceDN w:val="0"/>
        <w:adjustRightInd w:val="0"/>
        <w:ind w:firstLine="480"/>
        <w:rPr>
          <w:szCs w:val="24"/>
        </w:rPr>
      </w:pPr>
      <w:r>
        <w:rPr>
          <w:rFonts w:hint="eastAsia"/>
          <w:szCs w:val="24"/>
        </w:rPr>
        <w:t xml:space="preserve"> (1)点源污染源</w:t>
      </w:r>
    </w:p>
    <w:p>
      <w:pPr>
        <w:autoSpaceDE w:val="0"/>
        <w:autoSpaceDN w:val="0"/>
        <w:adjustRightInd w:val="0"/>
        <w:ind w:firstLine="480"/>
        <w:rPr>
          <w:szCs w:val="24"/>
        </w:rPr>
      </w:pPr>
      <w:r>
        <w:rPr>
          <w:rFonts w:hint="eastAsia"/>
          <w:szCs w:val="24"/>
        </w:rPr>
        <w:t>拟建工程位于上高县上高</w:t>
      </w:r>
      <w:r>
        <w:rPr>
          <w:szCs w:val="24"/>
        </w:rPr>
        <w:t>县城</w:t>
      </w:r>
      <w:r>
        <w:rPr>
          <w:rFonts w:hint="eastAsia"/>
          <w:szCs w:val="24"/>
        </w:rPr>
        <w:t>，点源污染源来源上高县中心城区居民及工业园区企业。据现场调查，上高县城区有上高县城市污水处理厂及江西上高县工业园区污水处理厂</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城镇生活污水源</w:t>
      </w:r>
    </w:p>
    <w:p>
      <w:pPr>
        <w:pStyle w:val="243"/>
        <w:ind w:firstLine="480" w:firstLineChars="200"/>
        <w:rPr>
          <w:rFonts w:ascii="Times New Roman" w:hAnsi="Times New Roman"/>
          <w:kern w:val="2"/>
          <w:szCs w:val="24"/>
        </w:rPr>
      </w:pPr>
      <w:r>
        <w:rPr>
          <w:rFonts w:ascii="Times New Roman"/>
          <w:kern w:val="2"/>
          <w:szCs w:val="24"/>
        </w:rPr>
        <w:t>库区污染源来源</w:t>
      </w:r>
      <w:r>
        <w:rPr>
          <w:rFonts w:hint="eastAsia" w:ascii="Times New Roman"/>
          <w:kern w:val="2"/>
          <w:szCs w:val="24"/>
        </w:rPr>
        <w:t>上高</w:t>
      </w:r>
      <w:r>
        <w:rPr>
          <w:rFonts w:ascii="Times New Roman"/>
          <w:kern w:val="2"/>
          <w:szCs w:val="24"/>
        </w:rPr>
        <w:t>县中心城区，</w:t>
      </w:r>
      <w:r>
        <w:rPr>
          <w:rFonts w:hint="eastAsia" w:ascii="Times New Roman"/>
          <w:kern w:val="2"/>
          <w:szCs w:val="24"/>
        </w:rPr>
        <w:t>上高</w:t>
      </w:r>
      <w:r>
        <w:rPr>
          <w:rFonts w:ascii="Times New Roman"/>
          <w:kern w:val="2"/>
          <w:szCs w:val="24"/>
        </w:rPr>
        <w:t>县现有生活污水处理厂一座，建设地点为</w:t>
      </w:r>
      <w:r>
        <w:rPr>
          <w:rFonts w:hint="eastAsia" w:ascii="Times New Roman"/>
          <w:kern w:val="2"/>
          <w:szCs w:val="24"/>
        </w:rPr>
        <w:t>上高</w:t>
      </w:r>
      <w:r>
        <w:rPr>
          <w:rFonts w:ascii="Times New Roman"/>
          <w:kern w:val="2"/>
          <w:szCs w:val="24"/>
        </w:rPr>
        <w:t>县</w:t>
      </w:r>
      <w:r>
        <w:rPr>
          <w:rFonts w:hint="eastAsia" w:ascii="Times New Roman"/>
          <w:kern w:val="2"/>
          <w:szCs w:val="24"/>
        </w:rPr>
        <w:t>敖山</w:t>
      </w:r>
      <w:r>
        <w:rPr>
          <w:rFonts w:ascii="Times New Roman"/>
          <w:kern w:val="2"/>
          <w:szCs w:val="24"/>
        </w:rPr>
        <w:t>镇</w:t>
      </w:r>
      <w:r>
        <w:rPr>
          <w:rFonts w:hint="eastAsia" w:ascii="Times New Roman"/>
          <w:kern w:val="2"/>
          <w:szCs w:val="24"/>
        </w:rPr>
        <w:t>晏家村狮子脑</w:t>
      </w:r>
      <w:r>
        <w:rPr>
          <w:rFonts w:ascii="Times New Roman"/>
          <w:kern w:val="2"/>
          <w:szCs w:val="24"/>
        </w:rPr>
        <w:t>，</w:t>
      </w:r>
      <w:r>
        <w:rPr>
          <w:rFonts w:ascii="Times New Roman"/>
          <w:color w:val="0000FF"/>
          <w:kern w:val="2"/>
          <w:szCs w:val="24"/>
        </w:rPr>
        <w:t>位于坝址</w:t>
      </w:r>
      <w:r>
        <w:rPr>
          <w:rFonts w:hint="eastAsia" w:ascii="Times New Roman"/>
          <w:color w:val="0000FF"/>
          <w:kern w:val="2"/>
          <w:szCs w:val="24"/>
        </w:rPr>
        <w:t>下</w:t>
      </w:r>
      <w:r>
        <w:rPr>
          <w:rFonts w:ascii="Times New Roman"/>
          <w:color w:val="0000FF"/>
          <w:kern w:val="2"/>
          <w:szCs w:val="24"/>
        </w:rPr>
        <w:t>游</w:t>
      </w:r>
      <w:r>
        <w:rPr>
          <w:rFonts w:hint="eastAsia" w:ascii="Times New Roman" w:hAnsi="Times New Roman"/>
          <w:color w:val="0000FF"/>
          <w:kern w:val="2"/>
          <w:szCs w:val="24"/>
        </w:rPr>
        <w:t>1.7k</w:t>
      </w:r>
      <w:r>
        <w:rPr>
          <w:rFonts w:ascii="Times New Roman" w:hAnsi="Times New Roman"/>
          <w:color w:val="0000FF"/>
          <w:kern w:val="2"/>
          <w:szCs w:val="24"/>
        </w:rPr>
        <w:t>m</w:t>
      </w:r>
      <w:r>
        <w:rPr>
          <w:rFonts w:ascii="Times New Roman"/>
          <w:kern w:val="2"/>
          <w:szCs w:val="24"/>
        </w:rPr>
        <w:t>。一期工程设计规模</w:t>
      </w:r>
      <w:r>
        <w:rPr>
          <w:rFonts w:ascii="Times New Roman" w:hAnsi="Times New Roman"/>
          <w:kern w:val="2"/>
          <w:szCs w:val="24"/>
        </w:rPr>
        <w:t>1.5</w:t>
      </w:r>
      <w:r>
        <w:rPr>
          <w:rFonts w:ascii="Times New Roman"/>
          <w:kern w:val="2"/>
          <w:szCs w:val="24"/>
        </w:rPr>
        <w:t>万</w:t>
      </w:r>
      <w:r>
        <w:rPr>
          <w:rFonts w:ascii="Times New Roman" w:hAnsi="Times New Roman"/>
          <w:kern w:val="2"/>
          <w:szCs w:val="24"/>
        </w:rPr>
        <w:t>m</w:t>
      </w:r>
      <w:r>
        <w:rPr>
          <w:rFonts w:ascii="Times New Roman" w:hAnsi="Times New Roman"/>
          <w:kern w:val="2"/>
          <w:szCs w:val="24"/>
          <w:vertAlign w:val="superscript"/>
        </w:rPr>
        <w:t>3</w:t>
      </w:r>
      <w:r>
        <w:rPr>
          <w:rFonts w:ascii="Times New Roman" w:hAnsi="Times New Roman"/>
          <w:kern w:val="2"/>
          <w:szCs w:val="24"/>
        </w:rPr>
        <w:t>/d</w:t>
      </w:r>
      <w:r>
        <w:rPr>
          <w:rFonts w:ascii="Times New Roman"/>
          <w:kern w:val="2"/>
          <w:szCs w:val="24"/>
        </w:rPr>
        <w:t>，实际建成处理规模为</w:t>
      </w:r>
      <w:r>
        <w:rPr>
          <w:rFonts w:ascii="Times New Roman" w:hAnsi="Times New Roman"/>
          <w:kern w:val="2"/>
          <w:szCs w:val="24"/>
        </w:rPr>
        <w:t>1</w:t>
      </w:r>
      <w:r>
        <w:rPr>
          <w:rFonts w:ascii="Times New Roman"/>
          <w:kern w:val="2"/>
          <w:szCs w:val="24"/>
        </w:rPr>
        <w:t>万</w:t>
      </w:r>
      <w:r>
        <w:rPr>
          <w:rFonts w:ascii="Times New Roman" w:hAnsi="Times New Roman"/>
          <w:kern w:val="2"/>
          <w:szCs w:val="24"/>
        </w:rPr>
        <w:t>m</w:t>
      </w:r>
      <w:r>
        <w:rPr>
          <w:rFonts w:ascii="Times New Roman" w:hAnsi="Times New Roman"/>
          <w:kern w:val="2"/>
          <w:szCs w:val="24"/>
          <w:vertAlign w:val="superscript"/>
        </w:rPr>
        <w:t>3</w:t>
      </w:r>
      <w:r>
        <w:rPr>
          <w:rFonts w:ascii="Times New Roman" w:hAnsi="Times New Roman"/>
          <w:kern w:val="2"/>
          <w:szCs w:val="24"/>
        </w:rPr>
        <w:t>/d</w:t>
      </w:r>
      <w:r>
        <w:rPr>
          <w:rFonts w:ascii="Times New Roman"/>
          <w:kern w:val="2"/>
          <w:szCs w:val="24"/>
        </w:rPr>
        <w:t>，二期扩建工程设计规模</w:t>
      </w:r>
      <w:r>
        <w:rPr>
          <w:rFonts w:ascii="Times New Roman" w:hAnsi="Times New Roman"/>
          <w:kern w:val="2"/>
          <w:szCs w:val="24"/>
        </w:rPr>
        <w:t>1</w:t>
      </w:r>
      <w:r>
        <w:rPr>
          <w:rFonts w:hint="eastAsia" w:ascii="Times New Roman" w:hAnsi="Times New Roman"/>
          <w:kern w:val="2"/>
          <w:szCs w:val="24"/>
        </w:rPr>
        <w:t>.5</w:t>
      </w:r>
      <w:r>
        <w:rPr>
          <w:rFonts w:ascii="Times New Roman"/>
          <w:kern w:val="2"/>
          <w:szCs w:val="24"/>
        </w:rPr>
        <w:t>万</w:t>
      </w:r>
      <w:r>
        <w:rPr>
          <w:rFonts w:ascii="Times New Roman" w:hAnsi="Times New Roman"/>
          <w:kern w:val="2"/>
          <w:szCs w:val="24"/>
        </w:rPr>
        <w:t>m</w:t>
      </w:r>
      <w:r>
        <w:rPr>
          <w:rFonts w:ascii="Times New Roman" w:hAnsi="Times New Roman"/>
          <w:kern w:val="2"/>
          <w:szCs w:val="24"/>
          <w:vertAlign w:val="superscript"/>
        </w:rPr>
        <w:t>3</w:t>
      </w:r>
      <w:r>
        <w:rPr>
          <w:rFonts w:ascii="Times New Roman" w:hAnsi="Times New Roman"/>
          <w:kern w:val="2"/>
          <w:szCs w:val="24"/>
        </w:rPr>
        <w:t>/d</w:t>
      </w:r>
      <w:r>
        <w:rPr>
          <w:rFonts w:ascii="Times New Roman"/>
          <w:kern w:val="2"/>
          <w:szCs w:val="24"/>
        </w:rPr>
        <w:t>，扩建后全厂污水处理规模为</w:t>
      </w:r>
      <w:r>
        <w:rPr>
          <w:rFonts w:hint="eastAsia" w:ascii="Times New Roman" w:hAnsi="Times New Roman"/>
          <w:kern w:val="2"/>
          <w:szCs w:val="24"/>
        </w:rPr>
        <w:t>3.0</w:t>
      </w:r>
      <w:r>
        <w:rPr>
          <w:rFonts w:ascii="Times New Roman"/>
          <w:kern w:val="2"/>
          <w:szCs w:val="24"/>
        </w:rPr>
        <w:t>万</w:t>
      </w:r>
      <w:r>
        <w:rPr>
          <w:rFonts w:ascii="Times New Roman" w:hAnsi="Times New Roman"/>
          <w:kern w:val="2"/>
          <w:szCs w:val="24"/>
        </w:rPr>
        <w:t>m</w:t>
      </w:r>
      <w:r>
        <w:rPr>
          <w:rFonts w:ascii="Times New Roman" w:hAnsi="Times New Roman"/>
          <w:kern w:val="2"/>
          <w:szCs w:val="24"/>
          <w:vertAlign w:val="superscript"/>
        </w:rPr>
        <w:t>3</w:t>
      </w:r>
      <w:r>
        <w:rPr>
          <w:rFonts w:ascii="Times New Roman" w:hAnsi="Times New Roman"/>
          <w:kern w:val="2"/>
          <w:szCs w:val="24"/>
        </w:rPr>
        <w:t>/d</w:t>
      </w:r>
      <w:r>
        <w:rPr>
          <w:rFonts w:ascii="Times New Roman"/>
          <w:kern w:val="2"/>
          <w:szCs w:val="24"/>
        </w:rPr>
        <w:t>，</w:t>
      </w:r>
      <w:r>
        <w:rPr>
          <w:rFonts w:hint="eastAsia" w:ascii="Times New Roman"/>
          <w:kern w:val="2"/>
          <w:szCs w:val="24"/>
        </w:rPr>
        <w:t>采取改良型卡式氧化沟+接触消毒池工艺</w:t>
      </w:r>
      <w:r>
        <w:rPr>
          <w:rFonts w:ascii="Times New Roman"/>
          <w:kern w:val="2"/>
          <w:szCs w:val="24"/>
        </w:rPr>
        <w:t>，尾水排放执行《城镇污水处理厂污染物排放标准》</w:t>
      </w:r>
      <w:r>
        <w:rPr>
          <w:rFonts w:ascii="Times New Roman" w:hAnsi="Times New Roman"/>
          <w:kern w:val="2"/>
          <w:szCs w:val="24"/>
        </w:rPr>
        <w:t>(GB18918-2002)</w:t>
      </w:r>
      <w:r>
        <w:rPr>
          <w:rFonts w:ascii="Times New Roman"/>
          <w:kern w:val="2"/>
          <w:szCs w:val="24"/>
        </w:rPr>
        <w:t>中的一级</w:t>
      </w:r>
      <w:r>
        <w:rPr>
          <w:rFonts w:ascii="Times New Roman" w:hAnsi="Times New Roman"/>
          <w:kern w:val="2"/>
          <w:szCs w:val="24"/>
        </w:rPr>
        <w:t>B</w:t>
      </w:r>
      <w:r>
        <w:rPr>
          <w:rFonts w:ascii="Times New Roman"/>
          <w:kern w:val="2"/>
          <w:szCs w:val="24"/>
        </w:rPr>
        <w:t>标准。</w:t>
      </w:r>
    </w:p>
    <w:p>
      <w:pPr>
        <w:pStyle w:val="1345"/>
        <w:spacing w:line="360" w:lineRule="auto"/>
        <w:ind w:firstLine="482"/>
        <w:rPr>
          <w:rFonts w:ascii="Times New Roman" w:hAnsi="Times New Roman" w:cs="Times New Roman"/>
          <w:sz w:val="24"/>
          <w:lang w:eastAsia="zh-CN"/>
        </w:rPr>
      </w:pPr>
      <w:r>
        <w:rPr>
          <w:rFonts w:ascii="Times New Roman" w:cs="Times New Roman"/>
          <w:sz w:val="24"/>
          <w:lang w:eastAsia="zh-CN"/>
        </w:rPr>
        <w:t>随着</w:t>
      </w:r>
      <w:r>
        <w:rPr>
          <w:rFonts w:hint="eastAsia" w:ascii="Times New Roman" w:cs="Times New Roman"/>
          <w:sz w:val="24"/>
          <w:lang w:eastAsia="zh-CN"/>
        </w:rPr>
        <w:t>上高</w:t>
      </w:r>
      <w:r>
        <w:rPr>
          <w:rFonts w:ascii="Times New Roman" w:cs="Times New Roman"/>
          <w:sz w:val="24"/>
        </w:rPr>
        <w:t>县城区用地发展方向为</w:t>
      </w:r>
      <w:r>
        <w:rPr>
          <w:rFonts w:ascii="Times New Roman" w:hAnsi="Times New Roman" w:cs="Times New Roman"/>
          <w:sz w:val="24"/>
          <w:lang w:val="zh-CN" w:eastAsia="zh-CN" w:bidi="zh-CN"/>
        </w:rPr>
        <w:t>“</w:t>
      </w:r>
      <w:r>
        <w:rPr>
          <w:rFonts w:ascii="Times New Roman" w:cs="Times New Roman"/>
          <w:sz w:val="24"/>
          <w:lang w:val="zh-CN" w:eastAsia="zh-CN" w:bidi="zh-CN"/>
        </w:rPr>
        <w:t>东</w:t>
      </w:r>
      <w:r>
        <w:rPr>
          <w:rFonts w:ascii="Times New Roman" w:cs="Times New Roman"/>
          <w:sz w:val="24"/>
        </w:rPr>
        <w:t>进、北扩、南优、西延</w:t>
      </w:r>
      <w:r>
        <w:rPr>
          <w:rFonts w:ascii="Times New Roman" w:hAnsi="Times New Roman" w:cs="Times New Roman"/>
          <w:sz w:val="24"/>
        </w:rPr>
        <w:t>”</w:t>
      </w:r>
      <w:r>
        <w:rPr>
          <w:rFonts w:ascii="Times New Roman" w:cs="Times New Roman"/>
          <w:sz w:val="24"/>
        </w:rPr>
        <w:t>，城区污水管网收集系统的不断完善，污水收集率逐年提高，现有污水处理能力将不能满足增加收集的污水处理要求</w:t>
      </w:r>
      <w:r>
        <w:rPr>
          <w:rFonts w:ascii="Times New Roman" w:cs="Times New Roman"/>
          <w:sz w:val="24"/>
          <w:lang w:eastAsia="zh-CN"/>
        </w:rPr>
        <w:t>，</w:t>
      </w:r>
      <w:r>
        <w:rPr>
          <w:rFonts w:ascii="Times New Roman" w:cs="Times New Roman"/>
          <w:sz w:val="24"/>
        </w:rPr>
        <w:t>最高峰时处理污水约</w:t>
      </w:r>
      <w:r>
        <w:rPr>
          <w:rFonts w:ascii="Times New Roman" w:hAnsi="Times New Roman" w:cs="Times New Roman"/>
          <w:sz w:val="24"/>
          <w:lang w:val="en-US" w:eastAsia="zh-CN" w:bidi="en-US"/>
        </w:rPr>
        <w:t>1.8</w:t>
      </w:r>
      <w:r>
        <w:rPr>
          <w:rFonts w:ascii="Times New Roman" w:cs="Times New Roman"/>
          <w:sz w:val="24"/>
        </w:rPr>
        <w:t>万</w:t>
      </w:r>
      <w:r>
        <w:rPr>
          <w:rFonts w:ascii="Times New Roman" w:hAnsi="Times New Roman" w:cs="Times New Roman"/>
          <w:sz w:val="24"/>
          <w:lang w:val="en-US" w:eastAsia="zh-CN"/>
        </w:rPr>
        <w:t>m</w:t>
      </w:r>
      <w:r>
        <w:rPr>
          <w:rFonts w:ascii="Times New Roman" w:hAnsi="Times New Roman" w:cs="Times New Roman"/>
          <w:sz w:val="24"/>
          <w:vertAlign w:val="superscript"/>
          <w:lang w:val="en-US" w:eastAsia="zh-CN"/>
        </w:rPr>
        <w:t>3</w:t>
      </w:r>
      <w:r>
        <w:rPr>
          <w:rFonts w:ascii="Times New Roman" w:hAnsi="Times New Roman" w:cs="Times New Roman"/>
          <w:sz w:val="24"/>
          <w:lang w:val="en-US" w:eastAsia="zh-CN"/>
        </w:rPr>
        <w:t>/d</w:t>
      </w:r>
      <w:r>
        <w:rPr>
          <w:rFonts w:ascii="Times New Roman" w:cs="Times New Roman"/>
          <w:sz w:val="24"/>
          <w:lang w:val="en-US" w:eastAsia="zh-CN" w:bidi="en-US"/>
        </w:rPr>
        <w:t>，</w:t>
      </w:r>
      <w:r>
        <w:rPr>
          <w:rFonts w:ascii="Times New Roman" w:cs="Times New Roman"/>
          <w:sz w:val="24"/>
        </w:rPr>
        <w:t>已接近满负荷运行。为此，</w:t>
      </w:r>
      <w:r>
        <w:rPr>
          <w:rFonts w:hint="eastAsia" w:ascii="Times New Roman" w:cs="Times New Roman"/>
          <w:sz w:val="24"/>
          <w:lang w:eastAsia="zh-CN"/>
        </w:rPr>
        <w:t>上高</w:t>
      </w:r>
      <w:r>
        <w:rPr>
          <w:rFonts w:ascii="Times New Roman" w:cs="Times New Roman"/>
          <w:sz w:val="24"/>
        </w:rPr>
        <w:t>县政府适时启动了</w:t>
      </w:r>
      <w:r>
        <w:rPr>
          <w:rFonts w:hint="eastAsia" w:ascii="Times New Roman" w:cs="Times New Roman"/>
          <w:sz w:val="24"/>
          <w:lang w:eastAsia="zh-CN"/>
        </w:rPr>
        <w:t>上高</w:t>
      </w:r>
      <w:r>
        <w:rPr>
          <w:rFonts w:ascii="Times New Roman" w:cs="Times New Roman"/>
          <w:sz w:val="24"/>
        </w:rPr>
        <w:t>县城市污水处理厂</w:t>
      </w:r>
      <w:r>
        <w:rPr>
          <w:rFonts w:ascii="Times New Roman" w:hAnsi="Times New Roman" w:cs="Times New Roman"/>
          <w:sz w:val="24"/>
        </w:rPr>
        <w:t>(</w:t>
      </w:r>
      <w:r>
        <w:rPr>
          <w:rFonts w:ascii="Times New Roman" w:cs="Times New Roman"/>
          <w:sz w:val="24"/>
        </w:rPr>
        <w:t>提标扩容</w:t>
      </w:r>
      <w:r>
        <w:rPr>
          <w:rFonts w:ascii="Times New Roman" w:hAnsi="Times New Roman" w:cs="Times New Roman"/>
          <w:sz w:val="24"/>
        </w:rPr>
        <w:t>)</w:t>
      </w:r>
      <w:r>
        <w:rPr>
          <w:rFonts w:ascii="Times New Roman" w:cs="Times New Roman"/>
          <w:sz w:val="24"/>
        </w:rPr>
        <w:t>项</w:t>
      </w:r>
      <w:r>
        <w:rPr>
          <w:rFonts w:ascii="Times New Roman" w:cs="Times New Roman"/>
          <w:sz w:val="24"/>
          <w:lang w:eastAsia="zh-CN"/>
        </w:rPr>
        <w:t>目</w:t>
      </w:r>
      <w:r>
        <w:rPr>
          <w:rFonts w:ascii="Times New Roman" w:cs="Times New Roman"/>
          <w:sz w:val="24"/>
        </w:rPr>
        <w:t>，</w:t>
      </w:r>
      <w:r>
        <w:rPr>
          <w:rFonts w:ascii="Times New Roman" w:cs="Times New Roman"/>
          <w:sz w:val="24"/>
          <w:lang w:val="en-US" w:eastAsia="zh-CN"/>
        </w:rPr>
        <w:t>处理规模</w:t>
      </w:r>
      <w:r>
        <w:rPr>
          <w:rFonts w:ascii="Times New Roman" w:hAnsi="Times New Roman" w:cs="Times New Roman"/>
          <w:sz w:val="24"/>
          <w:lang w:val="en-US" w:eastAsia="zh-CN"/>
        </w:rPr>
        <w:t>4</w:t>
      </w:r>
      <w:r>
        <w:rPr>
          <w:rFonts w:hint="eastAsia" w:ascii="Times New Roman" w:hAnsi="Times New Roman" w:cs="Times New Roman"/>
          <w:sz w:val="24"/>
          <w:lang w:val="en-US" w:eastAsia="zh-CN"/>
        </w:rPr>
        <w:t>.5</w:t>
      </w:r>
      <w:r>
        <w:rPr>
          <w:rFonts w:ascii="Times New Roman" w:cs="Times New Roman"/>
          <w:sz w:val="24"/>
          <w:lang w:val="en-US" w:eastAsia="zh-CN"/>
        </w:rPr>
        <w:t>万</w:t>
      </w:r>
      <w:r>
        <w:rPr>
          <w:rFonts w:ascii="Times New Roman" w:hAnsi="Times New Roman" w:cs="Times New Roman"/>
          <w:sz w:val="24"/>
          <w:lang w:val="en-US" w:eastAsia="zh-CN"/>
        </w:rPr>
        <w:t>m</w:t>
      </w:r>
      <w:r>
        <w:rPr>
          <w:rFonts w:ascii="Times New Roman" w:hAnsi="Times New Roman" w:cs="Times New Roman"/>
          <w:sz w:val="24"/>
          <w:vertAlign w:val="superscript"/>
          <w:lang w:val="en-US" w:eastAsia="zh-CN"/>
        </w:rPr>
        <w:t>3</w:t>
      </w:r>
      <w:r>
        <w:rPr>
          <w:rFonts w:ascii="Times New Roman" w:hAnsi="Times New Roman" w:cs="Times New Roman"/>
          <w:sz w:val="24"/>
          <w:lang w:val="en-US" w:eastAsia="zh-CN"/>
        </w:rPr>
        <w:t>/d</w:t>
      </w:r>
      <w:r>
        <w:rPr>
          <w:rFonts w:ascii="Times New Roman" w:cs="Times New Roman"/>
          <w:sz w:val="24"/>
          <w:lang w:val="en-US" w:eastAsia="zh-CN"/>
        </w:rPr>
        <w:t>，</w:t>
      </w:r>
      <w:r>
        <w:rPr>
          <w:rFonts w:ascii="Times New Roman" w:cs="Times New Roman"/>
          <w:sz w:val="24"/>
        </w:rPr>
        <w:t>处理工艺采用粗格栅→进水泵房→细格栅→旋流沉沙池→氧化沟→污泥泵房→二沉池→储泥池→污泥脱水机房→接触消毒池→二沉池→储泥池→污泥脱水机房→外运</w:t>
      </w:r>
      <w:r>
        <w:rPr>
          <w:rFonts w:hint="eastAsia" w:ascii="Times New Roman" w:cs="Times New Roman"/>
          <w:sz w:val="24"/>
          <w:lang w:eastAsia="zh-CN"/>
        </w:rPr>
        <w:t>等工艺</w:t>
      </w:r>
      <w:r>
        <w:rPr>
          <w:rFonts w:ascii="Times New Roman" w:cs="Times New Roman"/>
          <w:sz w:val="24"/>
        </w:rPr>
        <w:t>，出水指标按国家《城镇污水处理厂污染物排放标准》（</w:t>
      </w:r>
      <w:r>
        <w:rPr>
          <w:rFonts w:ascii="Times New Roman" w:hAnsi="Times New Roman" w:cs="Times New Roman"/>
          <w:sz w:val="24"/>
        </w:rPr>
        <w:t>GB18918-2002</w:t>
      </w:r>
      <w:r>
        <w:rPr>
          <w:rFonts w:ascii="Times New Roman" w:cs="Times New Roman"/>
          <w:sz w:val="24"/>
        </w:rPr>
        <w:t>）中一级</w:t>
      </w:r>
      <w:r>
        <w:rPr>
          <w:rFonts w:ascii="Times New Roman" w:hAnsi="Times New Roman" w:cs="Times New Roman"/>
          <w:sz w:val="24"/>
        </w:rPr>
        <w:t>A</w:t>
      </w:r>
      <w:r>
        <w:rPr>
          <w:rFonts w:ascii="Times New Roman" w:cs="Times New Roman"/>
          <w:sz w:val="24"/>
        </w:rPr>
        <w:t>标准</w:t>
      </w:r>
      <w:r>
        <w:rPr>
          <w:rFonts w:ascii="Times New Roman" w:cs="Times New Roman"/>
          <w:sz w:val="24"/>
          <w:lang w:eastAsia="zh-CN"/>
        </w:rPr>
        <w:t>。</w:t>
      </w:r>
    </w:p>
    <w:p>
      <w:pPr>
        <w:autoSpaceDE w:val="0"/>
        <w:autoSpaceDN w:val="0"/>
        <w:adjustRightInd w:val="0"/>
        <w:spacing w:before="120" w:beforeLines="50" w:line="240" w:lineRule="auto"/>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4.</w:t>
      </w:r>
      <w:r>
        <w:rPr>
          <w:rFonts w:hint="eastAsia" w:ascii="黑体" w:hAnsi="黑体" w:eastAsia="黑体"/>
          <w:bCs/>
        </w:rPr>
        <w:t>3</w:t>
      </w:r>
      <w:r>
        <w:rPr>
          <w:rFonts w:ascii="黑体" w:hAnsi="黑体" w:eastAsia="黑体"/>
          <w:bCs/>
        </w:rPr>
        <w:t xml:space="preserve">-1 </w:t>
      </w:r>
      <w:r>
        <w:rPr>
          <w:rFonts w:hint="eastAsia" w:ascii="黑体" w:hAnsi="黑体" w:eastAsia="黑体"/>
          <w:bCs/>
        </w:rPr>
        <w:t xml:space="preserve"> 城镇生活污水源污染负荷一览表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692"/>
        <w:gridCol w:w="968"/>
        <w:gridCol w:w="999"/>
        <w:gridCol w:w="999"/>
        <w:gridCol w:w="1189"/>
        <w:gridCol w:w="101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top w:val="single" w:color="auto" w:sz="12" w:space="0"/>
              <w:left w:val="nil"/>
            </w:tcBorders>
            <w:vAlign w:val="center"/>
          </w:tcPr>
          <w:p>
            <w:pPr>
              <w:adjustRightInd w:val="0"/>
              <w:snapToGrid w:val="0"/>
              <w:spacing w:line="340" w:lineRule="exact"/>
              <w:ind w:firstLine="0" w:firstLineChars="0"/>
              <w:jc w:val="center"/>
              <w:rPr>
                <w:sz w:val="21"/>
                <w:szCs w:val="21"/>
              </w:rPr>
            </w:pPr>
            <w:r>
              <w:rPr>
                <w:rFonts w:hint="eastAsia"/>
                <w:sz w:val="21"/>
                <w:szCs w:val="21"/>
              </w:rPr>
              <w:t>水污染指标</w:t>
            </w:r>
          </w:p>
        </w:tc>
        <w:tc>
          <w:tcPr>
            <w:tcW w:w="884" w:type="pct"/>
            <w:tcBorders>
              <w:top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废水量</w:t>
            </w:r>
          </w:p>
        </w:tc>
        <w:tc>
          <w:tcPr>
            <w:tcW w:w="506"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COD</w:t>
            </w:r>
          </w:p>
        </w:tc>
        <w:tc>
          <w:tcPr>
            <w:tcW w:w="522"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BOD</w:t>
            </w:r>
          </w:p>
        </w:tc>
        <w:tc>
          <w:tcPr>
            <w:tcW w:w="522"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SS</w:t>
            </w:r>
          </w:p>
        </w:tc>
        <w:tc>
          <w:tcPr>
            <w:tcW w:w="621"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NH</w:t>
            </w:r>
            <w:r>
              <w:rPr>
                <w:sz w:val="21"/>
                <w:szCs w:val="21"/>
                <w:vertAlign w:val="subscript"/>
              </w:rPr>
              <w:t>3</w:t>
            </w:r>
            <w:r>
              <w:rPr>
                <w:sz w:val="21"/>
                <w:szCs w:val="21"/>
              </w:rPr>
              <w:t>-N</w:t>
            </w:r>
          </w:p>
        </w:tc>
        <w:tc>
          <w:tcPr>
            <w:tcW w:w="528"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TN</w:t>
            </w:r>
          </w:p>
        </w:tc>
        <w:tc>
          <w:tcPr>
            <w:tcW w:w="447" w:type="pct"/>
            <w:tcBorders>
              <w:top w:val="single" w:color="auto" w:sz="12" w:space="0"/>
              <w:right w:val="nil"/>
            </w:tcBorders>
            <w:vAlign w:val="center"/>
          </w:tcPr>
          <w:p>
            <w:pPr>
              <w:adjustRightInd w:val="0"/>
              <w:snapToGrid w:val="0"/>
              <w:spacing w:line="340" w:lineRule="exact"/>
              <w:ind w:firstLine="0" w:firstLineChars="0"/>
              <w:jc w:val="center"/>
              <w:rPr>
                <w:sz w:val="21"/>
                <w:szCs w:val="21"/>
              </w:rPr>
            </w:pPr>
            <w:r>
              <w:rPr>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left w:val="nil"/>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污染负荷（</w:t>
            </w:r>
            <w:r>
              <w:rPr>
                <w:sz w:val="21"/>
                <w:szCs w:val="21"/>
              </w:rPr>
              <w:t>t/a</w:t>
            </w:r>
            <w:r>
              <w:rPr>
                <w:rFonts w:hint="eastAsia"/>
                <w:sz w:val="21"/>
                <w:szCs w:val="21"/>
              </w:rPr>
              <w:t>）</w:t>
            </w:r>
          </w:p>
        </w:tc>
        <w:tc>
          <w:tcPr>
            <w:tcW w:w="884"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1642.5万</w:t>
            </w:r>
            <w:r>
              <w:rPr>
                <w:sz w:val="21"/>
                <w:szCs w:val="21"/>
              </w:rPr>
              <w:t>t/a</w:t>
            </w:r>
            <w:r>
              <w:rPr>
                <w:rFonts w:hint="eastAsia"/>
                <w:sz w:val="21"/>
                <w:szCs w:val="21"/>
              </w:rPr>
              <w:t xml:space="preserve"> </w:t>
            </w:r>
          </w:p>
          <w:p>
            <w:pPr>
              <w:adjustRightInd w:val="0"/>
              <w:snapToGrid w:val="0"/>
              <w:spacing w:line="340" w:lineRule="exact"/>
              <w:ind w:firstLine="0" w:firstLineChars="0"/>
              <w:jc w:val="center"/>
              <w:rPr>
                <w:sz w:val="21"/>
                <w:szCs w:val="21"/>
              </w:rPr>
            </w:pPr>
            <w:r>
              <w:rPr>
                <w:rFonts w:hint="eastAsia"/>
                <w:sz w:val="21"/>
                <w:szCs w:val="21"/>
              </w:rPr>
              <w:t>(450</w:t>
            </w:r>
            <w:r>
              <w:rPr>
                <w:sz w:val="21"/>
                <w:szCs w:val="21"/>
              </w:rPr>
              <w:t>00t/d</w:t>
            </w:r>
            <w:r>
              <w:rPr>
                <w:rFonts w:hint="eastAsia"/>
                <w:sz w:val="21"/>
                <w:szCs w:val="21"/>
              </w:rPr>
              <w:t>)</w:t>
            </w:r>
          </w:p>
        </w:tc>
        <w:tc>
          <w:tcPr>
            <w:tcW w:w="506"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821.25</w:t>
            </w:r>
          </w:p>
        </w:tc>
        <w:tc>
          <w:tcPr>
            <w:tcW w:w="522"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164.25</w:t>
            </w:r>
          </w:p>
        </w:tc>
        <w:tc>
          <w:tcPr>
            <w:tcW w:w="522"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164.25</w:t>
            </w:r>
          </w:p>
        </w:tc>
        <w:tc>
          <w:tcPr>
            <w:tcW w:w="621"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82.13</w:t>
            </w:r>
          </w:p>
        </w:tc>
        <w:tc>
          <w:tcPr>
            <w:tcW w:w="528"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246.38</w:t>
            </w:r>
          </w:p>
        </w:tc>
        <w:tc>
          <w:tcPr>
            <w:tcW w:w="447" w:type="pct"/>
            <w:tcBorders>
              <w:bottom w:val="single" w:color="auto" w:sz="12" w:space="0"/>
              <w:right w:val="nil"/>
            </w:tcBorders>
            <w:vAlign w:val="center"/>
          </w:tcPr>
          <w:p>
            <w:pPr>
              <w:adjustRightInd w:val="0"/>
              <w:snapToGrid w:val="0"/>
              <w:spacing w:line="340" w:lineRule="exact"/>
              <w:ind w:firstLine="0" w:firstLineChars="0"/>
              <w:jc w:val="center"/>
              <w:rPr>
                <w:sz w:val="21"/>
                <w:szCs w:val="21"/>
              </w:rPr>
            </w:pPr>
            <w:r>
              <w:rPr>
                <w:rFonts w:hint="eastAsia"/>
                <w:sz w:val="21"/>
                <w:szCs w:val="21"/>
              </w:rPr>
              <w:t>8.21</w:t>
            </w:r>
          </w:p>
        </w:tc>
      </w:tr>
    </w:tbl>
    <w:p>
      <w:pPr>
        <w:autoSpaceDE w:val="0"/>
        <w:autoSpaceDN w:val="0"/>
        <w:adjustRightInd w:val="0"/>
        <w:spacing w:before="120" w:beforeLines="50"/>
        <w:ind w:firstLine="480"/>
        <w:rPr>
          <w:szCs w:val="24"/>
          <w:lang w:val="zh-TW" w:eastAsia="zh-TW" w:bidi="zh-TW"/>
        </w:rPr>
      </w:pPr>
      <w:r>
        <w:rPr>
          <w:szCs w:val="24"/>
          <w:lang w:val="zh-TW" w:eastAsia="zh-TW" w:bidi="zh-TW"/>
        </w:rPr>
        <w:fldChar w:fldCharType="begin"/>
      </w:r>
      <w:r>
        <w:rPr>
          <w:szCs w:val="24"/>
          <w:lang w:val="zh-TW" w:bidi="zh-TW"/>
        </w:rPr>
        <w:instrText xml:space="preserve"> </w:instrText>
      </w:r>
      <w:r>
        <w:rPr>
          <w:rFonts w:hint="eastAsia"/>
          <w:szCs w:val="24"/>
          <w:lang w:val="zh-TW" w:bidi="zh-TW"/>
        </w:rPr>
        <w:instrText xml:space="preserve">= 2 \* GB3</w:instrText>
      </w:r>
      <w:r>
        <w:rPr>
          <w:szCs w:val="24"/>
          <w:lang w:val="zh-TW" w:bidi="zh-TW"/>
        </w:rPr>
        <w:instrText xml:space="preserve"> </w:instrText>
      </w:r>
      <w:r>
        <w:rPr>
          <w:szCs w:val="24"/>
          <w:lang w:val="zh-TW" w:eastAsia="zh-TW" w:bidi="zh-TW"/>
        </w:rPr>
        <w:fldChar w:fldCharType="separate"/>
      </w:r>
      <w:r>
        <w:rPr>
          <w:rFonts w:hint="eastAsia"/>
          <w:szCs w:val="24"/>
          <w:lang w:val="zh-TW" w:bidi="zh-TW"/>
        </w:rPr>
        <w:t>②</w:t>
      </w:r>
      <w:r>
        <w:rPr>
          <w:szCs w:val="24"/>
          <w:lang w:val="zh-TW" w:eastAsia="zh-TW" w:bidi="zh-TW"/>
        </w:rPr>
        <w:fldChar w:fldCharType="end"/>
      </w:r>
      <w:r>
        <w:rPr>
          <w:rFonts w:hint="eastAsia"/>
          <w:szCs w:val="24"/>
          <w:lang w:val="zh-TW" w:eastAsia="zh-TW" w:bidi="zh-TW"/>
        </w:rPr>
        <w:t>工业污染源</w:t>
      </w:r>
    </w:p>
    <w:p>
      <w:pPr>
        <w:autoSpaceDE w:val="0"/>
        <w:autoSpaceDN w:val="0"/>
        <w:adjustRightInd w:val="0"/>
        <w:ind w:firstLine="480"/>
        <w:rPr>
          <w:szCs w:val="24"/>
          <w:lang w:val="zh-TW" w:eastAsia="zh-TW" w:bidi="zh-TW"/>
        </w:rPr>
      </w:pPr>
      <w:r>
        <w:rPr>
          <w:rFonts w:hint="eastAsia"/>
          <w:szCs w:val="24"/>
          <w:lang w:val="zh-TW" w:eastAsia="zh-TW" w:bidi="zh-TW"/>
        </w:rPr>
        <w:t>调查结果表明，</w:t>
      </w:r>
      <w:r>
        <w:rPr>
          <w:rFonts w:hint="eastAsia"/>
          <w:szCs w:val="24"/>
          <w:lang w:val="zh-TW" w:bidi="zh-TW"/>
        </w:rPr>
        <w:t>毛家渡</w:t>
      </w:r>
      <w:r>
        <w:rPr>
          <w:rFonts w:hint="eastAsia"/>
          <w:szCs w:val="24"/>
          <w:lang w:val="zh-TW" w:eastAsia="zh-TW" w:bidi="zh-TW"/>
        </w:rPr>
        <w:t>抬水工程调查范围涉及的工业污染源为江西</w:t>
      </w:r>
      <w:r>
        <w:rPr>
          <w:rFonts w:hint="eastAsia"/>
          <w:szCs w:val="24"/>
          <w:lang w:val="zh-TW" w:bidi="zh-TW"/>
        </w:rPr>
        <w:t>上高</w:t>
      </w:r>
      <w:r>
        <w:rPr>
          <w:rFonts w:hint="eastAsia"/>
          <w:szCs w:val="24"/>
          <w:lang w:val="zh-TW" w:eastAsia="zh-TW" w:bidi="zh-TW"/>
        </w:rPr>
        <w:t>县工业园区，园区企业共有</w:t>
      </w:r>
      <w:r>
        <w:rPr>
          <w:rFonts w:hint="eastAsia"/>
          <w:szCs w:val="24"/>
          <w:lang w:bidi="zh-TW"/>
        </w:rPr>
        <w:t>67</w:t>
      </w:r>
      <w:r>
        <w:rPr>
          <w:rFonts w:hint="eastAsia"/>
          <w:szCs w:val="24"/>
          <w:lang w:val="zh-TW" w:eastAsia="zh-TW" w:bidi="zh-TW"/>
        </w:rPr>
        <w:t>家，其中</w:t>
      </w:r>
      <w:r>
        <w:rPr>
          <w:rFonts w:hint="eastAsia"/>
          <w:szCs w:val="24"/>
          <w:lang w:val="zh-TW" w:bidi="zh-TW"/>
        </w:rPr>
        <w:t>食品企业</w:t>
      </w:r>
      <w:r>
        <w:rPr>
          <w:rFonts w:hint="eastAsia"/>
          <w:szCs w:val="24"/>
          <w:lang w:bidi="zh-TW"/>
        </w:rPr>
        <w:t>12家，机电企业35家，</w:t>
      </w:r>
      <w:r>
        <w:rPr>
          <w:rFonts w:hint="eastAsia"/>
          <w:szCs w:val="24"/>
          <w:lang w:val="zh-TW" w:bidi="zh-TW"/>
        </w:rPr>
        <w:t>建材</w:t>
      </w:r>
      <w:r>
        <w:rPr>
          <w:rFonts w:hint="eastAsia"/>
          <w:szCs w:val="24"/>
          <w:lang w:val="zh-TW" w:eastAsia="zh-TW" w:bidi="zh-TW"/>
        </w:rPr>
        <w:t>企业有</w:t>
      </w:r>
      <w:r>
        <w:rPr>
          <w:rFonts w:hint="eastAsia"/>
          <w:szCs w:val="24"/>
          <w:lang w:bidi="zh-TW"/>
        </w:rPr>
        <w:t>20</w:t>
      </w:r>
      <w:r>
        <w:rPr>
          <w:rFonts w:hint="eastAsia"/>
          <w:szCs w:val="24"/>
          <w:lang w:val="zh-TW" w:eastAsia="zh-TW" w:bidi="zh-TW"/>
        </w:rPr>
        <w:t>家，工业园区已入驻企业产生污水经企业自建污水处理设施处理后进入园区管网，进入江西</w:t>
      </w:r>
      <w:r>
        <w:rPr>
          <w:rFonts w:hint="eastAsia"/>
          <w:szCs w:val="24"/>
          <w:lang w:val="zh-TW" w:bidi="zh-TW"/>
        </w:rPr>
        <w:t>上高</w:t>
      </w:r>
      <w:r>
        <w:rPr>
          <w:rFonts w:hint="eastAsia"/>
          <w:szCs w:val="24"/>
          <w:lang w:val="zh-TW" w:eastAsia="zh-TW" w:bidi="zh-TW"/>
        </w:rPr>
        <w:t>县工业园区污水处理厂排入</w:t>
      </w:r>
      <w:r>
        <w:rPr>
          <w:rFonts w:hint="eastAsia"/>
          <w:szCs w:val="24"/>
          <w:lang w:val="zh-TW" w:bidi="zh-TW"/>
        </w:rPr>
        <w:t>锦河</w:t>
      </w:r>
      <w:r>
        <w:rPr>
          <w:rFonts w:hint="eastAsia"/>
          <w:szCs w:val="24"/>
          <w:lang w:val="zh-TW" w:eastAsia="zh-TW" w:bidi="zh-TW"/>
        </w:rPr>
        <w:t>。园区企业工业废水污染源强参照《江西</w:t>
      </w:r>
      <w:r>
        <w:rPr>
          <w:rFonts w:hint="eastAsia"/>
          <w:szCs w:val="24"/>
          <w:lang w:val="zh-TW" w:bidi="zh-TW"/>
        </w:rPr>
        <w:t>上高</w:t>
      </w:r>
      <w:r>
        <w:rPr>
          <w:rFonts w:hint="eastAsia"/>
          <w:szCs w:val="24"/>
          <w:lang w:val="zh-TW" w:eastAsia="zh-TW" w:bidi="zh-TW"/>
        </w:rPr>
        <w:t>县工业园区污水处理厂提标扩容改造项目》中设计处理规模为</w:t>
      </w:r>
      <w:r>
        <w:rPr>
          <w:rFonts w:hint="eastAsia"/>
          <w:szCs w:val="24"/>
          <w:lang w:bidi="zh-TW"/>
        </w:rPr>
        <w:t>2.0</w:t>
      </w:r>
      <w:r>
        <w:rPr>
          <w:rFonts w:hint="eastAsia"/>
          <w:szCs w:val="24"/>
          <w:lang w:val="zh-TW" w:eastAsia="zh-TW" w:bidi="zh-TW"/>
        </w:rPr>
        <w:t>万m</w:t>
      </w:r>
      <w:r>
        <w:rPr>
          <w:rFonts w:hint="eastAsia"/>
          <w:szCs w:val="24"/>
          <w:vertAlign w:val="superscript"/>
          <w:lang w:val="zh-TW" w:eastAsia="zh-TW" w:bidi="zh-TW"/>
        </w:rPr>
        <w:t>3</w:t>
      </w:r>
      <w:r>
        <w:rPr>
          <w:rFonts w:hint="eastAsia"/>
          <w:szCs w:val="24"/>
          <w:lang w:val="zh-TW" w:eastAsia="zh-TW" w:bidi="zh-TW"/>
        </w:rPr>
        <w:t>/d，出水执行《城镇污水处理厂污染物排放标准》（GB18918-2002）一级A标准。</w:t>
      </w:r>
    </w:p>
    <w:p>
      <w:pPr>
        <w:autoSpaceDE w:val="0"/>
        <w:autoSpaceDN w:val="0"/>
        <w:adjustRightInd w:val="0"/>
        <w:spacing w:before="120" w:beforeLines="50" w:line="240" w:lineRule="auto"/>
        <w:ind w:firstLine="0" w:firstLineChars="0"/>
        <w:jc w:val="center"/>
        <w:rPr>
          <w:rFonts w:ascii="黑体" w:hAnsi="黑体" w:eastAsia="黑体"/>
          <w:bCs/>
        </w:rPr>
      </w:pPr>
      <w:r>
        <w:rPr>
          <w:rFonts w:hint="eastAsia" w:ascii="黑体" w:hAnsi="黑体" w:eastAsia="黑体"/>
          <w:bCs/>
        </w:rPr>
        <w:t>表</w:t>
      </w:r>
      <w:r>
        <w:rPr>
          <w:rFonts w:ascii="黑体" w:hAnsi="黑体" w:eastAsia="黑体"/>
          <w:bCs/>
        </w:rPr>
        <w:t>4.</w:t>
      </w:r>
      <w:r>
        <w:rPr>
          <w:rFonts w:hint="eastAsia" w:ascii="黑体" w:hAnsi="黑体" w:eastAsia="黑体"/>
          <w:bCs/>
        </w:rPr>
        <w:t>3</w:t>
      </w:r>
      <w:r>
        <w:rPr>
          <w:rFonts w:ascii="黑体" w:hAnsi="黑体" w:eastAsia="黑体"/>
          <w:bCs/>
        </w:rPr>
        <w:t>-</w:t>
      </w:r>
      <w:r>
        <w:rPr>
          <w:rFonts w:hint="eastAsia" w:ascii="黑体" w:hAnsi="黑体" w:eastAsia="黑体"/>
          <w:bCs/>
        </w:rPr>
        <w:t>2</w:t>
      </w:r>
      <w:r>
        <w:rPr>
          <w:rFonts w:ascii="黑体" w:hAnsi="黑体" w:eastAsia="黑体"/>
          <w:bCs/>
        </w:rPr>
        <w:t xml:space="preserve"> </w:t>
      </w:r>
      <w:r>
        <w:rPr>
          <w:rFonts w:hint="eastAsia" w:ascii="黑体" w:hAnsi="黑体" w:eastAsia="黑体"/>
          <w:bCs/>
        </w:rPr>
        <w:t xml:space="preserve"> 工业废水污染负荷一览表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692"/>
        <w:gridCol w:w="968"/>
        <w:gridCol w:w="999"/>
        <w:gridCol w:w="999"/>
        <w:gridCol w:w="1189"/>
        <w:gridCol w:w="101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top w:val="single" w:color="auto" w:sz="12" w:space="0"/>
              <w:left w:val="nil"/>
            </w:tcBorders>
            <w:vAlign w:val="center"/>
          </w:tcPr>
          <w:p>
            <w:pPr>
              <w:adjustRightInd w:val="0"/>
              <w:snapToGrid w:val="0"/>
              <w:spacing w:line="340" w:lineRule="exact"/>
              <w:ind w:firstLine="0" w:firstLineChars="0"/>
              <w:jc w:val="center"/>
              <w:rPr>
                <w:sz w:val="21"/>
                <w:szCs w:val="21"/>
              </w:rPr>
            </w:pPr>
            <w:r>
              <w:rPr>
                <w:rFonts w:hint="eastAsia"/>
                <w:sz w:val="21"/>
                <w:szCs w:val="21"/>
              </w:rPr>
              <w:t>水污染指标</w:t>
            </w:r>
          </w:p>
        </w:tc>
        <w:tc>
          <w:tcPr>
            <w:tcW w:w="884" w:type="pct"/>
            <w:tcBorders>
              <w:top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废水量</w:t>
            </w:r>
          </w:p>
        </w:tc>
        <w:tc>
          <w:tcPr>
            <w:tcW w:w="506"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COD</w:t>
            </w:r>
          </w:p>
        </w:tc>
        <w:tc>
          <w:tcPr>
            <w:tcW w:w="522"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BOD</w:t>
            </w:r>
          </w:p>
        </w:tc>
        <w:tc>
          <w:tcPr>
            <w:tcW w:w="522"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SS</w:t>
            </w:r>
          </w:p>
        </w:tc>
        <w:tc>
          <w:tcPr>
            <w:tcW w:w="621"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NH</w:t>
            </w:r>
            <w:r>
              <w:rPr>
                <w:sz w:val="21"/>
                <w:szCs w:val="21"/>
                <w:vertAlign w:val="subscript"/>
              </w:rPr>
              <w:t>3</w:t>
            </w:r>
            <w:r>
              <w:rPr>
                <w:sz w:val="21"/>
                <w:szCs w:val="21"/>
              </w:rPr>
              <w:t>-N</w:t>
            </w:r>
          </w:p>
        </w:tc>
        <w:tc>
          <w:tcPr>
            <w:tcW w:w="528" w:type="pct"/>
            <w:tcBorders>
              <w:top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TN</w:t>
            </w:r>
          </w:p>
        </w:tc>
        <w:tc>
          <w:tcPr>
            <w:tcW w:w="447" w:type="pct"/>
            <w:tcBorders>
              <w:top w:val="single" w:color="auto" w:sz="12" w:space="0"/>
              <w:right w:val="nil"/>
            </w:tcBorders>
            <w:vAlign w:val="center"/>
          </w:tcPr>
          <w:p>
            <w:pPr>
              <w:adjustRightInd w:val="0"/>
              <w:snapToGrid w:val="0"/>
              <w:spacing w:line="340" w:lineRule="exact"/>
              <w:ind w:firstLine="0" w:firstLineChars="0"/>
              <w:jc w:val="center"/>
              <w:rPr>
                <w:sz w:val="21"/>
                <w:szCs w:val="21"/>
              </w:rPr>
            </w:pPr>
            <w:r>
              <w:rPr>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left w:val="nil"/>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污染负荷</w:t>
            </w:r>
          </w:p>
        </w:tc>
        <w:tc>
          <w:tcPr>
            <w:tcW w:w="884" w:type="pct"/>
            <w:tcBorders>
              <w:bottom w:val="single" w:color="auto" w:sz="12" w:space="0"/>
            </w:tcBorders>
            <w:vAlign w:val="center"/>
          </w:tcPr>
          <w:p>
            <w:pPr>
              <w:adjustRightInd w:val="0"/>
              <w:snapToGrid w:val="0"/>
              <w:spacing w:line="340" w:lineRule="exact"/>
              <w:ind w:firstLine="0" w:firstLineChars="0"/>
              <w:jc w:val="center"/>
              <w:rPr>
                <w:sz w:val="21"/>
                <w:szCs w:val="21"/>
              </w:rPr>
            </w:pPr>
            <w:r>
              <w:rPr>
                <w:sz w:val="21"/>
                <w:szCs w:val="21"/>
              </w:rPr>
              <w:t>1168</w:t>
            </w:r>
            <w:r>
              <w:rPr>
                <w:rFonts w:hint="eastAsia"/>
                <w:sz w:val="21"/>
                <w:szCs w:val="21"/>
              </w:rPr>
              <w:t>万</w:t>
            </w:r>
            <w:r>
              <w:rPr>
                <w:sz w:val="21"/>
                <w:szCs w:val="21"/>
              </w:rPr>
              <w:t>t/a</w:t>
            </w:r>
            <w:r>
              <w:rPr>
                <w:rFonts w:hint="eastAsia"/>
                <w:sz w:val="21"/>
                <w:szCs w:val="21"/>
              </w:rPr>
              <w:t xml:space="preserve"> </w:t>
            </w:r>
          </w:p>
          <w:p>
            <w:pPr>
              <w:adjustRightInd w:val="0"/>
              <w:snapToGrid w:val="0"/>
              <w:spacing w:line="340" w:lineRule="exact"/>
              <w:ind w:firstLine="0" w:firstLineChars="0"/>
              <w:jc w:val="center"/>
              <w:rPr>
                <w:sz w:val="21"/>
                <w:szCs w:val="21"/>
              </w:rPr>
            </w:pPr>
            <w:r>
              <w:rPr>
                <w:rFonts w:hint="eastAsia"/>
                <w:sz w:val="21"/>
                <w:szCs w:val="21"/>
              </w:rPr>
              <w:t>(20</w:t>
            </w:r>
            <w:r>
              <w:rPr>
                <w:sz w:val="21"/>
                <w:szCs w:val="21"/>
              </w:rPr>
              <w:t>00</w:t>
            </w:r>
            <w:r>
              <w:rPr>
                <w:rFonts w:hint="eastAsia"/>
                <w:sz w:val="21"/>
                <w:szCs w:val="21"/>
              </w:rPr>
              <w:t>0</w:t>
            </w:r>
            <w:r>
              <w:rPr>
                <w:sz w:val="21"/>
                <w:szCs w:val="21"/>
              </w:rPr>
              <w:t>t/d</w:t>
            </w:r>
            <w:r>
              <w:rPr>
                <w:rFonts w:hint="eastAsia"/>
                <w:sz w:val="21"/>
                <w:szCs w:val="21"/>
              </w:rPr>
              <w:t>)</w:t>
            </w:r>
          </w:p>
        </w:tc>
        <w:tc>
          <w:tcPr>
            <w:tcW w:w="506"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365</w:t>
            </w:r>
          </w:p>
        </w:tc>
        <w:tc>
          <w:tcPr>
            <w:tcW w:w="522"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73</w:t>
            </w:r>
          </w:p>
        </w:tc>
        <w:tc>
          <w:tcPr>
            <w:tcW w:w="522"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73</w:t>
            </w:r>
          </w:p>
        </w:tc>
        <w:tc>
          <w:tcPr>
            <w:tcW w:w="621"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36.5</w:t>
            </w:r>
          </w:p>
        </w:tc>
        <w:tc>
          <w:tcPr>
            <w:tcW w:w="528" w:type="pct"/>
            <w:tcBorders>
              <w:bottom w:val="single" w:color="auto" w:sz="12" w:space="0"/>
            </w:tcBorders>
            <w:vAlign w:val="center"/>
          </w:tcPr>
          <w:p>
            <w:pPr>
              <w:adjustRightInd w:val="0"/>
              <w:snapToGrid w:val="0"/>
              <w:spacing w:line="340" w:lineRule="exact"/>
              <w:ind w:firstLine="0" w:firstLineChars="0"/>
              <w:jc w:val="center"/>
              <w:rPr>
                <w:sz w:val="21"/>
                <w:szCs w:val="21"/>
              </w:rPr>
            </w:pPr>
            <w:r>
              <w:rPr>
                <w:rFonts w:hint="eastAsia"/>
                <w:sz w:val="21"/>
                <w:szCs w:val="21"/>
              </w:rPr>
              <w:t>109.5</w:t>
            </w:r>
          </w:p>
        </w:tc>
        <w:tc>
          <w:tcPr>
            <w:tcW w:w="447" w:type="pct"/>
            <w:tcBorders>
              <w:bottom w:val="single" w:color="auto" w:sz="12" w:space="0"/>
              <w:right w:val="nil"/>
            </w:tcBorders>
            <w:vAlign w:val="center"/>
          </w:tcPr>
          <w:p>
            <w:pPr>
              <w:adjustRightInd w:val="0"/>
              <w:snapToGrid w:val="0"/>
              <w:spacing w:line="340" w:lineRule="exact"/>
              <w:ind w:firstLine="0" w:firstLineChars="0"/>
              <w:jc w:val="center"/>
              <w:rPr>
                <w:sz w:val="21"/>
                <w:szCs w:val="21"/>
              </w:rPr>
            </w:pPr>
            <w:r>
              <w:rPr>
                <w:rFonts w:hint="eastAsia"/>
                <w:sz w:val="21"/>
                <w:szCs w:val="21"/>
              </w:rPr>
              <w:t>3.65</w:t>
            </w:r>
          </w:p>
        </w:tc>
      </w:tr>
    </w:tbl>
    <w:p>
      <w:pPr>
        <w:autoSpaceDE w:val="0"/>
        <w:autoSpaceDN w:val="0"/>
        <w:adjustRightInd w:val="0"/>
        <w:spacing w:before="120" w:beforeLines="50"/>
        <w:ind w:firstLine="480"/>
        <w:rPr>
          <w:szCs w:val="24"/>
        </w:rPr>
      </w:pPr>
      <w:r>
        <w:rPr>
          <w:rFonts w:hint="eastAsia"/>
          <w:szCs w:val="24"/>
        </w:rPr>
        <w:t>(2)面源污染源</w:t>
      </w:r>
    </w:p>
    <w:p>
      <w:pPr>
        <w:autoSpaceDE w:val="0"/>
        <w:autoSpaceDN w:val="0"/>
        <w:adjustRightInd w:val="0"/>
        <w:ind w:firstLine="480"/>
        <w:rPr>
          <w:szCs w:val="24"/>
          <w:lang w:val="zh-TW" w:bidi="zh-TW"/>
        </w:rPr>
      </w:pPr>
      <w:r>
        <w:rPr>
          <w:rFonts w:hint="eastAsia"/>
          <w:szCs w:val="24"/>
          <w:lang w:val="zh-TW" w:eastAsia="zh-TW" w:bidi="zh-TW"/>
        </w:rPr>
        <w:t>调查结果表明，</w:t>
      </w:r>
      <w:r>
        <w:rPr>
          <w:szCs w:val="24"/>
          <w:lang w:val="zh-TW" w:eastAsia="zh-TW" w:bidi="zh-TW"/>
        </w:rPr>
        <w:t>坝下减水段内主要以农村居民及耕地为主，</w:t>
      </w:r>
      <w:r>
        <w:rPr>
          <w:rFonts w:hint="eastAsia"/>
          <w:szCs w:val="24"/>
          <w:lang w:val="zh-TW" w:bidi="zh-TW"/>
        </w:rPr>
        <w:t>面源污染主要为农村生活面源污染和农业面源污染</w:t>
      </w:r>
      <w:r>
        <w:rPr>
          <w:szCs w:val="24"/>
          <w:lang w:val="zh-TW" w:eastAsia="zh-TW" w:bidi="zh-TW"/>
        </w:rPr>
        <w:t>，较大的乡村有</w:t>
      </w:r>
      <w:r>
        <w:rPr>
          <w:rFonts w:hint="eastAsia"/>
          <w:szCs w:val="24"/>
          <w:lang w:val="zh-TW" w:bidi="zh-TW"/>
        </w:rPr>
        <w:t>先锋</w:t>
      </w:r>
      <w:r>
        <w:rPr>
          <w:rFonts w:hint="eastAsia"/>
          <w:szCs w:val="24"/>
          <w:lang w:val="zh-TW" w:eastAsia="zh-TW" w:bidi="zh-TW"/>
        </w:rPr>
        <w:t>村、</w:t>
      </w:r>
      <w:r>
        <w:rPr>
          <w:rFonts w:hint="eastAsia"/>
          <w:szCs w:val="24"/>
          <w:lang w:val="zh-TW" w:bidi="zh-TW"/>
        </w:rPr>
        <w:t>罗家村、贯埠</w:t>
      </w:r>
      <w:r>
        <w:rPr>
          <w:rFonts w:hint="eastAsia"/>
          <w:szCs w:val="24"/>
          <w:lang w:val="zh-TW" w:eastAsia="zh-TW" w:bidi="zh-TW"/>
        </w:rPr>
        <w:t>村</w:t>
      </w:r>
      <w:r>
        <w:rPr>
          <w:szCs w:val="24"/>
          <w:lang w:val="zh-TW" w:eastAsia="zh-TW" w:bidi="zh-TW"/>
        </w:rPr>
        <w:t>等，现状有农村居民人口</w:t>
      </w:r>
      <w:r>
        <w:rPr>
          <w:rFonts w:hint="eastAsia"/>
          <w:szCs w:val="24"/>
          <w:lang w:val="zh-TW" w:eastAsia="zh-TW" w:bidi="zh-TW"/>
        </w:rPr>
        <w:t>2</w:t>
      </w:r>
      <w:r>
        <w:rPr>
          <w:rFonts w:hint="eastAsia"/>
          <w:szCs w:val="24"/>
          <w:lang w:bidi="zh-TW"/>
        </w:rPr>
        <w:t>56</w:t>
      </w:r>
      <w:r>
        <w:rPr>
          <w:rFonts w:hint="eastAsia"/>
          <w:szCs w:val="24"/>
          <w:lang w:val="zh-TW" w:eastAsia="zh-TW" w:bidi="zh-TW"/>
        </w:rPr>
        <w:t>0</w:t>
      </w:r>
      <w:r>
        <w:rPr>
          <w:szCs w:val="24"/>
          <w:lang w:val="zh-TW" w:eastAsia="zh-TW" w:bidi="zh-TW"/>
        </w:rPr>
        <w:t>人，耕地面积1</w:t>
      </w:r>
      <w:r>
        <w:rPr>
          <w:rFonts w:hint="eastAsia"/>
          <w:szCs w:val="24"/>
          <w:lang w:bidi="zh-TW"/>
        </w:rPr>
        <w:t>48</w:t>
      </w:r>
      <w:r>
        <w:rPr>
          <w:rFonts w:hint="eastAsia"/>
          <w:szCs w:val="24"/>
          <w:lang w:val="zh-TW" w:eastAsia="zh-TW" w:bidi="zh-TW"/>
        </w:rPr>
        <w:t>0</w:t>
      </w:r>
      <w:r>
        <w:rPr>
          <w:szCs w:val="24"/>
          <w:lang w:val="zh-TW" w:eastAsia="zh-TW" w:bidi="zh-TW"/>
        </w:rPr>
        <w:t>亩。</w:t>
      </w:r>
      <w:r>
        <w:rPr>
          <w:rFonts w:hint="eastAsia"/>
          <w:szCs w:val="24"/>
          <w:lang w:val="zh-TW" w:eastAsia="zh-TW" w:bidi="zh-TW"/>
        </w:rPr>
        <w:t>工程涉及的乡镇农业种植施用化肥以氮肥和复合肥为主，经植物吸收后残留的农药和化肥，经雨水淋溶，由地表径流带入水体。工程调查范围内无规模化养殖企业，区内畜养殖方式均为散养或散、放养状态，牲畜排放的污染物都以自然削减的方式削减，不排入河道。因此，工程调查范围内面源污染源主要为农村生活污水及农田面源污染。</w:t>
      </w:r>
    </w:p>
    <w:p>
      <w:pPr>
        <w:autoSpaceDE w:val="0"/>
        <w:autoSpaceDN w:val="0"/>
        <w:adjustRightInd w:val="0"/>
        <w:ind w:firstLine="480"/>
        <w:rPr>
          <w:rFonts w:hAnsi="宋体"/>
          <w:kern w:val="0"/>
          <w:szCs w:val="24"/>
        </w:rPr>
      </w:pPr>
      <w:r>
        <w:rPr>
          <w:rFonts w:hint="eastAsia" w:hAnsi="宋体"/>
          <w:kern w:val="0"/>
          <w:szCs w:val="24"/>
        </w:rPr>
        <w:t>农村生活用水量按</w:t>
      </w:r>
      <w:r>
        <w:rPr>
          <w:rFonts w:hAnsi="宋体"/>
          <w:kern w:val="0"/>
          <w:szCs w:val="24"/>
        </w:rPr>
        <w:t xml:space="preserve"> 120L/</w:t>
      </w:r>
      <w:r>
        <w:rPr>
          <w:rFonts w:hint="eastAsia" w:hAnsi="宋体"/>
          <w:kern w:val="0"/>
          <w:szCs w:val="24"/>
        </w:rPr>
        <w:t>（人·天）计，排放系数</w:t>
      </w:r>
      <w:r>
        <w:rPr>
          <w:rFonts w:hAnsi="宋体"/>
          <w:kern w:val="0"/>
          <w:szCs w:val="24"/>
        </w:rPr>
        <w:t>0.8</w:t>
      </w:r>
      <w:r>
        <w:rPr>
          <w:rFonts w:hint="eastAsia" w:hAnsi="宋体"/>
          <w:kern w:val="0"/>
          <w:szCs w:val="24"/>
        </w:rPr>
        <w:t>，</w:t>
      </w:r>
      <w:r>
        <w:rPr>
          <w:rFonts w:hAnsi="宋体"/>
          <w:kern w:val="0"/>
          <w:szCs w:val="24"/>
        </w:rPr>
        <w:t xml:space="preserve"> COD</w:t>
      </w:r>
      <w:r>
        <w:rPr>
          <w:rFonts w:hint="eastAsia" w:hAnsi="宋体"/>
          <w:kern w:val="0"/>
          <w:szCs w:val="24"/>
        </w:rPr>
        <w:t>、</w:t>
      </w:r>
      <w:r>
        <w:rPr>
          <w:rFonts w:hAnsi="宋体"/>
          <w:kern w:val="0"/>
          <w:szCs w:val="24"/>
        </w:rPr>
        <w:t>NH</w:t>
      </w:r>
      <w:r>
        <w:rPr>
          <w:rFonts w:hAnsi="宋体"/>
          <w:kern w:val="0"/>
          <w:szCs w:val="24"/>
          <w:vertAlign w:val="subscript"/>
        </w:rPr>
        <w:t>3</w:t>
      </w:r>
      <w:r>
        <w:rPr>
          <w:rFonts w:hAnsi="宋体"/>
          <w:kern w:val="0"/>
          <w:szCs w:val="24"/>
        </w:rPr>
        <w:t>-N</w:t>
      </w:r>
      <w:r>
        <w:rPr>
          <w:rFonts w:hint="eastAsia" w:hAnsi="宋体"/>
          <w:kern w:val="0"/>
          <w:szCs w:val="24"/>
        </w:rPr>
        <w:t>、</w:t>
      </w:r>
      <w:r>
        <w:rPr>
          <w:rFonts w:hAnsi="宋体"/>
          <w:kern w:val="0"/>
          <w:szCs w:val="24"/>
        </w:rPr>
        <w:t>TP</w:t>
      </w:r>
      <w:r>
        <w:rPr>
          <w:rFonts w:hint="eastAsia" w:hAnsi="宋体"/>
          <w:kern w:val="0"/>
          <w:szCs w:val="24"/>
        </w:rPr>
        <w:t>浓度分别取</w:t>
      </w:r>
      <w:r>
        <w:rPr>
          <w:rFonts w:hAnsi="宋体"/>
          <w:kern w:val="0"/>
          <w:szCs w:val="24"/>
        </w:rPr>
        <w:t>250mg/L</w:t>
      </w:r>
      <w:r>
        <w:rPr>
          <w:rFonts w:hint="eastAsia" w:hAnsi="宋体"/>
          <w:kern w:val="0"/>
          <w:szCs w:val="24"/>
        </w:rPr>
        <w:t>、25</w:t>
      </w:r>
      <w:r>
        <w:rPr>
          <w:rFonts w:hAnsi="宋体"/>
          <w:kern w:val="0"/>
          <w:szCs w:val="24"/>
        </w:rPr>
        <w:t>mg/L</w:t>
      </w:r>
      <w:r>
        <w:rPr>
          <w:rFonts w:hint="eastAsia" w:hAnsi="宋体"/>
          <w:kern w:val="0"/>
          <w:szCs w:val="24"/>
        </w:rPr>
        <w:t>、</w:t>
      </w:r>
      <w:r>
        <w:rPr>
          <w:rFonts w:hAnsi="宋体"/>
          <w:kern w:val="0"/>
          <w:szCs w:val="24"/>
        </w:rPr>
        <w:t>5mg/L</w:t>
      </w:r>
      <w:r>
        <w:rPr>
          <w:rFonts w:hint="eastAsia" w:hAnsi="宋体"/>
          <w:kern w:val="0"/>
          <w:szCs w:val="24"/>
        </w:rPr>
        <w:t>，面源污染入河系数取</w:t>
      </w:r>
      <w:r>
        <w:rPr>
          <w:rFonts w:hAnsi="宋体"/>
          <w:kern w:val="0"/>
          <w:szCs w:val="24"/>
        </w:rPr>
        <w:t>0.1</w:t>
      </w:r>
      <w:r>
        <w:rPr>
          <w:rFonts w:hint="eastAsia" w:hAnsi="宋体"/>
          <w:kern w:val="0"/>
          <w:szCs w:val="24"/>
        </w:rPr>
        <w:t>。根据调查，坝址下游耕地灌溉面积为1480亩，灌溉供水量约为64万</w:t>
      </w:r>
      <w:r>
        <w:rPr>
          <w:rFonts w:hAnsi="宋体"/>
          <w:kern w:val="0"/>
          <w:szCs w:val="24"/>
        </w:rPr>
        <w:t>m</w:t>
      </w:r>
      <w:r>
        <w:rPr>
          <w:rFonts w:hAnsi="宋体"/>
          <w:kern w:val="0"/>
          <w:szCs w:val="24"/>
          <w:vertAlign w:val="superscript"/>
        </w:rPr>
        <w:t>3</w:t>
      </w:r>
      <w:r>
        <w:rPr>
          <w:rFonts w:hAnsi="宋体"/>
          <w:kern w:val="0"/>
          <w:szCs w:val="24"/>
        </w:rPr>
        <w:t>/a</w:t>
      </w:r>
      <w:r>
        <w:rPr>
          <w:rFonts w:hint="eastAsia" w:hAnsi="宋体"/>
          <w:kern w:val="0"/>
          <w:szCs w:val="24"/>
        </w:rPr>
        <w:t>，灌区排水系数取</w:t>
      </w:r>
      <w:r>
        <w:rPr>
          <w:rFonts w:hAnsi="宋体"/>
          <w:kern w:val="0"/>
          <w:szCs w:val="24"/>
        </w:rPr>
        <w:t>0.3</w:t>
      </w:r>
      <w:r>
        <w:rPr>
          <w:rFonts w:hint="eastAsia" w:hAnsi="宋体"/>
          <w:kern w:val="0"/>
          <w:szCs w:val="24"/>
        </w:rPr>
        <w:t>，面源污染入河系数取</w:t>
      </w:r>
      <w:r>
        <w:rPr>
          <w:rFonts w:hAnsi="宋体"/>
          <w:kern w:val="0"/>
          <w:szCs w:val="24"/>
        </w:rPr>
        <w:t>0.1</w:t>
      </w:r>
      <w:r>
        <w:rPr>
          <w:rFonts w:hint="eastAsia" w:hAnsi="宋体"/>
          <w:kern w:val="0"/>
          <w:szCs w:val="24"/>
        </w:rPr>
        <w:t>，水质参照同类灌区项目《奉新县天工抬水坝工程环境影响报告书》的数据，</w:t>
      </w:r>
      <w:r>
        <w:rPr>
          <w:rFonts w:hAnsi="宋体"/>
          <w:kern w:val="0"/>
          <w:szCs w:val="24"/>
        </w:rPr>
        <w:t>COD</w:t>
      </w:r>
      <w:r>
        <w:rPr>
          <w:rFonts w:hint="eastAsia" w:hAnsi="宋体"/>
          <w:kern w:val="0"/>
          <w:szCs w:val="24"/>
        </w:rPr>
        <w:t>、</w:t>
      </w:r>
      <w:r>
        <w:rPr>
          <w:rFonts w:hAnsi="宋体"/>
          <w:kern w:val="0"/>
          <w:szCs w:val="24"/>
        </w:rPr>
        <w:t>NH</w:t>
      </w:r>
      <w:r>
        <w:rPr>
          <w:rFonts w:hAnsi="宋体"/>
          <w:kern w:val="0"/>
          <w:szCs w:val="24"/>
          <w:vertAlign w:val="subscript"/>
        </w:rPr>
        <w:t>3</w:t>
      </w:r>
      <w:r>
        <w:rPr>
          <w:rFonts w:hAnsi="宋体"/>
          <w:kern w:val="0"/>
          <w:szCs w:val="24"/>
        </w:rPr>
        <w:t>-N</w:t>
      </w:r>
      <w:r>
        <w:rPr>
          <w:rFonts w:hint="eastAsia" w:hAnsi="宋体"/>
          <w:kern w:val="0"/>
          <w:szCs w:val="24"/>
        </w:rPr>
        <w:t>、</w:t>
      </w:r>
      <w:r>
        <w:rPr>
          <w:rFonts w:hAnsi="宋体"/>
          <w:kern w:val="0"/>
          <w:szCs w:val="24"/>
        </w:rPr>
        <w:t>TP</w:t>
      </w:r>
      <w:r>
        <w:rPr>
          <w:rFonts w:hint="eastAsia" w:hAnsi="宋体"/>
          <w:kern w:val="0"/>
          <w:szCs w:val="24"/>
        </w:rPr>
        <w:t>浓度分别取</w:t>
      </w:r>
      <w:r>
        <w:rPr>
          <w:rFonts w:hAnsi="宋体"/>
          <w:kern w:val="0"/>
          <w:szCs w:val="24"/>
        </w:rPr>
        <w:t>15mg/L</w:t>
      </w:r>
      <w:r>
        <w:rPr>
          <w:rFonts w:hint="eastAsia" w:hAnsi="宋体"/>
          <w:kern w:val="0"/>
          <w:szCs w:val="24"/>
        </w:rPr>
        <w:t>、</w:t>
      </w:r>
      <w:r>
        <w:rPr>
          <w:rFonts w:hAnsi="宋体"/>
          <w:kern w:val="0"/>
          <w:szCs w:val="24"/>
        </w:rPr>
        <w:t>1mg/L</w:t>
      </w:r>
      <w:r>
        <w:rPr>
          <w:rFonts w:hint="eastAsia" w:hAnsi="宋体"/>
          <w:kern w:val="0"/>
          <w:szCs w:val="24"/>
        </w:rPr>
        <w:t>、</w:t>
      </w:r>
      <w:r>
        <w:rPr>
          <w:rFonts w:hAnsi="宋体"/>
          <w:kern w:val="0"/>
          <w:szCs w:val="24"/>
        </w:rPr>
        <w:t>0.05mg/L</w:t>
      </w:r>
      <w:r>
        <w:rPr>
          <w:rFonts w:hint="eastAsia" w:hAnsi="宋体"/>
          <w:kern w:val="0"/>
          <w:szCs w:val="24"/>
        </w:rPr>
        <w:t>。以此计算得到抬水坝坝下减水段污染负荷，见下表4.3-3所示。</w:t>
      </w:r>
    </w:p>
    <w:p>
      <w:pPr>
        <w:autoSpaceDE w:val="0"/>
        <w:autoSpaceDN w:val="0"/>
        <w:adjustRightInd w:val="0"/>
        <w:spacing w:before="120" w:beforeLines="50" w:line="240" w:lineRule="auto"/>
        <w:ind w:firstLine="0" w:firstLineChars="0"/>
        <w:jc w:val="center"/>
        <w:rPr>
          <w:rFonts w:ascii="黑体" w:hAnsi="黑体" w:eastAsia="黑体"/>
          <w:szCs w:val="24"/>
        </w:rPr>
      </w:pPr>
      <w:r>
        <w:rPr>
          <w:rFonts w:hint="eastAsia" w:ascii="黑体" w:hAnsi="黑体" w:eastAsia="黑体"/>
          <w:szCs w:val="24"/>
        </w:rPr>
        <w:t>表4</w:t>
      </w:r>
      <w:r>
        <w:rPr>
          <w:rFonts w:ascii="黑体" w:hAnsi="黑体" w:eastAsia="黑体"/>
          <w:szCs w:val="24"/>
        </w:rPr>
        <w:t>.3-</w:t>
      </w:r>
      <w:r>
        <w:rPr>
          <w:rFonts w:hint="eastAsia" w:ascii="黑体" w:hAnsi="黑体" w:eastAsia="黑体"/>
          <w:szCs w:val="24"/>
        </w:rPr>
        <w:t>3</w:t>
      </w:r>
      <w:r>
        <w:rPr>
          <w:rFonts w:ascii="黑体" w:hAnsi="黑体" w:eastAsia="黑体"/>
          <w:szCs w:val="24"/>
        </w:rPr>
        <w:t xml:space="preserve"> </w:t>
      </w:r>
      <w:r>
        <w:rPr>
          <w:rFonts w:hint="eastAsia" w:ascii="黑体" w:hAnsi="黑体" w:eastAsia="黑体"/>
          <w:szCs w:val="24"/>
        </w:rPr>
        <w:t xml:space="preserve"> 锦河坝下规划年污染负荷</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2128"/>
        <w:gridCol w:w="1415"/>
        <w:gridCol w:w="1595"/>
        <w:gridCol w:w="1585"/>
        <w:gridCol w:w="10"/>
        <w:gridCol w:w="1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8" w:type="pct"/>
            <w:vMerge w:val="restar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区域</w:t>
            </w:r>
          </w:p>
        </w:tc>
        <w:tc>
          <w:tcPr>
            <w:tcW w:w="1111" w:type="pct"/>
            <w:vMerge w:val="restar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源强</w:t>
            </w:r>
          </w:p>
        </w:tc>
        <w:tc>
          <w:tcPr>
            <w:tcW w:w="739" w:type="pct"/>
            <w:vMerge w:val="restar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污水量</w:t>
            </w:r>
          </w:p>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（万t/a）</w:t>
            </w:r>
          </w:p>
        </w:tc>
        <w:tc>
          <w:tcPr>
            <w:tcW w:w="2500" w:type="pct"/>
            <w:gridSpan w:val="4"/>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污染物（t/a）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8" w:type="pct"/>
            <w:vMerge w:val="continue"/>
            <w:vAlign w:val="center"/>
          </w:tcPr>
          <w:p>
            <w:pPr>
              <w:autoSpaceDE w:val="0"/>
              <w:autoSpaceDN w:val="0"/>
              <w:adjustRightInd w:val="0"/>
              <w:spacing w:line="340" w:lineRule="exact"/>
              <w:ind w:firstLine="0" w:firstLineChars="0"/>
              <w:jc w:val="center"/>
              <w:rPr>
                <w:color w:val="0000FF"/>
                <w:kern w:val="0"/>
                <w:sz w:val="21"/>
                <w:szCs w:val="21"/>
              </w:rPr>
            </w:pPr>
          </w:p>
        </w:tc>
        <w:tc>
          <w:tcPr>
            <w:tcW w:w="1111" w:type="pct"/>
            <w:vMerge w:val="continue"/>
            <w:vAlign w:val="center"/>
          </w:tcPr>
          <w:p>
            <w:pPr>
              <w:autoSpaceDE w:val="0"/>
              <w:autoSpaceDN w:val="0"/>
              <w:adjustRightInd w:val="0"/>
              <w:spacing w:line="340" w:lineRule="exact"/>
              <w:ind w:firstLine="0" w:firstLineChars="0"/>
              <w:jc w:val="center"/>
              <w:rPr>
                <w:color w:val="0000FF"/>
                <w:kern w:val="0"/>
                <w:sz w:val="21"/>
                <w:szCs w:val="21"/>
              </w:rPr>
            </w:pPr>
          </w:p>
        </w:tc>
        <w:tc>
          <w:tcPr>
            <w:tcW w:w="739" w:type="pct"/>
            <w:vMerge w:val="continue"/>
            <w:vAlign w:val="center"/>
          </w:tcPr>
          <w:p>
            <w:pPr>
              <w:autoSpaceDE w:val="0"/>
              <w:autoSpaceDN w:val="0"/>
              <w:adjustRightInd w:val="0"/>
              <w:spacing w:line="340" w:lineRule="exact"/>
              <w:ind w:firstLine="0" w:firstLineChars="0"/>
              <w:jc w:val="center"/>
              <w:rPr>
                <w:color w:val="0000FF"/>
                <w:kern w:val="0"/>
                <w:sz w:val="21"/>
                <w:szCs w:val="21"/>
              </w:rPr>
            </w:pP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sz w:val="21"/>
                <w:szCs w:val="21"/>
              </w:rPr>
              <w:t>COD</w:t>
            </w:r>
          </w:p>
        </w:tc>
        <w:tc>
          <w:tcPr>
            <w:tcW w:w="828"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NH</w:t>
            </w:r>
            <w:r>
              <w:rPr>
                <w:color w:val="0000FF"/>
                <w:kern w:val="0"/>
                <w:sz w:val="21"/>
                <w:szCs w:val="21"/>
                <w:vertAlign w:val="subscript"/>
              </w:rPr>
              <w:t>3</w:t>
            </w:r>
            <w:r>
              <w:rPr>
                <w:color w:val="0000FF"/>
                <w:kern w:val="0"/>
                <w:sz w:val="21"/>
                <w:szCs w:val="21"/>
              </w:rPr>
              <w:t>-N</w:t>
            </w:r>
          </w:p>
        </w:tc>
        <w:tc>
          <w:tcPr>
            <w:tcW w:w="838" w:type="pct"/>
            <w:gridSpan w:val="2"/>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8" w:type="pct"/>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坝址下游</w:t>
            </w:r>
          </w:p>
        </w:tc>
        <w:tc>
          <w:tcPr>
            <w:tcW w:w="1111"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农村生活污染源</w:t>
            </w:r>
          </w:p>
        </w:tc>
        <w:tc>
          <w:tcPr>
            <w:tcW w:w="739"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11.</w:t>
            </w:r>
            <w:r>
              <w:rPr>
                <w:rFonts w:hint="eastAsia"/>
                <w:color w:val="0000FF"/>
                <w:kern w:val="0"/>
                <w:sz w:val="21"/>
                <w:szCs w:val="21"/>
              </w:rPr>
              <w:t>13</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27.83</w:t>
            </w:r>
          </w:p>
        </w:tc>
        <w:tc>
          <w:tcPr>
            <w:tcW w:w="833" w:type="pct"/>
            <w:gridSpan w:val="2"/>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2</w:t>
            </w:r>
            <w:r>
              <w:rPr>
                <w:rFonts w:hint="eastAsia"/>
                <w:color w:val="0000FF"/>
                <w:kern w:val="0"/>
                <w:sz w:val="21"/>
                <w:szCs w:val="21"/>
              </w:rPr>
              <w:t>.79</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0.5</w:t>
            </w:r>
            <w:r>
              <w:rPr>
                <w:rFonts w:hint="eastAsia"/>
                <w:color w:val="0000FF"/>
                <w:kern w:val="0"/>
                <w:sz w:val="21"/>
                <w:szCs w:val="21"/>
              </w:rPr>
              <w:t>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8" w:type="pct"/>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坝址下游</w:t>
            </w:r>
          </w:p>
        </w:tc>
        <w:tc>
          <w:tcPr>
            <w:tcW w:w="1111"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农田径流污染源</w:t>
            </w:r>
          </w:p>
        </w:tc>
        <w:tc>
          <w:tcPr>
            <w:tcW w:w="739"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2.</w:t>
            </w:r>
            <w:r>
              <w:rPr>
                <w:rFonts w:hint="eastAsia"/>
                <w:color w:val="0000FF"/>
                <w:kern w:val="0"/>
                <w:sz w:val="21"/>
                <w:szCs w:val="21"/>
              </w:rPr>
              <w:t>09</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w:t>
            </w:r>
            <w:r>
              <w:rPr>
                <w:rFonts w:hint="eastAsia"/>
                <w:color w:val="0000FF"/>
                <w:kern w:val="0"/>
                <w:sz w:val="21"/>
                <w:szCs w:val="21"/>
              </w:rPr>
              <w:t>31</w:t>
            </w:r>
          </w:p>
        </w:tc>
        <w:tc>
          <w:tcPr>
            <w:tcW w:w="833" w:type="pct"/>
            <w:gridSpan w:val="2"/>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0.02</w:t>
            </w:r>
            <w:r>
              <w:rPr>
                <w:rFonts w:hint="eastAsia"/>
                <w:color w:val="0000FF"/>
                <w:kern w:val="0"/>
                <w:sz w:val="21"/>
                <w:szCs w:val="21"/>
              </w:rPr>
              <w:t>1</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0.001</w:t>
            </w:r>
            <w:r>
              <w:rPr>
                <w:rFonts w:hint="eastAsia"/>
                <w:color w:val="0000FF"/>
                <w:kern w:val="0"/>
                <w:sz w:val="21"/>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60" w:type="pct"/>
            <w:gridSpan w:val="2"/>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合计</w:t>
            </w:r>
          </w:p>
        </w:tc>
        <w:tc>
          <w:tcPr>
            <w:tcW w:w="739"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13.</w:t>
            </w:r>
            <w:r>
              <w:rPr>
                <w:rFonts w:hint="eastAsia"/>
                <w:color w:val="0000FF"/>
                <w:kern w:val="0"/>
                <w:sz w:val="21"/>
                <w:szCs w:val="21"/>
              </w:rPr>
              <w:t>22</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28.14</w:t>
            </w:r>
          </w:p>
        </w:tc>
        <w:tc>
          <w:tcPr>
            <w:tcW w:w="833" w:type="pct"/>
            <w:gridSpan w:val="2"/>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2.</w:t>
            </w:r>
            <w:r>
              <w:rPr>
                <w:rFonts w:hint="eastAsia"/>
                <w:color w:val="0000FF"/>
                <w:kern w:val="0"/>
                <w:sz w:val="21"/>
                <w:szCs w:val="21"/>
              </w:rPr>
              <w:t>811</w:t>
            </w:r>
          </w:p>
        </w:tc>
        <w:tc>
          <w:tcPr>
            <w:tcW w:w="833" w:type="pct"/>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w:t>
            </w:r>
            <w:r>
              <w:rPr>
                <w:rFonts w:hint="eastAsia"/>
                <w:color w:val="0000FF"/>
                <w:kern w:val="0"/>
                <w:sz w:val="21"/>
                <w:szCs w:val="21"/>
              </w:rPr>
              <w:t>558</w:t>
            </w:r>
          </w:p>
        </w:tc>
      </w:tr>
      <w:bookmarkEnd w:id="690"/>
      <w:bookmarkEnd w:id="691"/>
      <w:bookmarkEnd w:id="692"/>
      <w:bookmarkEnd w:id="693"/>
      <w:bookmarkEnd w:id="694"/>
      <w:bookmarkEnd w:id="695"/>
      <w:bookmarkEnd w:id="696"/>
    </w:tbl>
    <w:p>
      <w:pPr>
        <w:pStyle w:val="6"/>
        <w:spacing w:beforeLines="50" w:afterLines="50"/>
        <w:rPr>
          <w:szCs w:val="28"/>
        </w:rPr>
      </w:pPr>
      <w:bookmarkStart w:id="704" w:name="_Toc534386294"/>
      <w:bookmarkStart w:id="705" w:name="_Toc529279056"/>
      <w:bookmarkStart w:id="706" w:name="_Toc536265137"/>
      <w:bookmarkStart w:id="707" w:name="_Toc534895270"/>
      <w:bookmarkStart w:id="708" w:name="_Toc334643178"/>
      <w:bookmarkStart w:id="709" w:name="_Toc534807053"/>
      <w:bookmarkStart w:id="710" w:name="_Toc3903274"/>
      <w:bookmarkStart w:id="711" w:name="_Toc24820"/>
      <w:r>
        <w:rPr>
          <w:szCs w:val="28"/>
        </w:rPr>
        <w:t>4.</w:t>
      </w:r>
      <w:r>
        <w:rPr>
          <w:rFonts w:hint="eastAsia"/>
          <w:szCs w:val="28"/>
        </w:rPr>
        <w:t>4</w:t>
      </w:r>
      <w:r>
        <w:rPr>
          <w:szCs w:val="28"/>
        </w:rPr>
        <w:t>环境质量现状</w:t>
      </w:r>
      <w:bookmarkEnd w:id="704"/>
      <w:bookmarkEnd w:id="705"/>
      <w:bookmarkEnd w:id="706"/>
      <w:bookmarkEnd w:id="707"/>
      <w:bookmarkEnd w:id="708"/>
      <w:bookmarkEnd w:id="709"/>
      <w:bookmarkEnd w:id="710"/>
      <w:r>
        <w:rPr>
          <w:rFonts w:hint="eastAsia"/>
          <w:szCs w:val="28"/>
        </w:rPr>
        <w:t>及评价</w:t>
      </w:r>
      <w:bookmarkEnd w:id="711"/>
    </w:p>
    <w:p>
      <w:pPr>
        <w:pStyle w:val="835"/>
        <w:spacing w:before="0" w:line="360" w:lineRule="auto"/>
      </w:pPr>
      <w:bookmarkStart w:id="712" w:name="_Toc281507044"/>
      <w:bookmarkStart w:id="713" w:name="_Toc241054679"/>
      <w:bookmarkStart w:id="714" w:name="_Toc257215336"/>
      <w:bookmarkStart w:id="715" w:name="_Toc529279059"/>
      <w:bookmarkStart w:id="716" w:name="_Toc534386295"/>
      <w:bookmarkStart w:id="717" w:name="_Toc534807054"/>
      <w:bookmarkStart w:id="718" w:name="_Toc536265138"/>
      <w:bookmarkStart w:id="719" w:name="_Toc534895271"/>
      <w:bookmarkStart w:id="720" w:name="_Toc3903275"/>
      <w:r>
        <w:t>4.</w:t>
      </w:r>
      <w:r>
        <w:rPr>
          <w:rFonts w:hint="eastAsia"/>
        </w:rPr>
        <w:t>4</w:t>
      </w:r>
      <w:r>
        <w:t>.1大气环境现状</w:t>
      </w:r>
      <w:bookmarkEnd w:id="712"/>
      <w:bookmarkEnd w:id="713"/>
      <w:bookmarkEnd w:id="714"/>
      <w:r>
        <w:rPr>
          <w:rFonts w:hint="eastAsia"/>
        </w:rPr>
        <w:t>及</w:t>
      </w:r>
      <w:r>
        <w:t>评价</w:t>
      </w:r>
      <w:bookmarkEnd w:id="715"/>
      <w:bookmarkEnd w:id="716"/>
      <w:bookmarkEnd w:id="717"/>
      <w:bookmarkEnd w:id="718"/>
      <w:bookmarkEnd w:id="719"/>
      <w:bookmarkEnd w:id="720"/>
    </w:p>
    <w:p>
      <w:pPr>
        <w:autoSpaceDE w:val="0"/>
        <w:autoSpaceDN w:val="0"/>
        <w:adjustRightInd w:val="0"/>
        <w:ind w:firstLine="480"/>
        <w:rPr>
          <w:rFonts w:hAnsi="宋体"/>
          <w:kern w:val="0"/>
          <w:szCs w:val="24"/>
        </w:rPr>
      </w:pPr>
      <w:r>
        <w:rPr>
          <w:rFonts w:hint="eastAsia" w:hAnsi="宋体"/>
          <w:kern w:val="0"/>
          <w:szCs w:val="24"/>
        </w:rPr>
        <w:t>项目位于</w:t>
      </w:r>
      <w:r>
        <w:rPr>
          <w:rFonts w:hint="eastAsia"/>
        </w:rPr>
        <w:t>上高</w:t>
      </w:r>
      <w:r>
        <w:t>县城</w:t>
      </w:r>
      <w:r>
        <w:rPr>
          <w:rFonts w:hint="eastAsia"/>
        </w:rPr>
        <w:t>城</w:t>
      </w:r>
      <w:r>
        <w:t>东</w:t>
      </w:r>
      <w:r>
        <w:rPr>
          <w:rFonts w:hint="eastAsia" w:ascii="宋体" w:hAnsi="Calibri" w:cs="宋体"/>
          <w:kern w:val="0"/>
          <w:szCs w:val="24"/>
        </w:rPr>
        <w:t>，</w:t>
      </w:r>
      <w:r>
        <w:rPr>
          <w:rFonts w:hint="eastAsia" w:hAnsi="宋体"/>
          <w:kern w:val="0"/>
          <w:szCs w:val="24"/>
        </w:rPr>
        <w:t>根据《环境影响评价技术导则</w:t>
      </w:r>
      <w:r>
        <w:rPr>
          <w:rFonts w:hAnsi="宋体"/>
          <w:kern w:val="0"/>
          <w:szCs w:val="24"/>
        </w:rPr>
        <w:t>-</w:t>
      </w:r>
      <w:r>
        <w:rPr>
          <w:rFonts w:hint="eastAsia" w:hAnsi="宋体"/>
          <w:kern w:val="0"/>
          <w:szCs w:val="24"/>
        </w:rPr>
        <w:t>大气环境》（</w:t>
      </w:r>
      <w:r>
        <w:rPr>
          <w:rFonts w:hAnsi="宋体"/>
          <w:kern w:val="0"/>
          <w:szCs w:val="24"/>
        </w:rPr>
        <w:t>HJ2.2-2018</w:t>
      </w:r>
      <w:r>
        <w:rPr>
          <w:rFonts w:hint="eastAsia" w:hAnsi="宋体"/>
          <w:kern w:val="0"/>
          <w:szCs w:val="24"/>
        </w:rPr>
        <w:t>）规定，本次评价采用江西省生态环境厅公布的</w:t>
      </w:r>
      <w:r>
        <w:rPr>
          <w:rFonts w:hAnsi="宋体"/>
          <w:kern w:val="0"/>
          <w:szCs w:val="24"/>
        </w:rPr>
        <w:t>20</w:t>
      </w:r>
      <w:r>
        <w:rPr>
          <w:rFonts w:hint="eastAsia" w:hAnsi="宋体"/>
          <w:kern w:val="0"/>
          <w:szCs w:val="24"/>
        </w:rPr>
        <w:t>21年江西省各县（市、区）六项污染物浓度年均值数据中上高县空气质量监测数据来评价项目所在区域环境空气质量达标情况，详见表4.4-1。</w:t>
      </w:r>
    </w:p>
    <w:p>
      <w:pPr>
        <w:spacing w:before="120" w:beforeLines="50" w:line="240" w:lineRule="auto"/>
        <w:ind w:firstLine="480"/>
        <w:jc w:val="center"/>
        <w:rPr>
          <w:rFonts w:ascii="黑体" w:hAnsi="黑体" w:eastAsia="黑体" w:cs="黑体"/>
          <w:szCs w:val="21"/>
        </w:rPr>
      </w:pPr>
      <w:r>
        <w:rPr>
          <w:rFonts w:hint="eastAsia" w:ascii="黑体" w:hAnsi="黑体" w:eastAsia="黑体" w:cs="黑体"/>
        </w:rPr>
        <w:t xml:space="preserve">表4.4-1  项目所在区域环境空气质量现状评价一览表 </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28" w:type="dxa"/>
          <w:bottom w:w="0" w:type="dxa"/>
          <w:right w:w="28" w:type="dxa"/>
        </w:tblCellMar>
      </w:tblPr>
      <w:tblGrid>
        <w:gridCol w:w="719"/>
        <w:gridCol w:w="1823"/>
        <w:gridCol w:w="881"/>
        <w:gridCol w:w="804"/>
        <w:gridCol w:w="928"/>
        <w:gridCol w:w="866"/>
        <w:gridCol w:w="1917"/>
        <w:gridCol w:w="1472"/>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Align w:val="center"/>
          </w:tcPr>
          <w:p>
            <w:pPr>
              <w:autoSpaceDN w:val="0"/>
              <w:adjustRightInd w:val="0"/>
              <w:snapToGrid w:val="0"/>
              <w:spacing w:line="340" w:lineRule="exact"/>
              <w:ind w:firstLine="0" w:firstLineChars="0"/>
              <w:jc w:val="center"/>
              <w:rPr>
                <w:sz w:val="21"/>
                <w:szCs w:val="21"/>
              </w:rPr>
            </w:pPr>
            <w:r>
              <w:rPr>
                <w:sz w:val="21"/>
                <w:szCs w:val="21"/>
              </w:rPr>
              <w:t>名称</w:t>
            </w: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污染物</w:t>
            </w:r>
          </w:p>
        </w:tc>
        <w:tc>
          <w:tcPr>
            <w:tcW w:w="468" w:type="pct"/>
            <w:vAlign w:val="center"/>
          </w:tcPr>
          <w:p>
            <w:pPr>
              <w:autoSpaceDN w:val="0"/>
              <w:adjustRightInd w:val="0"/>
              <w:snapToGrid w:val="0"/>
              <w:spacing w:line="340" w:lineRule="exact"/>
              <w:ind w:firstLine="0" w:firstLineChars="0"/>
              <w:jc w:val="center"/>
              <w:rPr>
                <w:sz w:val="21"/>
                <w:szCs w:val="21"/>
              </w:rPr>
            </w:pPr>
            <w:r>
              <w:rPr>
                <w:sz w:val="21"/>
                <w:szCs w:val="21"/>
              </w:rPr>
              <w:t>SO</w:t>
            </w:r>
            <w:r>
              <w:rPr>
                <w:sz w:val="21"/>
                <w:szCs w:val="21"/>
                <w:vertAlign w:val="subscript"/>
              </w:rPr>
              <w:t>2</w:t>
            </w:r>
          </w:p>
        </w:tc>
        <w:tc>
          <w:tcPr>
            <w:tcW w:w="427" w:type="pct"/>
            <w:vAlign w:val="center"/>
          </w:tcPr>
          <w:p>
            <w:pPr>
              <w:autoSpaceDN w:val="0"/>
              <w:adjustRightInd w:val="0"/>
              <w:snapToGrid w:val="0"/>
              <w:spacing w:line="340" w:lineRule="exact"/>
              <w:ind w:firstLine="0" w:firstLineChars="0"/>
              <w:jc w:val="center"/>
              <w:rPr>
                <w:sz w:val="21"/>
                <w:szCs w:val="21"/>
              </w:rPr>
            </w:pPr>
            <w:r>
              <w:rPr>
                <w:sz w:val="21"/>
                <w:szCs w:val="21"/>
              </w:rPr>
              <w:t>NO</w:t>
            </w:r>
            <w:r>
              <w:rPr>
                <w:sz w:val="21"/>
                <w:szCs w:val="21"/>
                <w:vertAlign w:val="subscript"/>
              </w:rPr>
              <w:t>2</w:t>
            </w:r>
          </w:p>
        </w:tc>
        <w:tc>
          <w:tcPr>
            <w:tcW w:w="493" w:type="pct"/>
            <w:vAlign w:val="center"/>
          </w:tcPr>
          <w:p>
            <w:pPr>
              <w:autoSpaceDN w:val="0"/>
              <w:adjustRightInd w:val="0"/>
              <w:snapToGrid w:val="0"/>
              <w:spacing w:line="340" w:lineRule="exact"/>
              <w:ind w:firstLine="0" w:firstLineChars="0"/>
              <w:jc w:val="center"/>
              <w:rPr>
                <w:sz w:val="21"/>
                <w:szCs w:val="21"/>
              </w:rPr>
            </w:pPr>
            <w:r>
              <w:rPr>
                <w:sz w:val="21"/>
                <w:szCs w:val="21"/>
              </w:rPr>
              <w:t>PM</w:t>
            </w:r>
            <w:r>
              <w:rPr>
                <w:sz w:val="21"/>
                <w:szCs w:val="21"/>
                <w:vertAlign w:val="subscript"/>
              </w:rPr>
              <w:t>2.5</w:t>
            </w:r>
          </w:p>
        </w:tc>
        <w:tc>
          <w:tcPr>
            <w:tcW w:w="460" w:type="pct"/>
            <w:vAlign w:val="center"/>
          </w:tcPr>
          <w:p>
            <w:pPr>
              <w:autoSpaceDN w:val="0"/>
              <w:adjustRightInd w:val="0"/>
              <w:snapToGrid w:val="0"/>
              <w:spacing w:line="340" w:lineRule="exact"/>
              <w:ind w:firstLine="0" w:firstLineChars="0"/>
              <w:jc w:val="center"/>
              <w:rPr>
                <w:sz w:val="21"/>
                <w:szCs w:val="21"/>
              </w:rPr>
            </w:pPr>
            <w:r>
              <w:rPr>
                <w:sz w:val="21"/>
                <w:szCs w:val="21"/>
              </w:rPr>
              <w:t>PM</w:t>
            </w:r>
            <w:r>
              <w:rPr>
                <w:sz w:val="21"/>
                <w:szCs w:val="21"/>
                <w:vertAlign w:val="subscript"/>
              </w:rPr>
              <w:t>10</w:t>
            </w:r>
          </w:p>
        </w:tc>
        <w:tc>
          <w:tcPr>
            <w:tcW w:w="1018" w:type="pct"/>
            <w:vAlign w:val="center"/>
          </w:tcPr>
          <w:p>
            <w:pPr>
              <w:autoSpaceDN w:val="0"/>
              <w:adjustRightInd w:val="0"/>
              <w:snapToGrid w:val="0"/>
              <w:spacing w:line="340" w:lineRule="exact"/>
              <w:ind w:firstLine="0" w:firstLineChars="0"/>
              <w:jc w:val="center"/>
              <w:rPr>
                <w:sz w:val="21"/>
                <w:szCs w:val="21"/>
              </w:rPr>
            </w:pPr>
            <w:r>
              <w:rPr>
                <w:sz w:val="21"/>
                <w:szCs w:val="21"/>
              </w:rPr>
              <w:t>CO*</w:t>
            </w:r>
          </w:p>
        </w:tc>
        <w:tc>
          <w:tcPr>
            <w:tcW w:w="782" w:type="pct"/>
            <w:vAlign w:val="center"/>
          </w:tcPr>
          <w:p>
            <w:pPr>
              <w:autoSpaceDN w:val="0"/>
              <w:adjustRightInd w:val="0"/>
              <w:snapToGrid w:val="0"/>
              <w:spacing w:line="340" w:lineRule="exact"/>
              <w:ind w:firstLine="0" w:firstLineChars="0"/>
              <w:jc w:val="center"/>
              <w:rPr>
                <w:sz w:val="21"/>
                <w:szCs w:val="21"/>
              </w:rPr>
            </w:pPr>
            <w:r>
              <w:rPr>
                <w:sz w:val="21"/>
                <w:szCs w:val="21"/>
              </w:rPr>
              <w:t>O</w:t>
            </w:r>
            <w:r>
              <w:rPr>
                <w:sz w:val="21"/>
                <w:szCs w:val="21"/>
                <w:vertAlign w:val="sub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Merge w:val="restart"/>
            <w:vAlign w:val="center"/>
          </w:tcPr>
          <w:p>
            <w:pPr>
              <w:autoSpaceDN w:val="0"/>
              <w:adjustRightInd w:val="0"/>
              <w:snapToGrid w:val="0"/>
              <w:spacing w:line="340" w:lineRule="exact"/>
              <w:ind w:firstLine="0" w:firstLineChars="0"/>
              <w:jc w:val="center"/>
              <w:rPr>
                <w:sz w:val="21"/>
                <w:szCs w:val="21"/>
              </w:rPr>
            </w:pPr>
            <w:r>
              <w:rPr>
                <w:rFonts w:hint="eastAsia"/>
                <w:sz w:val="21"/>
                <w:szCs w:val="21"/>
              </w:rPr>
              <w:t>上高县</w:t>
            </w: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年评价指标</w:t>
            </w:r>
          </w:p>
        </w:tc>
        <w:tc>
          <w:tcPr>
            <w:tcW w:w="468" w:type="pct"/>
            <w:vAlign w:val="center"/>
          </w:tcPr>
          <w:p>
            <w:pPr>
              <w:autoSpaceDN w:val="0"/>
              <w:adjustRightInd w:val="0"/>
              <w:snapToGrid w:val="0"/>
              <w:spacing w:line="340" w:lineRule="exact"/>
              <w:ind w:firstLine="0" w:firstLineChars="0"/>
              <w:jc w:val="center"/>
              <w:rPr>
                <w:sz w:val="21"/>
                <w:szCs w:val="21"/>
              </w:rPr>
            </w:pPr>
            <w:r>
              <w:rPr>
                <w:sz w:val="21"/>
                <w:szCs w:val="21"/>
              </w:rPr>
              <w:t>年均值</w:t>
            </w:r>
          </w:p>
        </w:tc>
        <w:tc>
          <w:tcPr>
            <w:tcW w:w="427" w:type="pct"/>
            <w:vAlign w:val="center"/>
          </w:tcPr>
          <w:p>
            <w:pPr>
              <w:autoSpaceDN w:val="0"/>
              <w:adjustRightInd w:val="0"/>
              <w:snapToGrid w:val="0"/>
              <w:spacing w:line="340" w:lineRule="exact"/>
              <w:ind w:firstLine="0" w:firstLineChars="0"/>
              <w:jc w:val="center"/>
              <w:rPr>
                <w:sz w:val="21"/>
                <w:szCs w:val="21"/>
              </w:rPr>
            </w:pPr>
            <w:r>
              <w:rPr>
                <w:sz w:val="21"/>
                <w:szCs w:val="21"/>
              </w:rPr>
              <w:t>年均值</w:t>
            </w:r>
          </w:p>
        </w:tc>
        <w:tc>
          <w:tcPr>
            <w:tcW w:w="493" w:type="pct"/>
            <w:vAlign w:val="center"/>
          </w:tcPr>
          <w:p>
            <w:pPr>
              <w:autoSpaceDN w:val="0"/>
              <w:adjustRightInd w:val="0"/>
              <w:snapToGrid w:val="0"/>
              <w:spacing w:line="340" w:lineRule="exact"/>
              <w:ind w:firstLine="0" w:firstLineChars="0"/>
              <w:jc w:val="center"/>
              <w:rPr>
                <w:sz w:val="21"/>
                <w:szCs w:val="21"/>
              </w:rPr>
            </w:pPr>
            <w:r>
              <w:rPr>
                <w:sz w:val="21"/>
                <w:szCs w:val="21"/>
              </w:rPr>
              <w:t>年均值</w:t>
            </w:r>
          </w:p>
        </w:tc>
        <w:tc>
          <w:tcPr>
            <w:tcW w:w="460" w:type="pct"/>
            <w:vAlign w:val="center"/>
          </w:tcPr>
          <w:p>
            <w:pPr>
              <w:autoSpaceDN w:val="0"/>
              <w:adjustRightInd w:val="0"/>
              <w:snapToGrid w:val="0"/>
              <w:spacing w:line="340" w:lineRule="exact"/>
              <w:ind w:firstLine="0" w:firstLineChars="0"/>
              <w:jc w:val="center"/>
              <w:rPr>
                <w:sz w:val="21"/>
                <w:szCs w:val="21"/>
              </w:rPr>
            </w:pPr>
            <w:r>
              <w:rPr>
                <w:sz w:val="21"/>
                <w:szCs w:val="21"/>
              </w:rPr>
              <w:t>年均值</w:t>
            </w:r>
          </w:p>
        </w:tc>
        <w:tc>
          <w:tcPr>
            <w:tcW w:w="1018" w:type="pct"/>
            <w:vAlign w:val="center"/>
          </w:tcPr>
          <w:p>
            <w:pPr>
              <w:autoSpaceDN w:val="0"/>
              <w:adjustRightInd w:val="0"/>
              <w:snapToGrid w:val="0"/>
              <w:spacing w:line="340" w:lineRule="exact"/>
              <w:ind w:firstLine="0" w:firstLineChars="0"/>
              <w:jc w:val="center"/>
              <w:rPr>
                <w:sz w:val="21"/>
                <w:szCs w:val="21"/>
              </w:rPr>
            </w:pPr>
            <w:r>
              <w:rPr>
                <w:sz w:val="21"/>
                <w:szCs w:val="21"/>
              </w:rPr>
              <w:t>日均值95%位数值</w:t>
            </w:r>
          </w:p>
        </w:tc>
        <w:tc>
          <w:tcPr>
            <w:tcW w:w="782" w:type="pct"/>
            <w:vAlign w:val="center"/>
          </w:tcPr>
          <w:p>
            <w:pPr>
              <w:autoSpaceDN w:val="0"/>
              <w:adjustRightInd w:val="0"/>
              <w:snapToGrid w:val="0"/>
              <w:spacing w:line="340" w:lineRule="exact"/>
              <w:ind w:firstLine="0" w:firstLineChars="0"/>
              <w:jc w:val="center"/>
              <w:rPr>
                <w:sz w:val="21"/>
                <w:szCs w:val="21"/>
              </w:rPr>
            </w:pPr>
            <w:r>
              <w:rPr>
                <w:sz w:val="21"/>
                <w:szCs w:val="21"/>
              </w:rPr>
              <w:t>日最大8小时值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Merge w:val="continue"/>
            <w:vAlign w:val="center"/>
          </w:tcPr>
          <w:p>
            <w:pPr>
              <w:autoSpaceDN w:val="0"/>
              <w:adjustRightInd w:val="0"/>
              <w:snapToGrid w:val="0"/>
              <w:spacing w:line="340" w:lineRule="exact"/>
              <w:ind w:firstLine="0" w:firstLineChars="0"/>
              <w:jc w:val="center"/>
              <w:rPr>
                <w:sz w:val="21"/>
                <w:szCs w:val="21"/>
              </w:rPr>
            </w:pP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现状浓度（μg/m</w:t>
            </w:r>
            <w:r>
              <w:rPr>
                <w:sz w:val="21"/>
                <w:szCs w:val="21"/>
                <w:vertAlign w:val="superscript"/>
              </w:rPr>
              <w:t>3</w:t>
            </w:r>
            <w:r>
              <w:rPr>
                <w:sz w:val="21"/>
                <w:szCs w:val="21"/>
              </w:rPr>
              <w:t>）</w:t>
            </w:r>
          </w:p>
        </w:tc>
        <w:tc>
          <w:tcPr>
            <w:tcW w:w="468"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12</w:t>
            </w:r>
          </w:p>
        </w:tc>
        <w:tc>
          <w:tcPr>
            <w:tcW w:w="427"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21</w:t>
            </w:r>
          </w:p>
        </w:tc>
        <w:tc>
          <w:tcPr>
            <w:tcW w:w="493"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30</w:t>
            </w:r>
          </w:p>
        </w:tc>
        <w:tc>
          <w:tcPr>
            <w:tcW w:w="460"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56</w:t>
            </w:r>
          </w:p>
        </w:tc>
        <w:tc>
          <w:tcPr>
            <w:tcW w:w="1018"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1.2</w:t>
            </w:r>
          </w:p>
        </w:tc>
        <w:tc>
          <w:tcPr>
            <w:tcW w:w="782"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130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Merge w:val="continue"/>
            <w:vAlign w:val="center"/>
          </w:tcPr>
          <w:p>
            <w:pPr>
              <w:autoSpaceDN w:val="0"/>
              <w:adjustRightInd w:val="0"/>
              <w:snapToGrid w:val="0"/>
              <w:spacing w:line="340" w:lineRule="exact"/>
              <w:ind w:firstLine="0" w:firstLineChars="0"/>
              <w:jc w:val="center"/>
              <w:rPr>
                <w:sz w:val="21"/>
                <w:szCs w:val="21"/>
              </w:rPr>
            </w:pP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标准值（μg/m</w:t>
            </w:r>
            <w:r>
              <w:rPr>
                <w:sz w:val="21"/>
                <w:szCs w:val="21"/>
                <w:vertAlign w:val="superscript"/>
              </w:rPr>
              <w:t>3</w:t>
            </w:r>
            <w:r>
              <w:rPr>
                <w:sz w:val="21"/>
                <w:szCs w:val="21"/>
              </w:rPr>
              <w:t>）</w:t>
            </w:r>
          </w:p>
        </w:tc>
        <w:tc>
          <w:tcPr>
            <w:tcW w:w="468" w:type="pct"/>
            <w:vAlign w:val="center"/>
          </w:tcPr>
          <w:p>
            <w:pPr>
              <w:autoSpaceDN w:val="0"/>
              <w:adjustRightInd w:val="0"/>
              <w:snapToGrid w:val="0"/>
              <w:spacing w:line="340" w:lineRule="exact"/>
              <w:ind w:firstLine="0" w:firstLineChars="0"/>
              <w:jc w:val="center"/>
              <w:rPr>
                <w:sz w:val="21"/>
                <w:szCs w:val="21"/>
              </w:rPr>
            </w:pPr>
            <w:r>
              <w:rPr>
                <w:sz w:val="21"/>
                <w:szCs w:val="21"/>
              </w:rPr>
              <w:t>60</w:t>
            </w:r>
          </w:p>
        </w:tc>
        <w:tc>
          <w:tcPr>
            <w:tcW w:w="427" w:type="pct"/>
            <w:vAlign w:val="center"/>
          </w:tcPr>
          <w:p>
            <w:pPr>
              <w:autoSpaceDN w:val="0"/>
              <w:adjustRightInd w:val="0"/>
              <w:snapToGrid w:val="0"/>
              <w:spacing w:line="340" w:lineRule="exact"/>
              <w:ind w:firstLine="0" w:firstLineChars="0"/>
              <w:jc w:val="center"/>
              <w:rPr>
                <w:sz w:val="21"/>
                <w:szCs w:val="21"/>
              </w:rPr>
            </w:pPr>
            <w:r>
              <w:rPr>
                <w:sz w:val="21"/>
                <w:szCs w:val="21"/>
              </w:rPr>
              <w:t>40</w:t>
            </w:r>
          </w:p>
        </w:tc>
        <w:tc>
          <w:tcPr>
            <w:tcW w:w="493" w:type="pct"/>
            <w:vAlign w:val="center"/>
          </w:tcPr>
          <w:p>
            <w:pPr>
              <w:autoSpaceDN w:val="0"/>
              <w:adjustRightInd w:val="0"/>
              <w:snapToGrid w:val="0"/>
              <w:spacing w:line="340" w:lineRule="exact"/>
              <w:ind w:firstLine="0" w:firstLineChars="0"/>
              <w:jc w:val="center"/>
              <w:rPr>
                <w:sz w:val="21"/>
                <w:szCs w:val="21"/>
              </w:rPr>
            </w:pPr>
            <w:r>
              <w:rPr>
                <w:sz w:val="21"/>
                <w:szCs w:val="21"/>
              </w:rPr>
              <w:t>35</w:t>
            </w:r>
          </w:p>
        </w:tc>
        <w:tc>
          <w:tcPr>
            <w:tcW w:w="460" w:type="pct"/>
            <w:vAlign w:val="center"/>
          </w:tcPr>
          <w:p>
            <w:pPr>
              <w:autoSpaceDN w:val="0"/>
              <w:adjustRightInd w:val="0"/>
              <w:snapToGrid w:val="0"/>
              <w:spacing w:line="340" w:lineRule="exact"/>
              <w:ind w:firstLine="0" w:firstLineChars="0"/>
              <w:jc w:val="center"/>
              <w:rPr>
                <w:sz w:val="21"/>
                <w:szCs w:val="21"/>
              </w:rPr>
            </w:pPr>
            <w:r>
              <w:rPr>
                <w:sz w:val="21"/>
                <w:szCs w:val="21"/>
              </w:rPr>
              <w:t>70</w:t>
            </w:r>
          </w:p>
        </w:tc>
        <w:tc>
          <w:tcPr>
            <w:tcW w:w="1018" w:type="pct"/>
            <w:vAlign w:val="center"/>
          </w:tcPr>
          <w:p>
            <w:pPr>
              <w:autoSpaceDN w:val="0"/>
              <w:adjustRightInd w:val="0"/>
              <w:snapToGrid w:val="0"/>
              <w:spacing w:line="340" w:lineRule="exact"/>
              <w:ind w:firstLine="0" w:firstLineChars="0"/>
              <w:jc w:val="center"/>
              <w:rPr>
                <w:sz w:val="21"/>
                <w:szCs w:val="21"/>
              </w:rPr>
            </w:pPr>
            <w:r>
              <w:rPr>
                <w:sz w:val="21"/>
                <w:szCs w:val="21"/>
              </w:rPr>
              <w:t>4.0</w:t>
            </w:r>
          </w:p>
        </w:tc>
        <w:tc>
          <w:tcPr>
            <w:tcW w:w="782" w:type="pct"/>
            <w:vAlign w:val="center"/>
          </w:tcPr>
          <w:p>
            <w:pPr>
              <w:autoSpaceDN w:val="0"/>
              <w:adjustRightInd w:val="0"/>
              <w:snapToGrid w:val="0"/>
              <w:spacing w:line="340" w:lineRule="exact"/>
              <w:ind w:firstLine="0" w:firstLineChars="0"/>
              <w:jc w:val="center"/>
              <w:rPr>
                <w:sz w:val="21"/>
                <w:szCs w:val="21"/>
              </w:rPr>
            </w:pPr>
            <w:r>
              <w:rPr>
                <w:sz w:val="21"/>
                <w:szCs w:val="21"/>
              </w:rPr>
              <w:t>160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Merge w:val="continue"/>
            <w:vAlign w:val="center"/>
          </w:tcPr>
          <w:p>
            <w:pPr>
              <w:autoSpaceDN w:val="0"/>
              <w:adjustRightInd w:val="0"/>
              <w:snapToGrid w:val="0"/>
              <w:spacing w:line="340" w:lineRule="exact"/>
              <w:ind w:firstLine="0" w:firstLineChars="0"/>
              <w:jc w:val="center"/>
              <w:rPr>
                <w:sz w:val="21"/>
                <w:szCs w:val="21"/>
              </w:rPr>
            </w:pP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占标率（%）</w:t>
            </w:r>
          </w:p>
        </w:tc>
        <w:tc>
          <w:tcPr>
            <w:tcW w:w="468"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20.0</w:t>
            </w:r>
          </w:p>
        </w:tc>
        <w:tc>
          <w:tcPr>
            <w:tcW w:w="427"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52.5</w:t>
            </w:r>
          </w:p>
        </w:tc>
        <w:tc>
          <w:tcPr>
            <w:tcW w:w="493"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85.7</w:t>
            </w:r>
          </w:p>
        </w:tc>
        <w:tc>
          <w:tcPr>
            <w:tcW w:w="460"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80.0</w:t>
            </w:r>
          </w:p>
        </w:tc>
        <w:tc>
          <w:tcPr>
            <w:tcW w:w="1018"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30.0</w:t>
            </w:r>
          </w:p>
        </w:tc>
        <w:tc>
          <w:tcPr>
            <w:tcW w:w="782" w:type="pct"/>
            <w:vAlign w:val="center"/>
          </w:tcPr>
          <w:p>
            <w:pPr>
              <w:autoSpaceDN w:val="0"/>
              <w:adjustRightInd w:val="0"/>
              <w:snapToGrid w:val="0"/>
              <w:spacing w:line="340" w:lineRule="exact"/>
              <w:ind w:firstLine="0" w:firstLineChars="0"/>
              <w:jc w:val="center"/>
              <w:rPr>
                <w:sz w:val="21"/>
                <w:szCs w:val="21"/>
              </w:rPr>
            </w:pPr>
            <w:r>
              <w:rPr>
                <w:rFonts w:hint="eastAsia"/>
                <w:sz w:val="21"/>
                <w:szCs w:val="21"/>
              </w:rPr>
              <w:t>81.3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28" w:type="dxa"/>
            <w:bottom w:w="0" w:type="dxa"/>
            <w:right w:w="28" w:type="dxa"/>
          </w:tblCellMar>
        </w:tblPrEx>
        <w:trPr>
          <w:trHeight w:val="397" w:hRule="atLeast"/>
        </w:trPr>
        <w:tc>
          <w:tcPr>
            <w:tcW w:w="382" w:type="pct"/>
            <w:vMerge w:val="continue"/>
            <w:vAlign w:val="center"/>
          </w:tcPr>
          <w:p>
            <w:pPr>
              <w:autoSpaceDN w:val="0"/>
              <w:adjustRightInd w:val="0"/>
              <w:snapToGrid w:val="0"/>
              <w:spacing w:line="340" w:lineRule="exact"/>
              <w:ind w:firstLine="0" w:firstLineChars="0"/>
              <w:jc w:val="center"/>
              <w:rPr>
                <w:sz w:val="21"/>
                <w:szCs w:val="21"/>
              </w:rPr>
            </w:pPr>
          </w:p>
        </w:tc>
        <w:tc>
          <w:tcPr>
            <w:tcW w:w="968" w:type="pct"/>
            <w:vAlign w:val="center"/>
          </w:tcPr>
          <w:p>
            <w:pPr>
              <w:autoSpaceDN w:val="0"/>
              <w:adjustRightInd w:val="0"/>
              <w:snapToGrid w:val="0"/>
              <w:spacing w:line="340" w:lineRule="exact"/>
              <w:ind w:firstLine="0" w:firstLineChars="0"/>
              <w:jc w:val="center"/>
              <w:rPr>
                <w:sz w:val="21"/>
                <w:szCs w:val="21"/>
              </w:rPr>
            </w:pPr>
            <w:r>
              <w:rPr>
                <w:sz w:val="21"/>
                <w:szCs w:val="21"/>
              </w:rPr>
              <w:t>达标情况</w:t>
            </w:r>
          </w:p>
        </w:tc>
        <w:tc>
          <w:tcPr>
            <w:tcW w:w="3648" w:type="pct"/>
            <w:gridSpan w:val="6"/>
            <w:vAlign w:val="center"/>
          </w:tcPr>
          <w:p>
            <w:pPr>
              <w:autoSpaceDN w:val="0"/>
              <w:adjustRightInd w:val="0"/>
              <w:snapToGrid w:val="0"/>
              <w:spacing w:line="340" w:lineRule="exact"/>
              <w:ind w:firstLine="0" w:firstLineChars="0"/>
              <w:jc w:val="center"/>
              <w:rPr>
                <w:sz w:val="21"/>
                <w:szCs w:val="21"/>
              </w:rPr>
            </w:pPr>
            <w:r>
              <w:rPr>
                <w:sz w:val="21"/>
                <w:szCs w:val="21"/>
              </w:rPr>
              <w:t>达标</w:t>
            </w:r>
          </w:p>
        </w:tc>
      </w:tr>
    </w:tbl>
    <w:p>
      <w:pPr>
        <w:ind w:firstLine="480"/>
        <w:rPr>
          <w:rFonts w:hAnsi="宋体"/>
          <w:spacing w:val="-2"/>
          <w:szCs w:val="24"/>
        </w:rPr>
      </w:pPr>
      <w:r>
        <w:rPr>
          <w:rFonts w:hAnsi="宋体"/>
          <w:kern w:val="0"/>
          <w:szCs w:val="24"/>
        </w:rPr>
        <w:t>根据上表数据可知，</w:t>
      </w:r>
      <w:r>
        <w:rPr>
          <w:kern w:val="0"/>
          <w:szCs w:val="24"/>
        </w:rPr>
        <w:t>20</w:t>
      </w:r>
      <w:r>
        <w:rPr>
          <w:rFonts w:hint="eastAsia"/>
          <w:kern w:val="0"/>
          <w:szCs w:val="24"/>
        </w:rPr>
        <w:t>21</w:t>
      </w:r>
      <w:r>
        <w:rPr>
          <w:rFonts w:hAnsi="宋体"/>
          <w:kern w:val="0"/>
          <w:szCs w:val="24"/>
        </w:rPr>
        <w:t>年</w:t>
      </w:r>
      <w:r>
        <w:rPr>
          <w:rFonts w:hAnsi="宋体"/>
          <w:spacing w:val="-2"/>
          <w:szCs w:val="24"/>
        </w:rPr>
        <w:t>宜春市</w:t>
      </w:r>
      <w:r>
        <w:rPr>
          <w:rFonts w:hint="eastAsia" w:hAnsi="宋体"/>
          <w:spacing w:val="-2"/>
          <w:szCs w:val="24"/>
        </w:rPr>
        <w:t>上高县</w:t>
      </w:r>
      <w:r>
        <w:rPr>
          <w:spacing w:val="-2"/>
          <w:szCs w:val="24"/>
        </w:rPr>
        <w:t>SO</w:t>
      </w:r>
      <w:r>
        <w:rPr>
          <w:spacing w:val="-2"/>
          <w:szCs w:val="24"/>
          <w:vertAlign w:val="subscript"/>
        </w:rPr>
        <w:t>2</w:t>
      </w:r>
      <w:r>
        <w:rPr>
          <w:rFonts w:hAnsi="宋体"/>
          <w:spacing w:val="-2"/>
          <w:szCs w:val="24"/>
        </w:rPr>
        <w:t>、</w:t>
      </w:r>
      <w:r>
        <w:rPr>
          <w:spacing w:val="-2"/>
          <w:szCs w:val="24"/>
        </w:rPr>
        <w:t>NO</w:t>
      </w:r>
      <w:r>
        <w:rPr>
          <w:spacing w:val="-2"/>
          <w:szCs w:val="24"/>
          <w:vertAlign w:val="subscript"/>
        </w:rPr>
        <w:t>2</w:t>
      </w:r>
      <w:r>
        <w:rPr>
          <w:rFonts w:hAnsi="宋体"/>
          <w:spacing w:val="-2"/>
          <w:szCs w:val="24"/>
        </w:rPr>
        <w:t>、</w:t>
      </w:r>
      <w:r>
        <w:rPr>
          <w:spacing w:val="-2"/>
          <w:szCs w:val="24"/>
        </w:rPr>
        <w:t>PM</w:t>
      </w:r>
      <w:r>
        <w:rPr>
          <w:spacing w:val="-2"/>
          <w:szCs w:val="24"/>
          <w:vertAlign w:val="subscript"/>
        </w:rPr>
        <w:t>10</w:t>
      </w:r>
      <w:r>
        <w:rPr>
          <w:rFonts w:hAnsi="宋体"/>
          <w:spacing w:val="-2"/>
          <w:szCs w:val="24"/>
        </w:rPr>
        <w:t>、</w:t>
      </w:r>
      <w:r>
        <w:rPr>
          <w:spacing w:val="-2"/>
          <w:szCs w:val="24"/>
        </w:rPr>
        <w:t>PM</w:t>
      </w:r>
      <w:r>
        <w:rPr>
          <w:spacing w:val="-2"/>
          <w:szCs w:val="24"/>
          <w:vertAlign w:val="subscript"/>
        </w:rPr>
        <w:t>2.5</w:t>
      </w:r>
      <w:r>
        <w:rPr>
          <w:rFonts w:hAnsi="宋体"/>
          <w:spacing w:val="-2"/>
          <w:szCs w:val="24"/>
        </w:rPr>
        <w:t>、</w:t>
      </w:r>
      <w:r>
        <w:rPr>
          <w:spacing w:val="-2"/>
          <w:szCs w:val="24"/>
        </w:rPr>
        <w:t>CO</w:t>
      </w:r>
      <w:r>
        <w:rPr>
          <w:rFonts w:hint="eastAsia"/>
          <w:spacing w:val="-2"/>
          <w:szCs w:val="24"/>
        </w:rPr>
        <w:t>、</w:t>
      </w:r>
      <w:r>
        <w:rPr>
          <w:kern w:val="0"/>
          <w:szCs w:val="24"/>
        </w:rPr>
        <w:t>O</w:t>
      </w:r>
      <w:r>
        <w:rPr>
          <w:kern w:val="0"/>
          <w:szCs w:val="24"/>
          <w:vertAlign w:val="subscript"/>
        </w:rPr>
        <w:t>3</w:t>
      </w:r>
      <w:r>
        <w:rPr>
          <w:rFonts w:hAnsi="宋体"/>
          <w:spacing w:val="-2"/>
          <w:szCs w:val="24"/>
        </w:rPr>
        <w:t>浓度</w:t>
      </w:r>
      <w:r>
        <w:rPr>
          <w:rFonts w:hint="eastAsia" w:hAnsi="宋体"/>
          <w:spacing w:val="-2"/>
          <w:szCs w:val="24"/>
        </w:rPr>
        <w:t>均</w:t>
      </w:r>
      <w:r>
        <w:rPr>
          <w:rFonts w:hAnsi="宋体"/>
          <w:spacing w:val="-2"/>
          <w:szCs w:val="24"/>
        </w:rPr>
        <w:t>值占标率均小于</w:t>
      </w:r>
      <w:r>
        <w:rPr>
          <w:spacing w:val="-2"/>
          <w:szCs w:val="24"/>
        </w:rPr>
        <w:t>100%</w:t>
      </w:r>
      <w:r>
        <w:rPr>
          <w:rFonts w:hAnsi="宋体"/>
          <w:spacing w:val="-2"/>
          <w:szCs w:val="24"/>
        </w:rPr>
        <w:t>，能满足《环境空气质量标准》（</w:t>
      </w:r>
      <w:r>
        <w:rPr>
          <w:spacing w:val="-2"/>
          <w:szCs w:val="24"/>
        </w:rPr>
        <w:t>GB3095-2012</w:t>
      </w:r>
      <w:r>
        <w:rPr>
          <w:rFonts w:hAnsi="宋体"/>
          <w:spacing w:val="-2"/>
          <w:szCs w:val="24"/>
        </w:rPr>
        <w:t>）中二级标准，</w:t>
      </w:r>
      <w:r>
        <w:rPr>
          <w:rFonts w:hAnsi="宋体"/>
          <w:snapToGrid w:val="0"/>
          <w:szCs w:val="24"/>
        </w:rPr>
        <w:t>表明项目所在区域属于达标区域。</w:t>
      </w:r>
    </w:p>
    <w:p>
      <w:pPr>
        <w:pStyle w:val="835"/>
        <w:spacing w:before="0" w:line="360" w:lineRule="auto"/>
      </w:pPr>
      <w:bookmarkStart w:id="721" w:name="_Toc536265140"/>
      <w:bookmarkStart w:id="722" w:name="_Toc3903277"/>
      <w:bookmarkStart w:id="723" w:name="_Toc534807056"/>
      <w:bookmarkStart w:id="724" w:name="_Toc281507043"/>
      <w:bookmarkStart w:id="725" w:name="_Toc534386297"/>
      <w:bookmarkStart w:id="726" w:name="_Toc534895273"/>
      <w:bookmarkStart w:id="727" w:name="_Toc529279058"/>
      <w:r>
        <w:t>4.</w:t>
      </w:r>
      <w:r>
        <w:rPr>
          <w:rFonts w:hint="eastAsia"/>
        </w:rPr>
        <w:t>4</w:t>
      </w:r>
      <w:r>
        <w:t>.</w:t>
      </w:r>
      <w:r>
        <w:rPr>
          <w:rFonts w:hint="eastAsia"/>
        </w:rPr>
        <w:t>2</w:t>
      </w:r>
      <w:r>
        <w:t>地表水环境现状</w:t>
      </w:r>
      <w:r>
        <w:rPr>
          <w:rFonts w:hint="eastAsia"/>
        </w:rPr>
        <w:t>及</w:t>
      </w:r>
      <w:r>
        <w:t>评价</w:t>
      </w:r>
      <w:bookmarkEnd w:id="721"/>
      <w:bookmarkEnd w:id="722"/>
      <w:bookmarkEnd w:id="723"/>
      <w:bookmarkEnd w:id="724"/>
      <w:bookmarkEnd w:id="725"/>
      <w:bookmarkEnd w:id="726"/>
      <w:bookmarkEnd w:id="727"/>
    </w:p>
    <w:p>
      <w:pPr>
        <w:ind w:firstLine="480"/>
        <w:rPr>
          <w:szCs w:val="24"/>
        </w:rPr>
      </w:pPr>
      <w:r>
        <w:rPr>
          <w:szCs w:val="24"/>
        </w:rPr>
        <w:t>(1)</w:t>
      </w:r>
      <w:r>
        <w:rPr>
          <w:rFonts w:hAnsi="宋体"/>
          <w:szCs w:val="24"/>
        </w:rPr>
        <w:t>环境质量公布断面数据</w:t>
      </w:r>
    </w:p>
    <w:p>
      <w:pPr>
        <w:ind w:firstLine="480"/>
        <w:rPr>
          <w:szCs w:val="24"/>
        </w:rPr>
      </w:pPr>
      <w:r>
        <w:rPr>
          <w:rFonts w:hAnsi="宋体"/>
          <w:szCs w:val="24"/>
        </w:rPr>
        <w:t>项目</w:t>
      </w:r>
      <w:r>
        <w:rPr>
          <w:rFonts w:hint="eastAsia" w:hAnsi="宋体"/>
          <w:szCs w:val="24"/>
        </w:rPr>
        <w:t>坝址上</w:t>
      </w:r>
      <w:r>
        <w:rPr>
          <w:rFonts w:hAnsi="宋体"/>
          <w:szCs w:val="24"/>
        </w:rPr>
        <w:t>游</w:t>
      </w:r>
      <w:r>
        <w:rPr>
          <w:rFonts w:hint="eastAsia"/>
          <w:szCs w:val="24"/>
        </w:rPr>
        <w:t>徐家渡</w:t>
      </w:r>
      <w:r>
        <w:rPr>
          <w:rFonts w:hint="eastAsia" w:hAnsi="宋体"/>
          <w:szCs w:val="24"/>
        </w:rPr>
        <w:t>处</w:t>
      </w:r>
      <w:r>
        <w:rPr>
          <w:rFonts w:hAnsi="宋体"/>
          <w:szCs w:val="24"/>
        </w:rPr>
        <w:t>有</w:t>
      </w:r>
      <w:r>
        <w:rPr>
          <w:rFonts w:hint="eastAsia" w:hAnsi="宋体"/>
          <w:szCs w:val="24"/>
        </w:rPr>
        <w:t>县级监控断面</w:t>
      </w:r>
      <w:r>
        <w:rPr>
          <w:rFonts w:hAnsi="宋体"/>
          <w:szCs w:val="24"/>
        </w:rPr>
        <w:t>，根据《</w:t>
      </w:r>
      <w:r>
        <w:rPr>
          <w:rFonts w:hint="eastAsia" w:hAnsi="宋体"/>
          <w:szCs w:val="24"/>
        </w:rPr>
        <w:t>上高县</w:t>
      </w:r>
      <w:r>
        <w:rPr>
          <w:rFonts w:hAnsi="宋体"/>
          <w:szCs w:val="24"/>
        </w:rPr>
        <w:t>环境质量月报（</w:t>
      </w:r>
      <w:r>
        <w:rPr>
          <w:szCs w:val="24"/>
        </w:rPr>
        <w:t>20</w:t>
      </w:r>
      <w:r>
        <w:rPr>
          <w:rFonts w:hint="eastAsia"/>
          <w:szCs w:val="24"/>
        </w:rPr>
        <w:t>20</w:t>
      </w:r>
      <w:r>
        <w:rPr>
          <w:rFonts w:hAnsi="宋体"/>
          <w:szCs w:val="24"/>
        </w:rPr>
        <w:t>年</w:t>
      </w:r>
      <w:r>
        <w:rPr>
          <w:rFonts w:hint="eastAsia"/>
          <w:szCs w:val="24"/>
        </w:rPr>
        <w:t>11</w:t>
      </w:r>
      <w:r>
        <w:rPr>
          <w:rFonts w:hAnsi="宋体"/>
          <w:szCs w:val="24"/>
        </w:rPr>
        <w:t>月</w:t>
      </w:r>
      <w:r>
        <w:rPr>
          <w:szCs w:val="24"/>
        </w:rPr>
        <w:t>~</w:t>
      </w:r>
      <w:r>
        <w:rPr>
          <w:rFonts w:hint="eastAsia"/>
          <w:szCs w:val="24"/>
        </w:rPr>
        <w:t>2022年3月</w:t>
      </w:r>
      <w:r>
        <w:rPr>
          <w:rFonts w:hAnsi="宋体"/>
          <w:szCs w:val="24"/>
        </w:rPr>
        <w:t>）》中对</w:t>
      </w:r>
      <w:r>
        <w:rPr>
          <w:rFonts w:hint="eastAsia"/>
          <w:szCs w:val="24"/>
        </w:rPr>
        <w:t>徐家渡潭上村</w:t>
      </w:r>
      <w:r>
        <w:rPr>
          <w:rFonts w:hint="eastAsia" w:hAnsi="宋体"/>
          <w:szCs w:val="24"/>
        </w:rPr>
        <w:t>监测</w:t>
      </w:r>
      <w:r>
        <w:rPr>
          <w:rFonts w:hAnsi="宋体"/>
          <w:szCs w:val="24"/>
        </w:rPr>
        <w:t>断面</w:t>
      </w:r>
      <w:r>
        <w:rPr>
          <w:rFonts w:hint="eastAsia" w:hAnsi="宋体"/>
          <w:kern w:val="0"/>
          <w:szCs w:val="24"/>
        </w:rPr>
        <w:t>PH值、溶解氧、高锰酸盐指数、化学需氧量、五日生化需氧量、氨氮、总磷、铜、锌、氟化物、硒、砷、汞、镉、六价铬、铅、氰化物、挥发酚、石油类、阴离子表面活性剂、硫化物共21项</w:t>
      </w:r>
      <w:r>
        <w:rPr>
          <w:rFonts w:hAnsi="宋体"/>
          <w:kern w:val="0"/>
          <w:szCs w:val="24"/>
        </w:rPr>
        <w:t>因子</w:t>
      </w:r>
      <w:r>
        <w:rPr>
          <w:rFonts w:hAnsi="宋体"/>
          <w:szCs w:val="24"/>
        </w:rPr>
        <w:t>监测结果，</w:t>
      </w:r>
      <w:r>
        <w:rPr>
          <w:rFonts w:hint="eastAsia" w:hAnsi="宋体"/>
          <w:kern w:val="0"/>
          <w:szCs w:val="24"/>
        </w:rPr>
        <w:t>锦河</w:t>
      </w:r>
      <w:r>
        <w:rPr>
          <w:rFonts w:hAnsi="宋体"/>
          <w:szCs w:val="24"/>
        </w:rPr>
        <w:t>水环境</w:t>
      </w:r>
      <w:r>
        <w:rPr>
          <w:rFonts w:hAnsi="宋体"/>
          <w:kern w:val="0"/>
          <w:szCs w:val="24"/>
        </w:rPr>
        <w:t>质量满足</w:t>
      </w:r>
      <w:r>
        <w:rPr>
          <w:rFonts w:hAnsi="宋体"/>
          <w:szCs w:val="24"/>
        </w:rPr>
        <w:t>《地表水环境质量标准》（</w:t>
      </w:r>
      <w:r>
        <w:rPr>
          <w:szCs w:val="24"/>
        </w:rPr>
        <w:t>GB3838-2002</w:t>
      </w:r>
      <w:r>
        <w:rPr>
          <w:rFonts w:hAnsi="宋体"/>
          <w:szCs w:val="24"/>
        </w:rPr>
        <w:t>）</w:t>
      </w:r>
      <w:r>
        <w:rPr>
          <w:szCs w:val="24"/>
        </w:rPr>
        <w:fldChar w:fldCharType="begin"/>
      </w:r>
      <w:r>
        <w:rPr>
          <w:szCs w:val="24"/>
        </w:rPr>
        <w:instrText xml:space="preserve"> = 2 \* ROMAN </w:instrText>
      </w:r>
      <w:r>
        <w:rPr>
          <w:szCs w:val="24"/>
        </w:rPr>
        <w:fldChar w:fldCharType="separate"/>
      </w:r>
      <w:r>
        <w:rPr>
          <w:szCs w:val="24"/>
        </w:rPr>
        <w:fldChar w:fldCharType="begin"/>
      </w:r>
      <w:r>
        <w:rPr>
          <w:szCs w:val="24"/>
        </w:rPr>
        <w:instrText xml:space="preserve"> </w:instrText>
      </w:r>
      <w:r>
        <w:rPr>
          <w:rFonts w:hint="eastAsia"/>
          <w:szCs w:val="24"/>
        </w:rPr>
        <w:instrText xml:space="preserve">= 3 \* ROMAN</w:instrText>
      </w:r>
      <w:r>
        <w:rPr>
          <w:szCs w:val="24"/>
        </w:rPr>
        <w:instrText xml:space="preserve"> </w:instrText>
      </w:r>
      <w:r>
        <w:rPr>
          <w:szCs w:val="24"/>
        </w:rPr>
        <w:fldChar w:fldCharType="separate"/>
      </w:r>
      <w:r>
        <w:rPr>
          <w:szCs w:val="24"/>
        </w:rPr>
        <w:t>III</w:t>
      </w:r>
      <w:r>
        <w:rPr>
          <w:szCs w:val="24"/>
        </w:rPr>
        <w:fldChar w:fldCharType="end"/>
      </w:r>
      <w:r>
        <w:rPr>
          <w:szCs w:val="24"/>
        </w:rPr>
        <w:fldChar w:fldCharType="end"/>
      </w:r>
      <w:r>
        <w:rPr>
          <w:rFonts w:hAnsi="宋体"/>
          <w:szCs w:val="24"/>
        </w:rPr>
        <w:t>类标准</w:t>
      </w:r>
      <w:r>
        <w:rPr>
          <w:rFonts w:hAnsi="宋体"/>
          <w:kern w:val="0"/>
          <w:szCs w:val="24"/>
        </w:rPr>
        <w:t>。</w:t>
      </w:r>
      <w:r>
        <w:rPr>
          <w:rFonts w:hint="eastAsia"/>
          <w:szCs w:val="24"/>
        </w:rPr>
        <w:t>上高</w:t>
      </w:r>
      <w:r>
        <w:rPr>
          <w:szCs w:val="24"/>
        </w:rPr>
        <w:t>县对</w:t>
      </w:r>
      <w:r>
        <w:rPr>
          <w:rFonts w:hint="eastAsia"/>
          <w:szCs w:val="24"/>
        </w:rPr>
        <w:t>锦河</w:t>
      </w:r>
      <w:r>
        <w:rPr>
          <w:szCs w:val="24"/>
        </w:rPr>
        <w:t>断面的例行监测数据（20</w:t>
      </w:r>
      <w:r>
        <w:rPr>
          <w:rFonts w:hint="eastAsia"/>
          <w:szCs w:val="24"/>
        </w:rPr>
        <w:t>20</w:t>
      </w:r>
      <w:r>
        <w:rPr>
          <w:szCs w:val="24"/>
        </w:rPr>
        <w:t>年-20</w:t>
      </w:r>
      <w:r>
        <w:rPr>
          <w:rFonts w:hint="eastAsia"/>
          <w:szCs w:val="24"/>
        </w:rPr>
        <w:t>22</w:t>
      </w:r>
      <w:r>
        <w:rPr>
          <w:szCs w:val="24"/>
        </w:rPr>
        <w:t>年）见下表：</w:t>
      </w:r>
    </w:p>
    <w:p>
      <w:pPr>
        <w:spacing w:before="120" w:beforeLines="50" w:line="240" w:lineRule="auto"/>
        <w:ind w:firstLine="480"/>
        <w:jc w:val="center"/>
        <w:rPr>
          <w:rFonts w:ascii="黑体" w:hAnsi="黑体" w:eastAsia="黑体" w:cs="黑体"/>
        </w:rPr>
      </w:pPr>
      <w:r>
        <w:rPr>
          <w:rFonts w:hint="eastAsia" w:ascii="黑体" w:hAnsi="黑体" w:eastAsia="黑体" w:cs="黑体"/>
        </w:rPr>
        <w:t>表4.4-2  2020年</w:t>
      </w:r>
      <w:r>
        <w:rPr>
          <w:rFonts w:hint="eastAsia" w:ascii="宋体" w:hAnsi="宋体" w:cs="宋体"/>
        </w:rPr>
        <w:t>～</w:t>
      </w:r>
      <w:r>
        <w:rPr>
          <w:rFonts w:hint="eastAsia" w:ascii="黑体" w:hAnsi="黑体" w:eastAsia="黑体" w:cs="黑体"/>
        </w:rPr>
        <w:t>2022年锦河例行监测数据</w:t>
      </w:r>
    </w:p>
    <w:tbl>
      <w:tblPr>
        <w:tblStyle w:val="82"/>
        <w:tblW w:w="4995"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06"/>
        <w:gridCol w:w="2265"/>
        <w:gridCol w:w="2609"/>
        <w:gridCol w:w="28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sz w:val="21"/>
                <w:szCs w:val="21"/>
              </w:rPr>
              <w:t>断面</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sz w:val="21"/>
                <w:szCs w:val="21"/>
              </w:rPr>
              <w:t>采样日期</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监测水质类别</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执行</w:t>
            </w:r>
            <w:r>
              <w:rPr>
                <w:sz w:val="21"/>
                <w:szCs w:val="21"/>
              </w:rPr>
              <w:t>类别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2020.11</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rFonts w:ascii="宋体" w:hAnsi="宋体" w:cs="宋体"/>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2020.12</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rFonts w:hint="eastAsia" w:ascii="宋体" w:hAnsi="宋体" w:cs="宋体"/>
                <w:sz w:val="21"/>
                <w:szCs w:val="21"/>
              </w:rPr>
              <w:t>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2021.01</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2021.02</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2021.03</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2021.04</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rFonts w:hint="eastAsia" w:ascii="宋体" w:hAnsi="宋体" w:cs="宋体"/>
                <w:sz w:val="21"/>
                <w:szCs w:val="21"/>
              </w:rPr>
              <w:t>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2021.05</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2021.06</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2021.07</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Ⅲ</w:t>
            </w:r>
            <w:r>
              <w:rPr>
                <w:rFonts w:hint="eastAsia" w:ascii="宋体" w:hAnsi="宋体" w:cs="宋体"/>
                <w:sz w:val="21"/>
                <w:szCs w:val="21"/>
              </w:rPr>
              <w:t>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2021.08</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2021.09</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2021.10</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2021.11</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2021.12</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2022.01</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 xml:space="preserve">2022.02 </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57"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锦河</w:t>
            </w:r>
          </w:p>
        </w:tc>
        <w:tc>
          <w:tcPr>
            <w:tcW w:w="1208"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sz w:val="21"/>
                <w:szCs w:val="21"/>
              </w:rPr>
              <w:t>2022.03</w:t>
            </w:r>
          </w:p>
        </w:tc>
        <w:tc>
          <w:tcPr>
            <w:tcW w:w="1392"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Ⅱ类</w:t>
            </w:r>
          </w:p>
        </w:tc>
        <w:tc>
          <w:tcPr>
            <w:tcW w:w="1541" w:type="pct"/>
            <w:noWrap/>
            <w:tcMar>
              <w:top w:w="12" w:type="dxa"/>
              <w:left w:w="12" w:type="dxa"/>
              <w:right w:w="12" w:type="dxa"/>
            </w:tcMar>
            <w:vAlign w:val="center"/>
          </w:tcPr>
          <w:p>
            <w:pPr>
              <w:autoSpaceDN w:val="0"/>
              <w:adjustRightInd w:val="0"/>
              <w:snapToGrid w:val="0"/>
              <w:spacing w:line="340" w:lineRule="exact"/>
              <w:ind w:firstLine="0" w:firstLineChars="0"/>
              <w:jc w:val="center"/>
              <w:rPr>
                <w:sz w:val="21"/>
                <w:szCs w:val="21"/>
              </w:rPr>
            </w:pPr>
            <w:r>
              <w:rPr>
                <w:rFonts w:hint="eastAsia" w:ascii="宋体" w:hAnsi="宋体" w:cs="宋体"/>
                <w:sz w:val="21"/>
                <w:szCs w:val="21"/>
              </w:rPr>
              <w:t>Ⅲ</w:t>
            </w:r>
            <w:r>
              <w:rPr>
                <w:sz w:val="21"/>
                <w:szCs w:val="21"/>
              </w:rPr>
              <w:t>类</w:t>
            </w:r>
          </w:p>
        </w:tc>
      </w:tr>
    </w:tbl>
    <w:p>
      <w:pPr>
        <w:ind w:firstLine="480"/>
      </w:pPr>
      <w:r>
        <w:t>根据例行监测数据可知，</w:t>
      </w:r>
      <w:r>
        <w:rPr>
          <w:rFonts w:hint="eastAsia"/>
        </w:rPr>
        <w:t>锦河</w:t>
      </w:r>
      <w:r>
        <w:t>断面各监测因子均符合《地表水环境质量标准》（GB3838 -2002）</w:t>
      </w:r>
      <w:r>
        <w:rPr>
          <w:rFonts w:hint="eastAsia" w:ascii="宋体" w:hAnsi="宋体" w:cs="宋体"/>
        </w:rPr>
        <w:t>Ⅲ</w:t>
      </w:r>
      <w:r>
        <w:t>类标准。水质总体保持稳定。</w:t>
      </w:r>
    </w:p>
    <w:p>
      <w:pPr>
        <w:ind w:firstLine="480" w:firstLineChars="0"/>
      </w:pPr>
      <w:r>
        <w:rPr>
          <w:rFonts w:hint="eastAsia" w:ascii="宋体" w:hAnsi="宋体" w:cs="宋体"/>
          <w:szCs w:val="24"/>
        </w:rPr>
        <w:t>(2)</w:t>
      </w:r>
      <w:r>
        <w:t>地表水环境现状监测</w:t>
      </w:r>
    </w:p>
    <w:p>
      <w:pPr>
        <w:ind w:firstLine="480"/>
        <w:rPr>
          <w:szCs w:val="24"/>
        </w:rPr>
      </w:pPr>
      <w:r>
        <w:rPr>
          <w:rFonts w:hint="eastAsia"/>
          <w:szCs w:val="24"/>
        </w:rPr>
        <w:t>为了了解本工程区域</w:t>
      </w:r>
      <w:r>
        <w:rPr>
          <w:szCs w:val="24"/>
        </w:rPr>
        <w:t>地表水环境质量现状</w:t>
      </w:r>
      <w:r>
        <w:rPr>
          <w:rFonts w:hint="eastAsia"/>
          <w:szCs w:val="24"/>
        </w:rPr>
        <w:t>，</w:t>
      </w:r>
      <w:r>
        <w:rPr>
          <w:szCs w:val="24"/>
        </w:rPr>
        <w:t>委托</w:t>
      </w:r>
      <w:r>
        <w:rPr>
          <w:rFonts w:hint="eastAsia"/>
          <w:szCs w:val="24"/>
        </w:rPr>
        <w:t>江西谱实检测技术</w:t>
      </w:r>
      <w:r>
        <w:rPr>
          <w:szCs w:val="24"/>
        </w:rPr>
        <w:t>有限公司于20</w:t>
      </w:r>
      <w:r>
        <w:rPr>
          <w:rFonts w:hint="eastAsia"/>
          <w:szCs w:val="24"/>
        </w:rPr>
        <w:t>22</w:t>
      </w:r>
      <w:r>
        <w:rPr>
          <w:szCs w:val="24"/>
        </w:rPr>
        <w:t>年</w:t>
      </w:r>
      <w:r>
        <w:rPr>
          <w:rFonts w:hint="eastAsia"/>
          <w:szCs w:val="24"/>
        </w:rPr>
        <w:t>0</w:t>
      </w:r>
      <w:r>
        <w:rPr>
          <w:szCs w:val="24"/>
        </w:rPr>
        <w:t>7月</w:t>
      </w:r>
      <w:r>
        <w:rPr>
          <w:rFonts w:hint="eastAsia"/>
          <w:szCs w:val="24"/>
        </w:rPr>
        <w:t>19</w:t>
      </w:r>
      <w:r>
        <w:rPr>
          <w:szCs w:val="24"/>
        </w:rPr>
        <w:t>日至</w:t>
      </w:r>
      <w:r>
        <w:rPr>
          <w:rFonts w:hint="eastAsia"/>
          <w:szCs w:val="24"/>
        </w:rPr>
        <w:t>0</w:t>
      </w:r>
      <w:r>
        <w:rPr>
          <w:szCs w:val="24"/>
        </w:rPr>
        <w:t>7月</w:t>
      </w:r>
      <w:r>
        <w:rPr>
          <w:rFonts w:hint="eastAsia"/>
          <w:szCs w:val="24"/>
        </w:rPr>
        <w:t>21</w:t>
      </w:r>
      <w:r>
        <w:rPr>
          <w:szCs w:val="24"/>
        </w:rPr>
        <w:t>日对</w:t>
      </w:r>
      <w:r>
        <w:rPr>
          <w:rFonts w:hint="eastAsia"/>
          <w:szCs w:val="24"/>
        </w:rPr>
        <w:t>锦河</w:t>
      </w:r>
      <w:r>
        <w:rPr>
          <w:szCs w:val="24"/>
        </w:rPr>
        <w:t>地表水环境现状（监测项目：</w:t>
      </w:r>
      <w:r>
        <w:rPr>
          <w:rFonts w:hint="eastAsia"/>
          <w:szCs w:val="24"/>
        </w:rPr>
        <w:t>pH 值、 高锰酸盐指数、溶解氧、化学需氧量、五日生化需氧量、氨氮、总磷、总氮、粪大肠菌群、铜、锰、锌</w:t>
      </w:r>
      <w:r>
        <w:rPr>
          <w:szCs w:val="24"/>
        </w:rPr>
        <w:t>）进行监测</w:t>
      </w:r>
      <w:r>
        <w:rPr>
          <w:rFonts w:hint="eastAsia"/>
          <w:szCs w:val="24"/>
        </w:rPr>
        <w:t>。</w:t>
      </w:r>
    </w:p>
    <w:p>
      <w:pPr>
        <w:ind w:firstLine="480" w:firstLineChars="0"/>
      </w:pPr>
      <w:r>
        <w:rPr>
          <w:rFonts w:hint="eastAsia" w:ascii="宋体" w:hAnsi="宋体" w:cs="宋体"/>
        </w:rPr>
        <w:t>①</w:t>
      </w:r>
      <w:r>
        <w:t>监测断面</w:t>
      </w:r>
    </w:p>
    <w:p>
      <w:pPr>
        <w:pStyle w:val="297"/>
        <w:spacing w:line="360" w:lineRule="auto"/>
        <w:rPr>
          <w:rFonts w:ascii="Times New Roman" w:hAnsi="Times New Roman"/>
          <w:color w:val="auto"/>
        </w:rPr>
      </w:pPr>
      <w:r>
        <w:rPr>
          <w:rFonts w:ascii="Times New Roman" w:hAnsi="Times New Roman"/>
          <w:color w:val="auto"/>
        </w:rPr>
        <w:t>本次评价引用地表水环境监测断面设置情况详见表4.</w:t>
      </w:r>
      <w:r>
        <w:rPr>
          <w:rFonts w:hint="eastAsia" w:ascii="Times New Roman" w:hAnsi="Times New Roman"/>
          <w:color w:val="auto"/>
        </w:rPr>
        <w:t>4</w:t>
      </w:r>
      <w:r>
        <w:rPr>
          <w:rFonts w:ascii="Times New Roman" w:hAnsi="Times New Roman"/>
          <w:color w:val="auto"/>
        </w:rPr>
        <w:t>-</w:t>
      </w:r>
      <w:r>
        <w:rPr>
          <w:rFonts w:hint="eastAsia" w:ascii="Times New Roman" w:hAnsi="Times New Roman"/>
          <w:color w:val="auto"/>
        </w:rPr>
        <w:t>3</w:t>
      </w:r>
      <w:r>
        <w:rPr>
          <w:rFonts w:ascii="Times New Roman" w:hAnsi="Times New Roman"/>
          <w:color w:val="auto"/>
        </w:rPr>
        <w:t>和附图</w:t>
      </w:r>
      <w:r>
        <w:rPr>
          <w:rFonts w:hint="eastAsia" w:ascii="Times New Roman" w:hAnsi="Times New Roman"/>
          <w:color w:val="auto"/>
        </w:rPr>
        <w:t>十三</w:t>
      </w:r>
      <w:r>
        <w:rPr>
          <w:rFonts w:ascii="Times New Roman" w:hAnsi="Times New Roman"/>
          <w:color w:val="auto"/>
        </w:rPr>
        <w:t>。</w:t>
      </w:r>
    </w:p>
    <w:p>
      <w:pPr>
        <w:pStyle w:val="1078"/>
        <w:spacing w:before="120" w:beforeLines="50" w:line="240" w:lineRule="auto"/>
        <w:rPr>
          <w:rFonts w:hAnsi="黑体" w:cs="黑体"/>
        </w:rPr>
      </w:pPr>
      <w:r>
        <w:rPr>
          <w:rFonts w:hint="eastAsia" w:hAnsi="黑体" w:cs="黑体"/>
        </w:rPr>
        <w:t>表4.4-3  地表水环境质量现状监测断面布置一览表</w:t>
      </w:r>
    </w:p>
    <w:tbl>
      <w:tblPr>
        <w:tblStyle w:val="8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3"/>
        <w:gridCol w:w="5451"/>
        <w:gridCol w:w="23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pPr>
              <w:spacing w:line="340" w:lineRule="exact"/>
              <w:ind w:firstLine="0" w:firstLineChars="0"/>
              <w:jc w:val="center"/>
              <w:rPr>
                <w:sz w:val="21"/>
                <w:szCs w:val="21"/>
              </w:rPr>
            </w:pPr>
            <w:r>
              <w:rPr>
                <w:sz w:val="21"/>
                <w:szCs w:val="21"/>
              </w:rPr>
              <w:t>断面编号</w:t>
            </w:r>
          </w:p>
        </w:tc>
        <w:tc>
          <w:tcPr>
            <w:tcW w:w="2848" w:type="pct"/>
            <w:vAlign w:val="center"/>
          </w:tcPr>
          <w:p>
            <w:pPr>
              <w:spacing w:line="340" w:lineRule="exact"/>
              <w:ind w:firstLine="0" w:firstLineChars="0"/>
              <w:jc w:val="center"/>
              <w:rPr>
                <w:sz w:val="21"/>
                <w:szCs w:val="21"/>
              </w:rPr>
            </w:pPr>
            <w:r>
              <w:rPr>
                <w:sz w:val="21"/>
                <w:szCs w:val="21"/>
              </w:rPr>
              <w:t>断面位置</w:t>
            </w:r>
          </w:p>
        </w:tc>
        <w:tc>
          <w:tcPr>
            <w:tcW w:w="1214" w:type="pct"/>
            <w:vAlign w:val="center"/>
          </w:tcPr>
          <w:p>
            <w:pPr>
              <w:spacing w:line="340" w:lineRule="exact"/>
              <w:ind w:firstLine="0" w:firstLineChars="0"/>
              <w:jc w:val="center"/>
              <w:rPr>
                <w:sz w:val="21"/>
                <w:szCs w:val="21"/>
              </w:rPr>
            </w:pPr>
            <w:r>
              <w:rPr>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pPr>
              <w:spacing w:line="340" w:lineRule="exact"/>
              <w:ind w:firstLine="0" w:firstLineChars="0"/>
              <w:jc w:val="center"/>
              <w:rPr>
                <w:sz w:val="21"/>
                <w:szCs w:val="21"/>
              </w:rPr>
            </w:pPr>
            <w:bookmarkStart w:id="728" w:name="_Hlk500230108"/>
            <w:r>
              <w:rPr>
                <w:sz w:val="21"/>
                <w:szCs w:val="21"/>
              </w:rPr>
              <w:t>SW1</w:t>
            </w:r>
          </w:p>
        </w:tc>
        <w:tc>
          <w:tcPr>
            <w:tcW w:w="2848" w:type="pct"/>
            <w:vAlign w:val="center"/>
          </w:tcPr>
          <w:p>
            <w:pPr>
              <w:snapToGrid w:val="0"/>
              <w:spacing w:line="340" w:lineRule="exact"/>
              <w:ind w:firstLine="420"/>
              <w:jc w:val="center"/>
              <w:rPr>
                <w:sz w:val="21"/>
                <w:szCs w:val="21"/>
              </w:rPr>
            </w:pPr>
            <w:r>
              <w:rPr>
                <w:rFonts w:hint="eastAsia"/>
                <w:sz w:val="21"/>
                <w:szCs w:val="21"/>
              </w:rPr>
              <w:t>坝址上游500m</w:t>
            </w:r>
          </w:p>
        </w:tc>
        <w:tc>
          <w:tcPr>
            <w:tcW w:w="1214" w:type="pct"/>
            <w:vAlign w:val="center"/>
          </w:tcPr>
          <w:p>
            <w:pPr>
              <w:spacing w:line="340" w:lineRule="exact"/>
              <w:ind w:firstLine="0" w:firstLineChars="0"/>
              <w:jc w:val="center"/>
              <w:rPr>
                <w:sz w:val="21"/>
                <w:szCs w:val="21"/>
              </w:rPr>
            </w:pPr>
            <w:r>
              <w:rPr>
                <w:sz w:val="21"/>
                <w:szCs w:val="21"/>
              </w:rPr>
              <w:t>对照断面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pPr>
              <w:spacing w:line="340" w:lineRule="exact"/>
              <w:ind w:firstLine="0" w:firstLineChars="0"/>
              <w:jc w:val="center"/>
              <w:rPr>
                <w:sz w:val="21"/>
                <w:szCs w:val="21"/>
              </w:rPr>
            </w:pPr>
            <w:r>
              <w:rPr>
                <w:sz w:val="21"/>
                <w:szCs w:val="21"/>
              </w:rPr>
              <w:t>SW2</w:t>
            </w:r>
          </w:p>
        </w:tc>
        <w:tc>
          <w:tcPr>
            <w:tcW w:w="2848" w:type="pct"/>
            <w:vAlign w:val="center"/>
          </w:tcPr>
          <w:p>
            <w:pPr>
              <w:snapToGrid w:val="0"/>
              <w:spacing w:line="340" w:lineRule="exact"/>
              <w:ind w:firstLine="420"/>
              <w:jc w:val="center"/>
              <w:rPr>
                <w:sz w:val="21"/>
                <w:szCs w:val="21"/>
              </w:rPr>
            </w:pPr>
            <w:r>
              <w:rPr>
                <w:rFonts w:hint="eastAsia"/>
                <w:sz w:val="21"/>
                <w:szCs w:val="21"/>
              </w:rPr>
              <w:t>坝址处</w:t>
            </w:r>
          </w:p>
        </w:tc>
        <w:tc>
          <w:tcPr>
            <w:tcW w:w="1214" w:type="pct"/>
            <w:vAlign w:val="center"/>
          </w:tcPr>
          <w:p>
            <w:pPr>
              <w:spacing w:line="340" w:lineRule="exact"/>
              <w:ind w:firstLine="0" w:firstLineChars="0"/>
              <w:jc w:val="center"/>
              <w:rPr>
                <w:sz w:val="21"/>
                <w:szCs w:val="21"/>
              </w:rPr>
            </w:pPr>
            <w:r>
              <w:rPr>
                <w:rFonts w:hint="eastAsia"/>
                <w:sz w:val="21"/>
                <w:szCs w:val="21"/>
              </w:rPr>
              <w:t>控制</w:t>
            </w:r>
            <w:r>
              <w:rPr>
                <w:sz w:val="21"/>
                <w:szCs w:val="21"/>
              </w:rPr>
              <w:t>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pPr>
              <w:spacing w:line="340" w:lineRule="exact"/>
              <w:ind w:firstLine="0" w:firstLineChars="0"/>
              <w:jc w:val="center"/>
              <w:rPr>
                <w:sz w:val="21"/>
                <w:szCs w:val="21"/>
              </w:rPr>
            </w:pPr>
            <w:r>
              <w:rPr>
                <w:sz w:val="21"/>
                <w:szCs w:val="21"/>
              </w:rPr>
              <w:t>SW3</w:t>
            </w:r>
          </w:p>
        </w:tc>
        <w:tc>
          <w:tcPr>
            <w:tcW w:w="2848" w:type="pct"/>
            <w:vAlign w:val="center"/>
          </w:tcPr>
          <w:p>
            <w:pPr>
              <w:snapToGrid w:val="0"/>
              <w:spacing w:line="340" w:lineRule="exact"/>
              <w:ind w:firstLine="420"/>
              <w:jc w:val="center"/>
              <w:rPr>
                <w:sz w:val="21"/>
                <w:szCs w:val="21"/>
              </w:rPr>
            </w:pPr>
            <w:r>
              <w:rPr>
                <w:rFonts w:hint="eastAsia"/>
                <w:sz w:val="21"/>
                <w:szCs w:val="21"/>
              </w:rPr>
              <w:t>坝址下游500m</w:t>
            </w:r>
          </w:p>
        </w:tc>
        <w:tc>
          <w:tcPr>
            <w:tcW w:w="1214" w:type="pct"/>
            <w:vAlign w:val="center"/>
          </w:tcPr>
          <w:p>
            <w:pPr>
              <w:spacing w:line="340" w:lineRule="exact"/>
              <w:ind w:firstLine="0" w:firstLineChars="0"/>
              <w:jc w:val="center"/>
              <w:rPr>
                <w:sz w:val="21"/>
                <w:szCs w:val="21"/>
              </w:rPr>
            </w:pPr>
            <w:r>
              <w:rPr>
                <w:rFonts w:hint="eastAsia"/>
                <w:sz w:val="21"/>
                <w:szCs w:val="21"/>
              </w:rPr>
              <w:t>控制</w:t>
            </w:r>
            <w:r>
              <w:rPr>
                <w:sz w:val="21"/>
                <w:szCs w:val="21"/>
              </w:rPr>
              <w:t>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pPr>
              <w:spacing w:line="340" w:lineRule="exact"/>
              <w:ind w:firstLine="0" w:firstLineChars="0"/>
              <w:jc w:val="center"/>
              <w:rPr>
                <w:sz w:val="21"/>
                <w:szCs w:val="21"/>
              </w:rPr>
            </w:pPr>
            <w:r>
              <w:rPr>
                <w:sz w:val="21"/>
                <w:szCs w:val="21"/>
              </w:rPr>
              <w:t>SW4</w:t>
            </w:r>
          </w:p>
        </w:tc>
        <w:tc>
          <w:tcPr>
            <w:tcW w:w="2848" w:type="pct"/>
            <w:vAlign w:val="center"/>
          </w:tcPr>
          <w:p>
            <w:pPr>
              <w:snapToGrid w:val="0"/>
              <w:spacing w:line="340" w:lineRule="exact"/>
              <w:ind w:firstLine="420"/>
              <w:jc w:val="center"/>
              <w:rPr>
                <w:sz w:val="21"/>
                <w:szCs w:val="21"/>
              </w:rPr>
            </w:pPr>
            <w:r>
              <w:rPr>
                <w:rFonts w:hint="eastAsia"/>
                <w:sz w:val="21"/>
                <w:szCs w:val="21"/>
              </w:rPr>
              <w:t>坝址下游1500m</w:t>
            </w:r>
          </w:p>
        </w:tc>
        <w:tc>
          <w:tcPr>
            <w:tcW w:w="1214" w:type="pct"/>
            <w:vAlign w:val="center"/>
          </w:tcPr>
          <w:p>
            <w:pPr>
              <w:spacing w:line="340" w:lineRule="exact"/>
              <w:ind w:firstLine="0" w:firstLineChars="0"/>
              <w:jc w:val="center"/>
              <w:rPr>
                <w:sz w:val="21"/>
                <w:szCs w:val="21"/>
              </w:rPr>
            </w:pPr>
            <w:r>
              <w:rPr>
                <w:sz w:val="21"/>
                <w:szCs w:val="21"/>
              </w:rPr>
              <w:t>削减断面</w:t>
            </w:r>
          </w:p>
        </w:tc>
      </w:tr>
      <w:bookmarkEnd w:id="728"/>
    </w:tbl>
    <w:p>
      <w:pPr>
        <w:pStyle w:val="297"/>
        <w:spacing w:before="120" w:beforeLines="50" w:line="360" w:lineRule="auto"/>
        <w:rPr>
          <w:rFonts w:ascii="Times New Roman" w:hAnsi="Times New Roman"/>
          <w:color w:val="auto"/>
        </w:rPr>
      </w:pPr>
      <w:r>
        <w:rPr>
          <w:rFonts w:hint="eastAsia" w:cs="宋体"/>
          <w:color w:val="auto"/>
        </w:rPr>
        <w:t>②</w:t>
      </w:r>
      <w:r>
        <w:rPr>
          <w:rFonts w:ascii="Times New Roman" w:hAnsi="Times New Roman"/>
          <w:color w:val="auto"/>
        </w:rPr>
        <w:t>监测项目</w:t>
      </w:r>
    </w:p>
    <w:p>
      <w:pPr>
        <w:ind w:firstLine="480"/>
        <w:rPr>
          <w:szCs w:val="24"/>
        </w:rPr>
      </w:pPr>
      <w:r>
        <w:t>监测项目包括</w:t>
      </w:r>
      <w:r>
        <w:rPr>
          <w:szCs w:val="24"/>
        </w:rPr>
        <w:t>：</w:t>
      </w:r>
      <w:r>
        <w:t>pH值、高锰酸盐指数、DO、COD、BOD</w:t>
      </w:r>
      <w:r>
        <w:rPr>
          <w:vertAlign w:val="subscript"/>
        </w:rPr>
        <w:t>5</w:t>
      </w:r>
      <w:r>
        <w:t>、氨氮、总磷、总氮、粪大肠菌群、铜、锰、锌</w:t>
      </w:r>
      <w:r>
        <w:rPr>
          <w:szCs w:val="24"/>
        </w:rPr>
        <w:t>，共1</w:t>
      </w:r>
      <w:r>
        <w:rPr>
          <w:rFonts w:hint="eastAsia"/>
          <w:szCs w:val="24"/>
        </w:rPr>
        <w:t>2</w:t>
      </w:r>
      <w:r>
        <w:rPr>
          <w:szCs w:val="24"/>
        </w:rPr>
        <w:t>项。</w:t>
      </w:r>
    </w:p>
    <w:p>
      <w:pPr>
        <w:pStyle w:val="297"/>
        <w:spacing w:line="360" w:lineRule="auto"/>
        <w:rPr>
          <w:rFonts w:ascii="Times New Roman" w:hAnsi="Times New Roman"/>
          <w:color w:val="auto"/>
        </w:rPr>
      </w:pPr>
      <w:r>
        <w:rPr>
          <w:rFonts w:hint="eastAsia" w:cs="宋体"/>
          <w:color w:val="auto"/>
        </w:rPr>
        <w:t>③</w:t>
      </w:r>
      <w:r>
        <w:rPr>
          <w:rFonts w:ascii="Times New Roman" w:hAnsi="Times New Roman"/>
          <w:color w:val="auto"/>
        </w:rPr>
        <w:t>监测时间、频次及分析方法</w:t>
      </w:r>
    </w:p>
    <w:p>
      <w:pPr>
        <w:ind w:firstLine="480"/>
        <w:rPr>
          <w:kern w:val="0"/>
        </w:rPr>
      </w:pPr>
      <w:r>
        <w:rPr>
          <w:kern w:val="0"/>
        </w:rPr>
        <w:t>连续监测3天，监测时间分别为20</w:t>
      </w:r>
      <w:r>
        <w:rPr>
          <w:rFonts w:hint="eastAsia"/>
          <w:kern w:val="0"/>
        </w:rPr>
        <w:t>22</w:t>
      </w:r>
      <w:r>
        <w:rPr>
          <w:kern w:val="0"/>
        </w:rPr>
        <w:t>年7月</w:t>
      </w:r>
      <w:r>
        <w:rPr>
          <w:rFonts w:hint="eastAsia"/>
          <w:kern w:val="0"/>
        </w:rPr>
        <w:t>19</w:t>
      </w:r>
      <w:r>
        <w:rPr>
          <w:kern w:val="0"/>
        </w:rPr>
        <w:t>日至</w:t>
      </w:r>
      <w:r>
        <w:rPr>
          <w:rFonts w:hint="eastAsia"/>
          <w:kern w:val="0"/>
        </w:rPr>
        <w:t>21</w:t>
      </w:r>
      <w:r>
        <w:rPr>
          <w:kern w:val="0"/>
        </w:rPr>
        <w:t>日，每天采样1次。</w:t>
      </w:r>
    </w:p>
    <w:p>
      <w:pPr>
        <w:pStyle w:val="297"/>
        <w:spacing w:line="360" w:lineRule="auto"/>
        <w:rPr>
          <w:rFonts w:ascii="Times New Roman" w:hAnsi="Times New Roman"/>
          <w:color w:val="auto"/>
        </w:rPr>
      </w:pPr>
      <w:r>
        <w:rPr>
          <w:rFonts w:ascii="Times New Roman" w:hAnsi="Times New Roman"/>
          <w:color w:val="auto"/>
        </w:rPr>
        <w:t>水质采样及分析方法按《环境监测技术规范》和《水和废水监测分析方法》的要求执行。</w:t>
      </w:r>
    </w:p>
    <w:p>
      <w:pPr>
        <w:spacing w:before="120" w:beforeLines="50"/>
        <w:ind w:firstLine="480"/>
      </w:pPr>
      <w:bookmarkStart w:id="729" w:name="_Toc219870947"/>
      <w:r>
        <w:rPr>
          <w:rFonts w:hint="eastAsia" w:ascii="宋体" w:hAnsi="宋体" w:cs="宋体"/>
          <w:szCs w:val="24"/>
        </w:rPr>
        <w:t>⑵</w:t>
      </w:r>
      <w:r>
        <w:t>地表水环境现状评价</w:t>
      </w:r>
    </w:p>
    <w:bookmarkEnd w:id="729"/>
    <w:p>
      <w:pPr>
        <w:pStyle w:val="297"/>
        <w:spacing w:line="360" w:lineRule="auto"/>
        <w:rPr>
          <w:rFonts w:ascii="Times New Roman" w:hAnsi="Times New Roman"/>
          <w:color w:val="auto"/>
        </w:rPr>
      </w:pPr>
      <w:bookmarkStart w:id="730" w:name="_Toc214685595"/>
      <w:r>
        <w:rPr>
          <w:rFonts w:hint="eastAsia" w:cs="宋体"/>
          <w:color w:val="auto"/>
        </w:rPr>
        <w:t>①</w:t>
      </w:r>
      <w:r>
        <w:rPr>
          <w:rFonts w:ascii="Times New Roman" w:hAnsi="Times New Roman"/>
          <w:color w:val="auto"/>
        </w:rPr>
        <w:t>评价因子</w:t>
      </w:r>
    </w:p>
    <w:p>
      <w:pPr>
        <w:pStyle w:val="297"/>
        <w:spacing w:line="360" w:lineRule="auto"/>
        <w:rPr>
          <w:rFonts w:ascii="Times New Roman" w:hAnsi="Times New Roman"/>
          <w:color w:val="auto"/>
        </w:rPr>
      </w:pPr>
      <w:r>
        <w:rPr>
          <w:rFonts w:ascii="Times New Roman" w:hAnsi="Times New Roman"/>
          <w:color w:val="auto"/>
        </w:rPr>
        <w:t>评价因子：pH值、高锰酸盐指数、DO、COD、BOD</w:t>
      </w:r>
      <w:r>
        <w:rPr>
          <w:rFonts w:ascii="Times New Roman" w:hAnsi="Times New Roman"/>
          <w:color w:val="auto"/>
          <w:vertAlign w:val="subscript"/>
        </w:rPr>
        <w:t>5</w:t>
      </w:r>
      <w:r>
        <w:rPr>
          <w:rFonts w:ascii="Times New Roman" w:hAnsi="Times New Roman"/>
          <w:color w:val="auto"/>
        </w:rPr>
        <w:t>、氨氮、总磷、总氮、粪大肠菌群、铜、锰、锌</w:t>
      </w:r>
    </w:p>
    <w:p>
      <w:pPr>
        <w:pStyle w:val="297"/>
        <w:spacing w:line="360" w:lineRule="auto"/>
        <w:rPr>
          <w:rFonts w:ascii="Times New Roman" w:hAnsi="Times New Roman"/>
          <w:color w:val="auto"/>
        </w:rPr>
      </w:pPr>
      <w:r>
        <w:rPr>
          <w:rFonts w:hint="eastAsia" w:cs="宋体"/>
          <w:color w:val="auto"/>
        </w:rPr>
        <w:t>②</w:t>
      </w:r>
      <w:r>
        <w:rPr>
          <w:rFonts w:ascii="Times New Roman" w:hAnsi="Times New Roman"/>
          <w:color w:val="auto"/>
        </w:rPr>
        <w:t>评价标准</w:t>
      </w:r>
      <w:bookmarkEnd w:id="730"/>
    </w:p>
    <w:p>
      <w:pPr>
        <w:pStyle w:val="297"/>
        <w:spacing w:line="360" w:lineRule="auto"/>
        <w:rPr>
          <w:rFonts w:ascii="Times New Roman" w:hAnsi="Times New Roman"/>
          <w:color w:val="auto"/>
        </w:rPr>
      </w:pPr>
      <w:r>
        <w:rPr>
          <w:rFonts w:ascii="Times New Roman" w:hAnsi="Times New Roman"/>
          <w:color w:val="auto"/>
        </w:rPr>
        <w:t>《地表水环境质量标准》(GB3838-2002)中</w:t>
      </w:r>
      <w:r>
        <w:rPr>
          <w:rFonts w:hint="eastAsia" w:cs="宋体"/>
          <w:color w:val="auto"/>
          <w:kern w:val="0"/>
          <w:szCs w:val="24"/>
        </w:rPr>
        <w:t>Ⅲ</w:t>
      </w:r>
      <w:r>
        <w:rPr>
          <w:rFonts w:ascii="Times New Roman" w:hAnsi="Times New Roman"/>
          <w:color w:val="auto"/>
          <w:kern w:val="0"/>
          <w:szCs w:val="24"/>
        </w:rPr>
        <w:t>类标准</w:t>
      </w:r>
      <w:r>
        <w:rPr>
          <w:rFonts w:ascii="Times New Roman" w:hAnsi="Times New Roman"/>
          <w:color w:val="auto"/>
        </w:rPr>
        <w:t>。</w:t>
      </w:r>
    </w:p>
    <w:p>
      <w:pPr>
        <w:pStyle w:val="297"/>
        <w:spacing w:line="360" w:lineRule="auto"/>
        <w:rPr>
          <w:rFonts w:ascii="Times New Roman" w:hAnsi="Times New Roman"/>
          <w:color w:val="auto"/>
        </w:rPr>
      </w:pPr>
      <w:bookmarkStart w:id="731" w:name="_Toc214685596"/>
      <w:bookmarkStart w:id="732" w:name="_Toc214685597"/>
      <w:r>
        <w:rPr>
          <w:rFonts w:hint="eastAsia" w:cs="宋体"/>
          <w:color w:val="auto"/>
        </w:rPr>
        <w:t>③</w:t>
      </w:r>
      <w:r>
        <w:rPr>
          <w:rFonts w:ascii="Times New Roman" w:hAnsi="Times New Roman"/>
          <w:color w:val="auto"/>
        </w:rPr>
        <w:t>评价方法</w:t>
      </w:r>
      <w:bookmarkEnd w:id="731"/>
    </w:p>
    <w:p>
      <w:pPr>
        <w:autoSpaceDE w:val="0"/>
        <w:autoSpaceDN w:val="0"/>
        <w:adjustRightInd w:val="0"/>
        <w:ind w:firstLine="480"/>
      </w:pPr>
      <w:r>
        <w:rPr>
          <w:szCs w:val="24"/>
        </w:rPr>
        <w:t>按照《地表水环境质量评价办法(试行)》(环办[2011]22号文)中规定的单因子评价法，即《环境影响评价技术导则—地表水环境》(HJ2.3-2018)所推荐的单项评价标准指数法进行水质现状评价</w:t>
      </w:r>
      <w:r>
        <w:t>。即单项水质参数i在第j点的标准指数：</w:t>
      </w:r>
    </w:p>
    <w:p>
      <w:pPr>
        <w:autoSpaceDE w:val="0"/>
        <w:autoSpaceDN w:val="0"/>
        <w:adjustRightInd w:val="0"/>
        <w:ind w:firstLine="480"/>
      </w:pPr>
      <w:r>
        <w:t>S</w:t>
      </w:r>
      <w:r>
        <w:rPr>
          <w:vertAlign w:val="subscript"/>
        </w:rPr>
        <w:t>i，j</w:t>
      </w:r>
      <w:r>
        <w:t>=C</w:t>
      </w:r>
      <w:r>
        <w:rPr>
          <w:vertAlign w:val="subscript"/>
        </w:rPr>
        <w:t>i，j</w:t>
      </w:r>
      <w:r>
        <w:t>/Csi</w:t>
      </w:r>
    </w:p>
    <w:p>
      <w:pPr>
        <w:pStyle w:val="297"/>
        <w:spacing w:line="360" w:lineRule="auto"/>
        <w:rPr>
          <w:rFonts w:ascii="Times New Roman" w:hAnsi="Times New Roman"/>
          <w:color w:val="auto"/>
        </w:rPr>
      </w:pPr>
      <w:r>
        <w:rPr>
          <w:rFonts w:ascii="Times New Roman" w:hAnsi="Times New Roman"/>
          <w:color w:val="auto"/>
        </w:rPr>
        <w:t>式中：S</w:t>
      </w:r>
      <w:r>
        <w:rPr>
          <w:rFonts w:ascii="Times New Roman" w:hAnsi="Times New Roman"/>
          <w:color w:val="auto"/>
          <w:vertAlign w:val="subscript"/>
        </w:rPr>
        <w:t>i，j</w:t>
      </w:r>
      <w:r>
        <w:rPr>
          <w:rFonts w:ascii="Times New Roman" w:hAnsi="Times New Roman"/>
          <w:color w:val="auto"/>
        </w:rPr>
        <w:t>——水质参数i在j点的标准指数；</w:t>
      </w:r>
    </w:p>
    <w:p>
      <w:pPr>
        <w:pStyle w:val="297"/>
        <w:spacing w:line="360" w:lineRule="auto"/>
        <w:ind w:firstLine="1200" w:firstLineChars="500"/>
        <w:rPr>
          <w:rFonts w:ascii="Times New Roman" w:hAnsi="Times New Roman"/>
          <w:color w:val="auto"/>
        </w:rPr>
      </w:pPr>
      <w:r>
        <w:rPr>
          <w:rFonts w:ascii="Times New Roman" w:hAnsi="Times New Roman"/>
          <w:color w:val="auto"/>
        </w:rPr>
        <w:t>C</w:t>
      </w:r>
      <w:r>
        <w:rPr>
          <w:rFonts w:ascii="Times New Roman" w:hAnsi="Times New Roman"/>
          <w:color w:val="auto"/>
          <w:vertAlign w:val="subscript"/>
        </w:rPr>
        <w:t>i，j</w:t>
      </w:r>
      <w:r>
        <w:rPr>
          <w:rFonts w:ascii="Times New Roman" w:hAnsi="Times New Roman"/>
          <w:color w:val="auto"/>
        </w:rPr>
        <w:t>——水质参数i在j点的现状监测结果；</w:t>
      </w:r>
    </w:p>
    <w:p>
      <w:pPr>
        <w:pStyle w:val="297"/>
        <w:spacing w:line="360" w:lineRule="auto"/>
        <w:ind w:firstLine="1200" w:firstLineChars="500"/>
        <w:rPr>
          <w:rFonts w:ascii="Times New Roman" w:hAnsi="Times New Roman"/>
          <w:color w:val="auto"/>
        </w:rPr>
      </w:pPr>
      <w:r>
        <w:rPr>
          <w:rFonts w:ascii="Times New Roman" w:hAnsi="Times New Roman"/>
          <w:color w:val="auto"/>
        </w:rPr>
        <w:t>Csi——水质参数i的地表水环境质量标准值。</w:t>
      </w:r>
    </w:p>
    <w:p>
      <w:pPr>
        <w:pStyle w:val="297"/>
        <w:spacing w:line="360" w:lineRule="auto"/>
        <w:rPr>
          <w:rFonts w:ascii="Times New Roman" w:hAnsi="Times New Roman"/>
          <w:color w:val="auto"/>
        </w:rPr>
      </w:pPr>
      <w:r>
        <w:rPr>
          <w:rFonts w:ascii="Times New Roman" w:hAnsi="Times New Roman"/>
          <w:color w:val="auto"/>
        </w:rPr>
        <w:t>pH的标准指数的计算公式为：</w:t>
      </w:r>
    </w:p>
    <w:p>
      <w:pPr>
        <w:pStyle w:val="297"/>
        <w:spacing w:line="360" w:lineRule="auto"/>
        <w:jc w:val="center"/>
        <w:rPr>
          <w:rFonts w:ascii="Times New Roman" w:hAnsi="Times New Roman"/>
          <w:color w:val="auto"/>
        </w:rPr>
      </w:pPr>
      <w:r>
        <w:rPr>
          <w:rFonts w:ascii="Times New Roman" w:hAnsi="Times New Roman"/>
          <w:color w:val="auto"/>
        </w:rPr>
        <w:object>
          <v:shape id="_x0000_i1026" o:spt="75" type="#_x0000_t75" style="height:33.75pt;width:82.5pt;" o:ole="t" filled="f" coordsize="21600,21600">
            <v:path/>
            <v:fill on="f" focussize="0,0"/>
            <v:stroke/>
            <v:imagedata r:id="rId41" o:title=""/>
            <o:lock v:ext="edit" aspectratio="t"/>
            <w10:wrap type="none"/>
            <w10:anchorlock/>
          </v:shape>
          <o:OLEObject Type="Embed" ProgID="Equation.3" ShapeID="_x0000_i1026" DrawAspect="Content" ObjectID="_1468075726" r:id="rId40">
            <o:LockedField>false</o:LockedField>
          </o:OLEObject>
        </w:object>
      </w:r>
      <w:r>
        <w:rPr>
          <w:rFonts w:hint="eastAsia" w:ascii="Times New Roman" w:hAnsi="Times New Roman"/>
          <w:color w:val="auto"/>
        </w:rPr>
        <w:t xml:space="preserve"> </w:t>
      </w:r>
      <w:r>
        <w:rPr>
          <w:rFonts w:ascii="Times New Roman" w:hAnsi="Times New Roman"/>
          <w:color w:val="auto"/>
        </w:rPr>
        <w:t>(pH</w:t>
      </w:r>
      <w:r>
        <w:rPr>
          <w:rFonts w:ascii="Times New Roman" w:hAnsi="Times New Roman"/>
          <w:color w:val="auto"/>
          <w:vertAlign w:val="subscript"/>
        </w:rPr>
        <w:t>j</w:t>
      </w:r>
      <w:r>
        <w:rPr>
          <w:rFonts w:ascii="Times New Roman" w:hAnsi="Times New Roman"/>
          <w:color w:val="auto"/>
        </w:rPr>
        <w:t>≤7.0)</w:t>
      </w:r>
      <w:r>
        <w:rPr>
          <w:rFonts w:hint="eastAsia" w:ascii="Times New Roman" w:hAnsi="Times New Roman"/>
          <w:color w:val="auto"/>
        </w:rPr>
        <w:t xml:space="preserve">          </w:t>
      </w:r>
      <w:r>
        <w:rPr>
          <w:rFonts w:ascii="Times New Roman" w:hAnsi="Times New Roman"/>
          <w:color w:val="auto"/>
        </w:rPr>
        <w:object>
          <v:shape id="_x0000_i1027" o:spt="75" type="#_x0000_t75" style="height:33.75pt;width:81.8pt;" o:ole="t" filled="f" coordsize="21600,21600">
            <v:path/>
            <v:fill on="f" focussize="0,0"/>
            <v:stroke/>
            <v:imagedata r:id="rId43" o:title=""/>
            <o:lock v:ext="edit" aspectratio="t"/>
            <w10:wrap type="none"/>
            <w10:anchorlock/>
          </v:shape>
          <o:OLEObject Type="Embed" ProgID="Equation.3" ShapeID="_x0000_i1027" DrawAspect="Content" ObjectID="_1468075727" r:id="rId42">
            <o:LockedField>false</o:LockedField>
          </o:OLEObject>
        </w:object>
      </w:r>
      <w:r>
        <w:rPr>
          <w:rFonts w:ascii="Times New Roman" w:hAnsi="Times New Roman"/>
          <w:color w:val="auto"/>
        </w:rPr>
        <w:t>(pH</w:t>
      </w:r>
      <w:r>
        <w:rPr>
          <w:rFonts w:ascii="Times New Roman" w:hAnsi="Times New Roman"/>
          <w:color w:val="auto"/>
          <w:vertAlign w:val="subscript"/>
        </w:rPr>
        <w:t>j</w:t>
      </w:r>
      <w:r>
        <w:rPr>
          <w:rFonts w:ascii="Times New Roman" w:hAnsi="Times New Roman"/>
          <w:color w:val="auto"/>
        </w:rPr>
        <w:t>＞7.0)</w:t>
      </w:r>
    </w:p>
    <w:p>
      <w:pPr>
        <w:pStyle w:val="297"/>
        <w:spacing w:line="360" w:lineRule="auto"/>
        <w:rPr>
          <w:rFonts w:ascii="Times New Roman" w:hAnsi="Times New Roman"/>
          <w:color w:val="auto"/>
        </w:rPr>
      </w:pPr>
      <w:r>
        <w:rPr>
          <w:rFonts w:ascii="Times New Roman" w:hAnsi="Times New Roman"/>
          <w:color w:val="auto"/>
        </w:rPr>
        <w:t>式中：pH</w:t>
      </w:r>
      <w:r>
        <w:rPr>
          <w:rFonts w:ascii="Times New Roman" w:hAnsi="Times New Roman"/>
          <w:color w:val="auto"/>
          <w:vertAlign w:val="subscript"/>
        </w:rPr>
        <w:t>j</w:t>
      </w:r>
      <w:r>
        <w:rPr>
          <w:rFonts w:ascii="Times New Roman" w:hAnsi="Times New Roman"/>
          <w:color w:val="auto"/>
        </w:rPr>
        <w:t>——j点的pH现状监测结果；</w:t>
      </w:r>
    </w:p>
    <w:p>
      <w:pPr>
        <w:pStyle w:val="297"/>
        <w:spacing w:line="360" w:lineRule="auto"/>
        <w:ind w:firstLine="1200" w:firstLineChars="500"/>
        <w:rPr>
          <w:rFonts w:ascii="Times New Roman" w:hAnsi="Times New Roman"/>
          <w:color w:val="auto"/>
        </w:rPr>
      </w:pPr>
      <w:r>
        <w:rPr>
          <w:rFonts w:ascii="Times New Roman" w:hAnsi="Times New Roman"/>
          <w:color w:val="auto"/>
        </w:rPr>
        <w:t>pH</w:t>
      </w:r>
      <w:r>
        <w:rPr>
          <w:rFonts w:ascii="Times New Roman" w:hAnsi="Times New Roman"/>
          <w:color w:val="auto"/>
          <w:vertAlign w:val="subscript"/>
        </w:rPr>
        <w:t>sd</w:t>
      </w:r>
      <w:r>
        <w:rPr>
          <w:rFonts w:ascii="Times New Roman" w:hAnsi="Times New Roman"/>
          <w:color w:val="auto"/>
        </w:rPr>
        <w:t>——地表水环境质量标准中pH的下限；</w:t>
      </w:r>
    </w:p>
    <w:p>
      <w:pPr>
        <w:pStyle w:val="297"/>
        <w:spacing w:line="360" w:lineRule="auto"/>
        <w:ind w:firstLine="1200" w:firstLineChars="500"/>
        <w:rPr>
          <w:rFonts w:ascii="Times New Roman" w:hAnsi="Times New Roman"/>
          <w:color w:val="auto"/>
        </w:rPr>
      </w:pPr>
      <w:r>
        <w:rPr>
          <w:rFonts w:ascii="Times New Roman" w:hAnsi="Times New Roman"/>
          <w:color w:val="auto"/>
        </w:rPr>
        <w:t>pH</w:t>
      </w:r>
      <w:r>
        <w:rPr>
          <w:rFonts w:ascii="Times New Roman" w:hAnsi="Times New Roman"/>
          <w:color w:val="auto"/>
          <w:vertAlign w:val="subscript"/>
        </w:rPr>
        <w:t>su</w:t>
      </w:r>
      <w:r>
        <w:rPr>
          <w:rFonts w:ascii="Times New Roman" w:hAnsi="Times New Roman"/>
          <w:color w:val="auto"/>
        </w:rPr>
        <w:t>——地表水环境质量标准中pH的上限。</w:t>
      </w:r>
    </w:p>
    <w:p>
      <w:pPr>
        <w:pStyle w:val="297"/>
        <w:spacing w:line="360" w:lineRule="auto"/>
        <w:rPr>
          <w:rFonts w:ascii="Times New Roman" w:hAnsi="Times New Roman"/>
          <w:color w:val="auto"/>
        </w:rPr>
      </w:pPr>
      <w:r>
        <w:rPr>
          <w:rFonts w:ascii="Times New Roman" w:hAnsi="Times New Roman"/>
          <w:color w:val="auto"/>
        </w:rPr>
        <w:t>DO的标准指数的计算公式为：</w:t>
      </w:r>
    </w:p>
    <w:p>
      <w:pPr>
        <w:autoSpaceDE w:val="0"/>
        <w:autoSpaceDN w:val="0"/>
        <w:adjustRightInd w:val="0"/>
        <w:ind w:firstLine="480"/>
        <w:jc w:val="center"/>
        <w:rPr>
          <w:kern w:val="0"/>
          <w:szCs w:val="24"/>
        </w:rPr>
      </w:pPr>
      <w:r>
        <w:rPr>
          <w:kern w:val="0"/>
          <w:position w:val="-32"/>
          <w:szCs w:val="24"/>
        </w:rPr>
        <w:object>
          <v:shape id="_x0000_i1028" o:spt="75" type="#_x0000_t75" style="height:37pt;width:161pt;" o:ole="t" filled="f" coordsize="21600,21600">
            <v:path/>
            <v:fill on="f" focussize="0,0"/>
            <v:stroke/>
            <v:imagedata r:id="rId45" o:title=""/>
            <o:lock v:ext="edit" aspectratio="t"/>
            <w10:wrap type="none"/>
            <w10:anchorlock/>
          </v:shape>
          <o:OLEObject Type="Embed" ProgID="Equation.3" ShapeID="_x0000_i1028" DrawAspect="Content" ObjectID="_1468075728" r:id="rId44">
            <o:LockedField>false</o:LockedField>
          </o:OLEObject>
        </w:object>
      </w:r>
      <w:r>
        <w:rPr>
          <w:kern w:val="0"/>
          <w:position w:val="-32"/>
          <w:szCs w:val="24"/>
        </w:rPr>
        <w:object>
          <v:shape id="_x0000_i1029" o:spt="75" type="#_x0000_t75" style="height:37pt;width:128pt;" o:ole="t" filled="f" coordsize="21600,21600">
            <v:path/>
            <v:fill on="f" focussize="0,0"/>
            <v:stroke/>
            <v:imagedata r:id="rId47" o:title=""/>
            <o:lock v:ext="edit" aspectratio="t"/>
            <w10:wrap type="none"/>
            <w10:anchorlock/>
          </v:shape>
          <o:OLEObject Type="Embed" ProgID="Equation.3" ShapeID="_x0000_i1029" DrawAspect="Content" ObjectID="_1468075729" r:id="rId46">
            <o:LockedField>false</o:LockedField>
          </o:OLEObject>
        </w:object>
      </w:r>
    </w:p>
    <w:p>
      <w:pPr>
        <w:ind w:firstLine="480"/>
        <w:jc w:val="center"/>
        <w:rPr>
          <w:szCs w:val="24"/>
        </w:rPr>
      </w:pPr>
      <w:r>
        <w:rPr>
          <w:kern w:val="0"/>
          <w:position w:val="-14"/>
          <w:szCs w:val="24"/>
        </w:rPr>
        <w:drawing>
          <wp:inline distT="0" distB="0" distL="114300" distR="114300">
            <wp:extent cx="1472565" cy="247015"/>
            <wp:effectExtent l="0" t="0" r="0" b="0"/>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48"/>
                    <a:stretch>
                      <a:fillRect/>
                    </a:stretch>
                  </pic:blipFill>
                  <pic:spPr>
                    <a:xfrm>
                      <a:off x="0" y="0"/>
                      <a:ext cx="1472565" cy="247015"/>
                    </a:xfrm>
                    <a:prstGeom prst="rect">
                      <a:avLst/>
                    </a:prstGeom>
                    <a:noFill/>
                    <a:ln>
                      <a:noFill/>
                    </a:ln>
                  </pic:spPr>
                </pic:pic>
              </a:graphicData>
            </a:graphic>
          </wp:inline>
        </w:drawing>
      </w:r>
    </w:p>
    <w:p>
      <w:pPr>
        <w:pStyle w:val="44"/>
        <w:spacing w:line="360" w:lineRule="auto"/>
        <w:ind w:firstLine="600" w:firstLineChars="250"/>
        <w:rPr>
          <w:rFonts w:ascii="Times New Roman" w:hAnsi="Times New Roman"/>
          <w:sz w:val="24"/>
          <w:szCs w:val="24"/>
        </w:rPr>
      </w:pPr>
      <w:r>
        <w:rPr>
          <w:rFonts w:ascii="Times New Roman" w:hAnsi="Times New Roman"/>
          <w:sz w:val="24"/>
          <w:szCs w:val="24"/>
        </w:rPr>
        <w:t>式中：S</w:t>
      </w:r>
      <w:r>
        <w:rPr>
          <w:rFonts w:ascii="Times New Roman" w:hAnsi="Times New Roman"/>
          <w:sz w:val="24"/>
          <w:szCs w:val="24"/>
          <w:vertAlign w:val="subscript"/>
        </w:rPr>
        <w:t>DOi,j</w:t>
      </w:r>
      <w:r>
        <w:rPr>
          <w:rFonts w:ascii="Times New Roman" w:hAnsi="Times New Roman"/>
          <w:sz w:val="24"/>
          <w:szCs w:val="24"/>
        </w:rPr>
        <w:t>──DO的污染指数；</w:t>
      </w:r>
      <w:r>
        <w:rPr>
          <w:rFonts w:hint="eastAsia" w:ascii="Times New Roman" w:hAnsi="Times New Roman"/>
          <w:sz w:val="24"/>
          <w:szCs w:val="24"/>
        </w:rPr>
        <w:t xml:space="preserve">      </w:t>
      </w:r>
      <w:r>
        <w:rPr>
          <w:rFonts w:ascii="Times New Roman" w:hAnsi="Times New Roman"/>
          <w:sz w:val="24"/>
          <w:szCs w:val="24"/>
        </w:rPr>
        <w:t>DO</w:t>
      </w:r>
      <w:r>
        <w:rPr>
          <w:rFonts w:ascii="Times New Roman" w:hAnsi="Times New Roman"/>
          <w:sz w:val="24"/>
          <w:szCs w:val="24"/>
          <w:vertAlign w:val="subscript"/>
        </w:rPr>
        <w:t>j</w:t>
      </w:r>
      <w:r>
        <w:rPr>
          <w:rFonts w:ascii="Times New Roman" w:hAnsi="Times New Roman"/>
          <w:sz w:val="24"/>
          <w:szCs w:val="24"/>
        </w:rPr>
        <w:t>──DO实测浓度值；</w:t>
      </w:r>
    </w:p>
    <w:p>
      <w:pPr>
        <w:pStyle w:val="44"/>
        <w:spacing w:line="360" w:lineRule="auto"/>
        <w:ind w:firstLine="1320" w:firstLineChars="550"/>
        <w:rPr>
          <w:rFonts w:ascii="Times New Roman" w:hAnsi="Times New Roman"/>
          <w:sz w:val="24"/>
          <w:szCs w:val="24"/>
        </w:rPr>
      </w:pPr>
      <w:r>
        <w:rPr>
          <w:rFonts w:ascii="Times New Roman" w:hAnsi="Times New Roman"/>
          <w:sz w:val="24"/>
          <w:szCs w:val="24"/>
        </w:rPr>
        <w:t>DO</w:t>
      </w:r>
      <w:r>
        <w:rPr>
          <w:rFonts w:ascii="Times New Roman" w:hAnsi="Times New Roman"/>
          <w:sz w:val="24"/>
          <w:szCs w:val="24"/>
          <w:vertAlign w:val="subscript"/>
        </w:rPr>
        <w:t>S</w:t>
      </w:r>
      <w:r>
        <w:rPr>
          <w:rFonts w:ascii="Times New Roman" w:hAnsi="Times New Roman"/>
          <w:sz w:val="24"/>
          <w:szCs w:val="24"/>
        </w:rPr>
        <w:t>──DO水质标准；DO</w:t>
      </w:r>
      <w:r>
        <w:rPr>
          <w:rFonts w:ascii="Times New Roman" w:hAnsi="Times New Roman"/>
          <w:sz w:val="24"/>
          <w:szCs w:val="24"/>
          <w:vertAlign w:val="subscript"/>
        </w:rPr>
        <w:t>f</w:t>
      </w:r>
      <w:r>
        <w:rPr>
          <w:rFonts w:ascii="Times New Roman" w:hAnsi="Times New Roman"/>
          <w:sz w:val="24"/>
          <w:szCs w:val="24"/>
        </w:rPr>
        <w:t>──温度为T时DO的饱和浓度值</w:t>
      </w:r>
    </w:p>
    <w:p>
      <w:pPr>
        <w:pStyle w:val="297"/>
        <w:spacing w:line="360" w:lineRule="auto"/>
        <w:rPr>
          <w:rFonts w:ascii="Times New Roman" w:hAnsi="Times New Roman"/>
          <w:color w:val="auto"/>
        </w:rPr>
      </w:pPr>
      <w:r>
        <w:rPr>
          <w:rFonts w:hint="eastAsia" w:cs="宋体"/>
          <w:color w:val="auto"/>
          <w:szCs w:val="24"/>
        </w:rPr>
        <w:t>（3）</w:t>
      </w:r>
      <w:r>
        <w:rPr>
          <w:rFonts w:ascii="Times New Roman" w:hAnsi="Times New Roman"/>
          <w:color w:val="auto"/>
        </w:rPr>
        <w:t>评价结果</w:t>
      </w:r>
    </w:p>
    <w:bookmarkEnd w:id="732"/>
    <w:p>
      <w:pPr>
        <w:pStyle w:val="1078"/>
        <w:spacing w:before="120" w:beforeLines="50" w:line="240" w:lineRule="auto"/>
        <w:ind w:firstLine="641"/>
        <w:rPr>
          <w:rFonts w:hAnsi="黑体" w:cs="黑体"/>
        </w:rPr>
      </w:pPr>
      <w:r>
        <w:rPr>
          <w:rFonts w:hint="eastAsia" w:hAnsi="黑体" w:cs="黑体"/>
        </w:rPr>
        <w:t>表4.4-4  地表水环境质量现状评价结果 单位：mg/L(pH无量纲)</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2"/>
        <w:gridCol w:w="1191"/>
        <w:gridCol w:w="1668"/>
        <w:gridCol w:w="1668"/>
        <w:gridCol w:w="1519"/>
        <w:gridCol w:w="18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94"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监测项目</w:t>
            </w:r>
          </w:p>
        </w:tc>
        <w:tc>
          <w:tcPr>
            <w:tcW w:w="622"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项目</w:t>
            </w:r>
          </w:p>
        </w:tc>
        <w:tc>
          <w:tcPr>
            <w:tcW w:w="871"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SW1</w:t>
            </w:r>
          </w:p>
        </w:tc>
        <w:tc>
          <w:tcPr>
            <w:tcW w:w="871"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SW2</w:t>
            </w:r>
          </w:p>
        </w:tc>
        <w:tc>
          <w:tcPr>
            <w:tcW w:w="793"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SW3</w:t>
            </w:r>
          </w:p>
        </w:tc>
        <w:tc>
          <w:tcPr>
            <w:tcW w:w="946" w:type="pct"/>
            <w:vAlign w:val="center"/>
          </w:tcPr>
          <w:p>
            <w:pPr>
              <w:snapToGrid w:val="0"/>
              <w:spacing w:line="340" w:lineRule="exact"/>
              <w:ind w:firstLine="0" w:firstLineChars="0"/>
              <w:contextualSpacing/>
              <w:jc w:val="center"/>
              <w:rPr>
                <w:b/>
                <w:snapToGrid w:val="0"/>
                <w:kern w:val="0"/>
                <w:sz w:val="21"/>
                <w:szCs w:val="21"/>
              </w:rPr>
            </w:pPr>
            <w:r>
              <w:rPr>
                <w:b/>
                <w:snapToGrid w:val="0"/>
                <w:kern w:val="0"/>
                <w:sz w:val="21"/>
                <w:szCs w:val="21"/>
              </w:rPr>
              <w:t>SW4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snapToGrid w:val="0"/>
                <w:kern w:val="0"/>
                <w:sz w:val="21"/>
                <w:szCs w:val="21"/>
              </w:rPr>
              <w:t>pH</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rFonts w:hint="eastAsia"/>
                <w:sz w:val="21"/>
              </w:rPr>
              <w:t>7.11</w:t>
            </w:r>
            <w:r>
              <w:rPr>
                <w:sz w:val="21"/>
              </w:rPr>
              <w:t>~</w:t>
            </w:r>
            <w:r>
              <w:rPr>
                <w:rFonts w:hint="eastAsia"/>
                <w:sz w:val="21"/>
              </w:rPr>
              <w:t>7.41</w:t>
            </w:r>
          </w:p>
        </w:tc>
        <w:tc>
          <w:tcPr>
            <w:tcW w:w="871" w:type="pct"/>
            <w:vAlign w:val="center"/>
          </w:tcPr>
          <w:p>
            <w:pPr>
              <w:pStyle w:val="1329"/>
              <w:adjustRightInd/>
              <w:spacing w:line="340" w:lineRule="exact"/>
              <w:contextualSpacing/>
              <w:rPr>
                <w:sz w:val="21"/>
              </w:rPr>
            </w:pPr>
            <w:r>
              <w:rPr>
                <w:rFonts w:hint="eastAsia"/>
                <w:sz w:val="21"/>
              </w:rPr>
              <w:t>7.28</w:t>
            </w:r>
            <w:r>
              <w:rPr>
                <w:sz w:val="21"/>
              </w:rPr>
              <w:t>~</w:t>
            </w:r>
            <w:r>
              <w:rPr>
                <w:rFonts w:hint="eastAsia"/>
                <w:sz w:val="21"/>
              </w:rPr>
              <w:t>7.63</w:t>
            </w:r>
          </w:p>
        </w:tc>
        <w:tc>
          <w:tcPr>
            <w:tcW w:w="793" w:type="pct"/>
            <w:vAlign w:val="center"/>
          </w:tcPr>
          <w:p>
            <w:pPr>
              <w:pStyle w:val="1329"/>
              <w:adjustRightInd/>
              <w:spacing w:line="340" w:lineRule="exact"/>
              <w:contextualSpacing/>
              <w:rPr>
                <w:sz w:val="21"/>
              </w:rPr>
            </w:pPr>
            <w:r>
              <w:rPr>
                <w:rFonts w:hint="eastAsia"/>
                <w:sz w:val="21"/>
              </w:rPr>
              <w:t>7.21</w:t>
            </w:r>
            <w:r>
              <w:rPr>
                <w:sz w:val="21"/>
              </w:rPr>
              <w:t>~</w:t>
            </w:r>
            <w:r>
              <w:rPr>
                <w:rFonts w:hint="eastAsia"/>
                <w:sz w:val="21"/>
              </w:rPr>
              <w:t>7.81</w:t>
            </w:r>
          </w:p>
        </w:tc>
        <w:tc>
          <w:tcPr>
            <w:tcW w:w="946" w:type="pct"/>
            <w:vAlign w:val="center"/>
          </w:tcPr>
          <w:p>
            <w:pPr>
              <w:pStyle w:val="1329"/>
              <w:adjustRightInd/>
              <w:spacing w:line="340" w:lineRule="exact"/>
              <w:contextualSpacing/>
              <w:rPr>
                <w:sz w:val="21"/>
              </w:rPr>
            </w:pPr>
            <w:r>
              <w:rPr>
                <w:rFonts w:hint="eastAsia"/>
                <w:sz w:val="21"/>
              </w:rPr>
              <w:t>7.46</w:t>
            </w:r>
            <w:r>
              <w:rPr>
                <w:sz w:val="21"/>
              </w:rPr>
              <w:t>~</w:t>
            </w:r>
            <w:r>
              <w:rPr>
                <w:rFonts w:hint="eastAsia"/>
                <w:sz w:val="21"/>
              </w:rPr>
              <w:t>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055</w:t>
            </w:r>
            <w:r>
              <w:rPr>
                <w:sz w:val="21"/>
              </w:rPr>
              <w:t>~0.</w:t>
            </w:r>
            <w:r>
              <w:rPr>
                <w:rFonts w:hint="eastAsia"/>
                <w:sz w:val="21"/>
              </w:rPr>
              <w:t>205</w:t>
            </w:r>
          </w:p>
        </w:tc>
        <w:tc>
          <w:tcPr>
            <w:tcW w:w="871" w:type="pct"/>
            <w:vAlign w:val="center"/>
          </w:tcPr>
          <w:p>
            <w:pPr>
              <w:pStyle w:val="1329"/>
              <w:adjustRightInd/>
              <w:spacing w:line="340" w:lineRule="exact"/>
              <w:contextualSpacing/>
              <w:rPr>
                <w:sz w:val="21"/>
              </w:rPr>
            </w:pPr>
            <w:r>
              <w:rPr>
                <w:sz w:val="21"/>
              </w:rPr>
              <w:t>0.</w:t>
            </w:r>
            <w:r>
              <w:rPr>
                <w:rFonts w:hint="eastAsia"/>
                <w:sz w:val="21"/>
              </w:rPr>
              <w:t>14</w:t>
            </w:r>
            <w:r>
              <w:rPr>
                <w:sz w:val="21"/>
              </w:rPr>
              <w:t>~0.</w:t>
            </w:r>
            <w:r>
              <w:rPr>
                <w:rFonts w:hint="eastAsia"/>
                <w:sz w:val="21"/>
              </w:rPr>
              <w:t>315</w:t>
            </w:r>
          </w:p>
        </w:tc>
        <w:tc>
          <w:tcPr>
            <w:tcW w:w="793" w:type="pct"/>
            <w:vAlign w:val="center"/>
          </w:tcPr>
          <w:p>
            <w:pPr>
              <w:pStyle w:val="1329"/>
              <w:adjustRightInd/>
              <w:spacing w:line="340" w:lineRule="exact"/>
              <w:contextualSpacing/>
              <w:rPr>
                <w:sz w:val="21"/>
              </w:rPr>
            </w:pPr>
            <w:r>
              <w:rPr>
                <w:sz w:val="21"/>
              </w:rPr>
              <w:t>0.1</w:t>
            </w:r>
            <w:r>
              <w:rPr>
                <w:rFonts w:hint="eastAsia"/>
                <w:sz w:val="21"/>
              </w:rPr>
              <w:t>05</w:t>
            </w:r>
            <w:r>
              <w:rPr>
                <w:sz w:val="21"/>
              </w:rPr>
              <w:t>~0.4</w:t>
            </w:r>
            <w:r>
              <w:rPr>
                <w:rFonts w:hint="eastAsia"/>
                <w:sz w:val="21"/>
              </w:rPr>
              <w:t>05</w:t>
            </w:r>
          </w:p>
        </w:tc>
        <w:tc>
          <w:tcPr>
            <w:tcW w:w="946" w:type="pct"/>
            <w:vAlign w:val="center"/>
          </w:tcPr>
          <w:p>
            <w:pPr>
              <w:pStyle w:val="1329"/>
              <w:adjustRightInd/>
              <w:spacing w:line="340" w:lineRule="exact"/>
              <w:contextualSpacing/>
              <w:rPr>
                <w:sz w:val="21"/>
              </w:rPr>
            </w:pPr>
            <w:r>
              <w:rPr>
                <w:sz w:val="21"/>
              </w:rPr>
              <w:t>0.</w:t>
            </w:r>
            <w:r>
              <w:rPr>
                <w:rFonts w:hint="eastAsia"/>
                <w:sz w:val="21"/>
              </w:rPr>
              <w:t>23</w:t>
            </w:r>
            <w:r>
              <w:rPr>
                <w:sz w:val="21"/>
              </w:rPr>
              <w:t>~0.</w:t>
            </w:r>
            <w:r>
              <w:rPr>
                <w:rFonts w:hint="eastAsia"/>
                <w:sz w:val="21"/>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snapToGrid w:val="0"/>
                <w:kern w:val="0"/>
                <w:sz w:val="21"/>
                <w:szCs w:val="21"/>
              </w:rPr>
              <w:t>COD</w:t>
            </w:r>
            <w:r>
              <w:rPr>
                <w:snapToGrid w:val="0"/>
                <w:kern w:val="0"/>
                <w:sz w:val="21"/>
                <w:szCs w:val="21"/>
                <w:vertAlign w:val="subscript"/>
              </w:rPr>
              <w:t>Cr</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rFonts w:hint="eastAsia"/>
                <w:sz w:val="21"/>
              </w:rPr>
              <w:t>11</w:t>
            </w:r>
            <w:r>
              <w:rPr>
                <w:sz w:val="21"/>
              </w:rPr>
              <w:t>~1</w:t>
            </w:r>
            <w:r>
              <w:rPr>
                <w:rFonts w:hint="eastAsia"/>
                <w:sz w:val="21"/>
              </w:rPr>
              <w:t>6</w:t>
            </w:r>
          </w:p>
        </w:tc>
        <w:tc>
          <w:tcPr>
            <w:tcW w:w="871" w:type="pct"/>
            <w:vAlign w:val="center"/>
          </w:tcPr>
          <w:p>
            <w:pPr>
              <w:pStyle w:val="1329"/>
              <w:adjustRightInd/>
              <w:spacing w:line="340" w:lineRule="exact"/>
              <w:contextualSpacing/>
              <w:rPr>
                <w:sz w:val="21"/>
              </w:rPr>
            </w:pPr>
            <w:r>
              <w:rPr>
                <w:rFonts w:hint="eastAsia"/>
                <w:sz w:val="21"/>
              </w:rPr>
              <w:t>8</w:t>
            </w:r>
            <w:r>
              <w:rPr>
                <w:sz w:val="21"/>
              </w:rPr>
              <w:t>~1</w:t>
            </w:r>
            <w:r>
              <w:rPr>
                <w:rFonts w:hint="eastAsia"/>
                <w:sz w:val="21"/>
              </w:rPr>
              <w:t>5</w:t>
            </w:r>
          </w:p>
        </w:tc>
        <w:tc>
          <w:tcPr>
            <w:tcW w:w="793" w:type="pct"/>
            <w:vAlign w:val="center"/>
          </w:tcPr>
          <w:p>
            <w:pPr>
              <w:pStyle w:val="1329"/>
              <w:adjustRightInd/>
              <w:spacing w:line="340" w:lineRule="exact"/>
              <w:contextualSpacing/>
              <w:rPr>
                <w:sz w:val="21"/>
              </w:rPr>
            </w:pPr>
            <w:r>
              <w:rPr>
                <w:sz w:val="21"/>
              </w:rPr>
              <w:t>1</w:t>
            </w:r>
            <w:r>
              <w:rPr>
                <w:rFonts w:hint="eastAsia"/>
                <w:sz w:val="21"/>
              </w:rPr>
              <w:t>2</w:t>
            </w:r>
            <w:r>
              <w:rPr>
                <w:sz w:val="21"/>
              </w:rPr>
              <w:t>~1</w:t>
            </w:r>
            <w:r>
              <w:rPr>
                <w:rFonts w:hint="eastAsia"/>
                <w:sz w:val="21"/>
              </w:rPr>
              <w:t>7</w:t>
            </w:r>
          </w:p>
        </w:tc>
        <w:tc>
          <w:tcPr>
            <w:tcW w:w="946" w:type="pct"/>
            <w:vAlign w:val="center"/>
          </w:tcPr>
          <w:p>
            <w:pPr>
              <w:pStyle w:val="1329"/>
              <w:adjustRightInd/>
              <w:spacing w:line="340" w:lineRule="exact"/>
              <w:contextualSpacing/>
              <w:rPr>
                <w:sz w:val="21"/>
              </w:rPr>
            </w:pPr>
            <w:r>
              <w:rPr>
                <w:rFonts w:hint="eastAsia"/>
                <w:sz w:val="21"/>
              </w:rPr>
              <w:t>10</w:t>
            </w:r>
            <w:r>
              <w:rPr>
                <w:sz w:val="21"/>
              </w:rPr>
              <w:t>~1</w:t>
            </w:r>
            <w:r>
              <w:rPr>
                <w:rFonts w:hint="eastAsia"/>
                <w:sz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55</w:t>
            </w:r>
            <w:r>
              <w:rPr>
                <w:sz w:val="21"/>
              </w:rPr>
              <w:t>~0.8</w:t>
            </w:r>
            <w:r>
              <w:rPr>
                <w:rFonts w:hint="eastAsia"/>
                <w:sz w:val="21"/>
              </w:rPr>
              <w:t>0</w:t>
            </w:r>
          </w:p>
        </w:tc>
        <w:tc>
          <w:tcPr>
            <w:tcW w:w="871" w:type="pct"/>
            <w:vAlign w:val="center"/>
          </w:tcPr>
          <w:p>
            <w:pPr>
              <w:pStyle w:val="1329"/>
              <w:adjustRightInd/>
              <w:spacing w:line="340" w:lineRule="exact"/>
              <w:contextualSpacing/>
              <w:rPr>
                <w:sz w:val="21"/>
              </w:rPr>
            </w:pPr>
            <w:r>
              <w:rPr>
                <w:sz w:val="21"/>
              </w:rPr>
              <w:t>0.4</w:t>
            </w:r>
            <w:r>
              <w:rPr>
                <w:rFonts w:hint="eastAsia"/>
                <w:sz w:val="21"/>
              </w:rPr>
              <w:t>0</w:t>
            </w:r>
            <w:r>
              <w:rPr>
                <w:sz w:val="21"/>
              </w:rPr>
              <w:t>~0.</w:t>
            </w:r>
            <w:r>
              <w:rPr>
                <w:rFonts w:hint="eastAsia"/>
                <w:sz w:val="21"/>
              </w:rPr>
              <w:t>7</w:t>
            </w:r>
            <w:r>
              <w:rPr>
                <w:sz w:val="21"/>
              </w:rPr>
              <w:t>5</w:t>
            </w:r>
          </w:p>
        </w:tc>
        <w:tc>
          <w:tcPr>
            <w:tcW w:w="793" w:type="pct"/>
            <w:vAlign w:val="center"/>
          </w:tcPr>
          <w:p>
            <w:pPr>
              <w:pStyle w:val="1329"/>
              <w:adjustRightInd/>
              <w:spacing w:line="340" w:lineRule="exact"/>
              <w:contextualSpacing/>
              <w:rPr>
                <w:sz w:val="21"/>
              </w:rPr>
            </w:pPr>
            <w:r>
              <w:rPr>
                <w:sz w:val="21"/>
              </w:rPr>
              <w:t>0.</w:t>
            </w:r>
            <w:r>
              <w:rPr>
                <w:rFonts w:hint="eastAsia"/>
                <w:sz w:val="21"/>
              </w:rPr>
              <w:t>60</w:t>
            </w:r>
            <w:r>
              <w:rPr>
                <w:sz w:val="21"/>
              </w:rPr>
              <w:t>~0.8</w:t>
            </w:r>
            <w:r>
              <w:rPr>
                <w:rFonts w:hint="eastAsia"/>
                <w:sz w:val="21"/>
              </w:rPr>
              <w:t>5</w:t>
            </w:r>
          </w:p>
        </w:tc>
        <w:tc>
          <w:tcPr>
            <w:tcW w:w="946" w:type="pct"/>
            <w:vAlign w:val="center"/>
          </w:tcPr>
          <w:p>
            <w:pPr>
              <w:pStyle w:val="1329"/>
              <w:adjustRightInd/>
              <w:spacing w:line="340" w:lineRule="exact"/>
              <w:contextualSpacing/>
              <w:rPr>
                <w:sz w:val="21"/>
              </w:rPr>
            </w:pPr>
            <w:r>
              <w:rPr>
                <w:sz w:val="21"/>
              </w:rPr>
              <w:t>0.</w:t>
            </w:r>
            <w:r>
              <w:rPr>
                <w:rFonts w:hint="eastAsia"/>
                <w:sz w:val="21"/>
              </w:rPr>
              <w:t>50</w:t>
            </w:r>
            <w:r>
              <w:rPr>
                <w:sz w:val="21"/>
              </w:rPr>
              <w:t>~0.</w:t>
            </w:r>
            <w:r>
              <w:rPr>
                <w:rFonts w:hint="eastAsia"/>
                <w:sz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snapToGrid w:val="0"/>
                <w:kern w:val="0"/>
                <w:sz w:val="21"/>
                <w:szCs w:val="21"/>
              </w:rPr>
              <w:t>BOD</w:t>
            </w:r>
            <w:r>
              <w:rPr>
                <w:snapToGrid w:val="0"/>
                <w:kern w:val="0"/>
                <w:sz w:val="21"/>
                <w:szCs w:val="21"/>
                <w:vertAlign w:val="subscript"/>
              </w:rPr>
              <w:t>5</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rFonts w:hint="eastAsia"/>
                <w:sz w:val="21"/>
              </w:rPr>
              <w:t>2.2</w:t>
            </w:r>
            <w:r>
              <w:rPr>
                <w:sz w:val="21"/>
              </w:rPr>
              <w:t>~</w:t>
            </w:r>
            <w:r>
              <w:rPr>
                <w:rFonts w:hint="eastAsia"/>
                <w:sz w:val="21"/>
              </w:rPr>
              <w:t>3.5</w:t>
            </w:r>
          </w:p>
        </w:tc>
        <w:tc>
          <w:tcPr>
            <w:tcW w:w="871" w:type="pct"/>
            <w:vAlign w:val="center"/>
          </w:tcPr>
          <w:p>
            <w:pPr>
              <w:pStyle w:val="1329"/>
              <w:adjustRightInd/>
              <w:spacing w:line="340" w:lineRule="exact"/>
              <w:contextualSpacing/>
              <w:rPr>
                <w:sz w:val="21"/>
              </w:rPr>
            </w:pPr>
            <w:r>
              <w:rPr>
                <w:rFonts w:hint="eastAsia"/>
                <w:sz w:val="21"/>
              </w:rPr>
              <w:t>1</w:t>
            </w:r>
            <w:r>
              <w:rPr>
                <w:sz w:val="21"/>
              </w:rPr>
              <w:t>.6~</w:t>
            </w:r>
            <w:r>
              <w:rPr>
                <w:rFonts w:hint="eastAsia"/>
                <w:sz w:val="21"/>
              </w:rPr>
              <w:t>3.2</w:t>
            </w:r>
          </w:p>
        </w:tc>
        <w:tc>
          <w:tcPr>
            <w:tcW w:w="793" w:type="pct"/>
            <w:vAlign w:val="center"/>
          </w:tcPr>
          <w:p>
            <w:pPr>
              <w:pStyle w:val="1329"/>
              <w:adjustRightInd/>
              <w:spacing w:line="340" w:lineRule="exact"/>
              <w:contextualSpacing/>
              <w:rPr>
                <w:sz w:val="21"/>
              </w:rPr>
            </w:pPr>
            <w:r>
              <w:rPr>
                <w:rFonts w:hint="eastAsia"/>
                <w:sz w:val="21"/>
              </w:rPr>
              <w:t>2.4</w:t>
            </w:r>
            <w:r>
              <w:rPr>
                <w:sz w:val="21"/>
              </w:rPr>
              <w:t>~</w:t>
            </w:r>
            <w:r>
              <w:rPr>
                <w:rFonts w:hint="eastAsia"/>
                <w:sz w:val="21"/>
              </w:rPr>
              <w:t>3.2</w:t>
            </w:r>
          </w:p>
        </w:tc>
        <w:tc>
          <w:tcPr>
            <w:tcW w:w="946" w:type="pct"/>
            <w:vAlign w:val="center"/>
          </w:tcPr>
          <w:p>
            <w:pPr>
              <w:pStyle w:val="1329"/>
              <w:adjustRightInd/>
              <w:spacing w:line="340" w:lineRule="exact"/>
              <w:contextualSpacing/>
              <w:rPr>
                <w:sz w:val="21"/>
              </w:rPr>
            </w:pPr>
            <w:r>
              <w:rPr>
                <w:rFonts w:hint="eastAsia"/>
                <w:sz w:val="21"/>
              </w:rPr>
              <w:t>2.0</w:t>
            </w:r>
            <w:r>
              <w:rPr>
                <w:sz w:val="21"/>
              </w:rPr>
              <w:t>~</w:t>
            </w:r>
            <w:r>
              <w:rPr>
                <w:rFonts w:hint="eastAsia"/>
                <w:sz w:val="21"/>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5</w:t>
            </w:r>
            <w:r>
              <w:rPr>
                <w:sz w:val="21"/>
              </w:rPr>
              <w:t>5~0.</w:t>
            </w:r>
            <w:r>
              <w:rPr>
                <w:rFonts w:hint="eastAsia"/>
                <w:sz w:val="21"/>
              </w:rPr>
              <w:t>88</w:t>
            </w:r>
          </w:p>
        </w:tc>
        <w:tc>
          <w:tcPr>
            <w:tcW w:w="871" w:type="pct"/>
            <w:vAlign w:val="center"/>
          </w:tcPr>
          <w:p>
            <w:pPr>
              <w:pStyle w:val="1329"/>
              <w:adjustRightInd/>
              <w:spacing w:line="340" w:lineRule="exact"/>
              <w:contextualSpacing/>
              <w:rPr>
                <w:sz w:val="21"/>
              </w:rPr>
            </w:pPr>
            <w:r>
              <w:rPr>
                <w:sz w:val="21"/>
              </w:rPr>
              <w:t>0.</w:t>
            </w:r>
            <w:r>
              <w:rPr>
                <w:rFonts w:hint="eastAsia"/>
                <w:sz w:val="21"/>
              </w:rPr>
              <w:t>40</w:t>
            </w:r>
            <w:r>
              <w:rPr>
                <w:sz w:val="21"/>
              </w:rPr>
              <w:t>~0.</w:t>
            </w:r>
            <w:r>
              <w:rPr>
                <w:rFonts w:hint="eastAsia"/>
                <w:sz w:val="21"/>
              </w:rPr>
              <w:t>80</w:t>
            </w:r>
          </w:p>
        </w:tc>
        <w:tc>
          <w:tcPr>
            <w:tcW w:w="793" w:type="pct"/>
            <w:vAlign w:val="center"/>
          </w:tcPr>
          <w:p>
            <w:pPr>
              <w:pStyle w:val="1329"/>
              <w:adjustRightInd/>
              <w:spacing w:line="340" w:lineRule="exact"/>
              <w:contextualSpacing/>
              <w:rPr>
                <w:sz w:val="21"/>
              </w:rPr>
            </w:pPr>
            <w:r>
              <w:rPr>
                <w:sz w:val="21"/>
              </w:rPr>
              <w:t>0.</w:t>
            </w:r>
            <w:r>
              <w:rPr>
                <w:rFonts w:hint="eastAsia"/>
                <w:sz w:val="21"/>
              </w:rPr>
              <w:t>60</w:t>
            </w:r>
            <w:r>
              <w:rPr>
                <w:sz w:val="21"/>
              </w:rPr>
              <w:t>~0.</w:t>
            </w:r>
            <w:r>
              <w:rPr>
                <w:rFonts w:hint="eastAsia"/>
                <w:sz w:val="21"/>
              </w:rPr>
              <w:t>80</w:t>
            </w:r>
          </w:p>
        </w:tc>
        <w:tc>
          <w:tcPr>
            <w:tcW w:w="946" w:type="pct"/>
            <w:vAlign w:val="center"/>
          </w:tcPr>
          <w:p>
            <w:pPr>
              <w:pStyle w:val="1329"/>
              <w:adjustRightInd/>
              <w:spacing w:line="340" w:lineRule="exact"/>
              <w:contextualSpacing/>
              <w:rPr>
                <w:sz w:val="21"/>
              </w:rPr>
            </w:pPr>
            <w:r>
              <w:rPr>
                <w:sz w:val="21"/>
              </w:rPr>
              <w:t>0.</w:t>
            </w:r>
            <w:r>
              <w:rPr>
                <w:rFonts w:hint="eastAsia"/>
                <w:sz w:val="21"/>
              </w:rPr>
              <w:t>50</w:t>
            </w:r>
            <w:r>
              <w:rPr>
                <w:sz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snapToGrid w:val="0"/>
                <w:kern w:val="0"/>
                <w:sz w:val="21"/>
                <w:szCs w:val="21"/>
              </w:rPr>
              <w:t>氨氮</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sz w:val="21"/>
              </w:rPr>
              <w:t>0.</w:t>
            </w:r>
            <w:r>
              <w:rPr>
                <w:rFonts w:hint="eastAsia"/>
                <w:sz w:val="21"/>
              </w:rPr>
              <w:t>551</w:t>
            </w:r>
            <w:r>
              <w:rPr>
                <w:sz w:val="21"/>
              </w:rPr>
              <w:t>~0.</w:t>
            </w:r>
            <w:r>
              <w:rPr>
                <w:rFonts w:hint="eastAsia"/>
                <w:sz w:val="21"/>
              </w:rPr>
              <w:t>577</w:t>
            </w:r>
          </w:p>
        </w:tc>
        <w:tc>
          <w:tcPr>
            <w:tcW w:w="871" w:type="pct"/>
            <w:vAlign w:val="center"/>
          </w:tcPr>
          <w:p>
            <w:pPr>
              <w:pStyle w:val="1329"/>
              <w:adjustRightInd/>
              <w:spacing w:line="340" w:lineRule="exact"/>
              <w:contextualSpacing/>
              <w:rPr>
                <w:sz w:val="21"/>
              </w:rPr>
            </w:pPr>
            <w:r>
              <w:rPr>
                <w:sz w:val="21"/>
              </w:rPr>
              <w:t>0.</w:t>
            </w:r>
            <w:r>
              <w:rPr>
                <w:rFonts w:hint="eastAsia"/>
                <w:sz w:val="21"/>
              </w:rPr>
              <w:t>752</w:t>
            </w:r>
            <w:r>
              <w:rPr>
                <w:sz w:val="21"/>
              </w:rPr>
              <w:t>~0.</w:t>
            </w:r>
            <w:r>
              <w:rPr>
                <w:rFonts w:hint="eastAsia"/>
                <w:sz w:val="21"/>
              </w:rPr>
              <w:t>777</w:t>
            </w:r>
          </w:p>
        </w:tc>
        <w:tc>
          <w:tcPr>
            <w:tcW w:w="793" w:type="pct"/>
            <w:vAlign w:val="center"/>
          </w:tcPr>
          <w:p>
            <w:pPr>
              <w:pStyle w:val="1329"/>
              <w:adjustRightInd/>
              <w:spacing w:line="340" w:lineRule="exact"/>
              <w:contextualSpacing/>
              <w:rPr>
                <w:sz w:val="21"/>
              </w:rPr>
            </w:pPr>
            <w:r>
              <w:rPr>
                <w:sz w:val="21"/>
              </w:rPr>
              <w:t>0.</w:t>
            </w:r>
            <w:r>
              <w:rPr>
                <w:rFonts w:hint="eastAsia"/>
                <w:sz w:val="21"/>
              </w:rPr>
              <w:t>755</w:t>
            </w:r>
            <w:r>
              <w:rPr>
                <w:sz w:val="21"/>
              </w:rPr>
              <w:t>~0.</w:t>
            </w:r>
            <w:r>
              <w:rPr>
                <w:rFonts w:hint="eastAsia"/>
                <w:sz w:val="21"/>
              </w:rPr>
              <w:t>789</w:t>
            </w:r>
          </w:p>
        </w:tc>
        <w:tc>
          <w:tcPr>
            <w:tcW w:w="946" w:type="pct"/>
            <w:vAlign w:val="center"/>
          </w:tcPr>
          <w:p>
            <w:pPr>
              <w:pStyle w:val="1329"/>
              <w:adjustRightInd/>
              <w:spacing w:line="340" w:lineRule="exact"/>
              <w:contextualSpacing/>
              <w:rPr>
                <w:sz w:val="21"/>
              </w:rPr>
            </w:pPr>
            <w:r>
              <w:rPr>
                <w:sz w:val="21"/>
              </w:rPr>
              <w:t>0.</w:t>
            </w:r>
            <w:r>
              <w:rPr>
                <w:rFonts w:hint="eastAsia"/>
                <w:sz w:val="21"/>
              </w:rPr>
              <w:t>208</w:t>
            </w:r>
            <w:r>
              <w:rPr>
                <w:sz w:val="21"/>
              </w:rPr>
              <w:t>~0.</w:t>
            </w:r>
            <w:r>
              <w:rPr>
                <w:rFonts w:hint="eastAsia"/>
                <w:sz w:val="21"/>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551</w:t>
            </w:r>
            <w:r>
              <w:rPr>
                <w:sz w:val="21"/>
              </w:rPr>
              <w:t>~0.</w:t>
            </w:r>
            <w:r>
              <w:rPr>
                <w:rFonts w:hint="eastAsia"/>
                <w:sz w:val="21"/>
              </w:rPr>
              <w:t>577</w:t>
            </w:r>
          </w:p>
        </w:tc>
        <w:tc>
          <w:tcPr>
            <w:tcW w:w="871" w:type="pct"/>
            <w:vAlign w:val="center"/>
          </w:tcPr>
          <w:p>
            <w:pPr>
              <w:pStyle w:val="1329"/>
              <w:adjustRightInd/>
              <w:spacing w:line="340" w:lineRule="exact"/>
              <w:contextualSpacing/>
              <w:rPr>
                <w:sz w:val="21"/>
              </w:rPr>
            </w:pPr>
            <w:r>
              <w:rPr>
                <w:sz w:val="21"/>
              </w:rPr>
              <w:t>0.</w:t>
            </w:r>
            <w:r>
              <w:rPr>
                <w:rFonts w:hint="eastAsia"/>
                <w:sz w:val="21"/>
              </w:rPr>
              <w:t>752</w:t>
            </w:r>
            <w:r>
              <w:rPr>
                <w:sz w:val="21"/>
              </w:rPr>
              <w:t>~0.</w:t>
            </w:r>
            <w:r>
              <w:rPr>
                <w:rFonts w:hint="eastAsia"/>
                <w:sz w:val="21"/>
              </w:rPr>
              <w:t>777</w:t>
            </w:r>
          </w:p>
        </w:tc>
        <w:tc>
          <w:tcPr>
            <w:tcW w:w="793" w:type="pct"/>
            <w:vAlign w:val="center"/>
          </w:tcPr>
          <w:p>
            <w:pPr>
              <w:pStyle w:val="1329"/>
              <w:adjustRightInd/>
              <w:spacing w:line="340" w:lineRule="exact"/>
              <w:contextualSpacing/>
              <w:rPr>
                <w:sz w:val="21"/>
              </w:rPr>
            </w:pPr>
            <w:r>
              <w:rPr>
                <w:sz w:val="21"/>
              </w:rPr>
              <w:t>0.</w:t>
            </w:r>
            <w:r>
              <w:rPr>
                <w:rFonts w:hint="eastAsia"/>
                <w:sz w:val="21"/>
              </w:rPr>
              <w:t>755</w:t>
            </w:r>
            <w:r>
              <w:rPr>
                <w:sz w:val="21"/>
              </w:rPr>
              <w:t>~0.</w:t>
            </w:r>
            <w:r>
              <w:rPr>
                <w:rFonts w:hint="eastAsia"/>
                <w:sz w:val="21"/>
              </w:rPr>
              <w:t>789</w:t>
            </w:r>
          </w:p>
        </w:tc>
        <w:tc>
          <w:tcPr>
            <w:tcW w:w="946" w:type="pct"/>
            <w:vAlign w:val="center"/>
          </w:tcPr>
          <w:p>
            <w:pPr>
              <w:pStyle w:val="1329"/>
              <w:adjustRightInd/>
              <w:spacing w:line="340" w:lineRule="exact"/>
              <w:contextualSpacing/>
              <w:rPr>
                <w:sz w:val="21"/>
              </w:rPr>
            </w:pPr>
            <w:r>
              <w:rPr>
                <w:sz w:val="21"/>
              </w:rPr>
              <w:t>0.</w:t>
            </w:r>
            <w:r>
              <w:rPr>
                <w:rFonts w:hint="eastAsia"/>
                <w:sz w:val="21"/>
              </w:rPr>
              <w:t>208</w:t>
            </w:r>
            <w:r>
              <w:rPr>
                <w:sz w:val="21"/>
              </w:rPr>
              <w:t>~0.</w:t>
            </w:r>
            <w:r>
              <w:rPr>
                <w:rFonts w:hint="eastAsia"/>
                <w:sz w:val="21"/>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snapToGrid w:val="0"/>
                <w:kern w:val="0"/>
                <w:sz w:val="21"/>
                <w:szCs w:val="21"/>
              </w:rPr>
              <w:t>总磷</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sz w:val="21"/>
              </w:rPr>
              <w:t>0.0</w:t>
            </w:r>
            <w:r>
              <w:rPr>
                <w:rFonts w:hint="eastAsia"/>
                <w:sz w:val="21"/>
              </w:rPr>
              <w:t>4</w:t>
            </w:r>
            <w:r>
              <w:rPr>
                <w:sz w:val="21"/>
              </w:rPr>
              <w:t>~0.</w:t>
            </w:r>
            <w:r>
              <w:rPr>
                <w:rFonts w:hint="eastAsia"/>
                <w:sz w:val="21"/>
              </w:rPr>
              <w:t>07</w:t>
            </w:r>
          </w:p>
        </w:tc>
        <w:tc>
          <w:tcPr>
            <w:tcW w:w="871" w:type="pct"/>
            <w:vAlign w:val="center"/>
          </w:tcPr>
          <w:p>
            <w:pPr>
              <w:pStyle w:val="1329"/>
              <w:adjustRightInd/>
              <w:spacing w:line="340" w:lineRule="exact"/>
              <w:contextualSpacing/>
              <w:rPr>
                <w:sz w:val="21"/>
              </w:rPr>
            </w:pPr>
            <w:r>
              <w:rPr>
                <w:sz w:val="21"/>
              </w:rPr>
              <w:t>0.0</w:t>
            </w:r>
            <w:r>
              <w:rPr>
                <w:rFonts w:hint="eastAsia"/>
                <w:sz w:val="21"/>
              </w:rPr>
              <w:t>7</w:t>
            </w:r>
            <w:r>
              <w:rPr>
                <w:sz w:val="21"/>
              </w:rPr>
              <w:t>~0.</w:t>
            </w:r>
            <w:r>
              <w:rPr>
                <w:rFonts w:hint="eastAsia"/>
                <w:sz w:val="21"/>
              </w:rPr>
              <w:t>09</w:t>
            </w:r>
          </w:p>
        </w:tc>
        <w:tc>
          <w:tcPr>
            <w:tcW w:w="793" w:type="pct"/>
            <w:vAlign w:val="center"/>
          </w:tcPr>
          <w:p>
            <w:pPr>
              <w:pStyle w:val="1329"/>
              <w:adjustRightInd/>
              <w:spacing w:line="340" w:lineRule="exact"/>
              <w:contextualSpacing/>
              <w:rPr>
                <w:sz w:val="21"/>
              </w:rPr>
            </w:pPr>
            <w:r>
              <w:rPr>
                <w:sz w:val="21"/>
              </w:rPr>
              <w:t>0.0</w:t>
            </w:r>
            <w:r>
              <w:rPr>
                <w:rFonts w:hint="eastAsia"/>
                <w:sz w:val="21"/>
              </w:rPr>
              <w:t>5</w:t>
            </w:r>
            <w:r>
              <w:rPr>
                <w:sz w:val="21"/>
              </w:rPr>
              <w:t>~0.</w:t>
            </w:r>
            <w:r>
              <w:rPr>
                <w:rFonts w:hint="eastAsia"/>
                <w:sz w:val="21"/>
              </w:rPr>
              <w:t>08</w:t>
            </w:r>
          </w:p>
        </w:tc>
        <w:tc>
          <w:tcPr>
            <w:tcW w:w="946" w:type="pct"/>
            <w:vAlign w:val="center"/>
          </w:tcPr>
          <w:p>
            <w:pPr>
              <w:pStyle w:val="1329"/>
              <w:adjustRightInd/>
              <w:spacing w:line="340" w:lineRule="exact"/>
              <w:contextualSpacing/>
              <w:rPr>
                <w:sz w:val="21"/>
              </w:rPr>
            </w:pPr>
            <w:r>
              <w:rPr>
                <w:sz w:val="21"/>
              </w:rPr>
              <w:t>0.02~0.0</w:t>
            </w:r>
            <w:r>
              <w:rPr>
                <w:rFonts w:hint="eastAsia"/>
                <w:sz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20</w:t>
            </w:r>
            <w:r>
              <w:rPr>
                <w:sz w:val="21"/>
              </w:rPr>
              <w:t>~0.</w:t>
            </w:r>
            <w:r>
              <w:rPr>
                <w:rFonts w:hint="eastAsia"/>
                <w:sz w:val="21"/>
              </w:rPr>
              <w:t>35</w:t>
            </w:r>
          </w:p>
        </w:tc>
        <w:tc>
          <w:tcPr>
            <w:tcW w:w="871" w:type="pct"/>
            <w:vAlign w:val="center"/>
          </w:tcPr>
          <w:p>
            <w:pPr>
              <w:pStyle w:val="1329"/>
              <w:adjustRightInd/>
              <w:spacing w:line="340" w:lineRule="exact"/>
              <w:contextualSpacing/>
              <w:rPr>
                <w:sz w:val="21"/>
              </w:rPr>
            </w:pPr>
            <w:r>
              <w:rPr>
                <w:sz w:val="21"/>
              </w:rPr>
              <w:t>0.</w:t>
            </w:r>
            <w:r>
              <w:rPr>
                <w:rFonts w:hint="eastAsia"/>
                <w:sz w:val="21"/>
              </w:rPr>
              <w:t>35</w:t>
            </w:r>
            <w:r>
              <w:rPr>
                <w:sz w:val="21"/>
              </w:rPr>
              <w:t>~0.</w:t>
            </w:r>
            <w:r>
              <w:rPr>
                <w:rFonts w:hint="eastAsia"/>
                <w:sz w:val="21"/>
              </w:rPr>
              <w:t>45</w:t>
            </w:r>
          </w:p>
        </w:tc>
        <w:tc>
          <w:tcPr>
            <w:tcW w:w="793" w:type="pct"/>
            <w:vAlign w:val="center"/>
          </w:tcPr>
          <w:p>
            <w:pPr>
              <w:pStyle w:val="1329"/>
              <w:adjustRightInd/>
              <w:spacing w:line="340" w:lineRule="exact"/>
              <w:contextualSpacing/>
              <w:rPr>
                <w:sz w:val="21"/>
              </w:rPr>
            </w:pPr>
            <w:r>
              <w:rPr>
                <w:sz w:val="21"/>
              </w:rPr>
              <w:t>0.</w:t>
            </w:r>
            <w:r>
              <w:rPr>
                <w:rFonts w:hint="eastAsia"/>
                <w:sz w:val="21"/>
              </w:rPr>
              <w:t>25</w:t>
            </w:r>
            <w:r>
              <w:rPr>
                <w:sz w:val="21"/>
              </w:rPr>
              <w:t>~0.</w:t>
            </w:r>
            <w:r>
              <w:rPr>
                <w:rFonts w:hint="eastAsia"/>
                <w:sz w:val="21"/>
              </w:rPr>
              <w:t>40</w:t>
            </w:r>
          </w:p>
        </w:tc>
        <w:tc>
          <w:tcPr>
            <w:tcW w:w="946" w:type="pct"/>
            <w:vAlign w:val="center"/>
          </w:tcPr>
          <w:p>
            <w:pPr>
              <w:pStyle w:val="1329"/>
              <w:adjustRightInd/>
              <w:spacing w:line="340" w:lineRule="exact"/>
              <w:contextualSpacing/>
              <w:rPr>
                <w:sz w:val="21"/>
              </w:rPr>
            </w:pPr>
            <w:r>
              <w:rPr>
                <w:sz w:val="21"/>
              </w:rPr>
              <w:t>0.</w:t>
            </w:r>
            <w:r>
              <w:rPr>
                <w:rFonts w:hint="eastAsia"/>
                <w:sz w:val="21"/>
              </w:rPr>
              <w:t>10</w:t>
            </w:r>
            <w:r>
              <w:rPr>
                <w:sz w:val="21"/>
              </w:rPr>
              <w:t>~0.</w:t>
            </w:r>
            <w:r>
              <w:rPr>
                <w:rFonts w:hint="eastAsia"/>
                <w:sz w:val="21"/>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总氮</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sz w:val="21"/>
              </w:rPr>
              <w:t>0.</w:t>
            </w:r>
            <w:r>
              <w:rPr>
                <w:rFonts w:hint="eastAsia"/>
                <w:sz w:val="21"/>
              </w:rPr>
              <w:t>64</w:t>
            </w:r>
            <w:r>
              <w:rPr>
                <w:sz w:val="21"/>
              </w:rPr>
              <w:t>~0.</w:t>
            </w:r>
            <w:r>
              <w:rPr>
                <w:rFonts w:hint="eastAsia"/>
                <w:sz w:val="21"/>
              </w:rPr>
              <w:t>90</w:t>
            </w:r>
          </w:p>
        </w:tc>
        <w:tc>
          <w:tcPr>
            <w:tcW w:w="871" w:type="pct"/>
            <w:vAlign w:val="center"/>
          </w:tcPr>
          <w:p>
            <w:pPr>
              <w:pStyle w:val="1329"/>
              <w:adjustRightInd/>
              <w:spacing w:line="340" w:lineRule="exact"/>
              <w:contextualSpacing/>
              <w:rPr>
                <w:sz w:val="21"/>
              </w:rPr>
            </w:pPr>
            <w:r>
              <w:rPr>
                <w:sz w:val="21"/>
              </w:rPr>
              <w:t>0</w:t>
            </w:r>
            <w:r>
              <w:rPr>
                <w:rFonts w:hint="eastAsia"/>
                <w:sz w:val="21"/>
              </w:rPr>
              <w:t>.79</w:t>
            </w:r>
            <w:r>
              <w:rPr>
                <w:sz w:val="21"/>
              </w:rPr>
              <w:t>~0.</w:t>
            </w:r>
            <w:r>
              <w:rPr>
                <w:rFonts w:hint="eastAsia"/>
                <w:sz w:val="21"/>
              </w:rPr>
              <w:t>90</w:t>
            </w:r>
          </w:p>
        </w:tc>
        <w:tc>
          <w:tcPr>
            <w:tcW w:w="793" w:type="pct"/>
            <w:vAlign w:val="center"/>
          </w:tcPr>
          <w:p>
            <w:pPr>
              <w:pStyle w:val="1329"/>
              <w:adjustRightInd/>
              <w:spacing w:line="340" w:lineRule="exact"/>
              <w:contextualSpacing/>
              <w:rPr>
                <w:sz w:val="21"/>
              </w:rPr>
            </w:pPr>
            <w:r>
              <w:rPr>
                <w:sz w:val="21"/>
              </w:rPr>
              <w:t>0.</w:t>
            </w:r>
            <w:r>
              <w:rPr>
                <w:rFonts w:hint="eastAsia"/>
                <w:sz w:val="21"/>
              </w:rPr>
              <w:t>83</w:t>
            </w:r>
            <w:r>
              <w:rPr>
                <w:sz w:val="21"/>
              </w:rPr>
              <w:t>~0.</w:t>
            </w:r>
            <w:r>
              <w:rPr>
                <w:rFonts w:hint="eastAsia"/>
                <w:sz w:val="21"/>
              </w:rPr>
              <w:t>90</w:t>
            </w:r>
          </w:p>
        </w:tc>
        <w:tc>
          <w:tcPr>
            <w:tcW w:w="946" w:type="pct"/>
            <w:vAlign w:val="center"/>
          </w:tcPr>
          <w:p>
            <w:pPr>
              <w:pStyle w:val="1329"/>
              <w:adjustRightInd/>
              <w:spacing w:line="340" w:lineRule="exact"/>
              <w:contextualSpacing/>
              <w:rPr>
                <w:sz w:val="21"/>
              </w:rPr>
            </w:pPr>
            <w:r>
              <w:rPr>
                <w:sz w:val="21"/>
              </w:rPr>
              <w:t>0.</w:t>
            </w:r>
            <w:r>
              <w:rPr>
                <w:rFonts w:hint="eastAsia"/>
                <w:sz w:val="21"/>
              </w:rPr>
              <w:t>51</w:t>
            </w:r>
            <w:r>
              <w:rPr>
                <w:sz w:val="21"/>
              </w:rPr>
              <w:t>~0.</w:t>
            </w:r>
            <w:r>
              <w:rPr>
                <w:rFonts w:hint="eastAsia"/>
                <w:sz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64</w:t>
            </w:r>
            <w:r>
              <w:rPr>
                <w:sz w:val="21"/>
              </w:rPr>
              <w:t>~0.</w:t>
            </w:r>
            <w:r>
              <w:rPr>
                <w:rFonts w:hint="eastAsia"/>
                <w:sz w:val="21"/>
              </w:rPr>
              <w:t>90</w:t>
            </w:r>
          </w:p>
        </w:tc>
        <w:tc>
          <w:tcPr>
            <w:tcW w:w="871" w:type="pct"/>
            <w:vAlign w:val="center"/>
          </w:tcPr>
          <w:p>
            <w:pPr>
              <w:pStyle w:val="1329"/>
              <w:adjustRightInd/>
              <w:spacing w:line="340" w:lineRule="exact"/>
              <w:contextualSpacing/>
              <w:rPr>
                <w:sz w:val="21"/>
              </w:rPr>
            </w:pPr>
            <w:r>
              <w:rPr>
                <w:sz w:val="21"/>
              </w:rPr>
              <w:t>0</w:t>
            </w:r>
            <w:r>
              <w:rPr>
                <w:rFonts w:hint="eastAsia"/>
                <w:sz w:val="21"/>
              </w:rPr>
              <w:t>.79</w:t>
            </w:r>
            <w:r>
              <w:rPr>
                <w:sz w:val="21"/>
              </w:rPr>
              <w:t>~0.</w:t>
            </w:r>
            <w:r>
              <w:rPr>
                <w:rFonts w:hint="eastAsia"/>
                <w:sz w:val="21"/>
              </w:rPr>
              <w:t>90</w:t>
            </w:r>
          </w:p>
        </w:tc>
        <w:tc>
          <w:tcPr>
            <w:tcW w:w="793" w:type="pct"/>
            <w:vAlign w:val="center"/>
          </w:tcPr>
          <w:p>
            <w:pPr>
              <w:pStyle w:val="1329"/>
              <w:adjustRightInd/>
              <w:spacing w:line="340" w:lineRule="exact"/>
              <w:contextualSpacing/>
              <w:rPr>
                <w:sz w:val="21"/>
              </w:rPr>
            </w:pPr>
            <w:r>
              <w:rPr>
                <w:sz w:val="21"/>
              </w:rPr>
              <w:t>0.</w:t>
            </w:r>
            <w:r>
              <w:rPr>
                <w:rFonts w:hint="eastAsia"/>
                <w:sz w:val="21"/>
              </w:rPr>
              <w:t>83</w:t>
            </w:r>
            <w:r>
              <w:rPr>
                <w:sz w:val="21"/>
              </w:rPr>
              <w:t>~0.</w:t>
            </w:r>
            <w:r>
              <w:rPr>
                <w:rFonts w:hint="eastAsia"/>
                <w:sz w:val="21"/>
              </w:rPr>
              <w:t>90</w:t>
            </w:r>
          </w:p>
        </w:tc>
        <w:tc>
          <w:tcPr>
            <w:tcW w:w="946" w:type="pct"/>
            <w:vAlign w:val="center"/>
          </w:tcPr>
          <w:p>
            <w:pPr>
              <w:pStyle w:val="1329"/>
              <w:adjustRightInd/>
              <w:spacing w:line="340" w:lineRule="exact"/>
              <w:contextualSpacing/>
              <w:rPr>
                <w:sz w:val="21"/>
              </w:rPr>
            </w:pPr>
            <w:r>
              <w:rPr>
                <w:sz w:val="21"/>
              </w:rPr>
              <w:t>0.</w:t>
            </w:r>
            <w:r>
              <w:rPr>
                <w:rFonts w:hint="eastAsia"/>
                <w:sz w:val="21"/>
              </w:rPr>
              <w:t>51</w:t>
            </w:r>
            <w:r>
              <w:rPr>
                <w:sz w:val="21"/>
              </w:rPr>
              <w:t>~0.</w:t>
            </w:r>
            <w:r>
              <w:rPr>
                <w:rFonts w:hint="eastAsia"/>
                <w:sz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溶解氧</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pStyle w:val="1329"/>
              <w:adjustRightInd/>
              <w:spacing w:line="340" w:lineRule="exact"/>
              <w:contextualSpacing/>
              <w:rPr>
                <w:sz w:val="21"/>
              </w:rPr>
            </w:pPr>
            <w:r>
              <w:rPr>
                <w:rFonts w:hint="eastAsia"/>
                <w:sz w:val="21"/>
              </w:rPr>
              <w:t>7.2</w:t>
            </w:r>
            <w:r>
              <w:rPr>
                <w:sz w:val="21"/>
              </w:rPr>
              <w:t>~</w:t>
            </w:r>
            <w:r>
              <w:rPr>
                <w:rFonts w:hint="eastAsia"/>
                <w:sz w:val="21"/>
              </w:rPr>
              <w:t>7.5</w:t>
            </w:r>
          </w:p>
        </w:tc>
        <w:tc>
          <w:tcPr>
            <w:tcW w:w="871" w:type="pct"/>
            <w:vAlign w:val="center"/>
          </w:tcPr>
          <w:p>
            <w:pPr>
              <w:pStyle w:val="1329"/>
              <w:adjustRightInd/>
              <w:spacing w:line="340" w:lineRule="exact"/>
              <w:contextualSpacing/>
              <w:rPr>
                <w:sz w:val="21"/>
              </w:rPr>
            </w:pPr>
            <w:r>
              <w:rPr>
                <w:rFonts w:hint="eastAsia"/>
                <w:sz w:val="21"/>
              </w:rPr>
              <w:t>7.0</w:t>
            </w:r>
            <w:r>
              <w:rPr>
                <w:sz w:val="21"/>
              </w:rPr>
              <w:t>~</w:t>
            </w:r>
            <w:r>
              <w:rPr>
                <w:rFonts w:hint="eastAsia"/>
                <w:sz w:val="21"/>
              </w:rPr>
              <w:t>7.6</w:t>
            </w:r>
          </w:p>
        </w:tc>
        <w:tc>
          <w:tcPr>
            <w:tcW w:w="793" w:type="pct"/>
            <w:vAlign w:val="center"/>
          </w:tcPr>
          <w:p>
            <w:pPr>
              <w:pStyle w:val="1329"/>
              <w:adjustRightInd/>
              <w:spacing w:line="340" w:lineRule="exact"/>
              <w:contextualSpacing/>
              <w:rPr>
                <w:sz w:val="21"/>
              </w:rPr>
            </w:pPr>
            <w:r>
              <w:rPr>
                <w:rFonts w:hint="eastAsia"/>
                <w:sz w:val="21"/>
              </w:rPr>
              <w:t>7.4</w:t>
            </w:r>
            <w:r>
              <w:rPr>
                <w:sz w:val="21"/>
              </w:rPr>
              <w:t>~</w:t>
            </w:r>
            <w:r>
              <w:rPr>
                <w:rFonts w:hint="eastAsia"/>
                <w:sz w:val="21"/>
              </w:rPr>
              <w:t>7.6</w:t>
            </w:r>
          </w:p>
        </w:tc>
        <w:tc>
          <w:tcPr>
            <w:tcW w:w="946" w:type="pct"/>
            <w:vAlign w:val="center"/>
          </w:tcPr>
          <w:p>
            <w:pPr>
              <w:pStyle w:val="1329"/>
              <w:adjustRightInd/>
              <w:spacing w:line="340" w:lineRule="exact"/>
              <w:contextualSpacing/>
              <w:rPr>
                <w:sz w:val="21"/>
              </w:rPr>
            </w:pPr>
            <w:r>
              <w:rPr>
                <w:rFonts w:hint="eastAsia"/>
                <w:sz w:val="21"/>
              </w:rPr>
              <w:t>7.2</w:t>
            </w:r>
            <w:r>
              <w:rPr>
                <w:sz w:val="21"/>
              </w:rPr>
              <w:t>~</w:t>
            </w:r>
            <w:r>
              <w:rPr>
                <w:rFonts w:hint="eastAsia"/>
                <w:sz w:val="21"/>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pStyle w:val="1329"/>
              <w:adjustRightInd/>
              <w:spacing w:line="340" w:lineRule="exact"/>
              <w:contextualSpacing/>
              <w:rPr>
                <w:sz w:val="21"/>
              </w:rPr>
            </w:pPr>
            <w:r>
              <w:rPr>
                <w:sz w:val="21"/>
              </w:rPr>
              <w:t>0.</w:t>
            </w:r>
            <w:r>
              <w:rPr>
                <w:rFonts w:hint="eastAsia"/>
                <w:sz w:val="21"/>
              </w:rPr>
              <w:t>667</w:t>
            </w:r>
            <w:r>
              <w:rPr>
                <w:sz w:val="21"/>
              </w:rPr>
              <w:t>~0.6</w:t>
            </w:r>
            <w:r>
              <w:rPr>
                <w:rFonts w:hint="eastAsia"/>
                <w:sz w:val="21"/>
              </w:rPr>
              <w:t>94</w:t>
            </w:r>
          </w:p>
        </w:tc>
        <w:tc>
          <w:tcPr>
            <w:tcW w:w="871" w:type="pct"/>
            <w:vAlign w:val="center"/>
          </w:tcPr>
          <w:p>
            <w:pPr>
              <w:pStyle w:val="1329"/>
              <w:adjustRightInd/>
              <w:spacing w:line="340" w:lineRule="exact"/>
              <w:contextualSpacing/>
              <w:rPr>
                <w:sz w:val="21"/>
              </w:rPr>
            </w:pPr>
            <w:r>
              <w:rPr>
                <w:sz w:val="21"/>
              </w:rPr>
              <w:t>0.</w:t>
            </w:r>
            <w:r>
              <w:rPr>
                <w:rFonts w:hint="eastAsia"/>
                <w:sz w:val="21"/>
              </w:rPr>
              <w:t>658</w:t>
            </w:r>
            <w:r>
              <w:rPr>
                <w:sz w:val="21"/>
              </w:rPr>
              <w:t>~0.</w:t>
            </w:r>
            <w:r>
              <w:rPr>
                <w:rFonts w:hint="eastAsia"/>
                <w:sz w:val="21"/>
              </w:rPr>
              <w:t>714</w:t>
            </w:r>
          </w:p>
        </w:tc>
        <w:tc>
          <w:tcPr>
            <w:tcW w:w="793" w:type="pct"/>
            <w:vAlign w:val="center"/>
          </w:tcPr>
          <w:p>
            <w:pPr>
              <w:pStyle w:val="1329"/>
              <w:adjustRightInd/>
              <w:spacing w:line="340" w:lineRule="exact"/>
              <w:contextualSpacing/>
              <w:rPr>
                <w:sz w:val="21"/>
              </w:rPr>
            </w:pPr>
            <w:r>
              <w:rPr>
                <w:sz w:val="21"/>
              </w:rPr>
              <w:t>0.</w:t>
            </w:r>
            <w:r>
              <w:rPr>
                <w:rFonts w:hint="eastAsia"/>
                <w:sz w:val="21"/>
              </w:rPr>
              <w:t>659</w:t>
            </w:r>
            <w:r>
              <w:rPr>
                <w:sz w:val="21"/>
              </w:rPr>
              <w:t>~0.</w:t>
            </w:r>
            <w:r>
              <w:rPr>
                <w:rFonts w:hint="eastAsia"/>
                <w:sz w:val="21"/>
              </w:rPr>
              <w:t>676</w:t>
            </w:r>
          </w:p>
        </w:tc>
        <w:tc>
          <w:tcPr>
            <w:tcW w:w="946" w:type="pct"/>
            <w:vAlign w:val="center"/>
          </w:tcPr>
          <w:p>
            <w:pPr>
              <w:pStyle w:val="1329"/>
              <w:adjustRightInd/>
              <w:spacing w:line="340" w:lineRule="exact"/>
              <w:contextualSpacing/>
              <w:rPr>
                <w:sz w:val="21"/>
              </w:rPr>
            </w:pPr>
            <w:r>
              <w:rPr>
                <w:sz w:val="21"/>
              </w:rPr>
              <w:t>0.</w:t>
            </w:r>
            <w:r>
              <w:rPr>
                <w:rFonts w:hint="eastAsia"/>
                <w:sz w:val="21"/>
              </w:rPr>
              <w:t>641</w:t>
            </w:r>
            <w:r>
              <w:rPr>
                <w:sz w:val="21"/>
              </w:rPr>
              <w:t>~0.</w:t>
            </w:r>
            <w:r>
              <w:rPr>
                <w:rFonts w:hint="eastAsia"/>
                <w:sz w:val="21"/>
              </w:rPr>
              <w:t>694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高锰酸盐指数</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1.0</w:t>
            </w:r>
            <w:r>
              <w:rPr>
                <w:sz w:val="21"/>
                <w:szCs w:val="21"/>
              </w:rPr>
              <w:t>~</w:t>
            </w:r>
            <w:r>
              <w:rPr>
                <w:rFonts w:hint="eastAsia"/>
                <w:sz w:val="21"/>
                <w:szCs w:val="21"/>
              </w:rPr>
              <w:t>1.9</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1.0</w:t>
            </w:r>
            <w:r>
              <w:rPr>
                <w:sz w:val="21"/>
                <w:szCs w:val="21"/>
              </w:rPr>
              <w:t>~</w:t>
            </w:r>
            <w:r>
              <w:rPr>
                <w:rFonts w:hint="eastAsia"/>
                <w:sz w:val="21"/>
                <w:szCs w:val="21"/>
              </w:rPr>
              <w:t>1.7</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1.4</w:t>
            </w:r>
            <w:r>
              <w:rPr>
                <w:sz w:val="21"/>
                <w:szCs w:val="21"/>
              </w:rPr>
              <w:t>~</w:t>
            </w:r>
            <w:r>
              <w:rPr>
                <w:rFonts w:hint="eastAsia"/>
                <w:sz w:val="21"/>
                <w:szCs w:val="21"/>
              </w:rPr>
              <w:t>2.0</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1.3</w:t>
            </w:r>
            <w:r>
              <w:rPr>
                <w:sz w:val="21"/>
                <w:szCs w:val="21"/>
              </w:rPr>
              <w:t>~</w:t>
            </w:r>
            <w:r>
              <w:rPr>
                <w:rFonts w:hint="eastAsia"/>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widowControl/>
              <w:snapToGrid w:val="0"/>
              <w:spacing w:line="340" w:lineRule="exact"/>
              <w:ind w:firstLine="0" w:firstLineChars="0"/>
              <w:contextualSpacing/>
              <w:jc w:val="center"/>
              <w:rPr>
                <w:sz w:val="21"/>
                <w:szCs w:val="21"/>
              </w:rPr>
            </w:pPr>
            <w:r>
              <w:rPr>
                <w:sz w:val="21"/>
                <w:szCs w:val="21"/>
              </w:rPr>
              <w:t>0.</w:t>
            </w:r>
            <w:r>
              <w:rPr>
                <w:rFonts w:hint="eastAsia"/>
                <w:sz w:val="21"/>
                <w:szCs w:val="21"/>
              </w:rPr>
              <w:t>167</w:t>
            </w:r>
            <w:r>
              <w:rPr>
                <w:sz w:val="21"/>
                <w:szCs w:val="21"/>
              </w:rPr>
              <w:t>~0.</w:t>
            </w:r>
            <w:r>
              <w:rPr>
                <w:rFonts w:hint="eastAsia"/>
                <w:sz w:val="21"/>
                <w:szCs w:val="21"/>
              </w:rPr>
              <w:t>317</w:t>
            </w:r>
          </w:p>
        </w:tc>
        <w:tc>
          <w:tcPr>
            <w:tcW w:w="871" w:type="pct"/>
            <w:vAlign w:val="center"/>
          </w:tcPr>
          <w:p>
            <w:pPr>
              <w:widowControl/>
              <w:snapToGrid w:val="0"/>
              <w:spacing w:line="340" w:lineRule="exact"/>
              <w:ind w:firstLine="0" w:firstLineChars="0"/>
              <w:contextualSpacing/>
              <w:jc w:val="center"/>
              <w:rPr>
                <w:sz w:val="21"/>
                <w:szCs w:val="21"/>
              </w:rPr>
            </w:pPr>
            <w:r>
              <w:rPr>
                <w:sz w:val="21"/>
                <w:szCs w:val="21"/>
              </w:rPr>
              <w:t>0.</w:t>
            </w:r>
            <w:r>
              <w:rPr>
                <w:rFonts w:hint="eastAsia"/>
                <w:sz w:val="21"/>
                <w:szCs w:val="21"/>
              </w:rPr>
              <w:t>167</w:t>
            </w:r>
            <w:r>
              <w:rPr>
                <w:sz w:val="21"/>
                <w:szCs w:val="21"/>
              </w:rPr>
              <w:t>~0.</w:t>
            </w:r>
            <w:r>
              <w:rPr>
                <w:rFonts w:hint="eastAsia"/>
                <w:sz w:val="21"/>
                <w:szCs w:val="21"/>
              </w:rPr>
              <w:t>283</w:t>
            </w:r>
          </w:p>
        </w:tc>
        <w:tc>
          <w:tcPr>
            <w:tcW w:w="793" w:type="pct"/>
            <w:vAlign w:val="center"/>
          </w:tcPr>
          <w:p>
            <w:pPr>
              <w:widowControl/>
              <w:snapToGrid w:val="0"/>
              <w:spacing w:line="340" w:lineRule="exact"/>
              <w:ind w:firstLine="0" w:firstLineChars="0"/>
              <w:contextualSpacing/>
              <w:jc w:val="center"/>
              <w:rPr>
                <w:sz w:val="21"/>
                <w:szCs w:val="21"/>
              </w:rPr>
            </w:pPr>
            <w:r>
              <w:rPr>
                <w:sz w:val="21"/>
                <w:szCs w:val="21"/>
              </w:rPr>
              <w:t>0.</w:t>
            </w:r>
            <w:r>
              <w:rPr>
                <w:rFonts w:hint="eastAsia"/>
                <w:sz w:val="21"/>
                <w:szCs w:val="21"/>
              </w:rPr>
              <w:t>233</w:t>
            </w:r>
            <w:r>
              <w:rPr>
                <w:sz w:val="21"/>
                <w:szCs w:val="21"/>
              </w:rPr>
              <w:t>~0.</w:t>
            </w:r>
            <w:r>
              <w:rPr>
                <w:rFonts w:hint="eastAsia"/>
                <w:sz w:val="21"/>
                <w:szCs w:val="21"/>
              </w:rPr>
              <w:t>333</w:t>
            </w:r>
          </w:p>
        </w:tc>
        <w:tc>
          <w:tcPr>
            <w:tcW w:w="946" w:type="pct"/>
            <w:vAlign w:val="center"/>
          </w:tcPr>
          <w:p>
            <w:pPr>
              <w:widowControl/>
              <w:snapToGrid w:val="0"/>
              <w:spacing w:line="340" w:lineRule="exact"/>
              <w:ind w:firstLine="0" w:firstLineChars="0"/>
              <w:contextualSpacing/>
              <w:jc w:val="center"/>
              <w:rPr>
                <w:sz w:val="21"/>
                <w:szCs w:val="21"/>
              </w:rPr>
            </w:pPr>
            <w:r>
              <w:rPr>
                <w:sz w:val="21"/>
                <w:szCs w:val="21"/>
              </w:rPr>
              <w:t>0.</w:t>
            </w:r>
            <w:r>
              <w:rPr>
                <w:rFonts w:hint="eastAsia"/>
                <w:sz w:val="21"/>
                <w:szCs w:val="21"/>
              </w:rPr>
              <w:t>217</w:t>
            </w:r>
            <w:r>
              <w:rPr>
                <w:sz w:val="21"/>
                <w:szCs w:val="21"/>
              </w:rPr>
              <w:t>~0.</w:t>
            </w:r>
            <w:r>
              <w:rPr>
                <w:rFonts w:hint="eastAsia"/>
                <w:sz w:val="21"/>
                <w:szCs w:val="21"/>
              </w:rPr>
              <w:t>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铜</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锰</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0.01L</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0.01L</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0.01L</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restart"/>
            <w:vAlign w:val="center"/>
          </w:tcPr>
          <w:p>
            <w:pPr>
              <w:snapToGrid w:val="0"/>
              <w:spacing w:line="340" w:lineRule="exact"/>
              <w:ind w:firstLine="0" w:firstLineChars="0"/>
              <w:contextualSpacing/>
              <w:jc w:val="center"/>
              <w:rPr>
                <w:snapToGrid w:val="0"/>
                <w:kern w:val="0"/>
                <w:sz w:val="21"/>
                <w:szCs w:val="21"/>
              </w:rPr>
            </w:pPr>
            <w:r>
              <w:rPr>
                <w:rFonts w:hint="eastAsia"/>
                <w:snapToGrid w:val="0"/>
                <w:kern w:val="0"/>
                <w:sz w:val="21"/>
                <w:szCs w:val="21"/>
              </w:rPr>
              <w:t>锌</w:t>
            </w:r>
          </w:p>
        </w:tc>
        <w:tc>
          <w:tcPr>
            <w:tcW w:w="622" w:type="pct"/>
            <w:vAlign w:val="center"/>
          </w:tcPr>
          <w:p>
            <w:pPr>
              <w:snapToGrid w:val="0"/>
              <w:spacing w:line="340" w:lineRule="exact"/>
              <w:ind w:firstLine="0" w:firstLineChars="0"/>
              <w:contextualSpacing/>
              <w:jc w:val="center"/>
              <w:rPr>
                <w:sz w:val="21"/>
                <w:szCs w:val="21"/>
              </w:rPr>
            </w:pPr>
            <w:r>
              <w:rPr>
                <w:sz w:val="21"/>
                <w:szCs w:val="21"/>
              </w:rPr>
              <w:t>范围值</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0.05L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 w:type="pct"/>
            <w:vMerge w:val="continue"/>
            <w:vAlign w:val="center"/>
          </w:tcPr>
          <w:p>
            <w:pPr>
              <w:snapToGrid w:val="0"/>
              <w:spacing w:line="340" w:lineRule="exact"/>
              <w:ind w:firstLine="0" w:firstLineChars="0"/>
              <w:contextualSpacing/>
              <w:jc w:val="center"/>
              <w:rPr>
                <w:snapToGrid w:val="0"/>
                <w:kern w:val="0"/>
                <w:sz w:val="21"/>
                <w:szCs w:val="21"/>
              </w:rPr>
            </w:pPr>
          </w:p>
        </w:tc>
        <w:tc>
          <w:tcPr>
            <w:tcW w:w="622" w:type="pct"/>
            <w:vAlign w:val="center"/>
          </w:tcPr>
          <w:p>
            <w:pPr>
              <w:snapToGrid w:val="0"/>
              <w:spacing w:line="340" w:lineRule="exact"/>
              <w:ind w:firstLine="0" w:firstLineChars="0"/>
              <w:contextualSpacing/>
              <w:jc w:val="center"/>
              <w:rPr>
                <w:sz w:val="21"/>
                <w:szCs w:val="21"/>
              </w:rPr>
            </w:pPr>
            <w:r>
              <w:rPr>
                <w:sz w:val="21"/>
                <w:szCs w:val="21"/>
              </w:rPr>
              <w:t>标准指数</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871"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793"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c>
          <w:tcPr>
            <w:tcW w:w="946" w:type="pct"/>
            <w:vAlign w:val="center"/>
          </w:tcPr>
          <w:p>
            <w:pPr>
              <w:widowControl/>
              <w:snapToGrid w:val="0"/>
              <w:spacing w:line="340" w:lineRule="exact"/>
              <w:ind w:firstLine="0" w:firstLineChars="0"/>
              <w:contextualSpacing/>
              <w:jc w:val="center"/>
              <w:rPr>
                <w:sz w:val="21"/>
                <w:szCs w:val="21"/>
              </w:rPr>
            </w:pPr>
            <w:r>
              <w:rPr>
                <w:rFonts w:hint="eastAsia"/>
                <w:sz w:val="21"/>
                <w:szCs w:val="21"/>
              </w:rPr>
              <w:t>/</w:t>
            </w:r>
          </w:p>
        </w:tc>
      </w:tr>
    </w:tbl>
    <w:p>
      <w:pPr>
        <w:spacing w:line="240" w:lineRule="auto"/>
        <w:ind w:firstLine="420"/>
        <w:rPr>
          <w:sz w:val="21"/>
          <w:szCs w:val="21"/>
        </w:rPr>
      </w:pPr>
      <w:r>
        <w:rPr>
          <w:sz w:val="21"/>
          <w:szCs w:val="21"/>
        </w:rPr>
        <w:t>注：/</w:t>
      </w:r>
      <w:r>
        <w:rPr>
          <w:sz w:val="21"/>
          <w:szCs w:val="21"/>
          <w:vertAlign w:val="superscript"/>
        </w:rPr>
        <w:t>*</w:t>
      </w:r>
      <w:r>
        <w:rPr>
          <w:sz w:val="21"/>
          <w:szCs w:val="21"/>
        </w:rPr>
        <w:t>pH按各个实测值进行评价。</w:t>
      </w:r>
    </w:p>
    <w:p>
      <w:pPr>
        <w:autoSpaceDE w:val="0"/>
        <w:autoSpaceDN w:val="0"/>
        <w:adjustRightInd w:val="0"/>
        <w:spacing w:before="120" w:beforeLines="50"/>
        <w:ind w:firstLine="480"/>
        <w:rPr>
          <w:szCs w:val="24"/>
        </w:rPr>
      </w:pPr>
      <w:r>
        <w:rPr>
          <w:szCs w:val="24"/>
        </w:rPr>
        <w:t>由表4.</w:t>
      </w:r>
      <w:r>
        <w:rPr>
          <w:rFonts w:hint="eastAsia"/>
          <w:szCs w:val="24"/>
        </w:rPr>
        <w:t>4</w:t>
      </w:r>
      <w:r>
        <w:rPr>
          <w:szCs w:val="24"/>
        </w:rPr>
        <w:t>-</w:t>
      </w:r>
      <w:r>
        <w:rPr>
          <w:rFonts w:hint="eastAsia"/>
          <w:szCs w:val="24"/>
        </w:rPr>
        <w:t>4</w:t>
      </w:r>
      <w:r>
        <w:rPr>
          <w:szCs w:val="24"/>
        </w:rPr>
        <w:t>可见，各监测断面处各监测因子的浓度均符合《地表水环境质量标准》（GB3838-2002）规定的</w:t>
      </w:r>
      <w:r>
        <w:rPr>
          <w:rFonts w:hint="eastAsia" w:ascii="宋体" w:hAnsi="宋体" w:cs="宋体"/>
          <w:kern w:val="0"/>
          <w:szCs w:val="24"/>
        </w:rPr>
        <w:t>Ⅲ</w:t>
      </w:r>
      <w:r>
        <w:rPr>
          <w:kern w:val="0"/>
          <w:szCs w:val="24"/>
        </w:rPr>
        <w:t>类标准</w:t>
      </w:r>
      <w:r>
        <w:rPr>
          <w:szCs w:val="24"/>
        </w:rPr>
        <w:t>要求，未出现超标现象，</w:t>
      </w:r>
      <w:r>
        <w:rPr>
          <w:rFonts w:hint="eastAsia"/>
          <w:szCs w:val="24"/>
        </w:rPr>
        <w:t>锦河</w:t>
      </w:r>
      <w:r>
        <w:rPr>
          <w:szCs w:val="24"/>
        </w:rPr>
        <w:t>水质现状良好。</w:t>
      </w:r>
    </w:p>
    <w:p>
      <w:pPr>
        <w:pStyle w:val="835"/>
        <w:spacing w:before="0" w:line="360" w:lineRule="auto"/>
      </w:pPr>
      <w:bookmarkStart w:id="733" w:name="_Toc536265141"/>
      <w:bookmarkStart w:id="734" w:name="_Toc534807057"/>
      <w:bookmarkStart w:id="735" w:name="_Toc3903278"/>
      <w:bookmarkStart w:id="736" w:name="_Toc534895274"/>
      <w:bookmarkStart w:id="737" w:name="_Toc534386298"/>
      <w:bookmarkStart w:id="738" w:name="_Toc334643179"/>
      <w:bookmarkStart w:id="739" w:name="_Toc529279060"/>
      <w:bookmarkStart w:id="740" w:name="_Toc281507045"/>
      <w:r>
        <w:t>4.</w:t>
      </w:r>
      <w:r>
        <w:rPr>
          <w:rFonts w:hint="eastAsia"/>
        </w:rPr>
        <w:t>4</w:t>
      </w:r>
      <w:r>
        <w:t>.</w:t>
      </w:r>
      <w:r>
        <w:rPr>
          <w:rFonts w:hint="eastAsia"/>
        </w:rPr>
        <w:t>3</w:t>
      </w:r>
      <w:r>
        <w:t>地下水环境现状</w:t>
      </w:r>
      <w:r>
        <w:rPr>
          <w:rFonts w:hint="eastAsia"/>
        </w:rPr>
        <w:t>及</w:t>
      </w:r>
      <w:r>
        <w:t>评价</w:t>
      </w:r>
      <w:bookmarkEnd w:id="733"/>
      <w:bookmarkEnd w:id="734"/>
      <w:bookmarkEnd w:id="735"/>
      <w:bookmarkEnd w:id="736"/>
      <w:bookmarkEnd w:id="737"/>
    </w:p>
    <w:p>
      <w:pPr>
        <w:autoSpaceDE w:val="0"/>
        <w:autoSpaceDN w:val="0"/>
        <w:adjustRightInd w:val="0"/>
        <w:ind w:firstLine="480"/>
        <w:rPr>
          <w:szCs w:val="24"/>
        </w:rPr>
      </w:pPr>
      <w:r>
        <w:rPr>
          <w:rFonts w:hint="eastAsia"/>
          <w:szCs w:val="24"/>
        </w:rPr>
        <w:t>⑴</w:t>
      </w:r>
      <w:r>
        <w:rPr>
          <w:szCs w:val="24"/>
        </w:rPr>
        <w:t>地下水环境质量现状监测</w:t>
      </w:r>
    </w:p>
    <w:p>
      <w:pPr>
        <w:autoSpaceDE w:val="0"/>
        <w:autoSpaceDN w:val="0"/>
        <w:adjustRightInd w:val="0"/>
        <w:ind w:firstLine="480"/>
        <w:rPr>
          <w:szCs w:val="24"/>
        </w:rPr>
      </w:pPr>
      <w:r>
        <w:rPr>
          <w:szCs w:val="24"/>
        </w:rPr>
        <w:t>根据工程特点及环境特征，</w:t>
      </w:r>
      <w:r>
        <w:rPr>
          <w:rFonts w:hint="eastAsia"/>
          <w:szCs w:val="24"/>
        </w:rPr>
        <w:t>本次评价委托</w:t>
      </w:r>
      <w:r>
        <w:rPr>
          <w:szCs w:val="24"/>
        </w:rPr>
        <w:t>江西谱实检测技术有限公司</w:t>
      </w:r>
      <w:r>
        <w:rPr>
          <w:rFonts w:hint="eastAsia"/>
          <w:szCs w:val="24"/>
        </w:rPr>
        <w:t>于2022年7月19日在工程评价范围内开展一期地下水监测，共布置了3个监测点位，即黄家</w:t>
      </w:r>
      <w:r>
        <w:rPr>
          <w:szCs w:val="24"/>
        </w:rPr>
        <w:t>GW1、</w:t>
      </w:r>
      <w:r>
        <w:rPr>
          <w:rFonts w:hint="eastAsia"/>
          <w:szCs w:val="24"/>
        </w:rPr>
        <w:t>白溪</w:t>
      </w:r>
      <w:r>
        <w:rPr>
          <w:szCs w:val="24"/>
        </w:rPr>
        <w:t>GW2、</w:t>
      </w:r>
      <w:r>
        <w:rPr>
          <w:rFonts w:hint="eastAsia"/>
          <w:szCs w:val="24"/>
        </w:rPr>
        <w:t>庙前</w:t>
      </w:r>
      <w:r>
        <w:rPr>
          <w:szCs w:val="24"/>
        </w:rPr>
        <w:t>GW3</w:t>
      </w:r>
      <w:r>
        <w:rPr>
          <w:rFonts w:hint="eastAsia"/>
          <w:szCs w:val="24"/>
        </w:rPr>
        <w:t>，同时调查水位和水质</w:t>
      </w:r>
      <w:r>
        <w:rPr>
          <w:szCs w:val="24"/>
        </w:rPr>
        <w:t>，具体布置见表4.</w:t>
      </w:r>
      <w:r>
        <w:rPr>
          <w:rFonts w:hint="eastAsia"/>
          <w:szCs w:val="24"/>
        </w:rPr>
        <w:t>4</w:t>
      </w:r>
      <w:r>
        <w:rPr>
          <w:szCs w:val="24"/>
        </w:rPr>
        <w:t>-</w:t>
      </w:r>
      <w:r>
        <w:rPr>
          <w:rFonts w:hint="eastAsia"/>
          <w:szCs w:val="24"/>
        </w:rPr>
        <w:t>5</w:t>
      </w:r>
      <w:r>
        <w:rPr>
          <w:szCs w:val="24"/>
        </w:rPr>
        <w:t>和附图</w:t>
      </w:r>
      <w:r>
        <w:rPr>
          <w:rFonts w:hint="eastAsia"/>
          <w:szCs w:val="24"/>
        </w:rPr>
        <w:t>十四</w:t>
      </w:r>
      <w:r>
        <w:rPr>
          <w:szCs w:val="24"/>
        </w:rPr>
        <w:t>。</w:t>
      </w:r>
    </w:p>
    <w:p>
      <w:pPr>
        <w:autoSpaceDE w:val="0"/>
        <w:autoSpaceDN w:val="0"/>
        <w:adjustRightInd w:val="0"/>
        <w:spacing w:before="120" w:beforeLines="50"/>
        <w:ind w:firstLine="480"/>
        <w:rPr>
          <w:szCs w:val="24"/>
        </w:rPr>
      </w:pPr>
      <w:r>
        <w:rPr>
          <w:rFonts w:hint="eastAsia"/>
          <w:szCs w:val="24"/>
        </w:rPr>
        <w:t>①监测点位</w:t>
      </w:r>
    </w:p>
    <w:p>
      <w:pPr>
        <w:pStyle w:val="1078"/>
        <w:spacing w:before="120" w:beforeLines="50" w:line="240" w:lineRule="auto"/>
        <w:ind w:firstLine="641"/>
        <w:rPr>
          <w:rFonts w:ascii="Times New Roman" w:hAnsi="Times New Roman"/>
        </w:rPr>
      </w:pPr>
      <w:r>
        <w:rPr>
          <w:rFonts w:ascii="Times New Roman" w:hAnsi="Times New Roman"/>
        </w:rPr>
        <w:t>表4.</w:t>
      </w:r>
      <w:r>
        <w:rPr>
          <w:rFonts w:hint="eastAsia" w:ascii="Times New Roman" w:hAnsi="Times New Roman"/>
        </w:rPr>
        <w:t>4</w:t>
      </w:r>
      <w:r>
        <w:rPr>
          <w:rFonts w:ascii="Times New Roman" w:hAnsi="Times New Roman"/>
        </w:rPr>
        <w:t>-</w:t>
      </w:r>
      <w:r>
        <w:rPr>
          <w:rFonts w:hint="eastAsia" w:ascii="Times New Roman" w:hAnsi="Times New Roman"/>
        </w:rPr>
        <w:t>5</w:t>
      </w:r>
      <w:r>
        <w:rPr>
          <w:rFonts w:ascii="Times New Roman" w:hAnsi="Times New Roman"/>
        </w:rPr>
        <w:t xml:space="preserve"> 地下水监测点布设位置</w:t>
      </w:r>
    </w:p>
    <w:tbl>
      <w:tblPr>
        <w:tblStyle w:val="8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630"/>
        <w:gridCol w:w="2129"/>
        <w:gridCol w:w="2129"/>
        <w:gridCol w:w="26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sz w:val="21"/>
                <w:szCs w:val="21"/>
              </w:rPr>
            </w:pPr>
            <w:r>
              <w:rPr>
                <w:sz w:val="21"/>
                <w:szCs w:val="21"/>
              </w:rPr>
              <w:t>监测点编号</w:t>
            </w:r>
          </w:p>
        </w:tc>
        <w:tc>
          <w:tcPr>
            <w:tcW w:w="1112" w:type="pct"/>
            <w:vAlign w:val="center"/>
          </w:tcPr>
          <w:p>
            <w:pPr>
              <w:spacing w:line="340" w:lineRule="exact"/>
              <w:ind w:firstLine="0" w:firstLineChars="0"/>
              <w:jc w:val="center"/>
              <w:rPr>
                <w:sz w:val="21"/>
                <w:szCs w:val="21"/>
              </w:rPr>
            </w:pPr>
            <w:r>
              <w:rPr>
                <w:rFonts w:hint="eastAsia"/>
                <w:sz w:val="21"/>
                <w:szCs w:val="21"/>
              </w:rPr>
              <w:t>监测项目</w:t>
            </w:r>
          </w:p>
        </w:tc>
        <w:tc>
          <w:tcPr>
            <w:tcW w:w="1112" w:type="pct"/>
            <w:vAlign w:val="center"/>
          </w:tcPr>
          <w:p>
            <w:pPr>
              <w:spacing w:line="340" w:lineRule="exact"/>
              <w:ind w:firstLine="0" w:firstLineChars="0"/>
              <w:jc w:val="center"/>
              <w:rPr>
                <w:sz w:val="21"/>
                <w:szCs w:val="21"/>
              </w:rPr>
            </w:pPr>
            <w:r>
              <w:rPr>
                <w:sz w:val="21"/>
                <w:szCs w:val="21"/>
              </w:rPr>
              <w:t>监测点位置</w:t>
            </w:r>
          </w:p>
        </w:tc>
        <w:tc>
          <w:tcPr>
            <w:tcW w:w="1400" w:type="pct"/>
            <w:vAlign w:val="center"/>
          </w:tcPr>
          <w:p>
            <w:pPr>
              <w:spacing w:line="340" w:lineRule="exact"/>
              <w:ind w:firstLine="0" w:firstLineChars="0"/>
              <w:jc w:val="center"/>
              <w:rPr>
                <w:sz w:val="21"/>
                <w:szCs w:val="21"/>
              </w:rPr>
            </w:pPr>
            <w:r>
              <w:rPr>
                <w:sz w:val="21"/>
                <w:szCs w:val="21"/>
              </w:rPr>
              <w:t>与坝址方位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sz w:val="21"/>
                <w:szCs w:val="21"/>
              </w:rPr>
            </w:pPr>
            <w:r>
              <w:rPr>
                <w:sz w:val="21"/>
                <w:szCs w:val="21"/>
              </w:rPr>
              <w:t>GW1</w:t>
            </w:r>
          </w:p>
        </w:tc>
        <w:tc>
          <w:tcPr>
            <w:tcW w:w="1112" w:type="pct"/>
            <w:vAlign w:val="center"/>
          </w:tcPr>
          <w:p>
            <w:pPr>
              <w:spacing w:line="340" w:lineRule="exact"/>
              <w:ind w:firstLine="0" w:firstLineChars="0"/>
              <w:jc w:val="center"/>
              <w:rPr>
                <w:sz w:val="21"/>
                <w:szCs w:val="21"/>
              </w:rPr>
            </w:pPr>
            <w:r>
              <w:rPr>
                <w:rFonts w:hint="eastAsia"/>
                <w:sz w:val="21"/>
                <w:szCs w:val="21"/>
              </w:rPr>
              <w:t>水质、水位</w:t>
            </w:r>
          </w:p>
        </w:tc>
        <w:tc>
          <w:tcPr>
            <w:tcW w:w="1112" w:type="pct"/>
            <w:vAlign w:val="center"/>
          </w:tcPr>
          <w:p>
            <w:pPr>
              <w:pStyle w:val="960"/>
              <w:spacing w:line="340" w:lineRule="exact"/>
              <w:jc w:val="center"/>
              <w:rPr>
                <w:snapToGrid w:val="0"/>
                <w:szCs w:val="21"/>
              </w:rPr>
            </w:pPr>
            <w:r>
              <w:rPr>
                <w:rFonts w:hint="eastAsia"/>
                <w:szCs w:val="21"/>
              </w:rPr>
              <w:t>黄</w:t>
            </w:r>
            <w:r>
              <w:rPr>
                <w:szCs w:val="21"/>
              </w:rPr>
              <w:t>家</w:t>
            </w:r>
          </w:p>
        </w:tc>
        <w:tc>
          <w:tcPr>
            <w:tcW w:w="1400" w:type="pct"/>
            <w:vAlign w:val="center"/>
          </w:tcPr>
          <w:p>
            <w:pPr>
              <w:pStyle w:val="960"/>
              <w:spacing w:line="340" w:lineRule="exact"/>
              <w:jc w:val="center"/>
              <w:rPr>
                <w:snapToGrid w:val="0"/>
                <w:szCs w:val="21"/>
              </w:rPr>
            </w:pPr>
            <w:r>
              <w:rPr>
                <w:rFonts w:hint="eastAsia"/>
                <w:snapToGrid w:val="0"/>
                <w:szCs w:val="21"/>
              </w:rPr>
              <w:t>东</w:t>
            </w:r>
            <w:r>
              <w:rPr>
                <w:snapToGrid w:val="0"/>
                <w:szCs w:val="21"/>
              </w:rPr>
              <w:t>南侧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sz w:val="21"/>
                <w:szCs w:val="21"/>
              </w:rPr>
            </w:pPr>
            <w:r>
              <w:rPr>
                <w:sz w:val="21"/>
                <w:szCs w:val="21"/>
              </w:rPr>
              <w:t>GW2</w:t>
            </w:r>
          </w:p>
        </w:tc>
        <w:tc>
          <w:tcPr>
            <w:tcW w:w="1112" w:type="pct"/>
            <w:vAlign w:val="center"/>
          </w:tcPr>
          <w:p>
            <w:pPr>
              <w:spacing w:line="340" w:lineRule="exact"/>
              <w:ind w:firstLine="0" w:firstLineChars="0"/>
              <w:jc w:val="center"/>
              <w:rPr>
                <w:sz w:val="21"/>
                <w:szCs w:val="21"/>
              </w:rPr>
            </w:pPr>
            <w:r>
              <w:rPr>
                <w:rFonts w:hint="eastAsia"/>
                <w:sz w:val="21"/>
                <w:szCs w:val="21"/>
              </w:rPr>
              <w:t>水质、水位</w:t>
            </w:r>
          </w:p>
        </w:tc>
        <w:tc>
          <w:tcPr>
            <w:tcW w:w="1112" w:type="pct"/>
            <w:vAlign w:val="center"/>
          </w:tcPr>
          <w:p>
            <w:pPr>
              <w:pStyle w:val="960"/>
              <w:spacing w:line="340" w:lineRule="exact"/>
              <w:jc w:val="center"/>
              <w:rPr>
                <w:snapToGrid w:val="0"/>
                <w:szCs w:val="21"/>
              </w:rPr>
            </w:pPr>
            <w:r>
              <w:rPr>
                <w:rFonts w:hint="eastAsia"/>
                <w:szCs w:val="21"/>
              </w:rPr>
              <w:t>白溪</w:t>
            </w:r>
          </w:p>
        </w:tc>
        <w:tc>
          <w:tcPr>
            <w:tcW w:w="1400" w:type="pct"/>
            <w:vAlign w:val="center"/>
          </w:tcPr>
          <w:p>
            <w:pPr>
              <w:pStyle w:val="960"/>
              <w:spacing w:line="340" w:lineRule="exact"/>
              <w:jc w:val="center"/>
              <w:rPr>
                <w:snapToGrid w:val="0"/>
                <w:szCs w:val="21"/>
              </w:rPr>
            </w:pPr>
            <w:r>
              <w:rPr>
                <w:snapToGrid w:val="0"/>
                <w:szCs w:val="21"/>
              </w:rPr>
              <w:t>东侧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sz w:val="21"/>
                <w:szCs w:val="21"/>
              </w:rPr>
            </w:pPr>
            <w:r>
              <w:rPr>
                <w:sz w:val="21"/>
                <w:szCs w:val="21"/>
              </w:rPr>
              <w:t>GW3</w:t>
            </w:r>
          </w:p>
        </w:tc>
        <w:tc>
          <w:tcPr>
            <w:tcW w:w="1112" w:type="pct"/>
            <w:vAlign w:val="center"/>
          </w:tcPr>
          <w:p>
            <w:pPr>
              <w:spacing w:line="340" w:lineRule="exact"/>
              <w:ind w:firstLine="0" w:firstLineChars="0"/>
              <w:jc w:val="center"/>
              <w:rPr>
                <w:sz w:val="21"/>
                <w:szCs w:val="21"/>
              </w:rPr>
            </w:pPr>
            <w:r>
              <w:rPr>
                <w:rFonts w:hint="eastAsia"/>
                <w:sz w:val="21"/>
                <w:szCs w:val="21"/>
              </w:rPr>
              <w:t>水质、水位</w:t>
            </w:r>
          </w:p>
        </w:tc>
        <w:tc>
          <w:tcPr>
            <w:tcW w:w="1112" w:type="pct"/>
            <w:vAlign w:val="center"/>
          </w:tcPr>
          <w:p>
            <w:pPr>
              <w:pStyle w:val="960"/>
              <w:spacing w:line="340" w:lineRule="exact"/>
              <w:jc w:val="center"/>
              <w:rPr>
                <w:snapToGrid w:val="0"/>
                <w:szCs w:val="21"/>
              </w:rPr>
            </w:pPr>
            <w:r>
              <w:rPr>
                <w:rFonts w:hint="eastAsia"/>
                <w:szCs w:val="21"/>
              </w:rPr>
              <w:t>庙前</w:t>
            </w:r>
          </w:p>
        </w:tc>
        <w:tc>
          <w:tcPr>
            <w:tcW w:w="1400" w:type="pct"/>
            <w:vAlign w:val="center"/>
          </w:tcPr>
          <w:p>
            <w:pPr>
              <w:pStyle w:val="960"/>
              <w:spacing w:line="340" w:lineRule="exact"/>
              <w:jc w:val="center"/>
              <w:rPr>
                <w:snapToGrid w:val="0"/>
                <w:szCs w:val="21"/>
              </w:rPr>
            </w:pPr>
            <w:r>
              <w:rPr>
                <w:rFonts w:hint="eastAsia"/>
                <w:snapToGrid w:val="0"/>
                <w:szCs w:val="21"/>
              </w:rPr>
              <w:t>西</w:t>
            </w:r>
            <w:r>
              <w:rPr>
                <w:snapToGrid w:val="0"/>
                <w:szCs w:val="21"/>
              </w:rPr>
              <w:t>北侧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GW</w:t>
            </w:r>
            <w:r>
              <w:rPr>
                <w:rFonts w:hint="eastAsia"/>
                <w:color w:val="000000" w:themeColor="text1"/>
                <w:sz w:val="21"/>
                <w:szCs w:val="21"/>
                <w14:textFill>
                  <w14:solidFill>
                    <w14:schemeClr w14:val="tx1"/>
                  </w14:solidFill>
                </w14:textFill>
              </w:rPr>
              <w:t>4</w:t>
            </w:r>
          </w:p>
        </w:tc>
        <w:tc>
          <w:tcPr>
            <w:tcW w:w="1112"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水位</w:t>
            </w:r>
          </w:p>
        </w:tc>
        <w:tc>
          <w:tcPr>
            <w:tcW w:w="1112" w:type="pct"/>
            <w:vAlign w:val="center"/>
          </w:tcPr>
          <w:p>
            <w:pPr>
              <w:pStyle w:val="960"/>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敖背村</w:t>
            </w:r>
          </w:p>
        </w:tc>
        <w:tc>
          <w:tcPr>
            <w:tcW w:w="1400" w:type="pct"/>
            <w:vAlign w:val="center"/>
          </w:tcPr>
          <w:p>
            <w:pPr>
              <w:pStyle w:val="960"/>
              <w:spacing w:line="340" w:lineRule="exact"/>
              <w:jc w:val="center"/>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南侧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GW</w:t>
            </w:r>
            <w:r>
              <w:rPr>
                <w:rFonts w:hint="eastAsia"/>
                <w:color w:val="000000" w:themeColor="text1"/>
                <w:sz w:val="21"/>
                <w:szCs w:val="21"/>
                <w14:textFill>
                  <w14:solidFill>
                    <w14:schemeClr w14:val="tx1"/>
                  </w14:solidFill>
                </w14:textFill>
              </w:rPr>
              <w:t>5</w:t>
            </w:r>
          </w:p>
        </w:tc>
        <w:tc>
          <w:tcPr>
            <w:tcW w:w="1112"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水位</w:t>
            </w:r>
          </w:p>
        </w:tc>
        <w:tc>
          <w:tcPr>
            <w:tcW w:w="1112" w:type="pct"/>
            <w:vAlign w:val="center"/>
          </w:tcPr>
          <w:p>
            <w:pPr>
              <w:pStyle w:val="960"/>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先锋村</w:t>
            </w:r>
          </w:p>
        </w:tc>
        <w:tc>
          <w:tcPr>
            <w:tcW w:w="1400" w:type="pct"/>
            <w:vAlign w:val="center"/>
          </w:tcPr>
          <w:p>
            <w:pPr>
              <w:pStyle w:val="960"/>
              <w:spacing w:line="340" w:lineRule="exact"/>
              <w:jc w:val="center"/>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东北侧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374"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GW</w:t>
            </w:r>
            <w:r>
              <w:rPr>
                <w:rFonts w:hint="eastAsia"/>
                <w:color w:val="000000" w:themeColor="text1"/>
                <w:sz w:val="21"/>
                <w:szCs w:val="21"/>
                <w14:textFill>
                  <w14:solidFill>
                    <w14:schemeClr w14:val="tx1"/>
                  </w14:solidFill>
                </w14:textFill>
              </w:rPr>
              <w:t>6</w:t>
            </w:r>
          </w:p>
        </w:tc>
        <w:tc>
          <w:tcPr>
            <w:tcW w:w="1112" w:type="pct"/>
            <w:vAlign w:val="center"/>
          </w:tcPr>
          <w:p>
            <w:pPr>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水位</w:t>
            </w:r>
          </w:p>
        </w:tc>
        <w:tc>
          <w:tcPr>
            <w:tcW w:w="1112" w:type="pct"/>
            <w:vAlign w:val="center"/>
          </w:tcPr>
          <w:p>
            <w:pPr>
              <w:pStyle w:val="960"/>
              <w:spacing w:line="3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罗家</w:t>
            </w:r>
          </w:p>
        </w:tc>
        <w:tc>
          <w:tcPr>
            <w:tcW w:w="1400" w:type="pct"/>
            <w:vAlign w:val="center"/>
          </w:tcPr>
          <w:p>
            <w:pPr>
              <w:pStyle w:val="960"/>
              <w:spacing w:line="340" w:lineRule="exact"/>
              <w:jc w:val="center"/>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西北侧</w:t>
            </w:r>
          </w:p>
        </w:tc>
      </w:tr>
    </w:tbl>
    <w:p>
      <w:pPr>
        <w:spacing w:before="120" w:beforeLines="50"/>
        <w:ind w:firstLine="480"/>
        <w:rPr>
          <w:szCs w:val="24"/>
          <w:lang w:val="en-GB"/>
        </w:rPr>
      </w:pPr>
      <w:r>
        <w:rPr>
          <w:rFonts w:hint="eastAsia" w:ascii="宋体" w:hAnsi="宋体" w:cs="宋体"/>
          <w:szCs w:val="24"/>
          <w:lang w:val="en-GB"/>
        </w:rPr>
        <w:t>②</w:t>
      </w:r>
      <w:r>
        <w:rPr>
          <w:szCs w:val="24"/>
          <w:lang w:val="en-GB"/>
        </w:rPr>
        <w:t>监测项目</w:t>
      </w:r>
    </w:p>
    <w:p>
      <w:pPr>
        <w:ind w:firstLine="480" w:firstLineChars="0"/>
        <w:rPr>
          <w:szCs w:val="24"/>
          <w:lang w:val="en-GB"/>
        </w:rPr>
      </w:pPr>
      <w:r>
        <w:rPr>
          <w:szCs w:val="24"/>
        </w:rPr>
        <w:t>pH、总硬度、溶解性总固体、硫酸盐、氯化物、铁、锰、铜、锌、铝、氨氮、硫化物、钠</w:t>
      </w:r>
      <w:r>
        <w:rPr>
          <w:szCs w:val="24"/>
          <w:lang w:val="en-GB"/>
        </w:rPr>
        <w:t>。</w:t>
      </w:r>
    </w:p>
    <w:p>
      <w:pPr>
        <w:ind w:firstLine="480" w:firstLineChars="0"/>
        <w:rPr>
          <w:szCs w:val="24"/>
          <w:lang w:val="en-GB"/>
        </w:rPr>
      </w:pPr>
      <w:r>
        <w:rPr>
          <w:rFonts w:hint="eastAsia" w:ascii="宋体" w:hAnsi="宋体" w:cs="宋体"/>
          <w:szCs w:val="24"/>
          <w:lang w:val="en-GB"/>
        </w:rPr>
        <w:t>③</w:t>
      </w:r>
      <w:r>
        <w:rPr>
          <w:szCs w:val="24"/>
          <w:lang w:val="en-GB"/>
        </w:rPr>
        <w:t>采样时间、频次</w:t>
      </w:r>
    </w:p>
    <w:p>
      <w:pPr>
        <w:ind w:firstLine="480" w:firstLineChars="0"/>
        <w:rPr>
          <w:szCs w:val="24"/>
          <w:lang w:val="en-GB"/>
        </w:rPr>
      </w:pPr>
      <w:r>
        <w:rPr>
          <w:szCs w:val="24"/>
          <w:lang w:val="en-GB"/>
        </w:rPr>
        <w:t>时间：202</w:t>
      </w:r>
      <w:r>
        <w:rPr>
          <w:rFonts w:hint="eastAsia"/>
          <w:szCs w:val="24"/>
        </w:rPr>
        <w:t>2</w:t>
      </w:r>
      <w:r>
        <w:rPr>
          <w:szCs w:val="24"/>
          <w:lang w:val="en-GB"/>
        </w:rPr>
        <w:t>年</w:t>
      </w:r>
      <w:r>
        <w:rPr>
          <w:rFonts w:hint="eastAsia"/>
          <w:szCs w:val="24"/>
        </w:rPr>
        <w:t>7</w:t>
      </w:r>
      <w:r>
        <w:rPr>
          <w:szCs w:val="24"/>
          <w:lang w:val="en-GB"/>
        </w:rPr>
        <w:t>月1</w:t>
      </w:r>
      <w:r>
        <w:rPr>
          <w:rFonts w:hint="eastAsia"/>
          <w:szCs w:val="24"/>
        </w:rPr>
        <w:t>9</w:t>
      </w:r>
      <w:r>
        <w:rPr>
          <w:szCs w:val="24"/>
          <w:lang w:val="en-GB"/>
        </w:rPr>
        <w:t>日；频次</w:t>
      </w:r>
      <w:r>
        <w:rPr>
          <w:szCs w:val="24"/>
        </w:rPr>
        <w:t>1</w:t>
      </w:r>
      <w:r>
        <w:rPr>
          <w:szCs w:val="24"/>
          <w:lang w:val="en-GB"/>
        </w:rPr>
        <w:t>次。</w:t>
      </w:r>
    </w:p>
    <w:p>
      <w:pPr>
        <w:ind w:firstLine="480" w:firstLineChars="0"/>
        <w:rPr>
          <w:szCs w:val="24"/>
          <w:lang w:val="en-GB"/>
        </w:rPr>
      </w:pPr>
      <w:r>
        <w:rPr>
          <w:rFonts w:hint="eastAsia" w:ascii="宋体" w:hAnsi="宋体" w:cs="宋体"/>
          <w:szCs w:val="24"/>
          <w:lang w:val="en-GB"/>
        </w:rPr>
        <w:t>④</w:t>
      </w:r>
      <w:r>
        <w:rPr>
          <w:szCs w:val="24"/>
          <w:lang w:val="en-GB"/>
        </w:rPr>
        <w:t>水质采样及分析方法按《地下水监测技术规范》(HJ/T164-2004)的要求执行。</w:t>
      </w:r>
    </w:p>
    <w:p>
      <w:pPr>
        <w:ind w:firstLine="480" w:firstLineChars="0"/>
        <w:rPr>
          <w:szCs w:val="24"/>
          <w:lang w:val="en-GB"/>
        </w:rPr>
      </w:pPr>
      <w:r>
        <w:rPr>
          <w:rFonts w:ascii="宋体" w:hAnsi="宋体" w:cs="宋体"/>
          <w:szCs w:val="24"/>
          <w:lang w:val="en-GB"/>
        </w:rPr>
        <w:fldChar w:fldCharType="begin"/>
      </w:r>
      <w:r>
        <w:rPr>
          <w:rFonts w:ascii="宋体" w:hAnsi="宋体" w:cs="宋体"/>
          <w:szCs w:val="24"/>
          <w:lang w:val="en-GB"/>
        </w:rPr>
        <w:instrText xml:space="preserve"> </w:instrText>
      </w:r>
      <w:r>
        <w:rPr>
          <w:rFonts w:hint="eastAsia" w:ascii="宋体" w:hAnsi="宋体" w:cs="宋体"/>
          <w:szCs w:val="24"/>
          <w:lang w:val="en-GB"/>
        </w:rPr>
        <w:instrText xml:space="preserve">= 5 \* GB3</w:instrText>
      </w:r>
      <w:r>
        <w:rPr>
          <w:rFonts w:ascii="宋体" w:hAnsi="宋体" w:cs="宋体"/>
          <w:szCs w:val="24"/>
          <w:lang w:val="en-GB"/>
        </w:rPr>
        <w:instrText xml:space="preserve"> </w:instrText>
      </w:r>
      <w:r>
        <w:rPr>
          <w:rFonts w:ascii="宋体" w:hAnsi="宋体" w:cs="宋体"/>
          <w:szCs w:val="24"/>
          <w:lang w:val="en-GB"/>
        </w:rPr>
        <w:fldChar w:fldCharType="separate"/>
      </w:r>
      <w:r>
        <w:rPr>
          <w:rFonts w:hint="eastAsia" w:ascii="宋体" w:hAnsi="宋体" w:cs="宋体"/>
          <w:szCs w:val="24"/>
          <w:lang w:val="en-GB"/>
        </w:rPr>
        <w:t>⑤</w:t>
      </w:r>
      <w:r>
        <w:rPr>
          <w:rFonts w:ascii="宋体" w:hAnsi="宋体" w:cs="宋体"/>
          <w:szCs w:val="24"/>
          <w:lang w:val="en-GB"/>
        </w:rPr>
        <w:fldChar w:fldCharType="end"/>
      </w:r>
      <w:r>
        <w:rPr>
          <w:szCs w:val="24"/>
          <w:lang w:val="en-GB"/>
        </w:rPr>
        <w:t>监测结果</w:t>
      </w:r>
    </w:p>
    <w:p>
      <w:pPr>
        <w:pStyle w:val="1078"/>
        <w:spacing w:before="120" w:beforeLines="50" w:line="240" w:lineRule="auto"/>
        <w:ind w:firstLine="641"/>
        <w:rPr>
          <w:rFonts w:hAnsi="黑体" w:cs="黑体"/>
        </w:rPr>
      </w:pPr>
      <w:r>
        <w:rPr>
          <w:rFonts w:hint="eastAsia" w:hAnsi="黑体" w:cs="黑体"/>
        </w:rPr>
        <w:t>表4.4-6  地下水环境质量现状监测统计结果一览表单位：mg/L（pH为无量纲）</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1726"/>
        <w:gridCol w:w="2419"/>
        <w:gridCol w:w="2303"/>
        <w:gridCol w:w="2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restart"/>
            <w:vAlign w:val="center"/>
          </w:tcPr>
          <w:p>
            <w:pPr>
              <w:spacing w:line="340" w:lineRule="exact"/>
              <w:ind w:firstLine="0" w:firstLineChars="0"/>
              <w:jc w:val="center"/>
              <w:rPr>
                <w:sz w:val="21"/>
                <w:szCs w:val="21"/>
              </w:rPr>
            </w:pPr>
            <w:r>
              <w:rPr>
                <w:sz w:val="21"/>
                <w:szCs w:val="21"/>
              </w:rPr>
              <w:t>采样日期</w:t>
            </w:r>
          </w:p>
        </w:tc>
        <w:tc>
          <w:tcPr>
            <w:tcW w:w="902" w:type="pct"/>
            <w:vMerge w:val="restart"/>
            <w:vAlign w:val="center"/>
          </w:tcPr>
          <w:p>
            <w:pPr>
              <w:spacing w:line="340" w:lineRule="exact"/>
              <w:ind w:firstLine="0" w:firstLineChars="0"/>
              <w:jc w:val="center"/>
              <w:rPr>
                <w:sz w:val="21"/>
                <w:szCs w:val="21"/>
              </w:rPr>
            </w:pPr>
            <w:r>
              <w:rPr>
                <w:sz w:val="21"/>
                <w:szCs w:val="21"/>
              </w:rPr>
              <w:t>检测项目</w:t>
            </w:r>
          </w:p>
        </w:tc>
        <w:tc>
          <w:tcPr>
            <w:tcW w:w="3673" w:type="pct"/>
            <w:gridSpan w:val="3"/>
            <w:vAlign w:val="center"/>
          </w:tcPr>
          <w:p>
            <w:pPr>
              <w:spacing w:line="340" w:lineRule="exact"/>
              <w:ind w:firstLine="0" w:firstLineChars="0"/>
              <w:jc w:val="center"/>
              <w:rPr>
                <w:sz w:val="21"/>
                <w:szCs w:val="21"/>
              </w:rPr>
            </w:pPr>
            <w:r>
              <w:rPr>
                <w:sz w:val="21"/>
                <w:szCs w:val="21"/>
              </w:rPr>
              <w:t>采样点位及检测结果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Merge w:val="continue"/>
            <w:vAlign w:val="center"/>
          </w:tcPr>
          <w:p>
            <w:pPr>
              <w:spacing w:line="340" w:lineRule="exact"/>
              <w:ind w:firstLine="0" w:firstLineChars="0"/>
              <w:jc w:val="center"/>
              <w:rPr>
                <w:sz w:val="21"/>
                <w:szCs w:val="21"/>
              </w:rPr>
            </w:pPr>
          </w:p>
        </w:tc>
        <w:tc>
          <w:tcPr>
            <w:tcW w:w="1264" w:type="pct"/>
            <w:vAlign w:val="center"/>
          </w:tcPr>
          <w:p>
            <w:pPr>
              <w:spacing w:line="340" w:lineRule="exact"/>
              <w:ind w:firstLine="0" w:firstLineChars="0"/>
              <w:jc w:val="center"/>
              <w:rPr>
                <w:sz w:val="21"/>
                <w:szCs w:val="21"/>
              </w:rPr>
            </w:pPr>
            <w:r>
              <w:rPr>
                <w:sz w:val="21"/>
                <w:szCs w:val="21"/>
              </w:rPr>
              <w:t>GW1</w:t>
            </w:r>
            <w:r>
              <w:rPr>
                <w:rFonts w:hint="eastAsia"/>
                <w:sz w:val="21"/>
                <w:szCs w:val="21"/>
              </w:rPr>
              <w:t>黄家</w:t>
            </w:r>
          </w:p>
        </w:tc>
        <w:tc>
          <w:tcPr>
            <w:tcW w:w="1203" w:type="pct"/>
            <w:vAlign w:val="center"/>
          </w:tcPr>
          <w:p>
            <w:pPr>
              <w:spacing w:line="340" w:lineRule="exact"/>
              <w:ind w:firstLine="0" w:firstLineChars="0"/>
              <w:jc w:val="center"/>
              <w:rPr>
                <w:sz w:val="21"/>
                <w:szCs w:val="21"/>
              </w:rPr>
            </w:pPr>
            <w:r>
              <w:rPr>
                <w:sz w:val="21"/>
                <w:szCs w:val="21"/>
              </w:rPr>
              <w:t>GW2</w:t>
            </w:r>
            <w:r>
              <w:rPr>
                <w:rFonts w:hint="eastAsia"/>
                <w:sz w:val="21"/>
                <w:szCs w:val="21"/>
              </w:rPr>
              <w:t>白溪</w:t>
            </w:r>
          </w:p>
        </w:tc>
        <w:tc>
          <w:tcPr>
            <w:tcW w:w="1206" w:type="pct"/>
            <w:vAlign w:val="center"/>
          </w:tcPr>
          <w:p>
            <w:pPr>
              <w:spacing w:line="340" w:lineRule="exact"/>
              <w:ind w:firstLine="0" w:firstLineChars="0"/>
              <w:jc w:val="center"/>
              <w:rPr>
                <w:sz w:val="21"/>
                <w:szCs w:val="21"/>
              </w:rPr>
            </w:pPr>
            <w:r>
              <w:rPr>
                <w:sz w:val="21"/>
                <w:szCs w:val="21"/>
              </w:rPr>
              <w:t>GW3</w:t>
            </w:r>
            <w:r>
              <w:rPr>
                <w:rFonts w:hint="eastAsia"/>
                <w:sz w:val="21"/>
                <w:szCs w:val="21"/>
              </w:rPr>
              <w:t>庙前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Merge w:val="continue"/>
            <w:vAlign w:val="center"/>
          </w:tcPr>
          <w:p>
            <w:pPr>
              <w:spacing w:line="340" w:lineRule="exact"/>
              <w:ind w:firstLine="0" w:firstLineChars="0"/>
              <w:jc w:val="center"/>
              <w:rPr>
                <w:sz w:val="21"/>
                <w:szCs w:val="21"/>
              </w:rPr>
            </w:pPr>
          </w:p>
        </w:tc>
        <w:tc>
          <w:tcPr>
            <w:tcW w:w="1264" w:type="pct"/>
            <w:vAlign w:val="center"/>
          </w:tcPr>
          <w:p>
            <w:pPr>
              <w:spacing w:line="340" w:lineRule="exact"/>
              <w:ind w:firstLine="0" w:firstLineChars="0"/>
              <w:jc w:val="center"/>
              <w:rPr>
                <w:sz w:val="21"/>
                <w:szCs w:val="21"/>
              </w:rPr>
            </w:pPr>
            <w:r>
              <w:rPr>
                <w:rFonts w:hint="eastAsia"/>
                <w:sz w:val="21"/>
                <w:szCs w:val="21"/>
              </w:rPr>
              <w:t>22071901GW1T1P1-1</w:t>
            </w:r>
          </w:p>
        </w:tc>
        <w:tc>
          <w:tcPr>
            <w:tcW w:w="1203" w:type="pct"/>
            <w:vAlign w:val="center"/>
          </w:tcPr>
          <w:p>
            <w:pPr>
              <w:spacing w:line="340" w:lineRule="exact"/>
              <w:ind w:firstLine="0" w:firstLineChars="0"/>
              <w:jc w:val="center"/>
              <w:rPr>
                <w:sz w:val="21"/>
                <w:szCs w:val="21"/>
              </w:rPr>
            </w:pPr>
            <w:r>
              <w:rPr>
                <w:rFonts w:hint="eastAsia"/>
                <w:sz w:val="21"/>
                <w:szCs w:val="21"/>
              </w:rPr>
              <w:t>22071901GW2T1P1-1</w:t>
            </w:r>
          </w:p>
        </w:tc>
        <w:tc>
          <w:tcPr>
            <w:tcW w:w="1206" w:type="pct"/>
            <w:vAlign w:val="center"/>
          </w:tcPr>
          <w:p>
            <w:pPr>
              <w:spacing w:line="340" w:lineRule="exact"/>
              <w:ind w:firstLine="0" w:firstLineChars="0"/>
              <w:jc w:val="center"/>
              <w:rPr>
                <w:sz w:val="21"/>
                <w:szCs w:val="21"/>
              </w:rPr>
            </w:pPr>
            <w:r>
              <w:rPr>
                <w:rFonts w:hint="eastAsia"/>
                <w:sz w:val="21"/>
                <w:szCs w:val="21"/>
              </w:rPr>
              <w:t>22071901GW3T1P1-1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restart"/>
            <w:vAlign w:val="center"/>
          </w:tcPr>
          <w:p>
            <w:pPr>
              <w:spacing w:line="340" w:lineRule="exact"/>
              <w:ind w:firstLine="0" w:firstLineChars="0"/>
              <w:jc w:val="center"/>
              <w:rPr>
                <w:sz w:val="21"/>
                <w:szCs w:val="21"/>
              </w:rPr>
            </w:pPr>
            <w:r>
              <w:rPr>
                <w:sz w:val="21"/>
                <w:szCs w:val="21"/>
              </w:rPr>
              <w:t>2020年4月15日</w:t>
            </w:r>
          </w:p>
        </w:tc>
        <w:tc>
          <w:tcPr>
            <w:tcW w:w="902" w:type="pct"/>
            <w:vAlign w:val="center"/>
          </w:tcPr>
          <w:p>
            <w:pPr>
              <w:spacing w:line="340" w:lineRule="exact"/>
              <w:ind w:firstLine="0" w:firstLineChars="0"/>
              <w:jc w:val="center"/>
              <w:rPr>
                <w:sz w:val="21"/>
                <w:szCs w:val="21"/>
              </w:rPr>
            </w:pPr>
            <w:r>
              <w:rPr>
                <w:sz w:val="21"/>
                <w:szCs w:val="21"/>
              </w:rPr>
              <w:t>pH值</w:t>
            </w:r>
          </w:p>
        </w:tc>
        <w:tc>
          <w:tcPr>
            <w:tcW w:w="1264" w:type="pct"/>
            <w:vAlign w:val="center"/>
          </w:tcPr>
          <w:p>
            <w:pPr>
              <w:spacing w:line="340" w:lineRule="exact"/>
              <w:ind w:firstLine="0" w:firstLineChars="0"/>
              <w:jc w:val="center"/>
              <w:rPr>
                <w:sz w:val="21"/>
                <w:szCs w:val="21"/>
              </w:rPr>
            </w:pPr>
            <w:r>
              <w:rPr>
                <w:sz w:val="21"/>
                <w:szCs w:val="21"/>
              </w:rPr>
              <w:t>6.84</w:t>
            </w:r>
          </w:p>
        </w:tc>
        <w:tc>
          <w:tcPr>
            <w:tcW w:w="1203" w:type="pct"/>
            <w:vAlign w:val="center"/>
          </w:tcPr>
          <w:p>
            <w:pPr>
              <w:spacing w:line="340" w:lineRule="exact"/>
              <w:ind w:firstLine="0" w:firstLineChars="0"/>
              <w:jc w:val="center"/>
              <w:rPr>
                <w:sz w:val="21"/>
                <w:szCs w:val="21"/>
              </w:rPr>
            </w:pPr>
            <w:r>
              <w:rPr>
                <w:sz w:val="21"/>
                <w:szCs w:val="21"/>
              </w:rPr>
              <w:t>7.32</w:t>
            </w:r>
          </w:p>
        </w:tc>
        <w:tc>
          <w:tcPr>
            <w:tcW w:w="1206" w:type="pct"/>
            <w:vAlign w:val="center"/>
          </w:tcPr>
          <w:p>
            <w:pPr>
              <w:spacing w:line="340" w:lineRule="exact"/>
              <w:ind w:firstLine="0" w:firstLineChars="0"/>
              <w:jc w:val="center"/>
              <w:rPr>
                <w:sz w:val="21"/>
                <w:szCs w:val="21"/>
              </w:rPr>
            </w:pPr>
            <w:r>
              <w:rPr>
                <w:sz w:val="21"/>
                <w:szCs w:val="21"/>
              </w:rPr>
              <w:t>7.15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氨氮</w:t>
            </w:r>
          </w:p>
        </w:tc>
        <w:tc>
          <w:tcPr>
            <w:tcW w:w="1264" w:type="pct"/>
            <w:vAlign w:val="center"/>
          </w:tcPr>
          <w:p>
            <w:pPr>
              <w:spacing w:line="340" w:lineRule="exact"/>
              <w:ind w:firstLine="0" w:firstLineChars="0"/>
              <w:jc w:val="center"/>
              <w:rPr>
                <w:sz w:val="21"/>
                <w:szCs w:val="21"/>
              </w:rPr>
            </w:pPr>
            <w:r>
              <w:rPr>
                <w:sz w:val="21"/>
                <w:szCs w:val="21"/>
              </w:rPr>
              <w:t>0.377</w:t>
            </w:r>
          </w:p>
        </w:tc>
        <w:tc>
          <w:tcPr>
            <w:tcW w:w="1203" w:type="pct"/>
            <w:vAlign w:val="center"/>
          </w:tcPr>
          <w:p>
            <w:pPr>
              <w:spacing w:line="340" w:lineRule="exact"/>
              <w:ind w:firstLine="0" w:firstLineChars="0"/>
              <w:jc w:val="center"/>
              <w:rPr>
                <w:sz w:val="21"/>
                <w:szCs w:val="21"/>
              </w:rPr>
            </w:pPr>
            <w:r>
              <w:rPr>
                <w:sz w:val="21"/>
                <w:szCs w:val="21"/>
              </w:rPr>
              <w:t>0.346</w:t>
            </w:r>
          </w:p>
        </w:tc>
        <w:tc>
          <w:tcPr>
            <w:tcW w:w="1206" w:type="pct"/>
            <w:vAlign w:val="center"/>
          </w:tcPr>
          <w:p>
            <w:pPr>
              <w:spacing w:line="340" w:lineRule="exact"/>
              <w:ind w:firstLine="0" w:firstLineChars="0"/>
              <w:jc w:val="center"/>
              <w:rPr>
                <w:sz w:val="21"/>
                <w:szCs w:val="21"/>
              </w:rPr>
            </w:pPr>
            <w:r>
              <w:rPr>
                <w:sz w:val="21"/>
                <w:szCs w:val="21"/>
              </w:rPr>
              <w:t>0.192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铁</w:t>
            </w:r>
          </w:p>
        </w:tc>
        <w:tc>
          <w:tcPr>
            <w:tcW w:w="1264" w:type="pct"/>
            <w:vAlign w:val="center"/>
          </w:tcPr>
          <w:p>
            <w:pPr>
              <w:spacing w:line="340" w:lineRule="exact"/>
              <w:ind w:firstLine="0" w:firstLineChars="0"/>
              <w:jc w:val="center"/>
              <w:rPr>
                <w:sz w:val="21"/>
                <w:szCs w:val="21"/>
              </w:rPr>
            </w:pPr>
            <w:r>
              <w:rPr>
                <w:sz w:val="21"/>
                <w:szCs w:val="21"/>
              </w:rPr>
              <w:t>0.03L</w:t>
            </w:r>
          </w:p>
        </w:tc>
        <w:tc>
          <w:tcPr>
            <w:tcW w:w="1203" w:type="pct"/>
            <w:vAlign w:val="center"/>
          </w:tcPr>
          <w:p>
            <w:pPr>
              <w:spacing w:line="340" w:lineRule="exact"/>
              <w:ind w:firstLine="0" w:firstLineChars="0"/>
              <w:jc w:val="center"/>
              <w:rPr>
                <w:sz w:val="21"/>
                <w:szCs w:val="21"/>
              </w:rPr>
            </w:pPr>
            <w:r>
              <w:rPr>
                <w:sz w:val="21"/>
                <w:szCs w:val="21"/>
              </w:rPr>
              <w:t>0.03L</w:t>
            </w:r>
          </w:p>
        </w:tc>
        <w:tc>
          <w:tcPr>
            <w:tcW w:w="1206" w:type="pct"/>
            <w:vAlign w:val="center"/>
          </w:tcPr>
          <w:p>
            <w:pPr>
              <w:spacing w:line="340" w:lineRule="exact"/>
              <w:ind w:firstLine="0" w:firstLineChars="0"/>
              <w:jc w:val="center"/>
              <w:rPr>
                <w:sz w:val="21"/>
                <w:szCs w:val="21"/>
              </w:rPr>
            </w:pPr>
            <w:r>
              <w:rPr>
                <w:sz w:val="21"/>
                <w:szCs w:val="21"/>
              </w:rPr>
              <w:t>0.03L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铜</w:t>
            </w:r>
          </w:p>
        </w:tc>
        <w:tc>
          <w:tcPr>
            <w:tcW w:w="1264" w:type="pct"/>
            <w:vAlign w:val="center"/>
          </w:tcPr>
          <w:p>
            <w:pPr>
              <w:spacing w:line="340" w:lineRule="exact"/>
              <w:ind w:firstLine="0" w:firstLineChars="0"/>
              <w:jc w:val="center"/>
              <w:rPr>
                <w:sz w:val="21"/>
                <w:szCs w:val="21"/>
              </w:rPr>
            </w:pPr>
            <w:r>
              <w:rPr>
                <w:sz w:val="21"/>
                <w:szCs w:val="21"/>
              </w:rPr>
              <w:t>0.05L</w:t>
            </w:r>
          </w:p>
        </w:tc>
        <w:tc>
          <w:tcPr>
            <w:tcW w:w="1203" w:type="pct"/>
            <w:vAlign w:val="center"/>
          </w:tcPr>
          <w:p>
            <w:pPr>
              <w:spacing w:line="340" w:lineRule="exact"/>
              <w:ind w:firstLine="0" w:firstLineChars="0"/>
              <w:jc w:val="center"/>
              <w:rPr>
                <w:sz w:val="21"/>
                <w:szCs w:val="21"/>
              </w:rPr>
            </w:pPr>
            <w:r>
              <w:rPr>
                <w:sz w:val="21"/>
                <w:szCs w:val="21"/>
              </w:rPr>
              <w:t>0.05L</w:t>
            </w:r>
          </w:p>
        </w:tc>
        <w:tc>
          <w:tcPr>
            <w:tcW w:w="1206" w:type="pct"/>
            <w:vAlign w:val="center"/>
          </w:tcPr>
          <w:p>
            <w:pPr>
              <w:spacing w:line="340" w:lineRule="exact"/>
              <w:ind w:firstLine="0" w:firstLineChars="0"/>
              <w:jc w:val="center"/>
              <w:rPr>
                <w:sz w:val="21"/>
                <w:szCs w:val="21"/>
              </w:rPr>
            </w:pPr>
            <w:r>
              <w:rPr>
                <w:sz w:val="21"/>
                <w:szCs w:val="21"/>
              </w:rPr>
              <w:t>0.05L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rFonts w:hint="eastAsia"/>
                <w:sz w:val="21"/>
                <w:szCs w:val="21"/>
              </w:rPr>
              <w:t>钾</w:t>
            </w:r>
          </w:p>
        </w:tc>
        <w:tc>
          <w:tcPr>
            <w:tcW w:w="1264" w:type="pct"/>
            <w:vAlign w:val="center"/>
          </w:tcPr>
          <w:p>
            <w:pPr>
              <w:spacing w:line="340" w:lineRule="exact"/>
              <w:ind w:firstLine="0" w:firstLineChars="0"/>
              <w:jc w:val="center"/>
              <w:rPr>
                <w:sz w:val="21"/>
                <w:szCs w:val="21"/>
              </w:rPr>
            </w:pPr>
            <w:r>
              <w:rPr>
                <w:rFonts w:hint="eastAsia"/>
                <w:sz w:val="21"/>
                <w:szCs w:val="21"/>
              </w:rPr>
              <w:t>0.61</w:t>
            </w:r>
          </w:p>
        </w:tc>
        <w:tc>
          <w:tcPr>
            <w:tcW w:w="1203" w:type="pct"/>
            <w:vAlign w:val="center"/>
          </w:tcPr>
          <w:p>
            <w:pPr>
              <w:spacing w:line="340" w:lineRule="exact"/>
              <w:ind w:firstLine="0" w:firstLineChars="0"/>
              <w:jc w:val="center"/>
              <w:rPr>
                <w:sz w:val="21"/>
                <w:szCs w:val="21"/>
              </w:rPr>
            </w:pPr>
            <w:r>
              <w:rPr>
                <w:rFonts w:hint="eastAsia"/>
                <w:sz w:val="21"/>
                <w:szCs w:val="21"/>
              </w:rPr>
              <w:t>0.44</w:t>
            </w:r>
          </w:p>
        </w:tc>
        <w:tc>
          <w:tcPr>
            <w:tcW w:w="1206" w:type="pct"/>
            <w:vAlign w:val="center"/>
          </w:tcPr>
          <w:p>
            <w:pPr>
              <w:spacing w:line="340" w:lineRule="exact"/>
              <w:ind w:firstLine="0" w:firstLineChars="0"/>
              <w:jc w:val="center"/>
              <w:rPr>
                <w:sz w:val="21"/>
                <w:szCs w:val="21"/>
              </w:rPr>
            </w:pPr>
            <w:r>
              <w:rPr>
                <w:rFonts w:hint="eastAsia"/>
                <w:sz w:val="21"/>
                <w:szCs w:val="21"/>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rFonts w:hint="eastAsia"/>
                <w:sz w:val="21"/>
                <w:szCs w:val="21"/>
              </w:rPr>
              <w:t>钠</w:t>
            </w:r>
          </w:p>
        </w:tc>
        <w:tc>
          <w:tcPr>
            <w:tcW w:w="1264" w:type="pct"/>
            <w:vAlign w:val="center"/>
          </w:tcPr>
          <w:p>
            <w:pPr>
              <w:spacing w:line="340" w:lineRule="exact"/>
              <w:ind w:firstLine="0" w:firstLineChars="0"/>
              <w:jc w:val="center"/>
              <w:rPr>
                <w:sz w:val="21"/>
                <w:szCs w:val="21"/>
              </w:rPr>
            </w:pPr>
            <w:r>
              <w:rPr>
                <w:rFonts w:hint="eastAsia"/>
                <w:sz w:val="21"/>
                <w:szCs w:val="21"/>
              </w:rPr>
              <w:t>17.2</w:t>
            </w:r>
          </w:p>
        </w:tc>
        <w:tc>
          <w:tcPr>
            <w:tcW w:w="1203" w:type="pct"/>
            <w:vAlign w:val="center"/>
          </w:tcPr>
          <w:p>
            <w:pPr>
              <w:spacing w:line="340" w:lineRule="exact"/>
              <w:ind w:firstLine="0" w:firstLineChars="0"/>
              <w:jc w:val="center"/>
              <w:rPr>
                <w:sz w:val="21"/>
                <w:szCs w:val="21"/>
              </w:rPr>
            </w:pPr>
            <w:r>
              <w:rPr>
                <w:rFonts w:hint="eastAsia"/>
                <w:sz w:val="21"/>
                <w:szCs w:val="21"/>
              </w:rPr>
              <w:t>6.65</w:t>
            </w:r>
          </w:p>
        </w:tc>
        <w:tc>
          <w:tcPr>
            <w:tcW w:w="1206" w:type="pct"/>
            <w:vAlign w:val="center"/>
          </w:tcPr>
          <w:p>
            <w:pPr>
              <w:spacing w:line="340" w:lineRule="exact"/>
              <w:ind w:firstLine="0" w:firstLineChars="0"/>
              <w:jc w:val="center"/>
              <w:rPr>
                <w:sz w:val="21"/>
                <w:szCs w:val="21"/>
              </w:rPr>
            </w:pPr>
            <w:r>
              <w:rPr>
                <w:rFonts w:hint="eastAsia"/>
                <w:sz w:val="21"/>
                <w:szCs w:val="21"/>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rFonts w:hint="eastAsia"/>
                <w:sz w:val="21"/>
                <w:szCs w:val="21"/>
              </w:rPr>
              <w:t>钙</w:t>
            </w:r>
          </w:p>
        </w:tc>
        <w:tc>
          <w:tcPr>
            <w:tcW w:w="1264" w:type="pct"/>
            <w:vAlign w:val="center"/>
          </w:tcPr>
          <w:p>
            <w:pPr>
              <w:spacing w:line="340" w:lineRule="exact"/>
              <w:ind w:firstLine="0" w:firstLineChars="0"/>
              <w:jc w:val="center"/>
              <w:rPr>
                <w:sz w:val="21"/>
                <w:szCs w:val="21"/>
              </w:rPr>
            </w:pPr>
            <w:r>
              <w:rPr>
                <w:rFonts w:hint="eastAsia"/>
                <w:sz w:val="21"/>
                <w:szCs w:val="21"/>
              </w:rPr>
              <w:t>78.0</w:t>
            </w:r>
          </w:p>
        </w:tc>
        <w:tc>
          <w:tcPr>
            <w:tcW w:w="1203" w:type="pct"/>
            <w:vAlign w:val="center"/>
          </w:tcPr>
          <w:p>
            <w:pPr>
              <w:spacing w:line="340" w:lineRule="exact"/>
              <w:ind w:firstLine="0" w:firstLineChars="0"/>
              <w:jc w:val="center"/>
              <w:rPr>
                <w:sz w:val="21"/>
                <w:szCs w:val="21"/>
              </w:rPr>
            </w:pPr>
            <w:r>
              <w:rPr>
                <w:rFonts w:hint="eastAsia"/>
                <w:sz w:val="21"/>
                <w:szCs w:val="21"/>
              </w:rPr>
              <w:t>47.4</w:t>
            </w:r>
          </w:p>
        </w:tc>
        <w:tc>
          <w:tcPr>
            <w:tcW w:w="1206" w:type="pct"/>
            <w:vAlign w:val="center"/>
          </w:tcPr>
          <w:p>
            <w:pPr>
              <w:spacing w:line="340" w:lineRule="exact"/>
              <w:ind w:firstLine="0" w:firstLineChars="0"/>
              <w:jc w:val="center"/>
              <w:rPr>
                <w:sz w:val="21"/>
                <w:szCs w:val="21"/>
              </w:rPr>
            </w:pPr>
            <w:r>
              <w:rPr>
                <w:rFonts w:hint="eastAsia"/>
                <w:sz w:val="21"/>
                <w:szCs w:val="21"/>
              </w:rPr>
              <w:t>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镁</w:t>
            </w:r>
          </w:p>
        </w:tc>
        <w:tc>
          <w:tcPr>
            <w:tcW w:w="1264" w:type="pct"/>
            <w:vAlign w:val="center"/>
          </w:tcPr>
          <w:p>
            <w:pPr>
              <w:spacing w:line="340" w:lineRule="exact"/>
              <w:ind w:firstLine="0" w:firstLineChars="0"/>
              <w:jc w:val="center"/>
              <w:rPr>
                <w:sz w:val="21"/>
                <w:szCs w:val="21"/>
              </w:rPr>
            </w:pPr>
            <w:r>
              <w:rPr>
                <w:sz w:val="21"/>
                <w:szCs w:val="21"/>
              </w:rPr>
              <w:t>8.40</w:t>
            </w:r>
          </w:p>
        </w:tc>
        <w:tc>
          <w:tcPr>
            <w:tcW w:w="1203" w:type="pct"/>
            <w:vAlign w:val="center"/>
          </w:tcPr>
          <w:p>
            <w:pPr>
              <w:spacing w:line="340" w:lineRule="exact"/>
              <w:ind w:firstLine="0" w:firstLineChars="0"/>
              <w:jc w:val="center"/>
              <w:rPr>
                <w:sz w:val="21"/>
                <w:szCs w:val="21"/>
              </w:rPr>
            </w:pPr>
            <w:r>
              <w:rPr>
                <w:sz w:val="21"/>
                <w:szCs w:val="21"/>
              </w:rPr>
              <w:t>8.94</w:t>
            </w:r>
          </w:p>
        </w:tc>
        <w:tc>
          <w:tcPr>
            <w:tcW w:w="1206" w:type="pct"/>
            <w:vAlign w:val="center"/>
          </w:tcPr>
          <w:p>
            <w:pPr>
              <w:spacing w:line="340" w:lineRule="exact"/>
              <w:ind w:firstLine="0" w:firstLineChars="0"/>
              <w:jc w:val="center"/>
              <w:rPr>
                <w:sz w:val="21"/>
                <w:szCs w:val="21"/>
              </w:rPr>
            </w:pPr>
            <w:r>
              <w:rPr>
                <w:sz w:val="21"/>
                <w:szCs w:val="21"/>
              </w:rPr>
              <w:t>9.34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总硬度</w:t>
            </w:r>
          </w:p>
        </w:tc>
        <w:tc>
          <w:tcPr>
            <w:tcW w:w="1264" w:type="pct"/>
            <w:vAlign w:val="center"/>
          </w:tcPr>
          <w:p>
            <w:pPr>
              <w:spacing w:line="340" w:lineRule="exact"/>
              <w:ind w:firstLine="0" w:firstLineChars="0"/>
              <w:jc w:val="center"/>
              <w:rPr>
                <w:sz w:val="21"/>
                <w:szCs w:val="21"/>
              </w:rPr>
            </w:pPr>
            <w:r>
              <w:rPr>
                <w:rFonts w:hint="eastAsia"/>
                <w:sz w:val="21"/>
                <w:szCs w:val="21"/>
              </w:rPr>
              <w:t>225</w:t>
            </w:r>
          </w:p>
        </w:tc>
        <w:tc>
          <w:tcPr>
            <w:tcW w:w="1203" w:type="pct"/>
            <w:vAlign w:val="center"/>
          </w:tcPr>
          <w:p>
            <w:pPr>
              <w:spacing w:line="340" w:lineRule="exact"/>
              <w:ind w:firstLine="0" w:firstLineChars="0"/>
              <w:jc w:val="center"/>
              <w:rPr>
                <w:sz w:val="21"/>
                <w:szCs w:val="21"/>
              </w:rPr>
            </w:pPr>
            <w:r>
              <w:rPr>
                <w:rFonts w:hint="eastAsia"/>
                <w:sz w:val="21"/>
                <w:szCs w:val="21"/>
              </w:rPr>
              <w:t>151</w:t>
            </w:r>
          </w:p>
        </w:tc>
        <w:tc>
          <w:tcPr>
            <w:tcW w:w="1206" w:type="pct"/>
            <w:vAlign w:val="center"/>
          </w:tcPr>
          <w:p>
            <w:pPr>
              <w:spacing w:line="340" w:lineRule="exact"/>
              <w:ind w:firstLine="0" w:firstLineChars="0"/>
              <w:jc w:val="center"/>
              <w:rPr>
                <w:sz w:val="21"/>
                <w:szCs w:val="21"/>
              </w:rPr>
            </w:pPr>
            <w:r>
              <w:rPr>
                <w:rFonts w:hint="eastAsia"/>
                <w:sz w:val="21"/>
                <w:szCs w:val="21"/>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溶解性总固体</w:t>
            </w:r>
          </w:p>
        </w:tc>
        <w:tc>
          <w:tcPr>
            <w:tcW w:w="1264" w:type="pct"/>
            <w:vAlign w:val="center"/>
          </w:tcPr>
          <w:p>
            <w:pPr>
              <w:spacing w:line="340" w:lineRule="exact"/>
              <w:ind w:firstLine="0" w:firstLineChars="0"/>
              <w:jc w:val="center"/>
              <w:rPr>
                <w:sz w:val="21"/>
                <w:szCs w:val="21"/>
              </w:rPr>
            </w:pPr>
            <w:r>
              <w:rPr>
                <w:rFonts w:hint="eastAsia"/>
                <w:sz w:val="21"/>
                <w:szCs w:val="21"/>
              </w:rPr>
              <w:t>306</w:t>
            </w:r>
          </w:p>
        </w:tc>
        <w:tc>
          <w:tcPr>
            <w:tcW w:w="1203" w:type="pct"/>
            <w:vAlign w:val="center"/>
          </w:tcPr>
          <w:p>
            <w:pPr>
              <w:spacing w:line="340" w:lineRule="exact"/>
              <w:ind w:firstLine="0" w:firstLineChars="0"/>
              <w:jc w:val="center"/>
              <w:rPr>
                <w:sz w:val="21"/>
                <w:szCs w:val="21"/>
              </w:rPr>
            </w:pPr>
            <w:r>
              <w:rPr>
                <w:rFonts w:hint="eastAsia"/>
                <w:sz w:val="21"/>
                <w:szCs w:val="21"/>
              </w:rPr>
              <w:t>203</w:t>
            </w:r>
          </w:p>
        </w:tc>
        <w:tc>
          <w:tcPr>
            <w:tcW w:w="1206" w:type="pct"/>
            <w:vAlign w:val="center"/>
          </w:tcPr>
          <w:p>
            <w:pPr>
              <w:spacing w:line="340" w:lineRule="exact"/>
              <w:ind w:firstLine="0" w:firstLineChars="0"/>
              <w:jc w:val="center"/>
              <w:rPr>
                <w:sz w:val="21"/>
                <w:szCs w:val="21"/>
              </w:rPr>
            </w:pPr>
            <w:r>
              <w:rPr>
                <w:rFonts w:hint="eastAsia"/>
                <w:sz w:val="21"/>
                <w:szCs w:val="21"/>
              </w:rPr>
              <w:t>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硫酸盐</w:t>
            </w:r>
          </w:p>
        </w:tc>
        <w:tc>
          <w:tcPr>
            <w:tcW w:w="1264" w:type="pct"/>
            <w:vAlign w:val="center"/>
          </w:tcPr>
          <w:p>
            <w:pPr>
              <w:spacing w:line="340" w:lineRule="exact"/>
              <w:ind w:firstLine="0" w:firstLineChars="0"/>
              <w:jc w:val="center"/>
              <w:rPr>
                <w:sz w:val="21"/>
                <w:szCs w:val="21"/>
              </w:rPr>
            </w:pPr>
            <w:r>
              <w:rPr>
                <w:rFonts w:hint="eastAsia"/>
                <w:sz w:val="21"/>
                <w:szCs w:val="21"/>
              </w:rPr>
              <w:t>22</w:t>
            </w:r>
          </w:p>
        </w:tc>
        <w:tc>
          <w:tcPr>
            <w:tcW w:w="1203" w:type="pct"/>
            <w:vAlign w:val="center"/>
          </w:tcPr>
          <w:p>
            <w:pPr>
              <w:spacing w:line="340" w:lineRule="exact"/>
              <w:ind w:firstLine="0" w:firstLineChars="0"/>
              <w:jc w:val="center"/>
              <w:rPr>
                <w:sz w:val="21"/>
                <w:szCs w:val="21"/>
              </w:rPr>
            </w:pPr>
            <w:r>
              <w:rPr>
                <w:rFonts w:hint="eastAsia"/>
                <w:sz w:val="21"/>
                <w:szCs w:val="21"/>
              </w:rPr>
              <w:t>24</w:t>
            </w:r>
          </w:p>
        </w:tc>
        <w:tc>
          <w:tcPr>
            <w:tcW w:w="1206" w:type="pct"/>
            <w:vAlign w:val="center"/>
          </w:tcPr>
          <w:p>
            <w:pPr>
              <w:spacing w:line="340" w:lineRule="exact"/>
              <w:ind w:firstLine="0" w:firstLineChars="0"/>
              <w:jc w:val="center"/>
              <w:rPr>
                <w:sz w:val="21"/>
                <w:szCs w:val="21"/>
              </w:rPr>
            </w:pPr>
            <w:r>
              <w:rPr>
                <w:rFonts w:hint="eastAsia"/>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氯化物</w:t>
            </w:r>
          </w:p>
        </w:tc>
        <w:tc>
          <w:tcPr>
            <w:tcW w:w="1264" w:type="pct"/>
            <w:vAlign w:val="center"/>
          </w:tcPr>
          <w:p>
            <w:pPr>
              <w:spacing w:line="340" w:lineRule="exact"/>
              <w:ind w:firstLine="0" w:firstLineChars="0"/>
              <w:jc w:val="center"/>
              <w:rPr>
                <w:sz w:val="21"/>
                <w:szCs w:val="21"/>
              </w:rPr>
            </w:pPr>
            <w:r>
              <w:rPr>
                <w:rFonts w:hint="eastAsia"/>
                <w:sz w:val="21"/>
                <w:szCs w:val="21"/>
              </w:rPr>
              <w:t>28</w:t>
            </w:r>
          </w:p>
        </w:tc>
        <w:tc>
          <w:tcPr>
            <w:tcW w:w="1203" w:type="pct"/>
            <w:vAlign w:val="center"/>
          </w:tcPr>
          <w:p>
            <w:pPr>
              <w:spacing w:line="340" w:lineRule="exact"/>
              <w:ind w:firstLine="0" w:firstLineChars="0"/>
              <w:jc w:val="center"/>
              <w:rPr>
                <w:sz w:val="21"/>
                <w:szCs w:val="21"/>
              </w:rPr>
            </w:pPr>
            <w:r>
              <w:rPr>
                <w:rFonts w:hint="eastAsia"/>
                <w:sz w:val="21"/>
                <w:szCs w:val="21"/>
              </w:rPr>
              <w:t>12.3</w:t>
            </w:r>
          </w:p>
        </w:tc>
        <w:tc>
          <w:tcPr>
            <w:tcW w:w="1206" w:type="pct"/>
            <w:vAlign w:val="center"/>
          </w:tcPr>
          <w:p>
            <w:pPr>
              <w:spacing w:line="340" w:lineRule="exact"/>
              <w:ind w:firstLine="0" w:firstLineChars="0"/>
              <w:jc w:val="center"/>
              <w:rPr>
                <w:sz w:val="21"/>
                <w:szCs w:val="21"/>
              </w:rPr>
            </w:pPr>
            <w:r>
              <w:rPr>
                <w:rFonts w:hint="eastAsia"/>
                <w:sz w:val="21"/>
                <w:szCs w:val="21"/>
              </w:rPr>
              <w:t>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锰</w:t>
            </w:r>
          </w:p>
        </w:tc>
        <w:tc>
          <w:tcPr>
            <w:tcW w:w="1264" w:type="pct"/>
            <w:vAlign w:val="center"/>
          </w:tcPr>
          <w:p>
            <w:pPr>
              <w:spacing w:line="340" w:lineRule="exact"/>
              <w:ind w:firstLine="0" w:firstLineChars="0"/>
              <w:jc w:val="center"/>
              <w:rPr>
                <w:sz w:val="21"/>
                <w:szCs w:val="21"/>
              </w:rPr>
            </w:pPr>
            <w:r>
              <w:rPr>
                <w:rFonts w:hint="eastAsia"/>
                <w:sz w:val="21"/>
                <w:szCs w:val="21"/>
              </w:rPr>
              <w:t>0.01L</w:t>
            </w:r>
          </w:p>
        </w:tc>
        <w:tc>
          <w:tcPr>
            <w:tcW w:w="1203" w:type="pct"/>
            <w:vAlign w:val="center"/>
          </w:tcPr>
          <w:p>
            <w:pPr>
              <w:spacing w:line="340" w:lineRule="exact"/>
              <w:ind w:firstLine="0" w:firstLineChars="0"/>
              <w:jc w:val="center"/>
              <w:rPr>
                <w:sz w:val="21"/>
                <w:szCs w:val="21"/>
              </w:rPr>
            </w:pPr>
            <w:r>
              <w:rPr>
                <w:rFonts w:hint="eastAsia"/>
                <w:sz w:val="21"/>
                <w:szCs w:val="21"/>
              </w:rPr>
              <w:t>0.01L</w:t>
            </w:r>
          </w:p>
        </w:tc>
        <w:tc>
          <w:tcPr>
            <w:tcW w:w="1206" w:type="pct"/>
            <w:vAlign w:val="center"/>
          </w:tcPr>
          <w:p>
            <w:pPr>
              <w:spacing w:line="340" w:lineRule="exact"/>
              <w:ind w:firstLine="0" w:firstLineChars="0"/>
              <w:jc w:val="center"/>
              <w:rPr>
                <w:sz w:val="21"/>
                <w:szCs w:val="21"/>
              </w:rPr>
            </w:pPr>
            <w:r>
              <w:rPr>
                <w:rFonts w:hint="eastAsia"/>
                <w:sz w:val="21"/>
                <w:szCs w:val="21"/>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锌</w:t>
            </w:r>
          </w:p>
        </w:tc>
        <w:tc>
          <w:tcPr>
            <w:tcW w:w="1264" w:type="pct"/>
            <w:vAlign w:val="center"/>
          </w:tcPr>
          <w:p>
            <w:pPr>
              <w:spacing w:line="340" w:lineRule="exact"/>
              <w:ind w:firstLine="0" w:firstLineChars="0"/>
              <w:jc w:val="center"/>
              <w:rPr>
                <w:sz w:val="21"/>
                <w:szCs w:val="21"/>
              </w:rPr>
            </w:pPr>
            <w:r>
              <w:rPr>
                <w:rFonts w:hint="eastAsia"/>
                <w:sz w:val="21"/>
                <w:szCs w:val="21"/>
              </w:rPr>
              <w:t>0.05L</w:t>
            </w:r>
          </w:p>
        </w:tc>
        <w:tc>
          <w:tcPr>
            <w:tcW w:w="1203" w:type="pct"/>
            <w:vAlign w:val="center"/>
          </w:tcPr>
          <w:p>
            <w:pPr>
              <w:spacing w:line="340" w:lineRule="exact"/>
              <w:ind w:firstLine="0" w:firstLineChars="0"/>
              <w:jc w:val="center"/>
              <w:rPr>
                <w:sz w:val="21"/>
                <w:szCs w:val="21"/>
              </w:rPr>
            </w:pPr>
            <w:r>
              <w:rPr>
                <w:rFonts w:hint="eastAsia"/>
                <w:sz w:val="21"/>
                <w:szCs w:val="21"/>
              </w:rPr>
              <w:t>0.05L</w:t>
            </w:r>
          </w:p>
        </w:tc>
        <w:tc>
          <w:tcPr>
            <w:tcW w:w="1206" w:type="pct"/>
            <w:vAlign w:val="center"/>
          </w:tcPr>
          <w:p>
            <w:pPr>
              <w:spacing w:line="340" w:lineRule="exact"/>
              <w:ind w:firstLine="0" w:firstLineChars="0"/>
              <w:jc w:val="center"/>
              <w:rPr>
                <w:sz w:val="21"/>
                <w:szCs w:val="21"/>
              </w:rPr>
            </w:pPr>
            <w:r>
              <w:rPr>
                <w:rFonts w:hint="eastAsia"/>
                <w:sz w:val="21"/>
                <w:szCs w:val="21"/>
              </w:rPr>
              <w:t>0.05L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铅</w:t>
            </w:r>
          </w:p>
        </w:tc>
        <w:tc>
          <w:tcPr>
            <w:tcW w:w="1264" w:type="pct"/>
            <w:vAlign w:val="center"/>
          </w:tcPr>
          <w:p>
            <w:pPr>
              <w:spacing w:line="340" w:lineRule="exact"/>
              <w:ind w:firstLine="0" w:firstLineChars="0"/>
              <w:jc w:val="center"/>
              <w:rPr>
                <w:sz w:val="21"/>
                <w:szCs w:val="21"/>
              </w:rPr>
            </w:pPr>
            <w:r>
              <w:rPr>
                <w:rFonts w:hint="eastAsia"/>
                <w:sz w:val="21"/>
                <w:szCs w:val="21"/>
              </w:rPr>
              <w:t>0.009L</w:t>
            </w:r>
          </w:p>
        </w:tc>
        <w:tc>
          <w:tcPr>
            <w:tcW w:w="1203" w:type="pct"/>
            <w:vAlign w:val="center"/>
          </w:tcPr>
          <w:p>
            <w:pPr>
              <w:spacing w:line="340" w:lineRule="exact"/>
              <w:ind w:firstLine="0" w:firstLineChars="0"/>
              <w:jc w:val="center"/>
              <w:rPr>
                <w:sz w:val="21"/>
                <w:szCs w:val="21"/>
              </w:rPr>
            </w:pPr>
            <w:r>
              <w:rPr>
                <w:rFonts w:hint="eastAsia"/>
                <w:sz w:val="21"/>
                <w:szCs w:val="21"/>
              </w:rPr>
              <w:t>0.009L</w:t>
            </w:r>
          </w:p>
        </w:tc>
        <w:tc>
          <w:tcPr>
            <w:tcW w:w="1206" w:type="pct"/>
            <w:vAlign w:val="center"/>
          </w:tcPr>
          <w:p>
            <w:pPr>
              <w:spacing w:line="340" w:lineRule="exact"/>
              <w:ind w:firstLine="0" w:firstLineChars="0"/>
              <w:jc w:val="center"/>
              <w:rPr>
                <w:sz w:val="21"/>
                <w:szCs w:val="21"/>
              </w:rPr>
            </w:pPr>
            <w:r>
              <w:rPr>
                <w:rFonts w:hint="eastAsia"/>
                <w:sz w:val="21"/>
                <w:szCs w:val="21"/>
              </w:rPr>
              <w:t>0.009L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硫化物</w:t>
            </w:r>
          </w:p>
        </w:tc>
        <w:tc>
          <w:tcPr>
            <w:tcW w:w="1264" w:type="pct"/>
            <w:vAlign w:val="center"/>
          </w:tcPr>
          <w:p>
            <w:pPr>
              <w:spacing w:line="340" w:lineRule="exact"/>
              <w:ind w:firstLine="0" w:firstLineChars="0"/>
              <w:jc w:val="center"/>
              <w:rPr>
                <w:sz w:val="21"/>
                <w:szCs w:val="21"/>
              </w:rPr>
            </w:pPr>
            <w:r>
              <w:rPr>
                <w:rFonts w:hint="eastAsia"/>
                <w:sz w:val="21"/>
                <w:szCs w:val="21"/>
              </w:rPr>
              <w:t>0.02L</w:t>
            </w:r>
          </w:p>
        </w:tc>
        <w:tc>
          <w:tcPr>
            <w:tcW w:w="1203" w:type="pct"/>
            <w:vAlign w:val="center"/>
          </w:tcPr>
          <w:p>
            <w:pPr>
              <w:spacing w:line="340" w:lineRule="exact"/>
              <w:ind w:firstLine="0" w:firstLineChars="0"/>
              <w:jc w:val="center"/>
              <w:rPr>
                <w:sz w:val="21"/>
                <w:szCs w:val="21"/>
              </w:rPr>
            </w:pPr>
            <w:r>
              <w:rPr>
                <w:rFonts w:hint="eastAsia"/>
                <w:sz w:val="21"/>
                <w:szCs w:val="21"/>
              </w:rPr>
              <w:t>0.02L</w:t>
            </w:r>
          </w:p>
        </w:tc>
        <w:tc>
          <w:tcPr>
            <w:tcW w:w="1206" w:type="pct"/>
            <w:vAlign w:val="center"/>
          </w:tcPr>
          <w:p>
            <w:pPr>
              <w:spacing w:line="340" w:lineRule="exact"/>
              <w:ind w:firstLine="0" w:firstLineChars="0"/>
              <w:jc w:val="center"/>
              <w:rPr>
                <w:sz w:val="21"/>
                <w:szCs w:val="21"/>
              </w:rPr>
            </w:pPr>
            <w:r>
              <w:rPr>
                <w:rFonts w:hint="eastAsia"/>
                <w:sz w:val="21"/>
                <w:szCs w:val="21"/>
              </w:rPr>
              <w:t>0.02L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钠</w:t>
            </w:r>
          </w:p>
        </w:tc>
        <w:tc>
          <w:tcPr>
            <w:tcW w:w="1264" w:type="pct"/>
            <w:vAlign w:val="center"/>
          </w:tcPr>
          <w:p>
            <w:pPr>
              <w:spacing w:line="340" w:lineRule="exact"/>
              <w:ind w:firstLine="0" w:firstLineChars="0"/>
              <w:jc w:val="center"/>
              <w:rPr>
                <w:sz w:val="21"/>
                <w:szCs w:val="21"/>
              </w:rPr>
            </w:pPr>
            <w:r>
              <w:rPr>
                <w:sz w:val="21"/>
                <w:szCs w:val="21"/>
              </w:rPr>
              <w:t>17.2</w:t>
            </w:r>
          </w:p>
        </w:tc>
        <w:tc>
          <w:tcPr>
            <w:tcW w:w="1203" w:type="pct"/>
            <w:vAlign w:val="center"/>
          </w:tcPr>
          <w:p>
            <w:pPr>
              <w:spacing w:line="340" w:lineRule="exact"/>
              <w:ind w:firstLine="0" w:firstLineChars="0"/>
              <w:jc w:val="center"/>
              <w:rPr>
                <w:sz w:val="21"/>
                <w:szCs w:val="21"/>
              </w:rPr>
            </w:pPr>
            <w:r>
              <w:rPr>
                <w:sz w:val="21"/>
                <w:szCs w:val="21"/>
              </w:rPr>
              <w:t>15.5</w:t>
            </w:r>
          </w:p>
        </w:tc>
        <w:tc>
          <w:tcPr>
            <w:tcW w:w="1206" w:type="pct"/>
            <w:vAlign w:val="center"/>
          </w:tcPr>
          <w:p>
            <w:pPr>
              <w:spacing w:line="340" w:lineRule="exact"/>
              <w:ind w:firstLine="0" w:firstLineChars="0"/>
              <w:jc w:val="center"/>
              <w:rPr>
                <w:sz w:val="21"/>
                <w:szCs w:val="21"/>
              </w:rPr>
            </w:pPr>
            <w:r>
              <w:rPr>
                <w:sz w:val="21"/>
                <w:szCs w:val="21"/>
              </w:rPr>
              <w:t>13.8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rFonts w:hint="eastAsia"/>
                <w:sz w:val="21"/>
                <w:szCs w:val="21"/>
              </w:rPr>
              <w:t>碳酸根</w:t>
            </w:r>
          </w:p>
        </w:tc>
        <w:tc>
          <w:tcPr>
            <w:tcW w:w="1264" w:type="pct"/>
            <w:vAlign w:val="center"/>
          </w:tcPr>
          <w:p>
            <w:pPr>
              <w:spacing w:line="340" w:lineRule="exact"/>
              <w:ind w:firstLine="0" w:firstLineChars="0"/>
              <w:jc w:val="center"/>
              <w:rPr>
                <w:sz w:val="21"/>
                <w:szCs w:val="21"/>
              </w:rPr>
            </w:pPr>
            <w:r>
              <w:rPr>
                <w:rFonts w:hint="eastAsia"/>
                <w:sz w:val="21"/>
                <w:szCs w:val="21"/>
              </w:rPr>
              <w:t>0.1L</w:t>
            </w:r>
          </w:p>
        </w:tc>
        <w:tc>
          <w:tcPr>
            <w:tcW w:w="1203" w:type="pct"/>
            <w:vAlign w:val="center"/>
          </w:tcPr>
          <w:p>
            <w:pPr>
              <w:spacing w:line="340" w:lineRule="exact"/>
              <w:ind w:firstLine="0" w:firstLineChars="0"/>
              <w:jc w:val="center"/>
              <w:rPr>
                <w:sz w:val="21"/>
                <w:szCs w:val="21"/>
              </w:rPr>
            </w:pPr>
            <w:r>
              <w:rPr>
                <w:rFonts w:hint="eastAsia"/>
                <w:sz w:val="21"/>
                <w:szCs w:val="21"/>
              </w:rPr>
              <w:t>0.1L</w:t>
            </w:r>
          </w:p>
        </w:tc>
        <w:tc>
          <w:tcPr>
            <w:tcW w:w="1206" w:type="pct"/>
            <w:vAlign w:val="center"/>
          </w:tcPr>
          <w:p>
            <w:pPr>
              <w:spacing w:line="340" w:lineRule="exact"/>
              <w:ind w:firstLine="0" w:firstLineChars="0"/>
              <w:jc w:val="center"/>
              <w:rPr>
                <w:sz w:val="21"/>
                <w:szCs w:val="21"/>
              </w:rPr>
            </w:pPr>
            <w:r>
              <w:rPr>
                <w:rFonts w:hint="eastAsia"/>
                <w:sz w:val="21"/>
                <w:szCs w:val="21"/>
              </w:rPr>
              <w:t>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rFonts w:hint="eastAsia"/>
                <w:sz w:val="21"/>
                <w:szCs w:val="21"/>
              </w:rPr>
              <w:t>碳酸氢根</w:t>
            </w:r>
          </w:p>
        </w:tc>
        <w:tc>
          <w:tcPr>
            <w:tcW w:w="1264" w:type="pct"/>
            <w:vAlign w:val="center"/>
          </w:tcPr>
          <w:p>
            <w:pPr>
              <w:spacing w:line="340" w:lineRule="exact"/>
              <w:ind w:firstLine="0" w:firstLineChars="0"/>
              <w:jc w:val="center"/>
              <w:rPr>
                <w:sz w:val="21"/>
                <w:szCs w:val="21"/>
              </w:rPr>
            </w:pPr>
            <w:r>
              <w:rPr>
                <w:rFonts w:hint="eastAsia"/>
                <w:sz w:val="21"/>
                <w:szCs w:val="21"/>
              </w:rPr>
              <w:t>254</w:t>
            </w:r>
          </w:p>
        </w:tc>
        <w:tc>
          <w:tcPr>
            <w:tcW w:w="1203" w:type="pct"/>
            <w:vAlign w:val="center"/>
          </w:tcPr>
          <w:p>
            <w:pPr>
              <w:spacing w:line="340" w:lineRule="exact"/>
              <w:ind w:firstLine="0" w:firstLineChars="0"/>
              <w:jc w:val="center"/>
              <w:rPr>
                <w:sz w:val="21"/>
                <w:szCs w:val="21"/>
              </w:rPr>
            </w:pPr>
            <w:r>
              <w:rPr>
                <w:rFonts w:hint="eastAsia"/>
                <w:sz w:val="21"/>
                <w:szCs w:val="21"/>
              </w:rPr>
              <w:t>172</w:t>
            </w:r>
          </w:p>
        </w:tc>
        <w:tc>
          <w:tcPr>
            <w:tcW w:w="1206" w:type="pct"/>
            <w:vAlign w:val="center"/>
          </w:tcPr>
          <w:p>
            <w:pPr>
              <w:spacing w:line="340" w:lineRule="exact"/>
              <w:ind w:firstLine="0" w:firstLineChars="0"/>
              <w:jc w:val="center"/>
              <w:rPr>
                <w:sz w:val="21"/>
                <w:szCs w:val="21"/>
              </w:rPr>
            </w:pPr>
            <w:r>
              <w:rPr>
                <w:rFonts w:hint="eastAsia"/>
                <w:sz w:val="21"/>
                <w:szCs w:val="21"/>
              </w:rPr>
              <w:t>218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水位（m）</w:t>
            </w:r>
          </w:p>
        </w:tc>
        <w:tc>
          <w:tcPr>
            <w:tcW w:w="1264" w:type="pct"/>
            <w:vAlign w:val="center"/>
          </w:tcPr>
          <w:p>
            <w:pPr>
              <w:spacing w:line="340" w:lineRule="exact"/>
              <w:ind w:firstLine="0" w:firstLineChars="0"/>
              <w:jc w:val="center"/>
              <w:rPr>
                <w:sz w:val="21"/>
                <w:szCs w:val="21"/>
              </w:rPr>
            </w:pPr>
            <w:r>
              <w:rPr>
                <w:rFonts w:hint="eastAsia"/>
                <w:sz w:val="21"/>
                <w:szCs w:val="21"/>
              </w:rPr>
              <w:t>3.4</w:t>
            </w:r>
          </w:p>
        </w:tc>
        <w:tc>
          <w:tcPr>
            <w:tcW w:w="1203" w:type="pct"/>
            <w:vAlign w:val="center"/>
          </w:tcPr>
          <w:p>
            <w:pPr>
              <w:spacing w:line="340" w:lineRule="exact"/>
              <w:ind w:firstLine="0" w:firstLineChars="0"/>
              <w:jc w:val="center"/>
              <w:rPr>
                <w:sz w:val="21"/>
                <w:szCs w:val="21"/>
              </w:rPr>
            </w:pPr>
            <w:r>
              <w:rPr>
                <w:rFonts w:hint="eastAsia"/>
                <w:sz w:val="21"/>
                <w:szCs w:val="21"/>
              </w:rPr>
              <w:t>4.0</w:t>
            </w:r>
          </w:p>
        </w:tc>
        <w:tc>
          <w:tcPr>
            <w:tcW w:w="1206" w:type="pct"/>
            <w:vAlign w:val="center"/>
          </w:tcPr>
          <w:p>
            <w:pPr>
              <w:spacing w:line="340" w:lineRule="exact"/>
              <w:ind w:firstLine="0" w:firstLineChars="0"/>
              <w:jc w:val="center"/>
              <w:rPr>
                <w:sz w:val="21"/>
                <w:szCs w:val="21"/>
              </w:rPr>
            </w:pPr>
            <w:r>
              <w:rPr>
                <w:rFonts w:hint="eastAsia"/>
                <w:sz w:val="21"/>
                <w:szCs w:val="21"/>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Merge w:val="restart"/>
            <w:vAlign w:val="center"/>
          </w:tcPr>
          <w:p>
            <w:pPr>
              <w:spacing w:line="340" w:lineRule="exact"/>
              <w:ind w:firstLine="0" w:firstLineChars="0"/>
              <w:jc w:val="center"/>
              <w:rPr>
                <w:sz w:val="21"/>
                <w:szCs w:val="21"/>
              </w:rPr>
            </w:pPr>
            <w:r>
              <w:rPr>
                <w:rFonts w:hint="eastAsia"/>
                <w:sz w:val="21"/>
                <w:szCs w:val="21"/>
              </w:rPr>
              <w:t>检测项目</w:t>
            </w:r>
          </w:p>
        </w:tc>
        <w:tc>
          <w:tcPr>
            <w:tcW w:w="3673" w:type="pct"/>
            <w:gridSpan w:val="3"/>
            <w:vAlign w:val="center"/>
          </w:tcPr>
          <w:p>
            <w:pPr>
              <w:spacing w:line="340" w:lineRule="exact"/>
              <w:ind w:firstLine="0" w:firstLineChars="0"/>
              <w:jc w:val="center"/>
              <w:rPr>
                <w:sz w:val="21"/>
                <w:szCs w:val="21"/>
              </w:rPr>
            </w:pPr>
            <w:r>
              <w:rPr>
                <w:sz w:val="21"/>
                <w:szCs w:val="21"/>
              </w:rPr>
              <w:t>采样点位及检测结果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Merge w:val="continue"/>
            <w:vAlign w:val="center"/>
          </w:tcPr>
          <w:p>
            <w:pPr>
              <w:spacing w:line="340" w:lineRule="exact"/>
              <w:ind w:firstLine="0" w:firstLineChars="0"/>
              <w:jc w:val="center"/>
              <w:rPr>
                <w:sz w:val="21"/>
                <w:szCs w:val="21"/>
              </w:rPr>
            </w:pPr>
          </w:p>
        </w:tc>
        <w:tc>
          <w:tcPr>
            <w:tcW w:w="1264" w:type="pct"/>
            <w:vAlign w:val="center"/>
          </w:tcPr>
          <w:p>
            <w:pPr>
              <w:spacing w:line="340" w:lineRule="exact"/>
              <w:ind w:firstLine="0" w:firstLineChars="0"/>
              <w:jc w:val="center"/>
              <w:rPr>
                <w:sz w:val="21"/>
                <w:szCs w:val="21"/>
              </w:rPr>
            </w:pPr>
            <w:r>
              <w:rPr>
                <w:sz w:val="21"/>
                <w:szCs w:val="21"/>
              </w:rPr>
              <w:t>GW4</w:t>
            </w:r>
            <w:r>
              <w:rPr>
                <w:rFonts w:hint="eastAsia"/>
                <w:sz w:val="21"/>
                <w:szCs w:val="21"/>
              </w:rPr>
              <w:t>敖背村</w:t>
            </w:r>
          </w:p>
        </w:tc>
        <w:tc>
          <w:tcPr>
            <w:tcW w:w="1203" w:type="pct"/>
            <w:vAlign w:val="center"/>
          </w:tcPr>
          <w:p>
            <w:pPr>
              <w:spacing w:line="340" w:lineRule="exact"/>
              <w:ind w:firstLine="0" w:firstLineChars="0"/>
              <w:jc w:val="center"/>
              <w:rPr>
                <w:sz w:val="21"/>
                <w:szCs w:val="21"/>
              </w:rPr>
            </w:pPr>
            <w:r>
              <w:rPr>
                <w:sz w:val="21"/>
                <w:szCs w:val="21"/>
              </w:rPr>
              <w:t>GW5</w:t>
            </w:r>
            <w:r>
              <w:rPr>
                <w:rFonts w:hint="eastAsia"/>
                <w:sz w:val="21"/>
                <w:szCs w:val="21"/>
              </w:rPr>
              <w:t>先锋村</w:t>
            </w:r>
          </w:p>
        </w:tc>
        <w:tc>
          <w:tcPr>
            <w:tcW w:w="1206" w:type="pct"/>
            <w:vAlign w:val="center"/>
          </w:tcPr>
          <w:p>
            <w:pPr>
              <w:spacing w:line="340" w:lineRule="exact"/>
              <w:ind w:firstLine="0" w:firstLineChars="0"/>
              <w:jc w:val="center"/>
              <w:rPr>
                <w:sz w:val="21"/>
                <w:szCs w:val="21"/>
              </w:rPr>
            </w:pPr>
            <w:r>
              <w:rPr>
                <w:sz w:val="21"/>
                <w:szCs w:val="21"/>
              </w:rPr>
              <w:t>GW6</w:t>
            </w:r>
            <w:r>
              <w:rPr>
                <w:rFonts w:hint="eastAsia"/>
                <w:sz w:val="21"/>
                <w:szCs w:val="21"/>
              </w:rPr>
              <w:t>罗家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vMerge w:val="continue"/>
            <w:vAlign w:val="center"/>
          </w:tcPr>
          <w:p>
            <w:pPr>
              <w:spacing w:line="340" w:lineRule="exact"/>
              <w:ind w:firstLine="0" w:firstLineChars="0"/>
              <w:jc w:val="center"/>
              <w:rPr>
                <w:sz w:val="21"/>
                <w:szCs w:val="21"/>
              </w:rPr>
            </w:pPr>
          </w:p>
        </w:tc>
        <w:tc>
          <w:tcPr>
            <w:tcW w:w="902" w:type="pct"/>
            <w:vAlign w:val="center"/>
          </w:tcPr>
          <w:p>
            <w:pPr>
              <w:spacing w:line="340" w:lineRule="exact"/>
              <w:ind w:firstLine="0" w:firstLineChars="0"/>
              <w:jc w:val="center"/>
              <w:rPr>
                <w:sz w:val="21"/>
                <w:szCs w:val="21"/>
              </w:rPr>
            </w:pPr>
            <w:r>
              <w:rPr>
                <w:sz w:val="21"/>
                <w:szCs w:val="21"/>
              </w:rPr>
              <w:t>水位（m）</w:t>
            </w:r>
          </w:p>
        </w:tc>
        <w:tc>
          <w:tcPr>
            <w:tcW w:w="1264" w:type="pct"/>
            <w:vAlign w:val="center"/>
          </w:tcPr>
          <w:p>
            <w:pPr>
              <w:spacing w:line="340" w:lineRule="exact"/>
              <w:ind w:firstLine="0" w:firstLineChars="0"/>
              <w:jc w:val="center"/>
              <w:rPr>
                <w:sz w:val="21"/>
                <w:szCs w:val="21"/>
              </w:rPr>
            </w:pPr>
            <w:r>
              <w:rPr>
                <w:sz w:val="21"/>
                <w:szCs w:val="21"/>
              </w:rPr>
              <w:t>3.5</w:t>
            </w:r>
          </w:p>
        </w:tc>
        <w:tc>
          <w:tcPr>
            <w:tcW w:w="1203" w:type="pct"/>
            <w:vAlign w:val="center"/>
          </w:tcPr>
          <w:p>
            <w:pPr>
              <w:spacing w:line="340" w:lineRule="exact"/>
              <w:ind w:firstLine="0" w:firstLineChars="0"/>
              <w:jc w:val="center"/>
              <w:rPr>
                <w:sz w:val="21"/>
                <w:szCs w:val="21"/>
              </w:rPr>
            </w:pPr>
            <w:r>
              <w:rPr>
                <w:rFonts w:hint="eastAsia"/>
                <w:sz w:val="21"/>
                <w:szCs w:val="21"/>
              </w:rPr>
              <w:t>3</w:t>
            </w:r>
            <w:r>
              <w:rPr>
                <w:sz w:val="21"/>
                <w:szCs w:val="21"/>
              </w:rPr>
              <w:t>.2</w:t>
            </w:r>
          </w:p>
        </w:tc>
        <w:tc>
          <w:tcPr>
            <w:tcW w:w="1206" w:type="pct"/>
            <w:vAlign w:val="center"/>
          </w:tcPr>
          <w:p>
            <w:pPr>
              <w:spacing w:line="340" w:lineRule="exact"/>
              <w:ind w:firstLine="0" w:firstLineChars="0"/>
              <w:jc w:val="center"/>
              <w:rPr>
                <w:sz w:val="21"/>
                <w:szCs w:val="21"/>
              </w:rPr>
            </w:pPr>
            <w:r>
              <w:rPr>
                <w:rFonts w:hint="eastAsia"/>
                <w:sz w:val="21"/>
                <w:szCs w:val="21"/>
              </w:rPr>
              <w:t>2</w:t>
            </w:r>
            <w:r>
              <w:rPr>
                <w:sz w:val="21"/>
                <w:szCs w:val="21"/>
              </w:rPr>
              <w:t>.6</w:t>
            </w:r>
          </w:p>
        </w:tc>
      </w:tr>
    </w:tbl>
    <w:p>
      <w:pPr>
        <w:spacing w:before="120" w:beforeLines="50"/>
        <w:ind w:firstLine="480" w:firstLineChars="0"/>
        <w:rPr>
          <w:szCs w:val="24"/>
        </w:rPr>
      </w:pPr>
      <w:r>
        <w:rPr>
          <w:rFonts w:hint="eastAsia" w:ascii="宋体" w:hAnsi="宋体" w:cs="宋体"/>
          <w:szCs w:val="24"/>
        </w:rPr>
        <w:t>⑵</w:t>
      </w:r>
      <w:r>
        <w:rPr>
          <w:szCs w:val="24"/>
        </w:rPr>
        <w:t>地下水现状评价</w:t>
      </w:r>
    </w:p>
    <w:p>
      <w:pPr>
        <w:ind w:firstLine="480" w:firstLineChars="0"/>
        <w:rPr>
          <w:szCs w:val="24"/>
          <w:lang w:val="en-GB"/>
        </w:rPr>
      </w:pPr>
      <w:r>
        <w:rPr>
          <w:rFonts w:hint="eastAsia" w:ascii="宋体" w:hAnsi="宋体" w:cs="宋体"/>
          <w:szCs w:val="24"/>
          <w:lang w:val="en-GB"/>
        </w:rPr>
        <w:t>①</w:t>
      </w:r>
      <w:r>
        <w:rPr>
          <w:szCs w:val="24"/>
          <w:lang w:val="en-GB"/>
        </w:rPr>
        <w:t>评价因子</w:t>
      </w:r>
    </w:p>
    <w:p>
      <w:pPr>
        <w:ind w:firstLine="480" w:firstLineChars="0"/>
        <w:rPr>
          <w:szCs w:val="24"/>
          <w:lang w:val="en-GB"/>
        </w:rPr>
      </w:pPr>
      <w:r>
        <w:rPr>
          <w:szCs w:val="24"/>
        </w:rPr>
        <w:t>pH、总硬度、溶解性总固体、硫酸盐、氯化物、铁、锰、铜、锌、铝、氨氮、硫化物、钠。</w:t>
      </w:r>
    </w:p>
    <w:p>
      <w:pPr>
        <w:ind w:firstLine="480" w:firstLineChars="0"/>
        <w:rPr>
          <w:szCs w:val="24"/>
          <w:lang w:val="en-GB"/>
        </w:rPr>
      </w:pPr>
      <w:r>
        <w:rPr>
          <w:rFonts w:hint="eastAsia" w:ascii="宋体" w:hAnsi="宋体" w:cs="宋体"/>
          <w:szCs w:val="24"/>
          <w:lang w:val="en-GB"/>
        </w:rPr>
        <w:t>②</w:t>
      </w:r>
      <w:r>
        <w:rPr>
          <w:szCs w:val="24"/>
          <w:lang w:val="en-GB"/>
        </w:rPr>
        <w:t>评价标准</w:t>
      </w:r>
    </w:p>
    <w:p>
      <w:pPr>
        <w:ind w:firstLine="480" w:firstLineChars="0"/>
        <w:rPr>
          <w:szCs w:val="24"/>
          <w:lang w:val="en-GB"/>
        </w:rPr>
      </w:pPr>
      <w:r>
        <w:rPr>
          <w:szCs w:val="24"/>
          <w:lang w:val="en-GB"/>
        </w:rPr>
        <w:t>执行</w:t>
      </w:r>
      <w:r>
        <w:rPr>
          <w:szCs w:val="24"/>
        </w:rPr>
        <w:t>《地下水质量标准》（GB/T14848-2017）</w:t>
      </w:r>
      <w:r>
        <w:rPr>
          <w:rFonts w:hint="eastAsia" w:ascii="宋体" w:hAnsi="宋体" w:cs="宋体"/>
          <w:szCs w:val="24"/>
          <w:lang w:val="en-GB"/>
        </w:rPr>
        <w:t>Ⅲ</w:t>
      </w:r>
      <w:r>
        <w:rPr>
          <w:szCs w:val="24"/>
          <w:lang w:val="en-GB"/>
        </w:rPr>
        <w:t>类标准。</w:t>
      </w:r>
    </w:p>
    <w:p>
      <w:pPr>
        <w:ind w:firstLine="480" w:firstLineChars="0"/>
        <w:rPr>
          <w:szCs w:val="24"/>
          <w:lang w:val="en-GB"/>
        </w:rPr>
      </w:pPr>
      <w:r>
        <w:rPr>
          <w:rFonts w:hint="eastAsia" w:ascii="宋体" w:hAnsi="宋体" w:cs="宋体"/>
          <w:szCs w:val="24"/>
          <w:lang w:val="en-GB"/>
        </w:rPr>
        <w:t>③</w:t>
      </w:r>
      <w:r>
        <w:rPr>
          <w:szCs w:val="24"/>
          <w:lang w:val="en-GB"/>
        </w:rPr>
        <w:t>评价方法</w:t>
      </w:r>
    </w:p>
    <w:p>
      <w:pPr>
        <w:ind w:firstLine="480" w:firstLineChars="0"/>
        <w:rPr>
          <w:szCs w:val="24"/>
          <w:lang w:val="en-GB"/>
        </w:rPr>
      </w:pPr>
      <w:r>
        <w:rPr>
          <w:szCs w:val="24"/>
          <w:lang w:val="en-GB"/>
        </w:rPr>
        <w:t>采用单因子标准指数法：</w:t>
      </w:r>
    </w:p>
    <w:p>
      <w:pPr>
        <w:ind w:firstLine="480" w:firstLineChars="0"/>
        <w:rPr>
          <w:szCs w:val="24"/>
        </w:rPr>
      </w:pPr>
      <w:r>
        <w:rPr>
          <w:szCs w:val="24"/>
        </w:rPr>
        <w:object>
          <v:shape id="_x0000_i1030" o:spt="75" type="#_x0000_t75" style="height:35pt;width:42pt;" o:ole="t" filled="f" coordsize="21600,21600">
            <v:path/>
            <v:fill on="f" focussize="0,0"/>
            <v:stroke/>
            <v:imagedata r:id="rId50" o:title=""/>
            <o:lock v:ext="edit" aspectratio="t"/>
            <w10:wrap type="none"/>
            <w10:anchorlock/>
          </v:shape>
          <o:OLEObject Type="Embed" ProgID="Equation.3" ShapeID="_x0000_i1030" DrawAspect="Content" ObjectID="_1468075730" r:id="rId49">
            <o:LockedField>false</o:LockedField>
          </o:OLEObject>
        </w:object>
      </w:r>
    </w:p>
    <w:p>
      <w:pPr>
        <w:ind w:firstLine="480" w:firstLineChars="0"/>
        <w:rPr>
          <w:szCs w:val="24"/>
        </w:rPr>
      </w:pPr>
      <w:r>
        <w:rPr>
          <w:szCs w:val="24"/>
        </w:rPr>
        <w:t>式中：S</w:t>
      </w:r>
      <w:r>
        <w:rPr>
          <w:szCs w:val="24"/>
          <w:vertAlign w:val="subscript"/>
        </w:rPr>
        <w:t>i</w:t>
      </w:r>
      <w:r>
        <w:rPr>
          <w:szCs w:val="24"/>
        </w:rPr>
        <w:t>—第i个水质因子的标准指数，无量纲；</w:t>
      </w:r>
    </w:p>
    <w:p>
      <w:pPr>
        <w:ind w:firstLine="480" w:firstLineChars="0"/>
        <w:rPr>
          <w:szCs w:val="24"/>
        </w:rPr>
      </w:pPr>
      <w:r>
        <w:rPr>
          <w:szCs w:val="24"/>
        </w:rPr>
        <w:t>C</w:t>
      </w:r>
      <w:r>
        <w:rPr>
          <w:szCs w:val="24"/>
          <w:vertAlign w:val="subscript"/>
        </w:rPr>
        <w:t>i</w:t>
      </w:r>
      <w:r>
        <w:rPr>
          <w:szCs w:val="24"/>
        </w:rPr>
        <w:t>—第i个水质因子的监测浓度值，mg/L；C</w:t>
      </w:r>
      <w:r>
        <w:rPr>
          <w:szCs w:val="24"/>
          <w:vertAlign w:val="subscript"/>
        </w:rPr>
        <w:t>s</w:t>
      </w:r>
      <w:r>
        <w:rPr>
          <w:szCs w:val="24"/>
        </w:rPr>
        <w:t>—第i个水质因子的标准浓度值，mg/L。</w:t>
      </w:r>
    </w:p>
    <w:p>
      <w:pPr>
        <w:ind w:firstLine="480" w:firstLineChars="0"/>
        <w:rPr>
          <w:szCs w:val="24"/>
        </w:rPr>
      </w:pPr>
      <w:r>
        <w:rPr>
          <w:szCs w:val="24"/>
        </w:rPr>
        <w:t>对于pH单因子标准指数计算式为：</w:t>
      </w:r>
    </w:p>
    <w:p>
      <w:pPr>
        <w:ind w:firstLine="480" w:firstLineChars="0"/>
        <w:jc w:val="center"/>
        <w:rPr>
          <w:szCs w:val="24"/>
        </w:rPr>
      </w:pPr>
      <w:r>
        <w:rPr>
          <w:szCs w:val="24"/>
        </w:rPr>
        <w:object>
          <v:shape id="_x0000_i1031" o:spt="75" type="#_x0000_t75" style="height:34pt;width:90pt;" o:ole="t" filled="f" coordsize="21600,21600">
            <v:path/>
            <v:fill on="f" focussize="0,0"/>
            <v:stroke/>
            <v:imagedata r:id="rId52" o:title=""/>
            <o:lock v:ext="edit" aspectratio="t"/>
            <w10:wrap type="none"/>
            <w10:anchorlock/>
          </v:shape>
          <o:OLEObject Type="Embed" ProgID="Equation.3" ShapeID="_x0000_i1031" DrawAspect="Content" ObjectID="_1468075731" r:id="rId51">
            <o:LockedField>false</o:LockedField>
          </o:OLEObject>
        </w:object>
      </w:r>
      <w:r>
        <w:rPr>
          <w:szCs w:val="24"/>
        </w:rPr>
        <w:t>pH≤7.0</w:t>
      </w:r>
      <w:r>
        <w:rPr>
          <w:rFonts w:hint="eastAsia"/>
          <w:szCs w:val="24"/>
        </w:rPr>
        <w:t xml:space="preserve">      </w:t>
      </w:r>
      <w:r>
        <w:rPr>
          <w:szCs w:val="24"/>
        </w:rPr>
        <w:object>
          <v:shape id="_x0000_i1032" o:spt="75" type="#_x0000_t75" style="height:34pt;width:90pt;" o:ole="t" filled="f" coordsize="21600,21600">
            <v:path/>
            <v:fill on="f" focussize="0,0"/>
            <v:stroke/>
            <v:imagedata r:id="rId54" o:title=""/>
            <o:lock v:ext="edit" aspectratio="t"/>
            <w10:wrap type="none"/>
            <w10:anchorlock/>
          </v:shape>
          <o:OLEObject Type="Embed" ProgID="Equation.3" ShapeID="_x0000_i1032" DrawAspect="Content" ObjectID="_1468075732" r:id="rId53">
            <o:LockedField>false</o:LockedField>
          </o:OLEObject>
        </w:object>
      </w:r>
      <w:r>
        <w:rPr>
          <w:szCs w:val="24"/>
        </w:rPr>
        <w:t>pH＞7.0</w:t>
      </w:r>
    </w:p>
    <w:p>
      <w:pPr>
        <w:ind w:firstLine="480" w:firstLineChars="0"/>
        <w:rPr>
          <w:szCs w:val="24"/>
        </w:rPr>
      </w:pPr>
      <w:r>
        <w:rPr>
          <w:szCs w:val="24"/>
        </w:rPr>
        <w:t>式中：S</w:t>
      </w:r>
      <w:r>
        <w:rPr>
          <w:szCs w:val="24"/>
          <w:vertAlign w:val="subscript"/>
        </w:rPr>
        <w:t>pH</w:t>
      </w:r>
      <w:r>
        <w:rPr>
          <w:szCs w:val="24"/>
        </w:rPr>
        <w:t>—pH的标准指数，无量纲；</w:t>
      </w:r>
      <w:r>
        <w:rPr>
          <w:rFonts w:hint="eastAsia"/>
          <w:szCs w:val="24"/>
        </w:rPr>
        <w:t xml:space="preserve">    </w:t>
      </w:r>
      <w:r>
        <w:rPr>
          <w:szCs w:val="24"/>
        </w:rPr>
        <w:t>pH—pH的监测值；</w:t>
      </w:r>
    </w:p>
    <w:p>
      <w:pPr>
        <w:ind w:firstLine="480" w:firstLineChars="0"/>
        <w:rPr>
          <w:szCs w:val="24"/>
        </w:rPr>
      </w:pPr>
      <w:r>
        <w:rPr>
          <w:szCs w:val="24"/>
        </w:rPr>
        <w:t>pH</w:t>
      </w:r>
      <w:r>
        <w:rPr>
          <w:szCs w:val="24"/>
          <w:vertAlign w:val="subscript"/>
        </w:rPr>
        <w:t>sd</w:t>
      </w:r>
      <w:r>
        <w:rPr>
          <w:szCs w:val="24"/>
        </w:rPr>
        <w:t>—标准中pH的下限值；</w:t>
      </w:r>
      <w:r>
        <w:rPr>
          <w:rFonts w:hint="eastAsia"/>
          <w:szCs w:val="24"/>
        </w:rPr>
        <w:t xml:space="preserve">            </w:t>
      </w:r>
      <w:r>
        <w:rPr>
          <w:szCs w:val="24"/>
        </w:rPr>
        <w:t>pH</w:t>
      </w:r>
      <w:r>
        <w:rPr>
          <w:szCs w:val="24"/>
          <w:vertAlign w:val="subscript"/>
        </w:rPr>
        <w:t>su</w:t>
      </w:r>
      <w:r>
        <w:rPr>
          <w:szCs w:val="24"/>
        </w:rPr>
        <w:t>—标准中pH的上限值。</w:t>
      </w:r>
    </w:p>
    <w:p>
      <w:pPr>
        <w:ind w:firstLine="480" w:firstLineChars="0"/>
        <w:rPr>
          <w:szCs w:val="24"/>
        </w:rPr>
      </w:pPr>
      <w:r>
        <w:rPr>
          <w:rFonts w:hint="eastAsia" w:ascii="宋体" w:hAnsi="宋体" w:cs="宋体"/>
          <w:szCs w:val="24"/>
          <w:lang w:val="en-GB"/>
        </w:rPr>
        <w:t>④</w:t>
      </w:r>
      <w:r>
        <w:rPr>
          <w:szCs w:val="24"/>
          <w:lang w:val="en-GB"/>
        </w:rPr>
        <w:t>评价结果</w:t>
      </w:r>
    </w:p>
    <w:p>
      <w:pPr>
        <w:ind w:firstLine="480" w:firstLineChars="0"/>
        <w:rPr>
          <w:szCs w:val="24"/>
          <w:lang w:val="en-GB"/>
        </w:rPr>
      </w:pPr>
      <w:r>
        <w:rPr>
          <w:szCs w:val="24"/>
          <w:lang w:val="en-GB"/>
        </w:rPr>
        <w:t>评价结果见表4.</w:t>
      </w:r>
      <w:r>
        <w:rPr>
          <w:rFonts w:hint="eastAsia"/>
          <w:szCs w:val="24"/>
          <w:lang w:val="en-GB"/>
        </w:rPr>
        <w:t>4</w:t>
      </w:r>
      <w:r>
        <w:rPr>
          <w:szCs w:val="24"/>
          <w:lang w:val="en-GB"/>
        </w:rPr>
        <w:t>-</w:t>
      </w:r>
      <w:r>
        <w:rPr>
          <w:rFonts w:hint="eastAsia"/>
          <w:szCs w:val="24"/>
          <w:lang w:val="en-GB"/>
        </w:rPr>
        <w:t>7</w:t>
      </w:r>
      <w:r>
        <w:rPr>
          <w:szCs w:val="24"/>
          <w:lang w:val="en-GB"/>
        </w:rPr>
        <w:t>。</w:t>
      </w:r>
    </w:p>
    <w:p>
      <w:pPr>
        <w:ind w:firstLine="480" w:firstLineChars="0"/>
        <w:rPr>
          <w:szCs w:val="24"/>
          <w:lang w:val="en-GB"/>
        </w:rPr>
        <w:sectPr>
          <w:headerReference r:id="rId16" w:type="default"/>
          <w:pgSz w:w="11906" w:h="16838"/>
          <w:pgMar w:top="1814" w:right="1134" w:bottom="1701" w:left="1418" w:header="1077" w:footer="992" w:gutter="0"/>
          <w:cols w:space="720" w:num="1"/>
          <w:docGrid w:linePitch="326" w:charSpace="0"/>
        </w:sectPr>
      </w:pPr>
    </w:p>
    <w:p>
      <w:pPr>
        <w:pStyle w:val="1078"/>
        <w:spacing w:before="120" w:beforeLines="50" w:line="240" w:lineRule="auto"/>
        <w:ind w:firstLine="641"/>
        <w:rPr>
          <w:rFonts w:hAnsi="黑体" w:cs="黑体"/>
        </w:rPr>
      </w:pPr>
      <w:r>
        <w:rPr>
          <w:rFonts w:hint="eastAsia" w:hAnsi="黑体" w:cs="黑体"/>
        </w:rPr>
        <w:t>表4.4-7  地下水环境质量现状评价结果一览表单位：mg/L（PH为无量纲）</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1446"/>
        <w:gridCol w:w="981"/>
        <w:gridCol w:w="981"/>
        <w:gridCol w:w="1544"/>
        <w:gridCol w:w="841"/>
        <w:gridCol w:w="982"/>
        <w:gridCol w:w="841"/>
        <w:gridCol w:w="712"/>
        <w:gridCol w:w="712"/>
        <w:gridCol w:w="712"/>
        <w:gridCol w:w="817"/>
        <w:gridCol w:w="700"/>
        <w:gridCol w:w="841"/>
        <w:gridCol w:w="7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restart"/>
            <w:vAlign w:val="center"/>
          </w:tcPr>
          <w:p>
            <w:pPr>
              <w:spacing w:line="340" w:lineRule="exact"/>
              <w:ind w:firstLine="0" w:firstLineChars="0"/>
              <w:jc w:val="center"/>
              <w:rPr>
                <w:sz w:val="21"/>
                <w:szCs w:val="21"/>
              </w:rPr>
            </w:pPr>
            <w:r>
              <w:rPr>
                <w:sz w:val="21"/>
                <w:szCs w:val="21"/>
              </w:rPr>
              <w:t>监测点位</w:t>
            </w:r>
          </w:p>
        </w:tc>
        <w:tc>
          <w:tcPr>
            <w:tcW w:w="536" w:type="pct"/>
            <w:vAlign w:val="center"/>
          </w:tcPr>
          <w:p>
            <w:pPr>
              <w:spacing w:line="340" w:lineRule="exact"/>
              <w:ind w:firstLine="0" w:firstLineChars="0"/>
              <w:jc w:val="center"/>
              <w:rPr>
                <w:sz w:val="21"/>
                <w:szCs w:val="21"/>
              </w:rPr>
            </w:pPr>
            <w:r>
              <w:rPr>
                <w:sz w:val="21"/>
                <w:szCs w:val="21"/>
              </w:rPr>
              <w:t>评价项目</w:t>
            </w:r>
          </w:p>
        </w:tc>
        <w:tc>
          <w:tcPr>
            <w:tcW w:w="364" w:type="pct"/>
            <w:vAlign w:val="center"/>
          </w:tcPr>
          <w:p>
            <w:pPr>
              <w:spacing w:line="340" w:lineRule="exact"/>
              <w:ind w:firstLine="0" w:firstLineChars="0"/>
              <w:jc w:val="center"/>
              <w:rPr>
                <w:sz w:val="21"/>
                <w:szCs w:val="21"/>
              </w:rPr>
            </w:pPr>
            <w:r>
              <w:rPr>
                <w:sz w:val="21"/>
                <w:szCs w:val="21"/>
              </w:rPr>
              <w:t>pH</w:t>
            </w:r>
          </w:p>
        </w:tc>
        <w:tc>
          <w:tcPr>
            <w:tcW w:w="364" w:type="pct"/>
            <w:vAlign w:val="center"/>
          </w:tcPr>
          <w:p>
            <w:pPr>
              <w:spacing w:line="340" w:lineRule="exact"/>
              <w:ind w:firstLine="0" w:firstLineChars="0"/>
              <w:jc w:val="center"/>
              <w:rPr>
                <w:sz w:val="21"/>
                <w:szCs w:val="21"/>
              </w:rPr>
            </w:pPr>
            <w:r>
              <w:rPr>
                <w:sz w:val="21"/>
                <w:szCs w:val="21"/>
              </w:rPr>
              <w:t>总硬度</w:t>
            </w:r>
          </w:p>
        </w:tc>
        <w:tc>
          <w:tcPr>
            <w:tcW w:w="572" w:type="pct"/>
            <w:vAlign w:val="center"/>
          </w:tcPr>
          <w:p>
            <w:pPr>
              <w:spacing w:line="340" w:lineRule="exact"/>
              <w:ind w:firstLine="0" w:firstLineChars="0"/>
              <w:jc w:val="center"/>
              <w:rPr>
                <w:sz w:val="21"/>
                <w:szCs w:val="21"/>
              </w:rPr>
            </w:pPr>
            <w:r>
              <w:rPr>
                <w:sz w:val="21"/>
                <w:szCs w:val="21"/>
              </w:rPr>
              <w:t>溶解性总固体</w:t>
            </w:r>
          </w:p>
        </w:tc>
        <w:tc>
          <w:tcPr>
            <w:tcW w:w="312" w:type="pct"/>
            <w:vAlign w:val="center"/>
          </w:tcPr>
          <w:p>
            <w:pPr>
              <w:spacing w:line="340" w:lineRule="exact"/>
              <w:ind w:firstLine="0" w:firstLineChars="0"/>
              <w:jc w:val="center"/>
              <w:rPr>
                <w:sz w:val="21"/>
                <w:szCs w:val="21"/>
              </w:rPr>
            </w:pPr>
            <w:r>
              <w:rPr>
                <w:sz w:val="21"/>
                <w:szCs w:val="21"/>
              </w:rPr>
              <w:t>硫酸盐</w:t>
            </w:r>
          </w:p>
        </w:tc>
        <w:tc>
          <w:tcPr>
            <w:tcW w:w="364" w:type="pct"/>
            <w:vAlign w:val="center"/>
          </w:tcPr>
          <w:p>
            <w:pPr>
              <w:spacing w:line="340" w:lineRule="exact"/>
              <w:ind w:firstLine="0" w:firstLineChars="0"/>
              <w:jc w:val="center"/>
              <w:rPr>
                <w:sz w:val="21"/>
                <w:szCs w:val="21"/>
              </w:rPr>
            </w:pPr>
            <w:r>
              <w:rPr>
                <w:sz w:val="21"/>
                <w:szCs w:val="21"/>
              </w:rPr>
              <w:t>氯化物</w:t>
            </w:r>
          </w:p>
        </w:tc>
        <w:tc>
          <w:tcPr>
            <w:tcW w:w="312" w:type="pct"/>
            <w:vAlign w:val="center"/>
          </w:tcPr>
          <w:p>
            <w:pPr>
              <w:spacing w:line="340" w:lineRule="exact"/>
              <w:ind w:firstLine="0" w:firstLineChars="0"/>
              <w:jc w:val="center"/>
              <w:rPr>
                <w:sz w:val="21"/>
                <w:szCs w:val="21"/>
              </w:rPr>
            </w:pPr>
            <w:r>
              <w:rPr>
                <w:sz w:val="21"/>
                <w:szCs w:val="21"/>
              </w:rPr>
              <w:t>铁</w:t>
            </w:r>
          </w:p>
        </w:tc>
        <w:tc>
          <w:tcPr>
            <w:tcW w:w="260" w:type="pct"/>
            <w:vAlign w:val="center"/>
          </w:tcPr>
          <w:p>
            <w:pPr>
              <w:spacing w:line="340" w:lineRule="exact"/>
              <w:ind w:firstLine="0" w:firstLineChars="0"/>
              <w:jc w:val="center"/>
              <w:rPr>
                <w:sz w:val="21"/>
                <w:szCs w:val="21"/>
              </w:rPr>
            </w:pPr>
            <w:r>
              <w:rPr>
                <w:sz w:val="21"/>
                <w:szCs w:val="21"/>
              </w:rPr>
              <w:t>锰</w:t>
            </w:r>
          </w:p>
        </w:tc>
        <w:tc>
          <w:tcPr>
            <w:tcW w:w="260" w:type="pct"/>
            <w:vAlign w:val="center"/>
          </w:tcPr>
          <w:p>
            <w:pPr>
              <w:spacing w:line="340" w:lineRule="exact"/>
              <w:ind w:firstLine="0" w:firstLineChars="0"/>
              <w:jc w:val="center"/>
              <w:rPr>
                <w:sz w:val="21"/>
                <w:szCs w:val="21"/>
              </w:rPr>
            </w:pPr>
            <w:r>
              <w:rPr>
                <w:sz w:val="21"/>
                <w:szCs w:val="21"/>
              </w:rPr>
              <w:t>铜</w:t>
            </w:r>
          </w:p>
        </w:tc>
        <w:tc>
          <w:tcPr>
            <w:tcW w:w="253" w:type="pct"/>
            <w:vAlign w:val="center"/>
          </w:tcPr>
          <w:p>
            <w:pPr>
              <w:spacing w:line="340" w:lineRule="exact"/>
              <w:ind w:firstLine="0" w:firstLineChars="0"/>
              <w:jc w:val="center"/>
              <w:rPr>
                <w:sz w:val="21"/>
                <w:szCs w:val="21"/>
              </w:rPr>
            </w:pPr>
            <w:r>
              <w:rPr>
                <w:sz w:val="21"/>
                <w:szCs w:val="21"/>
              </w:rPr>
              <w:t>锌</w:t>
            </w:r>
          </w:p>
        </w:tc>
        <w:tc>
          <w:tcPr>
            <w:tcW w:w="300" w:type="pct"/>
            <w:vAlign w:val="center"/>
          </w:tcPr>
          <w:p>
            <w:pPr>
              <w:spacing w:line="340" w:lineRule="exact"/>
              <w:ind w:firstLine="0" w:firstLineChars="0"/>
              <w:jc w:val="center"/>
              <w:rPr>
                <w:sz w:val="21"/>
                <w:szCs w:val="21"/>
              </w:rPr>
            </w:pPr>
            <w:r>
              <w:rPr>
                <w:sz w:val="21"/>
                <w:szCs w:val="21"/>
              </w:rPr>
              <w:t>铝</w:t>
            </w:r>
          </w:p>
        </w:tc>
        <w:tc>
          <w:tcPr>
            <w:tcW w:w="260" w:type="pct"/>
            <w:vAlign w:val="center"/>
          </w:tcPr>
          <w:p>
            <w:pPr>
              <w:spacing w:line="340" w:lineRule="exact"/>
              <w:ind w:firstLine="0" w:firstLineChars="0"/>
              <w:jc w:val="center"/>
              <w:rPr>
                <w:sz w:val="21"/>
                <w:szCs w:val="21"/>
              </w:rPr>
            </w:pPr>
            <w:r>
              <w:rPr>
                <w:sz w:val="21"/>
                <w:szCs w:val="21"/>
              </w:rPr>
              <w:t>氨氮</w:t>
            </w:r>
          </w:p>
        </w:tc>
        <w:tc>
          <w:tcPr>
            <w:tcW w:w="312" w:type="pct"/>
            <w:vAlign w:val="center"/>
          </w:tcPr>
          <w:p>
            <w:pPr>
              <w:spacing w:line="340" w:lineRule="exact"/>
              <w:ind w:firstLine="0" w:firstLineChars="0"/>
              <w:jc w:val="center"/>
              <w:rPr>
                <w:sz w:val="21"/>
                <w:szCs w:val="21"/>
              </w:rPr>
            </w:pPr>
            <w:r>
              <w:rPr>
                <w:sz w:val="21"/>
                <w:szCs w:val="21"/>
              </w:rPr>
              <w:t>硫化物</w:t>
            </w:r>
          </w:p>
        </w:tc>
        <w:tc>
          <w:tcPr>
            <w:tcW w:w="275" w:type="pct"/>
            <w:vAlign w:val="center"/>
          </w:tcPr>
          <w:p>
            <w:pPr>
              <w:spacing w:line="340" w:lineRule="exact"/>
              <w:ind w:firstLine="0" w:firstLineChars="0"/>
              <w:jc w:val="center"/>
              <w:rPr>
                <w:sz w:val="21"/>
                <w:szCs w:val="21"/>
              </w:rPr>
            </w:pPr>
            <w:r>
              <w:rPr>
                <w:sz w:val="21"/>
                <w:szCs w:val="21"/>
              </w:rPr>
              <w:t>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rFonts w:hint="eastAsia" w:ascii="宋体" w:hAnsi="宋体" w:cs="宋体"/>
                <w:sz w:val="21"/>
                <w:szCs w:val="21"/>
              </w:rPr>
              <w:t>Ⅲ</w:t>
            </w:r>
            <w:r>
              <w:rPr>
                <w:sz w:val="21"/>
                <w:szCs w:val="21"/>
              </w:rPr>
              <w:t>类标准</w:t>
            </w:r>
          </w:p>
        </w:tc>
        <w:tc>
          <w:tcPr>
            <w:tcW w:w="364" w:type="pct"/>
            <w:vAlign w:val="center"/>
          </w:tcPr>
          <w:p>
            <w:pPr>
              <w:spacing w:line="340" w:lineRule="exact"/>
              <w:ind w:firstLine="0" w:firstLineChars="0"/>
              <w:jc w:val="center"/>
              <w:rPr>
                <w:sz w:val="21"/>
                <w:szCs w:val="21"/>
              </w:rPr>
            </w:pPr>
            <w:r>
              <w:rPr>
                <w:sz w:val="21"/>
                <w:szCs w:val="21"/>
              </w:rPr>
              <w:t>6.5~8.5</w:t>
            </w:r>
          </w:p>
        </w:tc>
        <w:tc>
          <w:tcPr>
            <w:tcW w:w="364" w:type="pct"/>
            <w:vAlign w:val="center"/>
          </w:tcPr>
          <w:p>
            <w:pPr>
              <w:spacing w:line="340" w:lineRule="exact"/>
              <w:ind w:firstLine="0" w:firstLineChars="0"/>
              <w:jc w:val="center"/>
              <w:rPr>
                <w:sz w:val="21"/>
                <w:szCs w:val="21"/>
              </w:rPr>
            </w:pPr>
            <w:r>
              <w:rPr>
                <w:sz w:val="21"/>
                <w:szCs w:val="21"/>
              </w:rPr>
              <w:t>450</w:t>
            </w:r>
          </w:p>
        </w:tc>
        <w:tc>
          <w:tcPr>
            <w:tcW w:w="572" w:type="pct"/>
            <w:vAlign w:val="center"/>
          </w:tcPr>
          <w:p>
            <w:pPr>
              <w:spacing w:line="340" w:lineRule="exact"/>
              <w:ind w:firstLine="0" w:firstLineChars="0"/>
              <w:jc w:val="center"/>
              <w:rPr>
                <w:sz w:val="21"/>
                <w:szCs w:val="21"/>
              </w:rPr>
            </w:pPr>
            <w:r>
              <w:rPr>
                <w:sz w:val="21"/>
                <w:szCs w:val="21"/>
              </w:rPr>
              <w:t>1000</w:t>
            </w:r>
          </w:p>
        </w:tc>
        <w:tc>
          <w:tcPr>
            <w:tcW w:w="312" w:type="pct"/>
            <w:vAlign w:val="center"/>
          </w:tcPr>
          <w:p>
            <w:pPr>
              <w:spacing w:line="340" w:lineRule="exact"/>
              <w:ind w:firstLine="0" w:firstLineChars="0"/>
              <w:jc w:val="center"/>
              <w:rPr>
                <w:sz w:val="21"/>
                <w:szCs w:val="21"/>
              </w:rPr>
            </w:pPr>
            <w:r>
              <w:rPr>
                <w:sz w:val="21"/>
                <w:szCs w:val="21"/>
              </w:rPr>
              <w:t>250</w:t>
            </w:r>
          </w:p>
        </w:tc>
        <w:tc>
          <w:tcPr>
            <w:tcW w:w="364" w:type="pct"/>
            <w:vAlign w:val="center"/>
          </w:tcPr>
          <w:p>
            <w:pPr>
              <w:spacing w:line="340" w:lineRule="exact"/>
              <w:ind w:firstLine="0" w:firstLineChars="0"/>
              <w:jc w:val="center"/>
              <w:rPr>
                <w:sz w:val="21"/>
                <w:szCs w:val="21"/>
              </w:rPr>
            </w:pPr>
            <w:r>
              <w:rPr>
                <w:sz w:val="21"/>
                <w:szCs w:val="21"/>
              </w:rPr>
              <w:t>250</w:t>
            </w:r>
          </w:p>
        </w:tc>
        <w:tc>
          <w:tcPr>
            <w:tcW w:w="312" w:type="pct"/>
            <w:vAlign w:val="center"/>
          </w:tcPr>
          <w:p>
            <w:pPr>
              <w:spacing w:line="340" w:lineRule="exact"/>
              <w:ind w:firstLine="0" w:firstLineChars="0"/>
              <w:jc w:val="center"/>
              <w:rPr>
                <w:sz w:val="21"/>
                <w:szCs w:val="21"/>
              </w:rPr>
            </w:pPr>
            <w:r>
              <w:rPr>
                <w:sz w:val="21"/>
                <w:szCs w:val="21"/>
              </w:rPr>
              <w:t>0.3</w:t>
            </w:r>
          </w:p>
        </w:tc>
        <w:tc>
          <w:tcPr>
            <w:tcW w:w="260" w:type="pct"/>
            <w:vAlign w:val="center"/>
          </w:tcPr>
          <w:p>
            <w:pPr>
              <w:spacing w:line="340" w:lineRule="exact"/>
              <w:ind w:firstLine="0" w:firstLineChars="0"/>
              <w:jc w:val="center"/>
              <w:rPr>
                <w:sz w:val="21"/>
                <w:szCs w:val="21"/>
              </w:rPr>
            </w:pPr>
            <w:r>
              <w:rPr>
                <w:sz w:val="21"/>
                <w:szCs w:val="21"/>
              </w:rPr>
              <w:t>0.1</w:t>
            </w:r>
          </w:p>
        </w:tc>
        <w:tc>
          <w:tcPr>
            <w:tcW w:w="260" w:type="pct"/>
            <w:vAlign w:val="center"/>
          </w:tcPr>
          <w:p>
            <w:pPr>
              <w:spacing w:line="340" w:lineRule="exact"/>
              <w:ind w:firstLine="0" w:firstLineChars="0"/>
              <w:jc w:val="center"/>
              <w:rPr>
                <w:sz w:val="21"/>
                <w:szCs w:val="21"/>
              </w:rPr>
            </w:pPr>
            <w:r>
              <w:rPr>
                <w:sz w:val="21"/>
                <w:szCs w:val="21"/>
              </w:rPr>
              <w:t>1.0</w:t>
            </w:r>
          </w:p>
        </w:tc>
        <w:tc>
          <w:tcPr>
            <w:tcW w:w="253" w:type="pct"/>
            <w:vAlign w:val="center"/>
          </w:tcPr>
          <w:p>
            <w:pPr>
              <w:spacing w:line="340" w:lineRule="exact"/>
              <w:ind w:firstLine="0" w:firstLineChars="0"/>
              <w:jc w:val="center"/>
              <w:rPr>
                <w:sz w:val="21"/>
                <w:szCs w:val="21"/>
              </w:rPr>
            </w:pPr>
            <w:r>
              <w:rPr>
                <w:sz w:val="21"/>
                <w:szCs w:val="21"/>
              </w:rPr>
              <w:t>1.0</w:t>
            </w:r>
          </w:p>
        </w:tc>
        <w:tc>
          <w:tcPr>
            <w:tcW w:w="300" w:type="pct"/>
            <w:vAlign w:val="center"/>
          </w:tcPr>
          <w:p>
            <w:pPr>
              <w:spacing w:line="340" w:lineRule="exact"/>
              <w:ind w:firstLine="0" w:firstLineChars="0"/>
              <w:jc w:val="center"/>
              <w:rPr>
                <w:sz w:val="21"/>
                <w:szCs w:val="21"/>
              </w:rPr>
            </w:pPr>
            <w:r>
              <w:rPr>
                <w:sz w:val="21"/>
                <w:szCs w:val="21"/>
              </w:rPr>
              <w:t>0.2</w:t>
            </w:r>
          </w:p>
        </w:tc>
        <w:tc>
          <w:tcPr>
            <w:tcW w:w="260" w:type="pct"/>
            <w:vAlign w:val="center"/>
          </w:tcPr>
          <w:p>
            <w:pPr>
              <w:spacing w:line="340" w:lineRule="exact"/>
              <w:ind w:firstLine="0" w:firstLineChars="0"/>
              <w:jc w:val="center"/>
              <w:rPr>
                <w:sz w:val="21"/>
                <w:szCs w:val="21"/>
              </w:rPr>
            </w:pPr>
            <w:r>
              <w:rPr>
                <w:sz w:val="21"/>
                <w:szCs w:val="21"/>
              </w:rPr>
              <w:t>0.5</w:t>
            </w:r>
          </w:p>
        </w:tc>
        <w:tc>
          <w:tcPr>
            <w:tcW w:w="312" w:type="pct"/>
            <w:vAlign w:val="center"/>
          </w:tcPr>
          <w:p>
            <w:pPr>
              <w:spacing w:line="340" w:lineRule="exact"/>
              <w:ind w:firstLine="0" w:firstLineChars="0"/>
              <w:jc w:val="center"/>
              <w:rPr>
                <w:sz w:val="21"/>
                <w:szCs w:val="21"/>
              </w:rPr>
            </w:pPr>
            <w:r>
              <w:rPr>
                <w:sz w:val="21"/>
                <w:szCs w:val="21"/>
              </w:rPr>
              <w:t>0.02</w:t>
            </w:r>
          </w:p>
        </w:tc>
        <w:tc>
          <w:tcPr>
            <w:tcW w:w="275" w:type="pct"/>
            <w:vAlign w:val="center"/>
          </w:tcPr>
          <w:p>
            <w:pPr>
              <w:spacing w:line="340" w:lineRule="exact"/>
              <w:ind w:firstLine="0" w:firstLineChars="0"/>
              <w:jc w:val="center"/>
              <w:rPr>
                <w:sz w:val="21"/>
                <w:szCs w:val="21"/>
              </w:rPr>
            </w:pPr>
            <w:r>
              <w:rPr>
                <w:sz w:val="21"/>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restart"/>
            <w:vAlign w:val="center"/>
          </w:tcPr>
          <w:p>
            <w:pPr>
              <w:spacing w:line="340" w:lineRule="exact"/>
              <w:ind w:firstLine="0" w:firstLineChars="0"/>
              <w:jc w:val="center"/>
              <w:rPr>
                <w:sz w:val="21"/>
                <w:szCs w:val="21"/>
              </w:rPr>
            </w:pPr>
            <w:r>
              <w:rPr>
                <w:sz w:val="21"/>
                <w:szCs w:val="21"/>
              </w:rPr>
              <w:t>GW1</w:t>
            </w:r>
          </w:p>
        </w:tc>
        <w:tc>
          <w:tcPr>
            <w:tcW w:w="536" w:type="pct"/>
            <w:vAlign w:val="center"/>
          </w:tcPr>
          <w:p>
            <w:pPr>
              <w:spacing w:line="340" w:lineRule="exact"/>
              <w:ind w:firstLine="0" w:firstLineChars="0"/>
              <w:jc w:val="center"/>
              <w:rPr>
                <w:sz w:val="21"/>
                <w:szCs w:val="21"/>
              </w:rPr>
            </w:pPr>
            <w:r>
              <w:rPr>
                <w:sz w:val="21"/>
                <w:szCs w:val="21"/>
              </w:rPr>
              <w:t>监测值</w:t>
            </w:r>
          </w:p>
        </w:tc>
        <w:tc>
          <w:tcPr>
            <w:tcW w:w="364" w:type="pct"/>
            <w:vAlign w:val="center"/>
          </w:tcPr>
          <w:p>
            <w:pPr>
              <w:widowControl/>
              <w:snapToGrid w:val="0"/>
              <w:spacing w:line="340" w:lineRule="exact"/>
              <w:ind w:firstLine="0" w:firstLineChars="0"/>
              <w:contextualSpacing/>
              <w:jc w:val="center"/>
              <w:rPr>
                <w:kern w:val="0"/>
                <w:sz w:val="21"/>
                <w:szCs w:val="21"/>
              </w:rPr>
            </w:pPr>
            <w:r>
              <w:rPr>
                <w:rFonts w:hint="eastAsia"/>
                <w:sz w:val="21"/>
                <w:szCs w:val="21"/>
              </w:rPr>
              <w:t>6.84</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225</w:t>
            </w:r>
          </w:p>
        </w:tc>
        <w:tc>
          <w:tcPr>
            <w:tcW w:w="572" w:type="pct"/>
            <w:vAlign w:val="center"/>
          </w:tcPr>
          <w:p>
            <w:pPr>
              <w:snapToGrid w:val="0"/>
              <w:spacing w:line="340" w:lineRule="exact"/>
              <w:ind w:firstLine="0" w:firstLineChars="0"/>
              <w:contextualSpacing/>
              <w:jc w:val="center"/>
              <w:rPr>
                <w:sz w:val="21"/>
                <w:szCs w:val="21"/>
              </w:rPr>
            </w:pPr>
            <w:r>
              <w:rPr>
                <w:rFonts w:hint="eastAsia"/>
                <w:sz w:val="21"/>
                <w:szCs w:val="21"/>
              </w:rPr>
              <w:t>306</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22</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28.0</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0.377</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sz w:val="21"/>
                <w:szCs w:val="21"/>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单因子指Pi</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16</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50</w:t>
            </w:r>
          </w:p>
        </w:tc>
        <w:tc>
          <w:tcPr>
            <w:tcW w:w="572"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306</w:t>
            </w:r>
          </w:p>
        </w:tc>
        <w:tc>
          <w:tcPr>
            <w:tcW w:w="312"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88</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112</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0.754</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sz w:val="21"/>
                <w:szCs w:val="21"/>
              </w:rPr>
              <w:t>0.086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达标情况</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572"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53" w:type="pct"/>
            <w:vAlign w:val="center"/>
          </w:tcPr>
          <w:p>
            <w:pPr>
              <w:snapToGrid w:val="0"/>
              <w:spacing w:line="340" w:lineRule="exact"/>
              <w:ind w:firstLine="0" w:firstLineChars="0"/>
              <w:contextualSpacing/>
              <w:jc w:val="center"/>
              <w:rPr>
                <w:sz w:val="21"/>
                <w:szCs w:val="21"/>
              </w:rPr>
            </w:pPr>
            <w:r>
              <w:rPr>
                <w:sz w:val="21"/>
                <w:szCs w:val="21"/>
              </w:rPr>
              <w:t>达标</w:t>
            </w:r>
          </w:p>
        </w:tc>
        <w:tc>
          <w:tcPr>
            <w:tcW w:w="30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75" w:type="pct"/>
            <w:vAlign w:val="center"/>
          </w:tcPr>
          <w:p>
            <w:pPr>
              <w:snapToGrid w:val="0"/>
              <w:spacing w:line="340" w:lineRule="exact"/>
              <w:ind w:firstLine="0" w:firstLineChars="0"/>
              <w:contextualSpacing/>
              <w:jc w:val="center"/>
              <w:rPr>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restart"/>
            <w:vAlign w:val="center"/>
          </w:tcPr>
          <w:p>
            <w:pPr>
              <w:spacing w:line="340" w:lineRule="exact"/>
              <w:ind w:firstLine="0" w:firstLineChars="0"/>
              <w:jc w:val="center"/>
              <w:rPr>
                <w:sz w:val="21"/>
                <w:szCs w:val="21"/>
              </w:rPr>
            </w:pPr>
            <w:r>
              <w:rPr>
                <w:sz w:val="21"/>
                <w:szCs w:val="21"/>
              </w:rPr>
              <w:t>GW2</w:t>
            </w:r>
          </w:p>
        </w:tc>
        <w:tc>
          <w:tcPr>
            <w:tcW w:w="536" w:type="pct"/>
            <w:vAlign w:val="center"/>
          </w:tcPr>
          <w:p>
            <w:pPr>
              <w:spacing w:line="340" w:lineRule="exact"/>
              <w:ind w:firstLine="0" w:firstLineChars="0"/>
              <w:jc w:val="center"/>
              <w:rPr>
                <w:sz w:val="21"/>
                <w:szCs w:val="21"/>
              </w:rPr>
            </w:pPr>
            <w:r>
              <w:rPr>
                <w:sz w:val="21"/>
                <w:szCs w:val="21"/>
              </w:rPr>
              <w:t>监测值</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7.32</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151</w:t>
            </w:r>
          </w:p>
        </w:tc>
        <w:tc>
          <w:tcPr>
            <w:tcW w:w="572" w:type="pct"/>
            <w:vAlign w:val="center"/>
          </w:tcPr>
          <w:p>
            <w:pPr>
              <w:snapToGrid w:val="0"/>
              <w:spacing w:line="340" w:lineRule="exact"/>
              <w:ind w:firstLine="0" w:firstLineChars="0"/>
              <w:contextualSpacing/>
              <w:jc w:val="center"/>
              <w:rPr>
                <w:sz w:val="21"/>
                <w:szCs w:val="21"/>
              </w:rPr>
            </w:pPr>
            <w:r>
              <w:rPr>
                <w:rFonts w:hint="eastAsia"/>
                <w:sz w:val="21"/>
                <w:szCs w:val="21"/>
              </w:rPr>
              <w:t>203</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24</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12.3</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346</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rFonts w:hint="eastAsia"/>
                <w:sz w:val="21"/>
                <w:szCs w:val="21"/>
              </w:rPr>
              <w:t>6.65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单因子指Pi</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16</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336</w:t>
            </w:r>
          </w:p>
        </w:tc>
        <w:tc>
          <w:tcPr>
            <w:tcW w:w="572"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203</w:t>
            </w:r>
          </w:p>
        </w:tc>
        <w:tc>
          <w:tcPr>
            <w:tcW w:w="312"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96</w:t>
            </w:r>
          </w:p>
        </w:tc>
        <w:tc>
          <w:tcPr>
            <w:tcW w:w="364"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49</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692</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达标情况</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572"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53" w:type="pct"/>
            <w:vAlign w:val="center"/>
          </w:tcPr>
          <w:p>
            <w:pPr>
              <w:snapToGrid w:val="0"/>
              <w:spacing w:line="340" w:lineRule="exact"/>
              <w:ind w:firstLine="0" w:firstLineChars="0"/>
              <w:contextualSpacing/>
              <w:jc w:val="center"/>
              <w:rPr>
                <w:sz w:val="21"/>
                <w:szCs w:val="21"/>
              </w:rPr>
            </w:pPr>
            <w:r>
              <w:rPr>
                <w:sz w:val="21"/>
                <w:szCs w:val="21"/>
              </w:rPr>
              <w:t>达标</w:t>
            </w:r>
          </w:p>
        </w:tc>
        <w:tc>
          <w:tcPr>
            <w:tcW w:w="30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75" w:type="pct"/>
            <w:vAlign w:val="center"/>
          </w:tcPr>
          <w:p>
            <w:pPr>
              <w:snapToGrid w:val="0"/>
              <w:spacing w:line="340" w:lineRule="exact"/>
              <w:ind w:firstLine="0" w:firstLineChars="0"/>
              <w:contextualSpacing/>
              <w:jc w:val="center"/>
              <w:rPr>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restart"/>
            <w:vAlign w:val="center"/>
          </w:tcPr>
          <w:p>
            <w:pPr>
              <w:spacing w:line="340" w:lineRule="exact"/>
              <w:ind w:firstLine="0" w:firstLineChars="0"/>
              <w:jc w:val="center"/>
              <w:rPr>
                <w:sz w:val="21"/>
                <w:szCs w:val="21"/>
              </w:rPr>
            </w:pPr>
            <w:r>
              <w:rPr>
                <w:sz w:val="21"/>
                <w:szCs w:val="21"/>
              </w:rPr>
              <w:t>GW3</w:t>
            </w:r>
          </w:p>
        </w:tc>
        <w:tc>
          <w:tcPr>
            <w:tcW w:w="536" w:type="pct"/>
            <w:vAlign w:val="center"/>
          </w:tcPr>
          <w:p>
            <w:pPr>
              <w:spacing w:line="340" w:lineRule="exact"/>
              <w:ind w:firstLine="0" w:firstLineChars="0"/>
              <w:jc w:val="center"/>
              <w:rPr>
                <w:sz w:val="21"/>
                <w:szCs w:val="21"/>
              </w:rPr>
            </w:pPr>
            <w:r>
              <w:rPr>
                <w:sz w:val="21"/>
                <w:szCs w:val="21"/>
              </w:rPr>
              <w:t>监测值</w:t>
            </w:r>
          </w:p>
        </w:tc>
        <w:tc>
          <w:tcPr>
            <w:tcW w:w="364" w:type="pct"/>
            <w:vAlign w:val="center"/>
          </w:tcPr>
          <w:p>
            <w:pPr>
              <w:snapToGrid w:val="0"/>
              <w:spacing w:line="340" w:lineRule="exact"/>
              <w:ind w:firstLine="0" w:firstLineChars="0"/>
              <w:contextualSpacing/>
              <w:jc w:val="center"/>
              <w:rPr>
                <w:sz w:val="21"/>
                <w:szCs w:val="21"/>
              </w:rPr>
            </w:pPr>
            <w:r>
              <w:rPr>
                <w:sz w:val="21"/>
                <w:szCs w:val="21"/>
              </w:rPr>
              <w:t>7.</w:t>
            </w:r>
            <w:r>
              <w:rPr>
                <w:rFonts w:hint="eastAsia"/>
                <w:sz w:val="21"/>
                <w:szCs w:val="21"/>
              </w:rPr>
              <w:t>15</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9.43</w:t>
            </w:r>
          </w:p>
        </w:tc>
        <w:tc>
          <w:tcPr>
            <w:tcW w:w="572" w:type="pct"/>
            <w:vAlign w:val="center"/>
          </w:tcPr>
          <w:p>
            <w:pPr>
              <w:snapToGrid w:val="0"/>
              <w:spacing w:line="340" w:lineRule="exact"/>
              <w:ind w:firstLine="0" w:firstLineChars="0"/>
              <w:contextualSpacing/>
              <w:jc w:val="center"/>
              <w:rPr>
                <w:sz w:val="21"/>
                <w:szCs w:val="21"/>
              </w:rPr>
            </w:pPr>
            <w:r>
              <w:rPr>
                <w:rFonts w:hint="eastAsia"/>
                <w:sz w:val="21"/>
                <w:szCs w:val="21"/>
              </w:rPr>
              <w:t>245</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20</w:t>
            </w:r>
          </w:p>
        </w:tc>
        <w:tc>
          <w:tcPr>
            <w:tcW w:w="364" w:type="pct"/>
            <w:vAlign w:val="center"/>
          </w:tcPr>
          <w:p>
            <w:pPr>
              <w:snapToGrid w:val="0"/>
              <w:spacing w:line="340" w:lineRule="exact"/>
              <w:ind w:firstLine="0" w:firstLineChars="0"/>
              <w:contextualSpacing/>
              <w:jc w:val="center"/>
              <w:rPr>
                <w:sz w:val="21"/>
                <w:szCs w:val="21"/>
              </w:rPr>
            </w:pPr>
            <w:r>
              <w:rPr>
                <w:rFonts w:hint="eastAsia"/>
                <w:sz w:val="21"/>
                <w:szCs w:val="21"/>
              </w:rPr>
              <w:t>15.2</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192</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rFonts w:hint="eastAsia"/>
                <w:sz w:val="21"/>
                <w:szCs w:val="21"/>
              </w:rPr>
              <w:t>12.2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单因子指Pi</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075</w:t>
            </w:r>
          </w:p>
        </w:tc>
        <w:tc>
          <w:tcPr>
            <w:tcW w:w="364"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021</w:t>
            </w:r>
          </w:p>
        </w:tc>
        <w:tc>
          <w:tcPr>
            <w:tcW w:w="572"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245</w:t>
            </w:r>
          </w:p>
        </w:tc>
        <w:tc>
          <w:tcPr>
            <w:tcW w:w="312"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8</w:t>
            </w:r>
          </w:p>
        </w:tc>
        <w:tc>
          <w:tcPr>
            <w:tcW w:w="364" w:type="pct"/>
            <w:vAlign w:val="center"/>
          </w:tcPr>
          <w:p>
            <w:pPr>
              <w:snapToGrid w:val="0"/>
              <w:spacing w:line="340" w:lineRule="exact"/>
              <w:ind w:firstLine="0" w:firstLineChars="0"/>
              <w:contextualSpacing/>
              <w:jc w:val="center"/>
              <w:rPr>
                <w:sz w:val="21"/>
                <w:szCs w:val="21"/>
              </w:rPr>
            </w:pPr>
            <w:r>
              <w:rPr>
                <w:sz w:val="21"/>
                <w:szCs w:val="21"/>
              </w:rPr>
              <w:t>0.0</w:t>
            </w:r>
            <w:r>
              <w:rPr>
                <w:rFonts w:hint="eastAsia"/>
                <w:sz w:val="21"/>
                <w:szCs w:val="21"/>
              </w:rPr>
              <w:t>61</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0.03L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0.01L</w:t>
            </w:r>
          </w:p>
        </w:tc>
        <w:tc>
          <w:tcPr>
            <w:tcW w:w="260"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253" w:type="pct"/>
            <w:vAlign w:val="center"/>
          </w:tcPr>
          <w:p>
            <w:pPr>
              <w:snapToGrid w:val="0"/>
              <w:spacing w:line="340" w:lineRule="exact"/>
              <w:ind w:firstLine="0" w:firstLineChars="0"/>
              <w:contextualSpacing/>
              <w:jc w:val="center"/>
              <w:rPr>
                <w:sz w:val="21"/>
                <w:szCs w:val="21"/>
              </w:rPr>
            </w:pPr>
            <w:r>
              <w:rPr>
                <w:rFonts w:hint="eastAsia"/>
                <w:sz w:val="21"/>
                <w:szCs w:val="21"/>
              </w:rPr>
              <w:t>0.05L</w:t>
            </w:r>
          </w:p>
        </w:tc>
        <w:tc>
          <w:tcPr>
            <w:tcW w:w="300" w:type="pct"/>
            <w:vAlign w:val="center"/>
          </w:tcPr>
          <w:p>
            <w:pPr>
              <w:snapToGrid w:val="0"/>
              <w:spacing w:line="340" w:lineRule="exact"/>
              <w:ind w:firstLine="0" w:firstLineChars="0"/>
              <w:contextualSpacing/>
              <w:jc w:val="center"/>
              <w:rPr>
                <w:sz w:val="21"/>
                <w:szCs w:val="21"/>
              </w:rPr>
            </w:pPr>
            <w:r>
              <w:rPr>
                <w:rFonts w:hint="eastAsia"/>
                <w:sz w:val="21"/>
                <w:szCs w:val="21"/>
              </w:rPr>
              <w:t>0.009L</w:t>
            </w:r>
          </w:p>
        </w:tc>
        <w:tc>
          <w:tcPr>
            <w:tcW w:w="260" w:type="pct"/>
            <w:vAlign w:val="center"/>
          </w:tcPr>
          <w:p>
            <w:pPr>
              <w:snapToGrid w:val="0"/>
              <w:spacing w:line="340" w:lineRule="exact"/>
              <w:ind w:firstLine="0" w:firstLineChars="0"/>
              <w:contextualSpacing/>
              <w:jc w:val="center"/>
              <w:rPr>
                <w:sz w:val="21"/>
                <w:szCs w:val="21"/>
              </w:rPr>
            </w:pPr>
            <w:r>
              <w:rPr>
                <w:sz w:val="21"/>
                <w:szCs w:val="21"/>
              </w:rPr>
              <w:t>0.</w:t>
            </w:r>
            <w:r>
              <w:rPr>
                <w:rFonts w:hint="eastAsia"/>
                <w:sz w:val="21"/>
                <w:szCs w:val="21"/>
              </w:rPr>
              <w:t>384</w:t>
            </w:r>
          </w:p>
        </w:tc>
        <w:tc>
          <w:tcPr>
            <w:tcW w:w="312" w:type="pct"/>
            <w:vAlign w:val="center"/>
          </w:tcPr>
          <w:p>
            <w:pPr>
              <w:snapToGrid w:val="0"/>
              <w:spacing w:line="340" w:lineRule="exact"/>
              <w:ind w:firstLine="0" w:firstLineChars="0"/>
              <w:contextualSpacing/>
              <w:jc w:val="center"/>
              <w:rPr>
                <w:sz w:val="21"/>
                <w:szCs w:val="21"/>
              </w:rPr>
            </w:pPr>
            <w:r>
              <w:rPr>
                <w:rFonts w:hint="eastAsia"/>
                <w:sz w:val="21"/>
                <w:szCs w:val="21"/>
              </w:rPr>
              <w:t>0.02L</w:t>
            </w:r>
          </w:p>
        </w:tc>
        <w:tc>
          <w:tcPr>
            <w:tcW w:w="275" w:type="pct"/>
            <w:vAlign w:val="center"/>
          </w:tcPr>
          <w:p>
            <w:pPr>
              <w:snapToGrid w:val="0"/>
              <w:spacing w:line="340" w:lineRule="exact"/>
              <w:ind w:firstLine="0" w:firstLineChars="0"/>
              <w:contextualSpacing/>
              <w:jc w:val="center"/>
              <w:rPr>
                <w:sz w:val="21"/>
                <w:szCs w:val="21"/>
              </w:rPr>
            </w:pPr>
            <w:r>
              <w:rPr>
                <w:sz w:val="21"/>
                <w:szCs w:val="21"/>
              </w:rPr>
              <w:t>0.06</w:t>
            </w:r>
            <w:r>
              <w:rPr>
                <w:rFonts w:hint="eastAsia"/>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vMerge w:val="continue"/>
            <w:vAlign w:val="center"/>
          </w:tcPr>
          <w:p>
            <w:pPr>
              <w:spacing w:line="340" w:lineRule="exact"/>
              <w:ind w:firstLine="0" w:firstLineChars="0"/>
              <w:jc w:val="center"/>
              <w:rPr>
                <w:sz w:val="21"/>
                <w:szCs w:val="21"/>
              </w:rPr>
            </w:pPr>
          </w:p>
        </w:tc>
        <w:tc>
          <w:tcPr>
            <w:tcW w:w="536" w:type="pct"/>
            <w:vAlign w:val="center"/>
          </w:tcPr>
          <w:p>
            <w:pPr>
              <w:spacing w:line="340" w:lineRule="exact"/>
              <w:ind w:firstLine="0" w:firstLineChars="0"/>
              <w:jc w:val="center"/>
              <w:rPr>
                <w:sz w:val="21"/>
                <w:szCs w:val="21"/>
              </w:rPr>
            </w:pPr>
            <w:r>
              <w:rPr>
                <w:sz w:val="21"/>
                <w:szCs w:val="21"/>
              </w:rPr>
              <w:t>达标情况</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572"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364"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253" w:type="pct"/>
            <w:vAlign w:val="center"/>
          </w:tcPr>
          <w:p>
            <w:pPr>
              <w:snapToGrid w:val="0"/>
              <w:spacing w:line="340" w:lineRule="exact"/>
              <w:ind w:firstLine="0" w:firstLineChars="0"/>
              <w:contextualSpacing/>
              <w:jc w:val="center"/>
              <w:rPr>
                <w:sz w:val="21"/>
                <w:szCs w:val="21"/>
              </w:rPr>
            </w:pPr>
            <w:r>
              <w:rPr>
                <w:sz w:val="21"/>
                <w:szCs w:val="21"/>
              </w:rPr>
              <w:t>达标</w:t>
            </w:r>
          </w:p>
        </w:tc>
        <w:tc>
          <w:tcPr>
            <w:tcW w:w="300" w:type="pct"/>
            <w:vAlign w:val="center"/>
          </w:tcPr>
          <w:p>
            <w:pPr>
              <w:snapToGrid w:val="0"/>
              <w:spacing w:line="340" w:lineRule="exact"/>
              <w:ind w:firstLine="0" w:firstLineChars="0"/>
              <w:contextualSpacing/>
              <w:jc w:val="center"/>
              <w:rPr>
                <w:sz w:val="21"/>
                <w:szCs w:val="21"/>
              </w:rPr>
            </w:pPr>
            <w:r>
              <w:rPr>
                <w:sz w:val="21"/>
                <w:szCs w:val="21"/>
              </w:rPr>
              <w:t>达标</w:t>
            </w:r>
          </w:p>
        </w:tc>
        <w:tc>
          <w:tcPr>
            <w:tcW w:w="260" w:type="pct"/>
            <w:vAlign w:val="center"/>
          </w:tcPr>
          <w:p>
            <w:pPr>
              <w:snapToGrid w:val="0"/>
              <w:spacing w:line="340" w:lineRule="exact"/>
              <w:ind w:firstLine="0" w:firstLineChars="0"/>
              <w:contextualSpacing/>
              <w:jc w:val="center"/>
              <w:rPr>
                <w:sz w:val="21"/>
                <w:szCs w:val="21"/>
              </w:rPr>
            </w:pPr>
            <w:r>
              <w:rPr>
                <w:sz w:val="21"/>
                <w:szCs w:val="21"/>
              </w:rPr>
              <w:t>达标</w:t>
            </w:r>
          </w:p>
        </w:tc>
        <w:tc>
          <w:tcPr>
            <w:tcW w:w="312" w:type="pct"/>
            <w:vAlign w:val="center"/>
          </w:tcPr>
          <w:p>
            <w:pPr>
              <w:snapToGrid w:val="0"/>
              <w:spacing w:line="340" w:lineRule="exact"/>
              <w:ind w:firstLine="0" w:firstLineChars="0"/>
              <w:contextualSpacing/>
              <w:jc w:val="center"/>
              <w:rPr>
                <w:sz w:val="21"/>
                <w:szCs w:val="21"/>
              </w:rPr>
            </w:pPr>
            <w:r>
              <w:rPr>
                <w:sz w:val="21"/>
                <w:szCs w:val="21"/>
              </w:rPr>
              <w:t>达标</w:t>
            </w:r>
          </w:p>
        </w:tc>
        <w:tc>
          <w:tcPr>
            <w:tcW w:w="275" w:type="pct"/>
            <w:vAlign w:val="center"/>
          </w:tcPr>
          <w:p>
            <w:pPr>
              <w:snapToGrid w:val="0"/>
              <w:spacing w:line="340" w:lineRule="exact"/>
              <w:ind w:firstLine="0" w:firstLineChars="0"/>
              <w:contextualSpacing/>
              <w:jc w:val="center"/>
              <w:rPr>
                <w:sz w:val="21"/>
                <w:szCs w:val="21"/>
              </w:rPr>
            </w:pPr>
            <w:r>
              <w:rPr>
                <w:sz w:val="21"/>
                <w:szCs w:val="21"/>
              </w:rPr>
              <w:t>达标</w:t>
            </w:r>
          </w:p>
        </w:tc>
      </w:tr>
    </w:tbl>
    <w:p>
      <w:pPr>
        <w:ind w:firstLine="482" w:firstLineChars="0"/>
        <w:rPr>
          <w:szCs w:val="24"/>
          <w:lang w:val="en-GB"/>
        </w:rPr>
      </w:pPr>
      <w:r>
        <w:rPr>
          <w:szCs w:val="24"/>
          <w:lang w:val="en-GB"/>
        </w:rPr>
        <w:t>由表4.</w:t>
      </w:r>
      <w:r>
        <w:rPr>
          <w:rFonts w:hint="eastAsia"/>
          <w:szCs w:val="24"/>
          <w:lang w:val="en-GB"/>
        </w:rPr>
        <w:t>4</w:t>
      </w:r>
      <w:r>
        <w:rPr>
          <w:szCs w:val="24"/>
          <w:lang w:val="en-GB"/>
        </w:rPr>
        <w:t>-</w:t>
      </w:r>
      <w:r>
        <w:rPr>
          <w:rFonts w:hint="eastAsia"/>
          <w:szCs w:val="24"/>
          <w:lang w:val="en-GB"/>
        </w:rPr>
        <w:t>7</w:t>
      </w:r>
      <w:r>
        <w:rPr>
          <w:szCs w:val="24"/>
          <w:lang w:val="en-GB"/>
        </w:rPr>
        <w:t>可知，</w:t>
      </w:r>
      <w:bookmarkStart w:id="741" w:name="_Hlk492621493"/>
      <w:r>
        <w:rPr>
          <w:szCs w:val="24"/>
          <w:lang w:val="en-GB"/>
        </w:rPr>
        <w:t>由监测结果可知，各项监测指标均符合《地下水质量标准》（GB/T14848-2017）</w:t>
      </w:r>
      <w:r>
        <w:rPr>
          <w:rFonts w:hint="eastAsia" w:ascii="宋体" w:hAnsi="宋体" w:cs="宋体"/>
          <w:szCs w:val="24"/>
          <w:lang w:val="en-GB"/>
        </w:rPr>
        <w:t>Ⅲ</w:t>
      </w:r>
      <w:r>
        <w:rPr>
          <w:szCs w:val="24"/>
          <w:lang w:val="en-GB"/>
        </w:rPr>
        <w:t>类水质标准的要求，项目所在地地下水环境质量现状良好。</w:t>
      </w:r>
    </w:p>
    <w:bookmarkEnd w:id="741"/>
    <w:p>
      <w:pPr>
        <w:ind w:firstLine="482" w:firstLineChars="0"/>
        <w:rPr>
          <w:szCs w:val="24"/>
          <w:lang w:val="en-GB"/>
        </w:rPr>
        <w:sectPr>
          <w:pgSz w:w="16838" w:h="11906" w:orient="landscape"/>
          <w:pgMar w:top="1418" w:right="1814" w:bottom="1134" w:left="1701" w:header="1077" w:footer="992" w:gutter="0"/>
          <w:cols w:space="720" w:num="1"/>
          <w:docGrid w:linePitch="326" w:charSpace="0"/>
        </w:sectPr>
      </w:pPr>
    </w:p>
    <w:p>
      <w:pPr>
        <w:pStyle w:val="835"/>
        <w:spacing w:before="0" w:line="360" w:lineRule="auto"/>
      </w:pPr>
      <w:bookmarkStart w:id="742" w:name="_Toc529279057"/>
      <w:bookmarkStart w:id="743" w:name="_Toc534386296"/>
      <w:bookmarkStart w:id="744" w:name="_Toc534807055"/>
      <w:bookmarkStart w:id="745" w:name="_Toc534895272"/>
      <w:bookmarkStart w:id="746" w:name="_Toc536265139"/>
      <w:bookmarkStart w:id="747" w:name="_Toc3903276"/>
      <w:bookmarkStart w:id="748" w:name="_Toc536265143"/>
      <w:bookmarkStart w:id="749" w:name="_Toc534895275"/>
      <w:bookmarkStart w:id="750" w:name="_Toc534807058"/>
      <w:bookmarkStart w:id="751" w:name="_Toc534386299"/>
      <w:bookmarkStart w:id="752" w:name="_Toc3903280"/>
      <w:r>
        <w:t>4.</w:t>
      </w:r>
      <w:r>
        <w:rPr>
          <w:rFonts w:hint="eastAsia"/>
        </w:rPr>
        <w:t>4</w:t>
      </w:r>
      <w:r>
        <w:t>.</w:t>
      </w:r>
      <w:r>
        <w:rPr>
          <w:rFonts w:hint="eastAsia"/>
        </w:rPr>
        <w:t>4</w:t>
      </w:r>
      <w:r>
        <w:t>声环境现状</w:t>
      </w:r>
      <w:r>
        <w:rPr>
          <w:rFonts w:hint="eastAsia"/>
        </w:rPr>
        <w:t>及</w:t>
      </w:r>
      <w:r>
        <w:t>评价</w:t>
      </w:r>
      <w:bookmarkEnd w:id="742"/>
      <w:bookmarkEnd w:id="743"/>
      <w:bookmarkEnd w:id="744"/>
      <w:bookmarkEnd w:id="745"/>
      <w:bookmarkEnd w:id="746"/>
      <w:bookmarkEnd w:id="747"/>
    </w:p>
    <w:p>
      <w:pPr>
        <w:ind w:firstLine="480"/>
        <w:rPr>
          <w:kern w:val="0"/>
        </w:rPr>
      </w:pPr>
      <w:bookmarkStart w:id="753" w:name="_Toc294533072"/>
      <w:r>
        <w:rPr>
          <w:rFonts w:hint="eastAsia" w:ascii="宋体" w:hAnsi="宋体" w:cs="宋体"/>
          <w:kern w:val="0"/>
        </w:rPr>
        <w:t>⑴</w:t>
      </w:r>
      <w:r>
        <w:rPr>
          <w:kern w:val="0"/>
        </w:rPr>
        <w:t>监测点设置</w:t>
      </w:r>
    </w:p>
    <w:bookmarkEnd w:id="753"/>
    <w:p>
      <w:pPr>
        <w:ind w:firstLine="480"/>
      </w:pPr>
      <w:r>
        <w:t>为了解拟建项目场址周围声环境现状，在拟建场地四周共布设2个噪声监测点，监测依据《环境监测技术规范》进行，分昼、夜两个时段监测，各监测点的具体情况见表4.</w:t>
      </w:r>
      <w:r>
        <w:rPr>
          <w:rFonts w:hint="eastAsia"/>
        </w:rPr>
        <w:t>4</w:t>
      </w:r>
      <w:r>
        <w:t>-</w:t>
      </w:r>
      <w:r>
        <w:rPr>
          <w:rFonts w:hint="eastAsia"/>
        </w:rPr>
        <w:t>8</w:t>
      </w:r>
      <w:r>
        <w:t>。</w:t>
      </w:r>
    </w:p>
    <w:p>
      <w:pPr>
        <w:spacing w:before="120" w:beforeLines="50" w:line="240" w:lineRule="auto"/>
        <w:ind w:firstLine="480"/>
        <w:jc w:val="center"/>
        <w:rPr>
          <w:rFonts w:ascii="黑体" w:hAnsi="黑体" w:eastAsia="黑体" w:cs="黑体"/>
        </w:rPr>
      </w:pPr>
      <w:r>
        <w:rPr>
          <w:rFonts w:hint="eastAsia" w:ascii="黑体" w:hAnsi="黑体" w:eastAsia="黑体" w:cs="黑体"/>
        </w:rPr>
        <w:t>表4.4-8  声环境质量现状监测内容一览表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0"/>
        <w:gridCol w:w="3190"/>
        <w:gridCol w:w="31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0" w:type="dxa"/>
            <w:vAlign w:val="center"/>
          </w:tcPr>
          <w:p>
            <w:pPr>
              <w:spacing w:line="340" w:lineRule="exact"/>
              <w:ind w:firstLine="0" w:firstLineChars="0"/>
              <w:jc w:val="center"/>
              <w:rPr>
                <w:sz w:val="21"/>
                <w:szCs w:val="21"/>
              </w:rPr>
            </w:pPr>
            <w:r>
              <w:rPr>
                <w:sz w:val="21"/>
                <w:szCs w:val="21"/>
              </w:rPr>
              <w:t>监测点位</w:t>
            </w:r>
          </w:p>
        </w:tc>
        <w:tc>
          <w:tcPr>
            <w:tcW w:w="3190" w:type="dxa"/>
            <w:vAlign w:val="center"/>
          </w:tcPr>
          <w:p>
            <w:pPr>
              <w:spacing w:line="340" w:lineRule="exact"/>
              <w:ind w:firstLine="0" w:firstLineChars="0"/>
              <w:jc w:val="center"/>
              <w:rPr>
                <w:sz w:val="21"/>
                <w:szCs w:val="21"/>
              </w:rPr>
            </w:pPr>
            <w:r>
              <w:rPr>
                <w:sz w:val="21"/>
                <w:szCs w:val="21"/>
              </w:rPr>
              <w:t>监测内容</w:t>
            </w:r>
          </w:p>
        </w:tc>
        <w:tc>
          <w:tcPr>
            <w:tcW w:w="3190" w:type="dxa"/>
            <w:vAlign w:val="center"/>
          </w:tcPr>
          <w:p>
            <w:pPr>
              <w:spacing w:line="340" w:lineRule="exact"/>
              <w:ind w:firstLine="0" w:firstLineChars="0"/>
              <w:jc w:val="center"/>
              <w:rPr>
                <w:sz w:val="21"/>
                <w:szCs w:val="21"/>
              </w:rPr>
            </w:pPr>
            <w:r>
              <w:rPr>
                <w:sz w:val="21"/>
                <w:szCs w:val="21"/>
              </w:rPr>
              <w:t>监测时间和频次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0" w:type="dxa"/>
            <w:vAlign w:val="center"/>
          </w:tcPr>
          <w:p>
            <w:pPr>
              <w:spacing w:line="340" w:lineRule="exact"/>
              <w:ind w:firstLine="0" w:firstLineChars="0"/>
              <w:jc w:val="center"/>
              <w:rPr>
                <w:sz w:val="21"/>
                <w:szCs w:val="21"/>
              </w:rPr>
            </w:pPr>
            <w:r>
              <w:rPr>
                <w:sz w:val="21"/>
                <w:szCs w:val="21"/>
              </w:rPr>
              <w:t>N1</w:t>
            </w:r>
            <w:r>
              <w:rPr>
                <w:rFonts w:hint="eastAsia"/>
                <w:sz w:val="21"/>
                <w:szCs w:val="21"/>
              </w:rPr>
              <w:t>白溪</w:t>
            </w:r>
          </w:p>
        </w:tc>
        <w:tc>
          <w:tcPr>
            <w:tcW w:w="3190" w:type="dxa"/>
            <w:vMerge w:val="restart"/>
            <w:vAlign w:val="center"/>
          </w:tcPr>
          <w:p>
            <w:pPr>
              <w:spacing w:line="340" w:lineRule="exact"/>
              <w:ind w:firstLine="0" w:firstLineChars="0"/>
              <w:jc w:val="center"/>
              <w:rPr>
                <w:sz w:val="21"/>
                <w:szCs w:val="21"/>
              </w:rPr>
            </w:pPr>
            <w:r>
              <w:rPr>
                <w:sz w:val="21"/>
                <w:szCs w:val="21"/>
              </w:rPr>
              <w:t>等效声级Leq[dB(A)]</w:t>
            </w:r>
          </w:p>
        </w:tc>
        <w:tc>
          <w:tcPr>
            <w:tcW w:w="3190" w:type="dxa"/>
            <w:vMerge w:val="restart"/>
            <w:vAlign w:val="center"/>
          </w:tcPr>
          <w:p>
            <w:pPr>
              <w:spacing w:line="340" w:lineRule="exact"/>
              <w:ind w:firstLine="0" w:firstLineChars="0"/>
              <w:jc w:val="center"/>
              <w:rPr>
                <w:sz w:val="21"/>
                <w:szCs w:val="21"/>
              </w:rPr>
            </w:pPr>
            <w:r>
              <w:rPr>
                <w:sz w:val="21"/>
                <w:szCs w:val="21"/>
              </w:rPr>
              <w:t>202</w:t>
            </w:r>
            <w:r>
              <w:rPr>
                <w:rFonts w:hint="eastAsia"/>
                <w:sz w:val="21"/>
                <w:szCs w:val="21"/>
              </w:rPr>
              <w:t>2</w:t>
            </w:r>
            <w:r>
              <w:rPr>
                <w:sz w:val="21"/>
                <w:szCs w:val="21"/>
              </w:rPr>
              <w:t>年</w:t>
            </w:r>
            <w:r>
              <w:rPr>
                <w:rFonts w:hint="eastAsia"/>
                <w:sz w:val="21"/>
                <w:szCs w:val="21"/>
              </w:rPr>
              <w:t>7</w:t>
            </w:r>
            <w:r>
              <w:rPr>
                <w:sz w:val="21"/>
                <w:szCs w:val="21"/>
              </w:rPr>
              <w:t>月</w:t>
            </w:r>
            <w:r>
              <w:rPr>
                <w:rFonts w:hint="eastAsia"/>
                <w:sz w:val="21"/>
                <w:szCs w:val="21"/>
              </w:rPr>
              <w:t>20</w:t>
            </w:r>
            <w:r>
              <w:rPr>
                <w:sz w:val="21"/>
                <w:szCs w:val="21"/>
              </w:rPr>
              <w:t>日~</w:t>
            </w:r>
            <w:r>
              <w:rPr>
                <w:rFonts w:hint="eastAsia"/>
                <w:sz w:val="21"/>
                <w:szCs w:val="21"/>
              </w:rPr>
              <w:t>7</w:t>
            </w:r>
            <w:r>
              <w:rPr>
                <w:sz w:val="21"/>
                <w:szCs w:val="21"/>
              </w:rPr>
              <w:t>月</w:t>
            </w:r>
            <w:r>
              <w:rPr>
                <w:rFonts w:hint="eastAsia"/>
                <w:sz w:val="21"/>
                <w:szCs w:val="21"/>
              </w:rPr>
              <w:t>21</w:t>
            </w:r>
            <w:r>
              <w:rPr>
                <w:sz w:val="21"/>
                <w:szCs w:val="21"/>
              </w:rPr>
              <w:t>日连续监测2天，每天昼、夜各1次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90" w:type="dxa"/>
            <w:vAlign w:val="center"/>
          </w:tcPr>
          <w:p>
            <w:pPr>
              <w:spacing w:line="340" w:lineRule="exact"/>
              <w:ind w:firstLine="0" w:firstLineChars="0"/>
              <w:jc w:val="center"/>
              <w:rPr>
                <w:sz w:val="21"/>
                <w:szCs w:val="21"/>
              </w:rPr>
            </w:pPr>
            <w:r>
              <w:rPr>
                <w:sz w:val="21"/>
                <w:szCs w:val="21"/>
              </w:rPr>
              <w:t>N2项目坝址东南侧厂界外1m</w:t>
            </w:r>
          </w:p>
        </w:tc>
        <w:tc>
          <w:tcPr>
            <w:tcW w:w="3190" w:type="dxa"/>
            <w:vMerge w:val="continue"/>
            <w:vAlign w:val="center"/>
          </w:tcPr>
          <w:p>
            <w:pPr>
              <w:spacing w:line="340" w:lineRule="exact"/>
              <w:ind w:firstLine="0" w:firstLineChars="0"/>
              <w:jc w:val="center"/>
              <w:rPr>
                <w:sz w:val="21"/>
                <w:szCs w:val="21"/>
              </w:rPr>
            </w:pPr>
          </w:p>
        </w:tc>
        <w:tc>
          <w:tcPr>
            <w:tcW w:w="3190" w:type="dxa"/>
            <w:vMerge w:val="continue"/>
            <w:vAlign w:val="center"/>
          </w:tcPr>
          <w:p>
            <w:pPr>
              <w:spacing w:line="340" w:lineRule="exact"/>
              <w:ind w:firstLine="0" w:firstLineChars="0"/>
              <w:jc w:val="center"/>
              <w:rPr>
                <w:sz w:val="21"/>
                <w:szCs w:val="21"/>
              </w:rPr>
            </w:pPr>
          </w:p>
        </w:tc>
      </w:tr>
    </w:tbl>
    <w:p>
      <w:pPr>
        <w:ind w:firstLine="480"/>
        <w:rPr>
          <w:kern w:val="0"/>
        </w:rPr>
      </w:pPr>
      <w:r>
        <w:rPr>
          <w:rFonts w:hint="eastAsia" w:ascii="宋体" w:hAnsi="宋体" w:cs="宋体"/>
          <w:kern w:val="0"/>
        </w:rPr>
        <w:t>⑵</w:t>
      </w:r>
      <w:r>
        <w:rPr>
          <w:kern w:val="0"/>
        </w:rPr>
        <w:t>评价标准及方法</w:t>
      </w:r>
    </w:p>
    <w:p>
      <w:pPr>
        <w:ind w:firstLine="480"/>
      </w:pPr>
      <w:r>
        <w:t>评价标准采用《声环境质量标准》（GB3096—2008）中2类区标准，即昼间等效声级为60dB（A），夜间为50dB（A）。</w:t>
      </w:r>
    </w:p>
    <w:p>
      <w:pPr>
        <w:ind w:firstLine="480"/>
      </w:pPr>
      <w:r>
        <w:t>评价方法采用环境噪声监测数据统计的等效连续A声级Leq与所执行的环境标准相比较，确定场址周围声环境质量。</w:t>
      </w:r>
    </w:p>
    <w:p>
      <w:pPr>
        <w:ind w:firstLine="480"/>
        <w:rPr>
          <w:kern w:val="0"/>
        </w:rPr>
      </w:pPr>
      <w:r>
        <w:rPr>
          <w:rFonts w:hint="eastAsia" w:ascii="宋体" w:hAnsi="宋体" w:cs="宋体"/>
          <w:kern w:val="0"/>
        </w:rPr>
        <w:t>⑶</w:t>
      </w:r>
      <w:r>
        <w:rPr>
          <w:kern w:val="0"/>
        </w:rPr>
        <w:t>监测结果与评价</w:t>
      </w:r>
    </w:p>
    <w:p>
      <w:pPr>
        <w:ind w:firstLine="480"/>
      </w:pPr>
      <w:r>
        <w:t>监测统计结果见表4.</w:t>
      </w:r>
      <w:r>
        <w:rPr>
          <w:rFonts w:hint="eastAsia"/>
        </w:rPr>
        <w:t>4</w:t>
      </w:r>
      <w:r>
        <w:t>-</w:t>
      </w:r>
      <w:r>
        <w:rPr>
          <w:rFonts w:hint="eastAsia"/>
        </w:rPr>
        <w:t>9</w:t>
      </w:r>
      <w:r>
        <w:t>。</w:t>
      </w:r>
    </w:p>
    <w:p>
      <w:pPr>
        <w:spacing w:before="120" w:beforeLines="50" w:line="240" w:lineRule="auto"/>
        <w:ind w:firstLine="480"/>
        <w:jc w:val="center"/>
        <w:rPr>
          <w:rFonts w:ascii="黑体" w:hAnsi="黑体" w:eastAsia="黑体" w:cs="黑体"/>
        </w:rPr>
      </w:pPr>
      <w:bookmarkStart w:id="754" w:name="_Toc294533078"/>
      <w:r>
        <w:rPr>
          <w:rFonts w:hint="eastAsia" w:ascii="黑体" w:hAnsi="黑体" w:eastAsia="黑体" w:cs="黑体"/>
        </w:rPr>
        <w:t>表4.4-9 声环境质量现状监测及评价结果一览表</w:t>
      </w:r>
      <w:bookmarkEnd w:id="754"/>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7"/>
        <w:gridCol w:w="1986"/>
        <w:gridCol w:w="1842"/>
        <w:gridCol w:w="843"/>
        <w:gridCol w:w="1078"/>
        <w:gridCol w:w="1076"/>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restart"/>
            <w:vAlign w:val="center"/>
          </w:tcPr>
          <w:p>
            <w:pPr>
              <w:spacing w:line="340" w:lineRule="exact"/>
              <w:ind w:firstLine="0" w:firstLineChars="0"/>
              <w:jc w:val="center"/>
              <w:rPr>
                <w:sz w:val="21"/>
                <w:szCs w:val="21"/>
              </w:rPr>
            </w:pPr>
            <w:r>
              <w:rPr>
                <w:sz w:val="21"/>
                <w:szCs w:val="21"/>
              </w:rPr>
              <w:t>监测点位</w:t>
            </w:r>
          </w:p>
        </w:tc>
        <w:tc>
          <w:tcPr>
            <w:tcW w:w="1999" w:type="pct"/>
            <w:gridSpan w:val="2"/>
            <w:vAlign w:val="center"/>
          </w:tcPr>
          <w:p>
            <w:pPr>
              <w:spacing w:line="340" w:lineRule="exact"/>
              <w:ind w:firstLine="0" w:firstLineChars="0"/>
              <w:jc w:val="center"/>
              <w:rPr>
                <w:sz w:val="21"/>
                <w:szCs w:val="21"/>
              </w:rPr>
            </w:pPr>
            <w:r>
              <w:rPr>
                <w:sz w:val="21"/>
                <w:szCs w:val="21"/>
              </w:rPr>
              <w:t>监测结果（昼/夜）</w:t>
            </w:r>
            <w:r>
              <w:rPr>
                <w:rFonts w:eastAsia="黑体"/>
                <w:sz w:val="21"/>
                <w:szCs w:val="21"/>
              </w:rPr>
              <w:t>dB（A）</w:t>
            </w:r>
          </w:p>
        </w:tc>
        <w:tc>
          <w:tcPr>
            <w:tcW w:w="1003" w:type="pct"/>
            <w:gridSpan w:val="2"/>
            <w:vAlign w:val="center"/>
          </w:tcPr>
          <w:p>
            <w:pPr>
              <w:spacing w:line="340" w:lineRule="exact"/>
              <w:ind w:firstLine="0" w:firstLineChars="0"/>
              <w:jc w:val="center"/>
              <w:rPr>
                <w:sz w:val="21"/>
                <w:szCs w:val="21"/>
              </w:rPr>
            </w:pPr>
            <w:r>
              <w:rPr>
                <w:sz w:val="21"/>
                <w:szCs w:val="21"/>
              </w:rPr>
              <w:t>评价标准</w:t>
            </w:r>
            <w:r>
              <w:rPr>
                <w:rFonts w:eastAsia="黑体"/>
                <w:sz w:val="21"/>
                <w:szCs w:val="21"/>
              </w:rPr>
              <w:t>dB（A）</w:t>
            </w:r>
          </w:p>
        </w:tc>
        <w:tc>
          <w:tcPr>
            <w:tcW w:w="1125" w:type="pct"/>
            <w:gridSpan w:val="2"/>
            <w:vAlign w:val="center"/>
          </w:tcPr>
          <w:p>
            <w:pPr>
              <w:spacing w:line="340" w:lineRule="exact"/>
              <w:ind w:firstLine="0" w:firstLineChars="0"/>
              <w:jc w:val="center"/>
              <w:rPr>
                <w:sz w:val="21"/>
                <w:szCs w:val="21"/>
              </w:rPr>
            </w:pPr>
            <w:r>
              <w:rPr>
                <w:sz w:val="21"/>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continue"/>
            <w:vAlign w:val="center"/>
          </w:tcPr>
          <w:p>
            <w:pPr>
              <w:spacing w:line="340" w:lineRule="exact"/>
              <w:ind w:firstLine="0" w:firstLineChars="0"/>
              <w:jc w:val="center"/>
              <w:rPr>
                <w:sz w:val="21"/>
                <w:szCs w:val="21"/>
              </w:rPr>
            </w:pPr>
          </w:p>
        </w:tc>
        <w:tc>
          <w:tcPr>
            <w:tcW w:w="1037" w:type="pct"/>
            <w:vAlign w:val="center"/>
          </w:tcPr>
          <w:p>
            <w:pPr>
              <w:spacing w:line="340" w:lineRule="exact"/>
              <w:ind w:firstLine="0" w:firstLineChars="0"/>
              <w:jc w:val="center"/>
              <w:rPr>
                <w:sz w:val="21"/>
                <w:szCs w:val="21"/>
              </w:rPr>
            </w:pPr>
            <w:r>
              <w:rPr>
                <w:sz w:val="21"/>
                <w:szCs w:val="21"/>
              </w:rPr>
              <w:t>202</w:t>
            </w:r>
            <w:r>
              <w:rPr>
                <w:rFonts w:hint="eastAsia"/>
                <w:sz w:val="21"/>
                <w:szCs w:val="21"/>
              </w:rPr>
              <w:t>2</w:t>
            </w:r>
            <w:r>
              <w:rPr>
                <w:sz w:val="21"/>
                <w:szCs w:val="21"/>
              </w:rPr>
              <w:t>年</w:t>
            </w:r>
            <w:r>
              <w:rPr>
                <w:rFonts w:hint="eastAsia"/>
                <w:sz w:val="21"/>
                <w:szCs w:val="21"/>
              </w:rPr>
              <w:t>7</w:t>
            </w:r>
            <w:r>
              <w:rPr>
                <w:sz w:val="21"/>
                <w:szCs w:val="21"/>
              </w:rPr>
              <w:t>月</w:t>
            </w:r>
            <w:r>
              <w:rPr>
                <w:rFonts w:hint="eastAsia"/>
                <w:sz w:val="21"/>
                <w:szCs w:val="21"/>
              </w:rPr>
              <w:t>20</w:t>
            </w:r>
            <w:r>
              <w:rPr>
                <w:sz w:val="21"/>
                <w:szCs w:val="21"/>
              </w:rPr>
              <w:t>日</w:t>
            </w:r>
          </w:p>
        </w:tc>
        <w:tc>
          <w:tcPr>
            <w:tcW w:w="962" w:type="pct"/>
            <w:vAlign w:val="center"/>
          </w:tcPr>
          <w:p>
            <w:pPr>
              <w:spacing w:line="340" w:lineRule="exact"/>
              <w:ind w:firstLine="0" w:firstLineChars="0"/>
              <w:jc w:val="center"/>
              <w:rPr>
                <w:sz w:val="21"/>
                <w:szCs w:val="21"/>
              </w:rPr>
            </w:pPr>
            <w:r>
              <w:rPr>
                <w:sz w:val="21"/>
                <w:szCs w:val="21"/>
              </w:rPr>
              <w:t>202</w:t>
            </w:r>
            <w:r>
              <w:rPr>
                <w:rFonts w:hint="eastAsia"/>
                <w:sz w:val="21"/>
                <w:szCs w:val="21"/>
              </w:rPr>
              <w:t>2</w:t>
            </w:r>
            <w:r>
              <w:rPr>
                <w:sz w:val="21"/>
                <w:szCs w:val="21"/>
              </w:rPr>
              <w:t>年</w:t>
            </w:r>
            <w:r>
              <w:rPr>
                <w:rFonts w:hint="eastAsia"/>
                <w:sz w:val="21"/>
                <w:szCs w:val="21"/>
              </w:rPr>
              <w:t>7</w:t>
            </w:r>
            <w:r>
              <w:rPr>
                <w:sz w:val="21"/>
                <w:szCs w:val="21"/>
              </w:rPr>
              <w:t>月</w:t>
            </w:r>
            <w:r>
              <w:rPr>
                <w:rFonts w:hint="eastAsia"/>
                <w:sz w:val="21"/>
                <w:szCs w:val="21"/>
              </w:rPr>
              <w:t>21</w:t>
            </w:r>
            <w:r>
              <w:rPr>
                <w:sz w:val="21"/>
                <w:szCs w:val="21"/>
              </w:rPr>
              <w:t>日</w:t>
            </w:r>
          </w:p>
        </w:tc>
        <w:tc>
          <w:tcPr>
            <w:tcW w:w="440" w:type="pct"/>
            <w:vAlign w:val="center"/>
          </w:tcPr>
          <w:p>
            <w:pPr>
              <w:spacing w:line="340" w:lineRule="exact"/>
              <w:ind w:firstLine="0" w:firstLineChars="0"/>
              <w:jc w:val="center"/>
              <w:rPr>
                <w:sz w:val="21"/>
                <w:szCs w:val="21"/>
              </w:rPr>
            </w:pPr>
            <w:r>
              <w:rPr>
                <w:sz w:val="21"/>
                <w:szCs w:val="21"/>
              </w:rPr>
              <w:t>昼间</w:t>
            </w:r>
          </w:p>
        </w:tc>
        <w:tc>
          <w:tcPr>
            <w:tcW w:w="562" w:type="pct"/>
            <w:vAlign w:val="center"/>
          </w:tcPr>
          <w:p>
            <w:pPr>
              <w:spacing w:line="340" w:lineRule="exact"/>
              <w:ind w:firstLine="0" w:firstLineChars="0"/>
              <w:jc w:val="center"/>
              <w:rPr>
                <w:sz w:val="21"/>
                <w:szCs w:val="21"/>
              </w:rPr>
            </w:pPr>
            <w:r>
              <w:rPr>
                <w:sz w:val="21"/>
                <w:szCs w:val="21"/>
              </w:rPr>
              <w:t>夜间</w:t>
            </w:r>
          </w:p>
        </w:tc>
        <w:tc>
          <w:tcPr>
            <w:tcW w:w="562" w:type="pct"/>
            <w:vAlign w:val="center"/>
          </w:tcPr>
          <w:p>
            <w:pPr>
              <w:spacing w:line="340" w:lineRule="exact"/>
              <w:ind w:firstLine="0" w:firstLineChars="0"/>
              <w:jc w:val="center"/>
              <w:rPr>
                <w:sz w:val="21"/>
                <w:szCs w:val="21"/>
              </w:rPr>
            </w:pPr>
            <w:r>
              <w:rPr>
                <w:sz w:val="21"/>
                <w:szCs w:val="21"/>
              </w:rPr>
              <w:t>昼间</w:t>
            </w:r>
          </w:p>
        </w:tc>
        <w:tc>
          <w:tcPr>
            <w:tcW w:w="562" w:type="pct"/>
            <w:vAlign w:val="center"/>
          </w:tcPr>
          <w:p>
            <w:pPr>
              <w:spacing w:line="340" w:lineRule="exact"/>
              <w:ind w:firstLine="0" w:firstLineChars="0"/>
              <w:jc w:val="center"/>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Align w:val="center"/>
          </w:tcPr>
          <w:p>
            <w:pPr>
              <w:spacing w:line="340" w:lineRule="exact"/>
              <w:ind w:firstLine="0" w:firstLineChars="0"/>
              <w:jc w:val="center"/>
              <w:rPr>
                <w:sz w:val="21"/>
                <w:szCs w:val="21"/>
              </w:rPr>
            </w:pPr>
            <w:r>
              <w:rPr>
                <w:sz w:val="21"/>
                <w:szCs w:val="21"/>
              </w:rPr>
              <w:t>何家</w:t>
            </w:r>
          </w:p>
        </w:tc>
        <w:tc>
          <w:tcPr>
            <w:tcW w:w="1037" w:type="pct"/>
            <w:vAlign w:val="center"/>
          </w:tcPr>
          <w:p>
            <w:pPr>
              <w:spacing w:line="340" w:lineRule="exact"/>
              <w:ind w:firstLine="0" w:firstLineChars="0"/>
              <w:jc w:val="center"/>
              <w:rPr>
                <w:sz w:val="21"/>
                <w:szCs w:val="21"/>
              </w:rPr>
            </w:pPr>
            <w:r>
              <w:rPr>
                <w:rFonts w:hint="eastAsia"/>
                <w:sz w:val="21"/>
                <w:szCs w:val="21"/>
              </w:rPr>
              <w:t>5</w:t>
            </w:r>
            <w:r>
              <w:rPr>
                <w:sz w:val="21"/>
                <w:szCs w:val="21"/>
              </w:rPr>
              <w:t>6/4</w:t>
            </w:r>
            <w:r>
              <w:rPr>
                <w:rFonts w:hint="eastAsia"/>
                <w:sz w:val="21"/>
                <w:szCs w:val="21"/>
              </w:rPr>
              <w:t>5</w:t>
            </w:r>
          </w:p>
        </w:tc>
        <w:tc>
          <w:tcPr>
            <w:tcW w:w="962" w:type="pct"/>
            <w:vAlign w:val="center"/>
          </w:tcPr>
          <w:p>
            <w:pPr>
              <w:spacing w:line="340" w:lineRule="exact"/>
              <w:ind w:firstLine="0" w:firstLineChars="0"/>
              <w:jc w:val="center"/>
              <w:rPr>
                <w:sz w:val="21"/>
                <w:szCs w:val="21"/>
              </w:rPr>
            </w:pPr>
            <w:r>
              <w:rPr>
                <w:sz w:val="21"/>
                <w:szCs w:val="21"/>
              </w:rPr>
              <w:t>5</w:t>
            </w:r>
            <w:r>
              <w:rPr>
                <w:rFonts w:hint="eastAsia"/>
                <w:sz w:val="21"/>
                <w:szCs w:val="21"/>
              </w:rPr>
              <w:t>6</w:t>
            </w:r>
            <w:r>
              <w:rPr>
                <w:sz w:val="21"/>
                <w:szCs w:val="21"/>
              </w:rPr>
              <w:t>/4</w:t>
            </w:r>
            <w:r>
              <w:rPr>
                <w:rFonts w:hint="eastAsia"/>
                <w:sz w:val="21"/>
                <w:szCs w:val="21"/>
              </w:rPr>
              <w:t>7</w:t>
            </w:r>
          </w:p>
        </w:tc>
        <w:tc>
          <w:tcPr>
            <w:tcW w:w="440" w:type="pct"/>
            <w:vMerge w:val="restart"/>
            <w:vAlign w:val="center"/>
          </w:tcPr>
          <w:p>
            <w:pPr>
              <w:spacing w:line="340" w:lineRule="exact"/>
              <w:ind w:firstLine="0" w:firstLineChars="0"/>
              <w:jc w:val="center"/>
              <w:rPr>
                <w:sz w:val="21"/>
                <w:szCs w:val="21"/>
              </w:rPr>
            </w:pPr>
            <w:r>
              <w:rPr>
                <w:sz w:val="21"/>
                <w:szCs w:val="21"/>
              </w:rPr>
              <w:t>60</w:t>
            </w:r>
          </w:p>
        </w:tc>
        <w:tc>
          <w:tcPr>
            <w:tcW w:w="562" w:type="pct"/>
            <w:vMerge w:val="restart"/>
            <w:vAlign w:val="center"/>
          </w:tcPr>
          <w:p>
            <w:pPr>
              <w:spacing w:line="340" w:lineRule="exact"/>
              <w:ind w:firstLine="0" w:firstLineChars="0"/>
              <w:jc w:val="center"/>
              <w:rPr>
                <w:sz w:val="21"/>
                <w:szCs w:val="21"/>
              </w:rPr>
            </w:pPr>
            <w:r>
              <w:rPr>
                <w:sz w:val="21"/>
                <w:szCs w:val="21"/>
              </w:rPr>
              <w:t>50</w:t>
            </w:r>
          </w:p>
        </w:tc>
        <w:tc>
          <w:tcPr>
            <w:tcW w:w="562" w:type="pct"/>
            <w:vAlign w:val="center"/>
          </w:tcPr>
          <w:p>
            <w:pPr>
              <w:spacing w:line="340" w:lineRule="exact"/>
              <w:ind w:firstLine="0" w:firstLineChars="0"/>
              <w:jc w:val="center"/>
              <w:rPr>
                <w:sz w:val="21"/>
                <w:szCs w:val="21"/>
              </w:rPr>
            </w:pPr>
            <w:r>
              <w:rPr>
                <w:sz w:val="21"/>
                <w:szCs w:val="21"/>
              </w:rPr>
              <w:t>达标</w:t>
            </w:r>
          </w:p>
        </w:tc>
        <w:tc>
          <w:tcPr>
            <w:tcW w:w="562" w:type="pct"/>
            <w:vAlign w:val="center"/>
          </w:tcPr>
          <w:p>
            <w:pPr>
              <w:spacing w:line="340" w:lineRule="exact"/>
              <w:ind w:firstLine="0" w:firstLineChars="0"/>
              <w:jc w:val="center"/>
              <w:rPr>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Align w:val="center"/>
          </w:tcPr>
          <w:p>
            <w:pPr>
              <w:spacing w:line="340" w:lineRule="exact"/>
              <w:ind w:firstLine="0" w:firstLineChars="0"/>
              <w:jc w:val="center"/>
              <w:rPr>
                <w:sz w:val="21"/>
                <w:szCs w:val="21"/>
              </w:rPr>
            </w:pPr>
            <w:r>
              <w:rPr>
                <w:sz w:val="21"/>
                <w:szCs w:val="21"/>
              </w:rPr>
              <w:t>项目坝址东南侧场界外1m</w:t>
            </w:r>
          </w:p>
        </w:tc>
        <w:tc>
          <w:tcPr>
            <w:tcW w:w="1037" w:type="pct"/>
            <w:vAlign w:val="center"/>
          </w:tcPr>
          <w:p>
            <w:pPr>
              <w:spacing w:line="340" w:lineRule="exact"/>
              <w:ind w:firstLine="0" w:firstLineChars="0"/>
              <w:jc w:val="center"/>
              <w:rPr>
                <w:sz w:val="21"/>
                <w:szCs w:val="21"/>
              </w:rPr>
            </w:pPr>
            <w:r>
              <w:rPr>
                <w:rFonts w:hint="eastAsia"/>
                <w:sz w:val="21"/>
                <w:szCs w:val="21"/>
              </w:rPr>
              <w:t>55</w:t>
            </w:r>
            <w:r>
              <w:rPr>
                <w:sz w:val="21"/>
                <w:szCs w:val="21"/>
              </w:rPr>
              <w:t>/4</w:t>
            </w:r>
            <w:r>
              <w:rPr>
                <w:rFonts w:hint="eastAsia"/>
                <w:sz w:val="21"/>
                <w:szCs w:val="21"/>
              </w:rPr>
              <w:t>4</w:t>
            </w:r>
          </w:p>
        </w:tc>
        <w:tc>
          <w:tcPr>
            <w:tcW w:w="962" w:type="pct"/>
            <w:vAlign w:val="center"/>
          </w:tcPr>
          <w:p>
            <w:pPr>
              <w:spacing w:line="340" w:lineRule="exact"/>
              <w:ind w:firstLine="0" w:firstLineChars="0"/>
              <w:jc w:val="center"/>
              <w:rPr>
                <w:sz w:val="21"/>
                <w:szCs w:val="21"/>
              </w:rPr>
            </w:pPr>
            <w:r>
              <w:rPr>
                <w:rFonts w:hint="eastAsia"/>
                <w:sz w:val="21"/>
                <w:szCs w:val="21"/>
              </w:rPr>
              <w:t>56</w:t>
            </w:r>
            <w:r>
              <w:rPr>
                <w:sz w:val="21"/>
                <w:szCs w:val="21"/>
              </w:rPr>
              <w:t>/</w:t>
            </w:r>
            <w:r>
              <w:rPr>
                <w:rFonts w:hint="eastAsia"/>
                <w:sz w:val="21"/>
                <w:szCs w:val="21"/>
              </w:rPr>
              <w:t>46</w:t>
            </w:r>
          </w:p>
        </w:tc>
        <w:tc>
          <w:tcPr>
            <w:tcW w:w="440" w:type="pct"/>
            <w:vMerge w:val="continue"/>
            <w:vAlign w:val="center"/>
          </w:tcPr>
          <w:p>
            <w:pPr>
              <w:spacing w:line="340" w:lineRule="exact"/>
              <w:ind w:firstLine="0" w:firstLineChars="0"/>
              <w:jc w:val="center"/>
              <w:rPr>
                <w:sz w:val="21"/>
                <w:szCs w:val="21"/>
              </w:rPr>
            </w:pPr>
          </w:p>
        </w:tc>
        <w:tc>
          <w:tcPr>
            <w:tcW w:w="562" w:type="pct"/>
            <w:vMerge w:val="continue"/>
            <w:vAlign w:val="center"/>
          </w:tcPr>
          <w:p>
            <w:pPr>
              <w:spacing w:line="340" w:lineRule="exact"/>
              <w:ind w:firstLine="0" w:firstLineChars="0"/>
              <w:jc w:val="center"/>
              <w:rPr>
                <w:sz w:val="21"/>
                <w:szCs w:val="21"/>
              </w:rPr>
            </w:pPr>
          </w:p>
        </w:tc>
        <w:tc>
          <w:tcPr>
            <w:tcW w:w="562" w:type="pct"/>
            <w:vAlign w:val="center"/>
          </w:tcPr>
          <w:p>
            <w:pPr>
              <w:spacing w:line="340" w:lineRule="exact"/>
              <w:ind w:firstLine="0" w:firstLineChars="0"/>
              <w:jc w:val="center"/>
              <w:rPr>
                <w:sz w:val="21"/>
                <w:szCs w:val="21"/>
              </w:rPr>
            </w:pPr>
            <w:r>
              <w:rPr>
                <w:sz w:val="21"/>
                <w:szCs w:val="21"/>
              </w:rPr>
              <w:t>达标</w:t>
            </w:r>
          </w:p>
        </w:tc>
        <w:tc>
          <w:tcPr>
            <w:tcW w:w="562" w:type="pct"/>
            <w:vAlign w:val="center"/>
          </w:tcPr>
          <w:p>
            <w:pPr>
              <w:spacing w:line="340" w:lineRule="exact"/>
              <w:ind w:firstLine="0" w:firstLineChars="0"/>
              <w:jc w:val="center"/>
              <w:rPr>
                <w:sz w:val="21"/>
                <w:szCs w:val="21"/>
              </w:rPr>
            </w:pPr>
            <w:r>
              <w:rPr>
                <w:sz w:val="21"/>
                <w:szCs w:val="21"/>
              </w:rPr>
              <w:t>达标</w:t>
            </w:r>
          </w:p>
        </w:tc>
      </w:tr>
    </w:tbl>
    <w:p>
      <w:pPr>
        <w:ind w:firstLine="480"/>
        <w:rPr>
          <w:szCs w:val="24"/>
        </w:rPr>
      </w:pPr>
      <w:r>
        <w:rPr>
          <w:szCs w:val="24"/>
        </w:rPr>
        <w:t>由表4.</w:t>
      </w:r>
      <w:r>
        <w:rPr>
          <w:rFonts w:hint="eastAsia"/>
          <w:szCs w:val="24"/>
        </w:rPr>
        <w:t>4</w:t>
      </w:r>
      <w:r>
        <w:rPr>
          <w:szCs w:val="24"/>
        </w:rPr>
        <w:t>-</w:t>
      </w:r>
      <w:r>
        <w:rPr>
          <w:rFonts w:hint="eastAsia"/>
          <w:szCs w:val="24"/>
        </w:rPr>
        <w:t>9</w:t>
      </w:r>
      <w:r>
        <w:rPr>
          <w:szCs w:val="24"/>
        </w:rPr>
        <w:t>可见，坝址及施工区附近现状昼夜声环境质量均满足《声环境质量标准》（GB3096</w:t>
      </w:r>
      <w:r>
        <w:rPr>
          <w:rFonts w:hint="eastAsia"/>
          <w:szCs w:val="24"/>
        </w:rPr>
        <w:t>-</w:t>
      </w:r>
      <w:r>
        <w:rPr>
          <w:szCs w:val="24"/>
        </w:rPr>
        <w:t>2008）中2类区标准的要求，项目周边声环境质量现状良好。</w:t>
      </w:r>
    </w:p>
    <w:p>
      <w:pPr>
        <w:pStyle w:val="835"/>
        <w:spacing w:before="0" w:line="360" w:lineRule="auto"/>
      </w:pPr>
      <w:r>
        <w:t>4.</w:t>
      </w:r>
      <w:r>
        <w:rPr>
          <w:rFonts w:hint="eastAsia"/>
        </w:rPr>
        <w:t>4</w:t>
      </w:r>
      <w:r>
        <w:t>.5</w:t>
      </w:r>
      <w:r>
        <w:rPr>
          <w:rFonts w:hint="eastAsia"/>
        </w:rPr>
        <w:t>土壤环境质量现状监测与评价</w:t>
      </w:r>
    </w:p>
    <w:p>
      <w:pPr>
        <w:autoSpaceDE w:val="0"/>
        <w:autoSpaceDN w:val="0"/>
        <w:adjustRightInd w:val="0"/>
        <w:ind w:firstLine="0" w:firstLineChars="0"/>
        <w:rPr>
          <w:b/>
          <w:kern w:val="0"/>
          <w:szCs w:val="24"/>
        </w:rPr>
      </w:pPr>
      <w:r>
        <w:rPr>
          <w:b/>
          <w:kern w:val="0"/>
          <w:szCs w:val="24"/>
        </w:rPr>
        <w:t>4.</w:t>
      </w:r>
      <w:r>
        <w:rPr>
          <w:rFonts w:hint="eastAsia"/>
          <w:b/>
          <w:kern w:val="0"/>
          <w:szCs w:val="24"/>
        </w:rPr>
        <w:t>4</w:t>
      </w:r>
      <w:r>
        <w:rPr>
          <w:b/>
          <w:kern w:val="0"/>
          <w:szCs w:val="24"/>
        </w:rPr>
        <w:t>.5.1</w:t>
      </w:r>
      <w:r>
        <w:rPr>
          <w:rFonts w:hint="eastAsia"/>
          <w:b/>
          <w:kern w:val="0"/>
          <w:szCs w:val="24"/>
        </w:rPr>
        <w:t xml:space="preserve"> </w:t>
      </w:r>
      <w:r>
        <w:rPr>
          <w:rFonts w:hAnsi="宋体"/>
          <w:b/>
          <w:kern w:val="0"/>
          <w:szCs w:val="24"/>
        </w:rPr>
        <w:t>区域土壤环境</w:t>
      </w:r>
    </w:p>
    <w:p>
      <w:pPr>
        <w:autoSpaceDE w:val="0"/>
        <w:autoSpaceDN w:val="0"/>
        <w:adjustRightInd w:val="0"/>
        <w:ind w:firstLine="480"/>
        <w:rPr>
          <w:kern w:val="0"/>
          <w:szCs w:val="24"/>
        </w:rPr>
      </w:pPr>
      <w:r>
        <w:rPr>
          <w:rFonts w:hint="eastAsia"/>
          <w:kern w:val="0"/>
          <w:szCs w:val="24"/>
        </w:rPr>
        <w:t>上高县</w:t>
      </w:r>
      <w:r>
        <w:rPr>
          <w:kern w:val="0"/>
          <w:szCs w:val="24"/>
        </w:rPr>
        <w:t>土壤呈中性偏酸。山丘以红壤为主，间有黄壤；河谷平原多冲击土。耕作土壤主要有黄泥田、潮泥田、紫泥田、石灰泥田等。</w:t>
      </w:r>
    </w:p>
    <w:p>
      <w:pPr>
        <w:autoSpaceDE w:val="0"/>
        <w:autoSpaceDN w:val="0"/>
        <w:adjustRightInd w:val="0"/>
        <w:ind w:firstLine="480"/>
        <w:rPr>
          <w:kern w:val="0"/>
          <w:szCs w:val="24"/>
        </w:rPr>
      </w:pPr>
      <w:r>
        <w:rPr>
          <w:kern w:val="0"/>
          <w:szCs w:val="24"/>
        </w:rPr>
        <w:t>耕植土：灰褐色，稍湿，松散状态，含植物根系，松散，层顶埋深0.00m，层厚0.00-1.00m。</w:t>
      </w:r>
    </w:p>
    <w:p>
      <w:pPr>
        <w:autoSpaceDE w:val="0"/>
        <w:autoSpaceDN w:val="0"/>
        <w:adjustRightInd w:val="0"/>
        <w:ind w:firstLine="480"/>
        <w:rPr>
          <w:kern w:val="0"/>
          <w:szCs w:val="24"/>
        </w:rPr>
      </w:pPr>
      <w:r>
        <w:rPr>
          <w:kern w:val="0"/>
          <w:szCs w:val="24"/>
        </w:rPr>
        <w:t>含砾粉质粘土：灰黄、浅红色，可塑状态，摇震无反应，稍有光泽，干强度中等，土质不均，含10-20%左右圆砾和卵石，成分以石英、硅质岩为主，亚圆形，粒径2-50mm，层顶埋深0.00-1.00m，层厚1.00-4.80m(由山顶到山脚逐渐增厚)。</w:t>
      </w:r>
    </w:p>
    <w:p>
      <w:pPr>
        <w:autoSpaceDE w:val="0"/>
        <w:autoSpaceDN w:val="0"/>
        <w:adjustRightInd w:val="0"/>
        <w:ind w:firstLine="480"/>
        <w:rPr>
          <w:kern w:val="0"/>
          <w:szCs w:val="24"/>
        </w:rPr>
      </w:pPr>
      <w:r>
        <w:rPr>
          <w:kern w:val="0"/>
          <w:szCs w:val="24"/>
        </w:rPr>
        <w:t>项目区所在地及周边地区土壤以红黄壤为主。工程征占范围内土壤成分以壤土为主，灰黄色，局部含少量细砂，可塑状，粘塑性中等，韧性、干强度中等，左、右岸均有分布，层厚0.7~3.0m。</w:t>
      </w:r>
    </w:p>
    <w:p>
      <w:pPr>
        <w:autoSpaceDE w:val="0"/>
        <w:autoSpaceDN w:val="0"/>
        <w:adjustRightInd w:val="0"/>
        <w:ind w:firstLine="0" w:firstLineChars="0"/>
        <w:rPr>
          <w:b/>
          <w:kern w:val="0"/>
          <w:szCs w:val="24"/>
        </w:rPr>
      </w:pPr>
      <w:r>
        <w:rPr>
          <w:b/>
          <w:kern w:val="0"/>
          <w:szCs w:val="24"/>
        </w:rPr>
        <w:t>4.</w:t>
      </w:r>
      <w:r>
        <w:rPr>
          <w:rFonts w:hint="eastAsia"/>
          <w:b/>
          <w:kern w:val="0"/>
          <w:szCs w:val="24"/>
        </w:rPr>
        <w:t>4</w:t>
      </w:r>
      <w:r>
        <w:rPr>
          <w:b/>
          <w:kern w:val="0"/>
          <w:szCs w:val="24"/>
        </w:rPr>
        <w:t>.5.</w:t>
      </w:r>
      <w:r>
        <w:rPr>
          <w:rFonts w:hint="eastAsia"/>
          <w:b/>
          <w:kern w:val="0"/>
          <w:szCs w:val="24"/>
        </w:rPr>
        <w:t>2土壤环境质量现状、评价</w:t>
      </w:r>
    </w:p>
    <w:p>
      <w:pPr>
        <w:ind w:firstLine="480"/>
      </w:pPr>
      <w:r>
        <w:t>(1)</w:t>
      </w:r>
      <w:r>
        <w:rPr>
          <w:rFonts w:hAnsi="宋体"/>
        </w:rPr>
        <w:t>现状监测</w:t>
      </w:r>
    </w:p>
    <w:p>
      <w:pPr>
        <w:ind w:firstLine="480"/>
      </w:pPr>
      <w:r>
        <w:rPr>
          <w:rFonts w:hAnsi="宋体"/>
        </w:rPr>
        <w:t>①监测布点</w:t>
      </w:r>
    </w:p>
    <w:p>
      <w:pPr>
        <w:ind w:firstLine="480"/>
      </w:pPr>
      <w:r>
        <w:rPr>
          <w:rFonts w:hAnsi="宋体"/>
        </w:rPr>
        <w:t>为了解项目所在地土壤环境质量现状，</w:t>
      </w:r>
      <w:r>
        <w:rPr>
          <w:rFonts w:hint="eastAsia"/>
        </w:rPr>
        <w:t>根据《环境影响评价技术导则—土壤环境（试行）》（HJ964-2018）相关要求，在场地内设1个土壤表层样点，场区外设置2个表层样，共设3个土壤表层样，</w:t>
      </w:r>
      <w:r>
        <w:rPr>
          <w:rFonts w:hAnsi="宋体"/>
          <w:kern w:val="0"/>
        </w:rPr>
        <w:t>各监测点位布设情况</w:t>
      </w:r>
      <w:r>
        <w:rPr>
          <w:rFonts w:hAnsi="宋体"/>
        </w:rPr>
        <w:t>详见表</w:t>
      </w:r>
      <w:r>
        <w:t>4.</w:t>
      </w:r>
      <w:r>
        <w:rPr>
          <w:rFonts w:hint="eastAsia"/>
        </w:rPr>
        <w:t>4</w:t>
      </w:r>
      <w:r>
        <w:t>-</w:t>
      </w:r>
      <w:r>
        <w:rPr>
          <w:rFonts w:hint="eastAsia"/>
        </w:rPr>
        <w:t>10</w:t>
      </w:r>
      <w:r>
        <w:rPr>
          <w:rFonts w:hAnsi="宋体"/>
        </w:rPr>
        <w:t>及</w:t>
      </w:r>
      <w:r>
        <w:t>附图</w:t>
      </w:r>
      <w:r>
        <w:rPr>
          <w:rFonts w:hint="eastAsia"/>
        </w:rPr>
        <w:t>十四</w:t>
      </w:r>
      <w:r>
        <w:t>。</w:t>
      </w:r>
    </w:p>
    <w:p>
      <w:pPr>
        <w:pStyle w:val="1078"/>
        <w:spacing w:before="120" w:beforeLines="50" w:line="240" w:lineRule="auto"/>
        <w:ind w:firstLine="641"/>
        <w:rPr>
          <w:rFonts w:hAnsi="黑体" w:cs="黑体"/>
        </w:rPr>
      </w:pPr>
      <w:bookmarkStart w:id="755" w:name="_Ref367803140"/>
      <w:r>
        <w:rPr>
          <w:rFonts w:hint="eastAsia" w:hAnsi="黑体" w:cs="黑体"/>
        </w:rPr>
        <w:t>表</w:t>
      </w:r>
      <w:bookmarkEnd w:id="755"/>
      <w:r>
        <w:rPr>
          <w:rFonts w:hint="eastAsia" w:hAnsi="黑体" w:cs="黑体"/>
        </w:rPr>
        <w:t>4.4-10 环境土壤现状监测点位及监测因子</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241"/>
        <w:gridCol w:w="1153"/>
        <w:gridCol w:w="1117"/>
        <w:gridCol w:w="584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tblHeader/>
          <w:jc w:val="center"/>
        </w:trPr>
        <w:tc>
          <w:tcPr>
            <w:tcW w:w="663" w:type="pct"/>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监测点名称</w:t>
            </w:r>
          </w:p>
        </w:tc>
        <w:tc>
          <w:tcPr>
            <w:tcW w:w="616" w:type="pct"/>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布点位置</w:t>
            </w:r>
          </w:p>
        </w:tc>
        <w:tc>
          <w:tcPr>
            <w:tcW w:w="597" w:type="pct"/>
            <w:vAlign w:val="center"/>
          </w:tcPr>
          <w:p>
            <w:pPr>
              <w:adjustRightInd w:val="0"/>
              <w:snapToGrid w:val="0"/>
              <w:spacing w:line="340" w:lineRule="exact"/>
              <w:ind w:firstLine="0" w:firstLineChars="0"/>
              <w:jc w:val="center"/>
              <w:rPr>
                <w:sz w:val="21"/>
                <w:szCs w:val="21"/>
              </w:rPr>
            </w:pPr>
            <w:r>
              <w:rPr>
                <w:sz w:val="21"/>
                <w:szCs w:val="21"/>
              </w:rPr>
              <w:t>取样深度</w:t>
            </w:r>
          </w:p>
        </w:tc>
        <w:tc>
          <w:tcPr>
            <w:tcW w:w="3122" w:type="pct"/>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监测因子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tblHeader/>
          <w:jc w:val="center"/>
        </w:trPr>
        <w:tc>
          <w:tcPr>
            <w:tcW w:w="663" w:type="pct"/>
            <w:tcMar>
              <w:left w:w="0" w:type="dxa"/>
              <w:right w:w="0" w:type="dxa"/>
            </w:tcMar>
            <w:vAlign w:val="center"/>
          </w:tcPr>
          <w:p>
            <w:pPr>
              <w:adjustRightInd w:val="0"/>
              <w:snapToGrid w:val="0"/>
              <w:spacing w:line="340" w:lineRule="exact"/>
              <w:ind w:firstLine="0" w:firstLineChars="0"/>
              <w:jc w:val="center"/>
              <w:rPr>
                <w:rFonts w:ascii="宋体" w:hAnsi="宋体"/>
                <w:sz w:val="21"/>
                <w:szCs w:val="21"/>
              </w:rPr>
            </w:pPr>
            <w:r>
              <w:rPr>
                <w:rFonts w:ascii="宋体" w:hAnsi="宋体"/>
                <w:sz w:val="21"/>
                <w:szCs w:val="21"/>
              </w:rPr>
              <w:t>S1</w:t>
            </w:r>
            <w:r>
              <w:rPr>
                <w:rFonts w:hint="eastAsia" w:ascii="宋体" w:hAnsi="宋体"/>
              </w:rPr>
              <w:t>(</w:t>
            </w:r>
            <w:r>
              <w:rPr>
                <w:rFonts w:hint="eastAsia" w:ascii="宋体" w:hAnsi="宋体"/>
                <w:sz w:val="21"/>
                <w:szCs w:val="21"/>
              </w:rPr>
              <w:t>场地内</w:t>
            </w:r>
            <w:r>
              <w:rPr>
                <w:rFonts w:hint="eastAsia" w:ascii="宋体" w:hAnsi="宋体"/>
              </w:rPr>
              <w:t>)</w:t>
            </w:r>
          </w:p>
        </w:tc>
        <w:tc>
          <w:tcPr>
            <w:tcW w:w="616" w:type="pct"/>
            <w:tcMar>
              <w:left w:w="0" w:type="dxa"/>
              <w:right w:w="0" w:type="dxa"/>
            </w:tcMar>
            <w:vAlign w:val="center"/>
          </w:tcPr>
          <w:p>
            <w:pPr>
              <w:adjustRightInd w:val="0"/>
              <w:snapToGrid w:val="0"/>
              <w:spacing w:line="340" w:lineRule="exact"/>
              <w:ind w:firstLine="0" w:firstLineChars="0"/>
              <w:jc w:val="center"/>
              <w:rPr>
                <w:sz w:val="21"/>
                <w:szCs w:val="21"/>
              </w:rPr>
            </w:pPr>
            <w:r>
              <w:rPr>
                <w:sz w:val="21"/>
                <w:szCs w:val="21"/>
              </w:rPr>
              <w:t>控制室</w:t>
            </w:r>
          </w:p>
        </w:tc>
        <w:tc>
          <w:tcPr>
            <w:tcW w:w="597" w:type="pct"/>
            <w:vAlign w:val="center"/>
          </w:tcPr>
          <w:p>
            <w:pPr>
              <w:adjustRightInd w:val="0"/>
              <w:snapToGrid w:val="0"/>
              <w:spacing w:line="340" w:lineRule="exact"/>
              <w:ind w:firstLine="0" w:firstLineChars="0"/>
              <w:jc w:val="center"/>
              <w:rPr>
                <w:sz w:val="21"/>
                <w:szCs w:val="21"/>
              </w:rPr>
            </w:pPr>
            <w:r>
              <w:rPr>
                <w:sz w:val="21"/>
                <w:szCs w:val="21"/>
              </w:rPr>
              <w:t>0~0.2m</w:t>
            </w:r>
          </w:p>
        </w:tc>
        <w:tc>
          <w:tcPr>
            <w:tcW w:w="3122" w:type="pct"/>
            <w:tcMar>
              <w:left w:w="0" w:type="dxa"/>
              <w:right w:w="0" w:type="dxa"/>
            </w:tcMar>
            <w:vAlign w:val="center"/>
          </w:tcPr>
          <w:p>
            <w:pPr>
              <w:adjustRightInd w:val="0"/>
              <w:snapToGrid w:val="0"/>
              <w:spacing w:line="340" w:lineRule="exact"/>
              <w:ind w:firstLine="0" w:firstLineChars="0"/>
              <w:jc w:val="center"/>
              <w:rPr>
                <w:sz w:val="21"/>
                <w:szCs w:val="21"/>
              </w:rPr>
            </w:pPr>
            <w:r>
              <w:rPr>
                <w:kern w:val="0"/>
                <w:sz w:val="21"/>
                <w:szCs w:val="21"/>
              </w:rPr>
              <w:t>土壤含盐量、pH、砷、镉、铬、铜、铅、汞、镍、四氯化碳、氯仿、氯甲烷、1,1-二氧乙烷、1,2-二氧乙烷、1,1-二氧乙烯、顺-1,2-二氧乙烯、反-1,2-二氧乙烯、二氧甲烷、1,2-二氧丙烷、1,1,1,2-四氯乙烷、1,1,2,2-四氯乙烷、四氯乙烯、1,1,1-三氯乙烷、1,1,2-三氯乙烷、三氯乙烯、1,2,3-三氯丙烷、氯乙烯、苯、氯苯、1,2-二氯苯、1,4-二氯苯、乙苯、苯乙烯、甲苯、间二甲苯+对二甲苯、邻二甲苯、硝基苯、苯胺、2-氯酚、苯并[α]蒽、苯并[α]芘、苯并[α]荧蒽、苯并[k]荧蒽、䓛、二苯并[α、h]蒽、茚并[1,2,3-cd]芘、萘等47项基本项目及含盐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tblHeader/>
          <w:jc w:val="center"/>
        </w:trPr>
        <w:tc>
          <w:tcPr>
            <w:tcW w:w="663" w:type="pct"/>
            <w:tcMar>
              <w:left w:w="0" w:type="dxa"/>
              <w:right w:w="0" w:type="dxa"/>
            </w:tcMar>
            <w:vAlign w:val="center"/>
          </w:tcPr>
          <w:p>
            <w:pPr>
              <w:adjustRightInd w:val="0"/>
              <w:snapToGrid w:val="0"/>
              <w:spacing w:line="340" w:lineRule="exact"/>
              <w:ind w:firstLine="0" w:firstLineChars="0"/>
              <w:jc w:val="center"/>
              <w:rPr>
                <w:rFonts w:ascii="宋体" w:hAnsi="宋体"/>
                <w:sz w:val="21"/>
                <w:szCs w:val="21"/>
              </w:rPr>
            </w:pPr>
            <w:r>
              <w:rPr>
                <w:rFonts w:ascii="宋体" w:hAnsi="宋体"/>
                <w:sz w:val="21"/>
                <w:szCs w:val="21"/>
              </w:rPr>
              <w:t>S2</w:t>
            </w:r>
            <w:r>
              <w:rPr>
                <w:rFonts w:hint="eastAsia" w:ascii="宋体" w:hAnsi="宋体"/>
              </w:rPr>
              <w:t>(</w:t>
            </w:r>
            <w:r>
              <w:rPr>
                <w:rFonts w:hint="eastAsia" w:ascii="宋体" w:hAnsi="宋体"/>
                <w:sz w:val="21"/>
                <w:szCs w:val="21"/>
              </w:rPr>
              <w:t>场地外</w:t>
            </w:r>
            <w:r>
              <w:rPr>
                <w:rFonts w:hint="eastAsia" w:ascii="宋体" w:hAnsi="宋体"/>
              </w:rPr>
              <w:t>)</w:t>
            </w:r>
          </w:p>
        </w:tc>
        <w:tc>
          <w:tcPr>
            <w:tcW w:w="616" w:type="pct"/>
            <w:tcMar>
              <w:left w:w="0" w:type="dxa"/>
              <w:right w:w="0" w:type="dxa"/>
            </w:tcMar>
            <w:vAlign w:val="center"/>
          </w:tcPr>
          <w:p>
            <w:pPr>
              <w:adjustRightInd w:val="0"/>
              <w:snapToGrid w:val="0"/>
              <w:spacing w:line="340" w:lineRule="exact"/>
              <w:ind w:firstLine="0" w:firstLineChars="0"/>
              <w:jc w:val="center"/>
              <w:rPr>
                <w:sz w:val="21"/>
                <w:szCs w:val="21"/>
              </w:rPr>
            </w:pPr>
            <w:r>
              <w:rPr>
                <w:rFonts w:hint="eastAsia"/>
                <w:sz w:val="21"/>
                <w:szCs w:val="21"/>
              </w:rPr>
              <w:t>白溪村</w:t>
            </w:r>
          </w:p>
        </w:tc>
        <w:tc>
          <w:tcPr>
            <w:tcW w:w="597" w:type="pct"/>
            <w:vAlign w:val="center"/>
          </w:tcPr>
          <w:p>
            <w:pPr>
              <w:adjustRightInd w:val="0"/>
              <w:snapToGrid w:val="0"/>
              <w:spacing w:line="340" w:lineRule="exact"/>
              <w:ind w:firstLine="0" w:firstLineChars="0"/>
              <w:jc w:val="center"/>
              <w:rPr>
                <w:sz w:val="21"/>
                <w:szCs w:val="21"/>
              </w:rPr>
            </w:pPr>
            <w:r>
              <w:rPr>
                <w:sz w:val="21"/>
                <w:szCs w:val="21"/>
              </w:rPr>
              <w:t>0~0.2m</w:t>
            </w:r>
          </w:p>
        </w:tc>
        <w:tc>
          <w:tcPr>
            <w:tcW w:w="3122" w:type="pct"/>
            <w:tcMar>
              <w:left w:w="0" w:type="dxa"/>
              <w:right w:w="0" w:type="dxa"/>
            </w:tcMar>
            <w:vAlign w:val="center"/>
          </w:tcPr>
          <w:p>
            <w:pPr>
              <w:adjustRightInd w:val="0"/>
              <w:snapToGrid w:val="0"/>
              <w:spacing w:line="340" w:lineRule="exact"/>
              <w:ind w:firstLine="0" w:firstLineChars="0"/>
              <w:jc w:val="center"/>
              <w:rPr>
                <w:sz w:val="21"/>
                <w:szCs w:val="21"/>
              </w:rPr>
            </w:pPr>
            <w:r>
              <w:rPr>
                <w:kern w:val="0"/>
                <w:sz w:val="21"/>
                <w:szCs w:val="21"/>
              </w:rPr>
              <w:t>土壤含盐量、pH、</w:t>
            </w:r>
            <w:r>
              <w:rPr>
                <w:sz w:val="21"/>
                <w:szCs w:val="21"/>
              </w:rPr>
              <w:t>砷、镉、铬（六价）、铜、铅、汞、镍、锌</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97" w:hRule="atLeast"/>
          <w:tblHeader/>
          <w:jc w:val="center"/>
        </w:trPr>
        <w:tc>
          <w:tcPr>
            <w:tcW w:w="663" w:type="pct"/>
            <w:tcMar>
              <w:left w:w="0" w:type="dxa"/>
              <w:right w:w="0" w:type="dxa"/>
            </w:tcMar>
            <w:vAlign w:val="center"/>
          </w:tcPr>
          <w:p>
            <w:pPr>
              <w:adjustRightInd w:val="0"/>
              <w:snapToGrid w:val="0"/>
              <w:spacing w:line="340" w:lineRule="exact"/>
              <w:ind w:firstLine="0" w:firstLineChars="0"/>
              <w:jc w:val="center"/>
              <w:rPr>
                <w:rFonts w:ascii="宋体" w:hAnsi="宋体"/>
                <w:sz w:val="21"/>
                <w:szCs w:val="21"/>
              </w:rPr>
            </w:pPr>
            <w:r>
              <w:rPr>
                <w:rFonts w:ascii="宋体" w:hAnsi="宋体"/>
                <w:sz w:val="21"/>
                <w:szCs w:val="21"/>
              </w:rPr>
              <w:t>S3</w:t>
            </w:r>
            <w:r>
              <w:rPr>
                <w:rFonts w:hint="eastAsia" w:ascii="宋体" w:hAnsi="宋体"/>
              </w:rPr>
              <w:t>(</w:t>
            </w:r>
            <w:r>
              <w:rPr>
                <w:rFonts w:hint="eastAsia" w:ascii="宋体" w:hAnsi="宋体"/>
                <w:sz w:val="21"/>
                <w:szCs w:val="21"/>
              </w:rPr>
              <w:t>场地外</w:t>
            </w:r>
            <w:r>
              <w:rPr>
                <w:rFonts w:hint="eastAsia" w:ascii="宋体" w:hAnsi="宋体"/>
              </w:rPr>
              <w:t>)</w:t>
            </w:r>
          </w:p>
        </w:tc>
        <w:tc>
          <w:tcPr>
            <w:tcW w:w="616" w:type="pct"/>
            <w:tcMar>
              <w:left w:w="0" w:type="dxa"/>
              <w:right w:w="0" w:type="dxa"/>
            </w:tcMar>
            <w:vAlign w:val="center"/>
          </w:tcPr>
          <w:p>
            <w:pPr>
              <w:adjustRightInd w:val="0"/>
              <w:snapToGrid w:val="0"/>
              <w:spacing w:line="340" w:lineRule="exact"/>
              <w:ind w:firstLine="0" w:firstLineChars="0"/>
              <w:jc w:val="center"/>
              <w:rPr>
                <w:sz w:val="21"/>
                <w:szCs w:val="21"/>
              </w:rPr>
            </w:pPr>
            <w:r>
              <w:rPr>
                <w:rFonts w:hint="eastAsia"/>
                <w:sz w:val="21"/>
                <w:szCs w:val="21"/>
              </w:rPr>
              <w:t>黄家村</w:t>
            </w:r>
          </w:p>
        </w:tc>
        <w:tc>
          <w:tcPr>
            <w:tcW w:w="597" w:type="pct"/>
            <w:vAlign w:val="center"/>
          </w:tcPr>
          <w:p>
            <w:pPr>
              <w:adjustRightInd w:val="0"/>
              <w:snapToGrid w:val="0"/>
              <w:spacing w:line="340" w:lineRule="exact"/>
              <w:ind w:firstLine="0" w:firstLineChars="0"/>
              <w:jc w:val="center"/>
              <w:rPr>
                <w:sz w:val="21"/>
                <w:szCs w:val="21"/>
              </w:rPr>
            </w:pPr>
            <w:r>
              <w:rPr>
                <w:sz w:val="21"/>
                <w:szCs w:val="21"/>
              </w:rPr>
              <w:t>0~0.2m</w:t>
            </w:r>
          </w:p>
        </w:tc>
        <w:tc>
          <w:tcPr>
            <w:tcW w:w="3122" w:type="pct"/>
            <w:tcMar>
              <w:left w:w="0" w:type="dxa"/>
              <w:right w:w="0" w:type="dxa"/>
            </w:tcMar>
            <w:vAlign w:val="center"/>
          </w:tcPr>
          <w:p>
            <w:pPr>
              <w:adjustRightInd w:val="0"/>
              <w:snapToGrid w:val="0"/>
              <w:spacing w:line="340" w:lineRule="exact"/>
              <w:ind w:firstLine="0" w:firstLineChars="0"/>
              <w:jc w:val="center"/>
              <w:rPr>
                <w:sz w:val="21"/>
                <w:szCs w:val="21"/>
              </w:rPr>
            </w:pPr>
            <w:r>
              <w:rPr>
                <w:kern w:val="0"/>
                <w:sz w:val="21"/>
                <w:szCs w:val="21"/>
              </w:rPr>
              <w:t>土壤含盐量、pH、</w:t>
            </w:r>
            <w:r>
              <w:rPr>
                <w:sz w:val="21"/>
                <w:szCs w:val="21"/>
              </w:rPr>
              <w:t>砷、镉、铬（六价）、铜、铅、汞、镍、锌</w:t>
            </w:r>
          </w:p>
        </w:tc>
      </w:tr>
    </w:tbl>
    <w:p>
      <w:pPr>
        <w:autoSpaceDE w:val="0"/>
        <w:autoSpaceDN w:val="0"/>
        <w:adjustRightInd w:val="0"/>
        <w:ind w:firstLine="480"/>
        <w:rPr>
          <w:rFonts w:ascii="Calibri+FPEF" w:cs="Calibri+FPEF"/>
          <w:kern w:val="0"/>
        </w:rPr>
      </w:pPr>
      <w:r>
        <w:rPr>
          <w:rFonts w:hAnsi="宋体"/>
        </w:rPr>
        <w:t>⑵</w:t>
      </w:r>
      <w:r>
        <w:rPr>
          <w:rFonts w:hint="eastAsia" w:ascii="Calibri+FPEF" w:cs="Calibri+FPEF"/>
          <w:kern w:val="0"/>
        </w:rPr>
        <w:t>监测项目及频率</w:t>
      </w:r>
    </w:p>
    <w:p>
      <w:pPr>
        <w:autoSpaceDE w:val="0"/>
        <w:autoSpaceDN w:val="0"/>
        <w:adjustRightInd w:val="0"/>
        <w:ind w:firstLine="480"/>
        <w:rPr>
          <w:kern w:val="0"/>
        </w:rPr>
      </w:pPr>
      <w:r>
        <w:rPr>
          <w:kern w:val="0"/>
        </w:rPr>
        <w:t>监测项目：</w:t>
      </w:r>
      <w:r>
        <w:rPr>
          <w:rFonts w:hint="eastAsia"/>
          <w:kern w:val="0"/>
        </w:rPr>
        <w:t>详见</w:t>
      </w:r>
      <w:r>
        <w:rPr>
          <w:kern w:val="0"/>
        </w:rPr>
        <w:t>表</w:t>
      </w:r>
      <w:r>
        <w:rPr>
          <w:rFonts w:hint="eastAsia"/>
          <w:kern w:val="0"/>
        </w:rPr>
        <w:t>4.4-10。</w:t>
      </w:r>
    </w:p>
    <w:p>
      <w:pPr>
        <w:autoSpaceDE w:val="0"/>
        <w:autoSpaceDN w:val="0"/>
        <w:adjustRightInd w:val="0"/>
        <w:ind w:firstLine="480"/>
        <w:rPr>
          <w:kern w:val="0"/>
        </w:rPr>
      </w:pPr>
      <w:r>
        <w:rPr>
          <w:kern w:val="0"/>
        </w:rPr>
        <w:t>监测频率：监测一期，监测1天，监测一次。</w:t>
      </w:r>
    </w:p>
    <w:p>
      <w:pPr>
        <w:ind w:firstLine="480"/>
      </w:pPr>
      <w:r>
        <w:rPr>
          <w:rFonts w:hint="eastAsia"/>
        </w:rPr>
        <w:t>⑶采样方法：按照国家环保局的《环境监测分析方法》、《土壤元素的近代分析方法》进行。采用梅花形采样法采取0～20cm深的表层土。</w:t>
      </w:r>
    </w:p>
    <w:p>
      <w:pPr>
        <w:ind w:firstLine="480"/>
      </w:pPr>
      <w:r>
        <w:rPr>
          <w:rFonts w:hint="eastAsia"/>
        </w:rPr>
        <w:t>⑷分析方法：按《土壤环境质量 建设用地土壤污染风险管控标准》（GB36600-2018）及《土壤环境质量 农用地土壤污染风险管控标准》（GB15618-2018）中规定的方法执行。</w:t>
      </w:r>
    </w:p>
    <w:p>
      <w:pPr>
        <w:ind w:firstLine="480"/>
      </w:pPr>
      <w:r>
        <w:rPr>
          <w:rFonts w:hint="eastAsia"/>
        </w:rPr>
        <w:t>⑸现状评价</w:t>
      </w:r>
    </w:p>
    <w:p>
      <w:pPr>
        <w:ind w:firstLine="480"/>
      </w:pPr>
      <w:r>
        <w:rPr>
          <w:rFonts w:hint="eastAsia"/>
        </w:rPr>
        <w:t>①评价方法</w:t>
      </w:r>
    </w:p>
    <w:p>
      <w:pPr>
        <w:ind w:firstLine="480"/>
      </w:pPr>
      <w:r>
        <w:rPr>
          <w:rFonts w:hint="eastAsia"/>
        </w:rPr>
        <w:t>采用单因子标准指数法进行评价。</w:t>
      </w:r>
    </w:p>
    <w:p>
      <w:pPr>
        <w:ind w:firstLine="480"/>
      </w:pPr>
      <w:r>
        <w:t xml:space="preserve"> </w:t>
      </w:r>
      <w:r>
        <w:rPr>
          <w:rFonts w:hint="eastAsia"/>
        </w:rPr>
        <w:t>式中：</w:t>
      </w:r>
      <w:r>
        <w:rPr>
          <w:rFonts w:hint="eastAsia"/>
          <w:position w:val="-30"/>
        </w:rPr>
        <w:object>
          <v:shape id="_x0000_i1033" o:spt="75" type="#_x0000_t75" style="height:37.8pt;width:44.45pt;" o:ole="t" filled="f" coordsize="21600,21600">
            <v:path/>
            <v:fill on="f" focussize="0,0"/>
            <v:stroke/>
            <v:imagedata r:id="rId56" o:title=""/>
            <o:lock v:ext="edit" aspectratio="t"/>
            <w10:wrap type="none"/>
            <w10:anchorlock/>
          </v:shape>
          <o:OLEObject Type="Embed" ProgID="Equation.3" ShapeID="_x0000_i1033" DrawAspect="Content" ObjectID="_1468075733" r:id="rId55">
            <o:LockedField>false</o:LockedField>
          </o:OLEObject>
        </w:object>
      </w:r>
      <w:r>
        <w:rPr>
          <w:rFonts w:hint="eastAsia"/>
        </w:rPr>
        <w:t xml:space="preserve"> </w:t>
      </w:r>
    </w:p>
    <w:p>
      <w:pPr>
        <w:ind w:firstLine="480"/>
      </w:pPr>
      <w:r>
        <w:rPr>
          <w:rFonts w:hint="eastAsia"/>
        </w:rPr>
        <w:t>——i类污染物单因子指数，无量纲；</w:t>
      </w:r>
    </w:p>
    <w:p>
      <w:pPr>
        <w:ind w:firstLine="480"/>
      </w:pPr>
      <w:r>
        <w:rPr>
          <w:rFonts w:hint="eastAsia"/>
        </w:rPr>
        <w:t>——i类污染物实测浓度平均值，mg/kg；</w:t>
      </w:r>
    </w:p>
    <w:p>
      <w:pPr>
        <w:ind w:firstLine="480"/>
      </w:pPr>
      <w:r>
        <w:rPr>
          <w:rFonts w:hint="eastAsia"/>
        </w:rPr>
        <w:t>——i类污染物的评价标准值，mg/kg。</w:t>
      </w:r>
    </w:p>
    <w:p>
      <w:pPr>
        <w:ind w:firstLine="480"/>
      </w:pPr>
      <w:r>
        <w:rPr>
          <w:rFonts w:hint="eastAsia"/>
        </w:rPr>
        <w:t>②评价标准</w:t>
      </w:r>
    </w:p>
    <w:p>
      <w:pPr>
        <w:ind w:firstLine="480"/>
      </w:pPr>
      <w:r>
        <w:rPr>
          <w:rFonts w:hint="eastAsia"/>
        </w:rPr>
        <w:t>占地范围内S1点位评价标准按《建设用地土壤污染风险管控标准（试行）》</w:t>
      </w:r>
      <w:r>
        <w:rPr>
          <w:rFonts w:hint="eastAsia"/>
          <w:szCs w:val="24"/>
        </w:rPr>
        <w:t>（GB36/1282-2020）表1中第二类</w:t>
      </w:r>
      <w:r>
        <w:rPr>
          <w:szCs w:val="24"/>
        </w:rPr>
        <w:t>用地</w:t>
      </w:r>
      <w:r>
        <w:rPr>
          <w:rFonts w:hint="eastAsia"/>
          <w:szCs w:val="24"/>
        </w:rPr>
        <w:t>风险筛选值</w:t>
      </w:r>
      <w:r>
        <w:rPr>
          <w:rFonts w:hint="eastAsia"/>
        </w:rPr>
        <w:t>评价标准执行。监测数据和统计评价结果见表 4.4-11；占地范围内S2~S3点位采集与分析评价标准按《土壤环境质量 农用地土壤污染风险管控标准》（GB15618-2018）中表1风险筛选值评价标准执行，见下表</w:t>
      </w:r>
      <w:r>
        <w:t>4.</w:t>
      </w:r>
      <w:r>
        <w:rPr>
          <w:rFonts w:hint="eastAsia"/>
        </w:rPr>
        <w:t>4</w:t>
      </w:r>
      <w:r>
        <w:t>-1</w:t>
      </w:r>
      <w:r>
        <w:rPr>
          <w:rFonts w:hint="eastAsia"/>
        </w:rPr>
        <w:t>2。</w:t>
      </w:r>
    </w:p>
    <w:p>
      <w:pPr>
        <w:spacing w:before="120" w:beforeLines="50" w:line="240" w:lineRule="auto"/>
        <w:ind w:firstLine="480"/>
        <w:jc w:val="center"/>
        <w:rPr>
          <w:rFonts w:ascii="黑体" w:hAnsi="黑体" w:eastAsia="黑体"/>
        </w:rPr>
      </w:pPr>
      <w:r>
        <w:rPr>
          <w:rFonts w:hint="eastAsia" w:ascii="黑体" w:hAnsi="黑体" w:eastAsia="黑体"/>
        </w:rPr>
        <w:t>表4.4-11  S1监测点位（场地内）现状监测统计及评价结果表  单位： mg/kg</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91"/>
        <w:gridCol w:w="713"/>
        <w:gridCol w:w="890"/>
        <w:gridCol w:w="1047"/>
        <w:gridCol w:w="890"/>
        <w:gridCol w:w="813"/>
        <w:gridCol w:w="1000"/>
        <w:gridCol w:w="585"/>
        <w:gridCol w:w="543"/>
        <w:gridCol w:w="211"/>
        <w:gridCol w:w="837"/>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污染物</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砷</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镉</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铬（六价）</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铜</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铅</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汞</w:t>
            </w:r>
          </w:p>
        </w:tc>
        <w:tc>
          <w:tcPr>
            <w:tcW w:w="585" w:type="dxa"/>
            <w:tcBorders>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镍</w:t>
            </w:r>
          </w:p>
        </w:tc>
        <w:tc>
          <w:tcPr>
            <w:tcW w:w="754" w:type="dxa"/>
            <w:gridSpan w:val="2"/>
            <w:tcBorders>
              <w:left w:val="single" w:color="auto" w:sz="6" w:space="0"/>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bidi="ar"/>
              </w:rPr>
              <w:t>氯甲烷</w:t>
            </w:r>
          </w:p>
        </w:tc>
        <w:tc>
          <w:tcPr>
            <w:tcW w:w="837" w:type="dxa"/>
            <w:tcBorders>
              <w:lef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bidi="ar"/>
              </w:rPr>
              <w:t>氯乙烯</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标准值</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60</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65</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5.7</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18000</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800</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38</w:t>
            </w:r>
          </w:p>
        </w:tc>
        <w:tc>
          <w:tcPr>
            <w:tcW w:w="585" w:type="dxa"/>
            <w:tcBorders>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900</w:t>
            </w:r>
          </w:p>
        </w:tc>
        <w:tc>
          <w:tcPr>
            <w:tcW w:w="754" w:type="dxa"/>
            <w:gridSpan w:val="2"/>
            <w:tcBorders>
              <w:left w:val="single" w:color="auto" w:sz="6" w:space="0"/>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37</w:t>
            </w:r>
          </w:p>
        </w:tc>
        <w:tc>
          <w:tcPr>
            <w:tcW w:w="837" w:type="dxa"/>
            <w:tcBorders>
              <w:lef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0.43</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监测值</w:t>
            </w:r>
          </w:p>
        </w:tc>
        <w:tc>
          <w:tcPr>
            <w:tcW w:w="713" w:type="dxa"/>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sz w:val="21"/>
                <w:szCs w:val="21"/>
              </w:rPr>
              <w:t>14.4</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w:t>
            </w:r>
            <w:r>
              <w:rPr>
                <w:rFonts w:hint="eastAsia" w:ascii="Times New Roman" w:hAnsi="Times New Roman" w:eastAsia="宋体"/>
                <w:sz w:val="21"/>
                <w:szCs w:val="21"/>
              </w:rPr>
              <w:t>12</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w:t>
            </w:r>
            <w:r>
              <w:rPr>
                <w:rFonts w:hint="eastAsia" w:ascii="Times New Roman" w:hAnsi="Times New Roman" w:eastAsia="宋体"/>
                <w:sz w:val="21"/>
                <w:szCs w:val="21"/>
              </w:rPr>
              <w:t>5</w:t>
            </w:r>
            <w:r>
              <w:rPr>
                <w:rFonts w:ascii="Times New Roman" w:hAnsi="Times New Roman" w:eastAsia="宋体"/>
                <w:sz w:val="21"/>
                <w:szCs w:val="21"/>
              </w:rPr>
              <w:t>L</w:t>
            </w:r>
          </w:p>
        </w:tc>
        <w:tc>
          <w:tcPr>
            <w:tcW w:w="890" w:type="dxa"/>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sz w:val="21"/>
                <w:szCs w:val="21"/>
              </w:rPr>
              <w:t>56</w:t>
            </w:r>
          </w:p>
        </w:tc>
        <w:tc>
          <w:tcPr>
            <w:tcW w:w="813" w:type="dxa"/>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sz w:val="21"/>
                <w:szCs w:val="21"/>
              </w:rPr>
              <w:t>79</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w:t>
            </w:r>
            <w:r>
              <w:rPr>
                <w:rFonts w:hint="eastAsia" w:ascii="Times New Roman" w:hAnsi="Times New Roman" w:eastAsia="宋体"/>
                <w:sz w:val="21"/>
                <w:szCs w:val="21"/>
              </w:rPr>
              <w:t>156</w:t>
            </w:r>
          </w:p>
        </w:tc>
        <w:tc>
          <w:tcPr>
            <w:tcW w:w="585" w:type="dxa"/>
            <w:tcBorders>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sz w:val="21"/>
                <w:szCs w:val="21"/>
              </w:rPr>
              <w:t>5</w:t>
            </w:r>
            <w:r>
              <w:rPr>
                <w:rFonts w:ascii="Times New Roman" w:hAnsi="Times New Roman" w:eastAsia="宋体"/>
                <w:sz w:val="21"/>
                <w:szCs w:val="21"/>
              </w:rPr>
              <w:t>1</w:t>
            </w:r>
          </w:p>
        </w:tc>
        <w:tc>
          <w:tcPr>
            <w:tcW w:w="754" w:type="dxa"/>
            <w:gridSpan w:val="2"/>
            <w:tcBorders>
              <w:left w:val="single" w:color="auto" w:sz="6" w:space="0"/>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kern w:val="0"/>
                <w:sz w:val="21"/>
                <w:szCs w:val="21"/>
              </w:rPr>
              <w:t>1.0</w:t>
            </w:r>
            <w:r>
              <w:rPr>
                <w:rFonts w:ascii="Times New Roman" w:hAnsi="Times New Roman" w:eastAsia="宋体"/>
                <w:kern w:val="0"/>
                <w:sz w:val="21"/>
                <w:szCs w:val="21"/>
              </w:rPr>
              <w:t>L</w:t>
            </w:r>
          </w:p>
        </w:tc>
        <w:tc>
          <w:tcPr>
            <w:tcW w:w="837" w:type="dxa"/>
            <w:tcBorders>
              <w:left w:val="single" w:color="auto" w:sz="6" w:space="0"/>
            </w:tcBorders>
            <w:vAlign w:val="center"/>
          </w:tcPr>
          <w:p>
            <w:pPr>
              <w:pStyle w:val="1078"/>
              <w:spacing w:before="0" w:beforeLines="0" w:line="340" w:lineRule="exact"/>
              <w:rPr>
                <w:rFonts w:ascii="Times New Roman" w:hAnsi="Times New Roman" w:eastAsia="宋体"/>
                <w:sz w:val="21"/>
                <w:szCs w:val="21"/>
              </w:rPr>
            </w:pPr>
            <w:r>
              <w:rPr>
                <w:rFonts w:hint="eastAsia" w:ascii="Times New Roman" w:hAnsi="Times New Roman" w:eastAsia="宋体"/>
                <w:kern w:val="0"/>
                <w:sz w:val="21"/>
                <w:szCs w:val="21"/>
              </w:rPr>
              <w:t>1.0</w:t>
            </w:r>
            <w:r>
              <w:rPr>
                <w:rFonts w:ascii="Times New Roman" w:hAnsi="Times New Roman" w:eastAsia="宋体"/>
                <w:kern w:val="0"/>
                <w:sz w:val="21"/>
                <w:szCs w:val="21"/>
              </w:rPr>
              <w:t>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0.0596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单因子指数</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0.2</w:t>
            </w:r>
            <w:r>
              <w:rPr>
                <w:rFonts w:hint="eastAsia" w:ascii="Times New Roman" w:hAnsi="Times New Roman" w:eastAsia="宋体"/>
                <w:sz w:val="21"/>
                <w:szCs w:val="21"/>
              </w:rPr>
              <w:t>4</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0.00</w:t>
            </w:r>
            <w:r>
              <w:rPr>
                <w:rFonts w:hint="eastAsia" w:ascii="Times New Roman" w:hAnsi="Times New Roman" w:eastAsia="宋体"/>
                <w:sz w:val="21"/>
                <w:szCs w:val="21"/>
              </w:rPr>
              <w:t>2</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0.00</w:t>
            </w:r>
            <w:r>
              <w:rPr>
                <w:rFonts w:hint="eastAsia" w:ascii="Times New Roman" w:hAnsi="Times New Roman" w:eastAsia="宋体"/>
                <w:sz w:val="21"/>
                <w:szCs w:val="21"/>
              </w:rPr>
              <w:t>3</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w:t>
            </w:r>
            <w:r>
              <w:rPr>
                <w:rFonts w:hint="eastAsia" w:ascii="Times New Roman" w:hAnsi="Times New Roman" w:eastAsia="宋体"/>
                <w:sz w:val="21"/>
                <w:szCs w:val="21"/>
              </w:rPr>
              <w:t>9</w:t>
            </w:r>
            <w:r>
              <w:rPr>
                <w:rFonts w:ascii="Times New Roman" w:hAnsi="Times New Roman" w:eastAsia="宋体"/>
                <w:sz w:val="21"/>
                <w:szCs w:val="21"/>
              </w:rPr>
              <w:t>9</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0.00</w:t>
            </w:r>
            <w:r>
              <w:rPr>
                <w:rFonts w:hint="eastAsia" w:ascii="Times New Roman" w:hAnsi="Times New Roman" w:eastAsia="宋体"/>
                <w:sz w:val="21"/>
                <w:szCs w:val="21"/>
              </w:rPr>
              <w:t>4</w:t>
            </w:r>
          </w:p>
        </w:tc>
        <w:tc>
          <w:tcPr>
            <w:tcW w:w="585" w:type="dxa"/>
            <w:tcBorders>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0.0</w:t>
            </w:r>
            <w:r>
              <w:rPr>
                <w:rFonts w:hint="eastAsia" w:ascii="Times New Roman" w:hAnsi="Times New Roman" w:eastAsia="宋体"/>
                <w:sz w:val="21"/>
                <w:szCs w:val="21"/>
              </w:rPr>
              <w:t>57</w:t>
            </w:r>
          </w:p>
        </w:tc>
        <w:tc>
          <w:tcPr>
            <w:tcW w:w="754" w:type="dxa"/>
            <w:gridSpan w:val="2"/>
            <w:tcBorders>
              <w:left w:val="single" w:color="auto" w:sz="6" w:space="0"/>
              <w:right w:val="single" w:color="auto" w:sz="6" w:space="0"/>
            </w:tcBorders>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37" w:type="dxa"/>
            <w:tcBorders>
              <w:left w:val="single" w:color="auto" w:sz="6" w:space="0"/>
            </w:tcBorders>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spacing w:line="340" w:lineRule="exact"/>
              <w:ind w:firstLine="0" w:firstLineChars="0"/>
              <w:jc w:val="center"/>
              <w:rPr>
                <w:sz w:val="21"/>
                <w:szCs w:val="21"/>
              </w:rPr>
            </w:pPr>
            <w:r>
              <w:rPr>
                <w:sz w:val="21"/>
                <w:szCs w:val="21"/>
              </w:rPr>
              <w:t>超标情况</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585" w:type="dxa"/>
            <w:tcBorders>
              <w:right w:val="single" w:color="auto" w:sz="6" w:space="0"/>
            </w:tcBorders>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达标</w:t>
            </w:r>
          </w:p>
        </w:tc>
        <w:tc>
          <w:tcPr>
            <w:tcW w:w="754" w:type="dxa"/>
            <w:gridSpan w:val="2"/>
            <w:tcBorders>
              <w:left w:val="single" w:color="auto" w:sz="6" w:space="0"/>
              <w:right w:val="single" w:color="auto" w:sz="6" w:space="0"/>
            </w:tcBorders>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达标</w:t>
            </w:r>
          </w:p>
        </w:tc>
        <w:tc>
          <w:tcPr>
            <w:tcW w:w="837" w:type="dxa"/>
            <w:tcBorders>
              <w:left w:val="single" w:color="auto" w:sz="6" w:space="0"/>
            </w:tcBorders>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污染物</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bidi="ar"/>
              </w:rPr>
              <w:t>1,1-二氯乙烯</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bidi="ar"/>
              </w:rPr>
              <w:t>二氯甲烷</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bidi="ar"/>
              </w:rPr>
              <w:t>反式-1,2-二氯乙烯</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1,1-二氯乙烷</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顺式-1,2-二氯乙烯</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氯仿</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1,1,1-三氯乙烷</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四氯化碳</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lang w:eastAsia="en-US"/>
              </w:rPr>
              <w:t>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标准值</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66</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616</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54</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9</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596</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0.9</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940</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2.8</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监测值</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1.5L</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1.4L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1.0L</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1.3L</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1.1L</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1.3L</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1.3L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1.9L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单因子指数</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超标情况</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污染物</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lang w:eastAsia="en-US"/>
              </w:rPr>
              <w:t>1,2-二氯乙烷</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lang w:eastAsia="en-US"/>
              </w:rPr>
              <w:t>三氯乙烯</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lang w:eastAsia="en-US"/>
              </w:rPr>
              <w:t>1,2-二氯丙烷</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lang w:eastAsia="en-US"/>
              </w:rPr>
              <w:t>甲苯</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lang w:eastAsia="en-US"/>
              </w:rPr>
              <w:t>1,1,2-三氯乙烷</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四氯乙烯</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氯苯</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1,1,1,2-四氯乙烷</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乙苯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标准值</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5</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2.8</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5</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1200</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2.8</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53</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270</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10</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监测值</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1.3L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1.1L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1.3L</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8.1</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1.2L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单因子指数</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0.153</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超标情况</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污染物</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间二甲苯+对二甲苯</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邻二甲苯</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1,1,2,2-四氯乙烷</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苯乙烯</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1,2,3-三氯丙烷</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1,4-二氯苯</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1,2-二氯苯</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苯胺</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2-氯酚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标准值</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570</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640</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6.8</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1290</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0.5</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20</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560</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260</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2256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监测值</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1.2L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1.2L</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1.2L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1.1L</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1.2L</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1.5L</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1.5L</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1.3</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0.06L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单因子指数</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超标情况</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污染物</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硝基苯</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萘</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苯并[a]蒽</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䓛</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苯并[b]荧蒽</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苯并[k]荧蒽</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苯并[a]芘</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茚并[1,2,3-cd]芘</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二苯并[a,h]蒽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标准值</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76</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70</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1293</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151</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单因子指数</w:t>
            </w:r>
          </w:p>
        </w:tc>
        <w:tc>
          <w:tcPr>
            <w:tcW w:w="7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0.09L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0.09L</w:t>
            </w:r>
          </w:p>
        </w:tc>
        <w:tc>
          <w:tcPr>
            <w:tcW w:w="1047"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0.12L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0.14L</w:t>
            </w:r>
          </w:p>
        </w:tc>
        <w:tc>
          <w:tcPr>
            <w:tcW w:w="813"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0.17L</w:t>
            </w:r>
          </w:p>
        </w:tc>
        <w:tc>
          <w:tcPr>
            <w:tcW w:w="100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0.11L</w:t>
            </w:r>
          </w:p>
        </w:tc>
        <w:tc>
          <w:tcPr>
            <w:tcW w:w="112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0.17L</w:t>
            </w:r>
          </w:p>
        </w:tc>
        <w:tc>
          <w:tcPr>
            <w:tcW w:w="1048" w:type="dxa"/>
            <w:gridSpan w:val="2"/>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0.13L</w:t>
            </w:r>
          </w:p>
        </w:tc>
        <w:tc>
          <w:tcPr>
            <w:tcW w:w="890"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kern w:val="0"/>
                <w:sz w:val="21"/>
                <w:szCs w:val="21"/>
              </w:rPr>
              <w:t>0.13L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pacing w:val="-20"/>
                <w:sz w:val="21"/>
                <w:szCs w:val="21"/>
              </w:rPr>
            </w:pPr>
            <w:r>
              <w:rPr>
                <w:rFonts w:ascii="Times New Roman" w:hAnsi="Times New Roman" w:eastAsia="宋体"/>
                <w:spacing w:val="-20"/>
                <w:sz w:val="21"/>
                <w:szCs w:val="21"/>
              </w:rPr>
              <w:t>超标情况</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sz w:val="21"/>
                <w:szCs w:val="21"/>
              </w:rPr>
              <w:t>&lt;1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991" w:type="dxa"/>
            <w:vAlign w:val="center"/>
          </w:tcPr>
          <w:p>
            <w:pPr>
              <w:pStyle w:val="1078"/>
              <w:spacing w:before="0" w:beforeLines="0" w:line="340" w:lineRule="exact"/>
              <w:rPr>
                <w:rFonts w:ascii="Times New Roman" w:hAnsi="Times New Roman" w:eastAsia="宋体"/>
                <w:sz w:val="21"/>
                <w:szCs w:val="21"/>
              </w:rPr>
            </w:pPr>
            <w:r>
              <w:rPr>
                <w:rFonts w:ascii="Times New Roman" w:hAnsi="Times New Roman" w:eastAsia="宋体"/>
                <w:sz w:val="21"/>
                <w:szCs w:val="21"/>
              </w:rPr>
              <w:t>监测值</w:t>
            </w:r>
          </w:p>
        </w:tc>
        <w:tc>
          <w:tcPr>
            <w:tcW w:w="7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7"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13"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0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12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1048" w:type="dxa"/>
            <w:gridSpan w:val="2"/>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c>
          <w:tcPr>
            <w:tcW w:w="890" w:type="dxa"/>
            <w:vAlign w:val="center"/>
          </w:tcPr>
          <w:p>
            <w:pPr>
              <w:pStyle w:val="1078"/>
              <w:spacing w:before="0" w:beforeLines="0" w:line="340" w:lineRule="exact"/>
              <w:rPr>
                <w:rFonts w:ascii="Times New Roman" w:hAnsi="Times New Roman" w:eastAsia="宋体"/>
                <w:kern w:val="0"/>
                <w:sz w:val="21"/>
                <w:szCs w:val="21"/>
              </w:rPr>
            </w:pPr>
            <w:r>
              <w:rPr>
                <w:rFonts w:ascii="Times New Roman" w:hAnsi="Times New Roman" w:eastAsia="宋体"/>
                <w:kern w:val="0"/>
                <w:sz w:val="21"/>
                <w:szCs w:val="21"/>
              </w:rPr>
              <w:t>达标</w:t>
            </w:r>
          </w:p>
        </w:tc>
      </w:tr>
    </w:tbl>
    <w:p>
      <w:pPr>
        <w:spacing w:before="120" w:beforeLines="50" w:line="240" w:lineRule="auto"/>
        <w:ind w:firstLine="0" w:firstLineChars="0"/>
        <w:jc w:val="center"/>
        <w:rPr>
          <w:rFonts w:ascii="黑体" w:hAnsi="黑体" w:eastAsia="黑体"/>
        </w:rPr>
      </w:pPr>
      <w:r>
        <w:rPr>
          <w:rFonts w:hint="eastAsia" w:ascii="黑体" w:hAnsi="黑体" w:eastAsia="黑体"/>
        </w:rPr>
        <w:t>表 4,4-12   S2、S3监测点位（场地内）现状监测统计及评价结果表    单位：mg/kg</w:t>
      </w:r>
    </w:p>
    <w:tbl>
      <w:tblPr>
        <w:tblStyle w:val="82"/>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493"/>
        <w:gridCol w:w="1492"/>
        <w:gridCol w:w="1095"/>
        <w:gridCol w:w="800"/>
        <w:gridCol w:w="800"/>
        <w:gridCol w:w="800"/>
        <w:gridCol w:w="800"/>
        <w:gridCol w:w="800"/>
        <w:gridCol w:w="800"/>
        <w:gridCol w:w="777"/>
        <w:gridCol w:w="8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tblHeader/>
          <w:jc w:val="center"/>
        </w:trPr>
        <w:tc>
          <w:tcPr>
            <w:tcW w:w="1049" w:type="pct"/>
            <w:gridSpan w:val="2"/>
            <w:vMerge w:val="restart"/>
            <w:tcBorders>
              <w:top w:val="single" w:color="auto" w:sz="12" w:space="0"/>
              <w:tl2br w:val="single" w:color="auto" w:sz="4" w:space="0"/>
            </w:tcBorders>
            <w:vAlign w:val="center"/>
          </w:tcPr>
          <w:p>
            <w:pPr>
              <w:spacing w:line="340" w:lineRule="exact"/>
              <w:ind w:firstLine="0" w:firstLineChars="0"/>
              <w:jc w:val="right"/>
              <w:rPr>
                <w:sz w:val="21"/>
                <w:szCs w:val="21"/>
              </w:rPr>
            </w:pPr>
            <w:r>
              <w:rPr>
                <w:rFonts w:hint="eastAsia" w:hAnsi="宋体"/>
                <w:sz w:val="21"/>
                <w:szCs w:val="21"/>
              </w:rPr>
              <w:t>标准值</w:t>
            </w:r>
          </w:p>
          <w:p>
            <w:pPr>
              <w:spacing w:line="340" w:lineRule="exact"/>
              <w:ind w:firstLine="0" w:firstLineChars="0"/>
              <w:jc w:val="left"/>
              <w:rPr>
                <w:sz w:val="21"/>
                <w:szCs w:val="21"/>
              </w:rPr>
            </w:pPr>
            <w:r>
              <w:rPr>
                <w:rFonts w:hAnsi="宋体"/>
                <w:sz w:val="21"/>
                <w:szCs w:val="21"/>
              </w:rPr>
              <w:t>监测点</w:t>
            </w:r>
          </w:p>
        </w:tc>
        <w:tc>
          <w:tcPr>
            <w:tcW w:w="578" w:type="pct"/>
            <w:tcBorders>
              <w:right w:val="single" w:color="auto" w:sz="4" w:space="0"/>
            </w:tcBorders>
            <w:vAlign w:val="center"/>
          </w:tcPr>
          <w:p>
            <w:pPr>
              <w:spacing w:line="340" w:lineRule="exact"/>
              <w:ind w:firstLine="0" w:firstLineChars="0"/>
              <w:jc w:val="center"/>
              <w:rPr>
                <w:sz w:val="21"/>
                <w:szCs w:val="21"/>
              </w:rPr>
            </w:pPr>
            <w:r>
              <w:rPr>
                <w:sz w:val="21"/>
                <w:szCs w:val="21"/>
              </w:rPr>
              <w:t>pH</w:t>
            </w:r>
          </w:p>
        </w:tc>
        <w:tc>
          <w:tcPr>
            <w:tcW w:w="422" w:type="pct"/>
            <w:tcBorders>
              <w:left w:val="single" w:color="auto" w:sz="4" w:space="0"/>
            </w:tcBorders>
            <w:vAlign w:val="center"/>
          </w:tcPr>
          <w:p>
            <w:pPr>
              <w:spacing w:line="340" w:lineRule="exact"/>
              <w:ind w:firstLine="0" w:firstLineChars="0"/>
              <w:jc w:val="center"/>
              <w:rPr>
                <w:sz w:val="21"/>
                <w:szCs w:val="21"/>
              </w:rPr>
            </w:pPr>
            <w:r>
              <w:rPr>
                <w:rFonts w:hAnsi="宋体"/>
                <w:sz w:val="21"/>
                <w:szCs w:val="21"/>
              </w:rPr>
              <w:t>铅</w:t>
            </w:r>
          </w:p>
        </w:tc>
        <w:tc>
          <w:tcPr>
            <w:tcW w:w="422" w:type="pct"/>
            <w:tcBorders>
              <w:right w:val="single" w:color="auto" w:sz="4" w:space="0"/>
            </w:tcBorders>
            <w:vAlign w:val="center"/>
          </w:tcPr>
          <w:p>
            <w:pPr>
              <w:spacing w:line="340" w:lineRule="exact"/>
              <w:ind w:firstLine="0" w:firstLineChars="0"/>
              <w:jc w:val="center"/>
              <w:rPr>
                <w:sz w:val="21"/>
                <w:szCs w:val="21"/>
              </w:rPr>
            </w:pPr>
            <w:r>
              <w:rPr>
                <w:rFonts w:hint="eastAsia"/>
                <w:sz w:val="21"/>
                <w:szCs w:val="21"/>
              </w:rPr>
              <w:t>镉</w:t>
            </w:r>
          </w:p>
        </w:tc>
        <w:tc>
          <w:tcPr>
            <w:tcW w:w="422" w:type="pct"/>
            <w:tcBorders>
              <w:left w:val="single" w:color="auto" w:sz="4" w:space="0"/>
            </w:tcBorders>
            <w:vAlign w:val="center"/>
          </w:tcPr>
          <w:p>
            <w:pPr>
              <w:spacing w:line="340" w:lineRule="exact"/>
              <w:ind w:firstLine="0" w:firstLineChars="0"/>
              <w:jc w:val="center"/>
              <w:rPr>
                <w:rFonts w:hAnsi="宋体"/>
                <w:sz w:val="21"/>
                <w:szCs w:val="21"/>
              </w:rPr>
            </w:pPr>
            <w:r>
              <w:rPr>
                <w:rFonts w:hint="eastAsia" w:hAnsi="宋体"/>
                <w:sz w:val="21"/>
                <w:szCs w:val="21"/>
              </w:rPr>
              <w:t>汞</w:t>
            </w:r>
          </w:p>
        </w:tc>
        <w:tc>
          <w:tcPr>
            <w:tcW w:w="422" w:type="pct"/>
            <w:vAlign w:val="center"/>
          </w:tcPr>
          <w:p>
            <w:pPr>
              <w:spacing w:line="340" w:lineRule="exact"/>
              <w:ind w:firstLine="0" w:firstLineChars="0"/>
              <w:jc w:val="center"/>
              <w:rPr>
                <w:rFonts w:hAnsi="宋体"/>
                <w:sz w:val="21"/>
                <w:szCs w:val="21"/>
              </w:rPr>
            </w:pPr>
            <w:r>
              <w:rPr>
                <w:rFonts w:hAnsi="宋体"/>
                <w:sz w:val="21"/>
                <w:szCs w:val="21"/>
              </w:rPr>
              <w:t>砷</w:t>
            </w:r>
          </w:p>
        </w:tc>
        <w:tc>
          <w:tcPr>
            <w:tcW w:w="422" w:type="pct"/>
            <w:vAlign w:val="center"/>
          </w:tcPr>
          <w:p>
            <w:pPr>
              <w:spacing w:line="340" w:lineRule="exact"/>
              <w:ind w:firstLine="0" w:firstLineChars="0"/>
              <w:jc w:val="center"/>
              <w:rPr>
                <w:rFonts w:hAnsi="宋体"/>
                <w:sz w:val="21"/>
                <w:szCs w:val="21"/>
              </w:rPr>
            </w:pPr>
            <w:r>
              <w:rPr>
                <w:rFonts w:hAnsi="宋体"/>
                <w:sz w:val="21"/>
                <w:szCs w:val="21"/>
              </w:rPr>
              <w:t>铜</w:t>
            </w:r>
          </w:p>
        </w:tc>
        <w:tc>
          <w:tcPr>
            <w:tcW w:w="422" w:type="pct"/>
            <w:tcBorders>
              <w:right w:val="single" w:color="auto" w:sz="4" w:space="0"/>
            </w:tcBorders>
            <w:vAlign w:val="center"/>
          </w:tcPr>
          <w:p>
            <w:pPr>
              <w:spacing w:line="340" w:lineRule="exact"/>
              <w:ind w:firstLine="0" w:firstLineChars="0"/>
              <w:jc w:val="center"/>
              <w:rPr>
                <w:rFonts w:hAnsi="宋体"/>
                <w:sz w:val="21"/>
                <w:szCs w:val="21"/>
              </w:rPr>
            </w:pPr>
            <w:r>
              <w:rPr>
                <w:rFonts w:hAnsi="宋体"/>
                <w:sz w:val="21"/>
                <w:szCs w:val="21"/>
              </w:rPr>
              <w:t>锌</w:t>
            </w:r>
          </w:p>
        </w:tc>
        <w:tc>
          <w:tcPr>
            <w:tcW w:w="410" w:type="pct"/>
            <w:vAlign w:val="center"/>
          </w:tcPr>
          <w:p>
            <w:pPr>
              <w:spacing w:line="340" w:lineRule="exact"/>
              <w:ind w:firstLine="0" w:firstLineChars="0"/>
              <w:jc w:val="center"/>
              <w:rPr>
                <w:rFonts w:hAnsi="宋体"/>
                <w:sz w:val="21"/>
                <w:szCs w:val="21"/>
              </w:rPr>
            </w:pPr>
            <w:r>
              <w:rPr>
                <w:rFonts w:hAnsi="宋体"/>
                <w:sz w:val="21"/>
                <w:szCs w:val="21"/>
              </w:rPr>
              <w:t>铬</w:t>
            </w:r>
          </w:p>
        </w:tc>
        <w:tc>
          <w:tcPr>
            <w:tcW w:w="424" w:type="pct"/>
            <w:vAlign w:val="center"/>
          </w:tcPr>
          <w:p>
            <w:pPr>
              <w:spacing w:line="340" w:lineRule="exact"/>
              <w:ind w:firstLine="0" w:firstLineChars="0"/>
              <w:jc w:val="center"/>
              <w:rPr>
                <w:rFonts w:hAnsi="宋体"/>
                <w:sz w:val="21"/>
                <w:szCs w:val="21"/>
              </w:rPr>
            </w:pPr>
            <w:r>
              <w:rPr>
                <w:rFonts w:hint="eastAsia" w:hAnsi="宋体"/>
                <w:sz w:val="21"/>
                <w:szCs w:val="21"/>
              </w:rPr>
              <w:t>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tblHeader/>
          <w:jc w:val="center"/>
        </w:trPr>
        <w:tc>
          <w:tcPr>
            <w:tcW w:w="1049" w:type="pct"/>
            <w:gridSpan w:val="2"/>
            <w:vMerge w:val="continue"/>
            <w:tcBorders>
              <w:bottom w:val="single" w:color="auto" w:sz="6" w:space="0"/>
              <w:tl2br w:val="single" w:color="auto" w:sz="6" w:space="0"/>
            </w:tcBorders>
            <w:vAlign w:val="center"/>
          </w:tcPr>
          <w:p>
            <w:pPr>
              <w:spacing w:line="340" w:lineRule="exact"/>
              <w:ind w:firstLine="0" w:firstLineChars="0"/>
              <w:jc w:val="center"/>
              <w:rPr>
                <w:rFonts w:hAnsi="宋体"/>
                <w:sz w:val="21"/>
                <w:szCs w:val="21"/>
              </w:rPr>
            </w:pPr>
          </w:p>
        </w:tc>
        <w:tc>
          <w:tcPr>
            <w:tcW w:w="578" w:type="pct"/>
            <w:tcBorders>
              <w:bottom w:val="single" w:color="auto" w:sz="6" w:space="0"/>
              <w:right w:val="single" w:color="auto" w:sz="4" w:space="0"/>
            </w:tcBorders>
            <w:vAlign w:val="center"/>
          </w:tcPr>
          <w:p>
            <w:pPr>
              <w:pStyle w:val="694"/>
              <w:kinsoku w:val="0"/>
              <w:overflowPunct w:val="0"/>
              <w:spacing w:line="340" w:lineRule="exact"/>
              <w:jc w:val="center"/>
              <w:rPr>
                <w:szCs w:val="21"/>
              </w:rPr>
            </w:pPr>
            <w:r>
              <w:rPr>
                <w:rFonts w:hint="eastAsia" w:hAnsi="宋体"/>
                <w:bCs/>
                <w:w w:val="99"/>
                <w:szCs w:val="21"/>
              </w:rPr>
              <w:t>5.5＜pH≤6.5</w:t>
            </w:r>
          </w:p>
        </w:tc>
        <w:tc>
          <w:tcPr>
            <w:tcW w:w="422" w:type="pct"/>
            <w:tcBorders>
              <w:left w:val="single" w:color="auto" w:sz="4" w:space="0"/>
              <w:bottom w:val="single" w:color="auto" w:sz="6" w:space="0"/>
            </w:tcBorders>
            <w:vAlign w:val="center"/>
          </w:tcPr>
          <w:p>
            <w:pPr>
              <w:pStyle w:val="694"/>
              <w:kinsoku w:val="0"/>
              <w:overflowPunct w:val="0"/>
              <w:spacing w:line="340" w:lineRule="exact"/>
              <w:jc w:val="center"/>
              <w:rPr>
                <w:szCs w:val="21"/>
              </w:rPr>
            </w:pPr>
            <w:r>
              <w:rPr>
                <w:rFonts w:hint="eastAsia"/>
                <w:szCs w:val="21"/>
              </w:rPr>
              <w:t>90</w:t>
            </w:r>
          </w:p>
        </w:tc>
        <w:tc>
          <w:tcPr>
            <w:tcW w:w="422" w:type="pct"/>
            <w:tcBorders>
              <w:bottom w:val="single" w:color="auto" w:sz="6" w:space="0"/>
              <w:right w:val="single" w:color="auto" w:sz="4" w:space="0"/>
            </w:tcBorders>
            <w:vAlign w:val="center"/>
          </w:tcPr>
          <w:p>
            <w:pPr>
              <w:pStyle w:val="694"/>
              <w:kinsoku w:val="0"/>
              <w:overflowPunct w:val="0"/>
              <w:spacing w:line="340" w:lineRule="exact"/>
              <w:jc w:val="center"/>
              <w:rPr>
                <w:szCs w:val="21"/>
              </w:rPr>
            </w:pPr>
            <w:r>
              <w:rPr>
                <w:rFonts w:hint="eastAsia"/>
                <w:szCs w:val="21"/>
              </w:rPr>
              <w:t>0.3</w:t>
            </w:r>
          </w:p>
        </w:tc>
        <w:tc>
          <w:tcPr>
            <w:tcW w:w="422" w:type="pct"/>
            <w:tcBorders>
              <w:left w:val="single" w:color="auto" w:sz="4" w:space="0"/>
              <w:bottom w:val="single" w:color="auto" w:sz="6" w:space="0"/>
            </w:tcBorders>
            <w:vAlign w:val="center"/>
          </w:tcPr>
          <w:p>
            <w:pPr>
              <w:spacing w:line="340" w:lineRule="exact"/>
              <w:ind w:firstLine="0" w:firstLineChars="0"/>
              <w:jc w:val="center"/>
              <w:rPr>
                <w:rFonts w:hAnsi="宋体"/>
                <w:sz w:val="21"/>
                <w:szCs w:val="21"/>
              </w:rPr>
            </w:pPr>
            <w:r>
              <w:rPr>
                <w:rFonts w:hint="eastAsia" w:hAnsi="宋体"/>
                <w:sz w:val="21"/>
                <w:szCs w:val="21"/>
              </w:rPr>
              <w:t>1.8</w:t>
            </w:r>
          </w:p>
        </w:tc>
        <w:tc>
          <w:tcPr>
            <w:tcW w:w="422" w:type="pct"/>
            <w:tcBorders>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40</w:t>
            </w:r>
          </w:p>
        </w:tc>
        <w:tc>
          <w:tcPr>
            <w:tcW w:w="422" w:type="pct"/>
            <w:tcBorders>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50</w:t>
            </w:r>
          </w:p>
        </w:tc>
        <w:tc>
          <w:tcPr>
            <w:tcW w:w="422" w:type="pct"/>
            <w:tcBorders>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200</w:t>
            </w:r>
          </w:p>
        </w:tc>
        <w:tc>
          <w:tcPr>
            <w:tcW w:w="410" w:type="pct"/>
            <w:tcBorders>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150</w:t>
            </w:r>
          </w:p>
        </w:tc>
        <w:tc>
          <w:tcPr>
            <w:tcW w:w="424" w:type="pct"/>
            <w:tcBorders>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restart"/>
            <w:tcBorders>
              <w:top w:val="single" w:color="auto" w:sz="6" w:space="0"/>
              <w:bottom w:val="single" w:color="auto" w:sz="6" w:space="0"/>
            </w:tcBorders>
            <w:vAlign w:val="center"/>
          </w:tcPr>
          <w:p>
            <w:pPr>
              <w:spacing w:line="340" w:lineRule="exact"/>
              <w:ind w:firstLine="0" w:firstLineChars="0"/>
              <w:jc w:val="center"/>
              <w:rPr>
                <w:sz w:val="21"/>
                <w:szCs w:val="21"/>
              </w:rPr>
            </w:pPr>
            <w:r>
              <w:rPr>
                <w:sz w:val="21"/>
                <w:szCs w:val="21"/>
              </w:rPr>
              <w:t>S</w:t>
            </w:r>
            <w:r>
              <w:rPr>
                <w:rFonts w:hint="eastAsia"/>
                <w:sz w:val="21"/>
                <w:szCs w:val="21"/>
              </w:rPr>
              <w:t>2</w:t>
            </w: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监测值</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6.31</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77.0</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0.15</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0.172</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11.4</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44</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57</w:t>
            </w:r>
          </w:p>
        </w:tc>
        <w:tc>
          <w:tcPr>
            <w:tcW w:w="410"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0.5L</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continue"/>
            <w:tcBorders>
              <w:top w:val="single" w:color="auto" w:sz="6" w:space="0"/>
              <w:bottom w:val="single" w:color="auto" w:sz="6" w:space="0"/>
            </w:tcBorders>
            <w:vAlign w:val="center"/>
          </w:tcPr>
          <w:p>
            <w:pPr>
              <w:spacing w:line="340" w:lineRule="exact"/>
              <w:ind w:firstLine="0" w:firstLineChars="0"/>
              <w:jc w:val="center"/>
              <w:rPr>
                <w:sz w:val="21"/>
                <w:szCs w:val="21"/>
              </w:rPr>
            </w:pP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单因子指数</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0.856 </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0.50 </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0.096 </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0.285 </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0.88 </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0.285 </w:t>
            </w:r>
          </w:p>
        </w:tc>
        <w:tc>
          <w:tcPr>
            <w:tcW w:w="410"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szCs w:val="21"/>
              </w:rPr>
              <w:t>&lt;1</w:t>
            </w:r>
            <w:r>
              <w:rPr>
                <w:rFonts w:hint="eastAsia" w:hAnsi="宋体"/>
                <w:szCs w:val="21"/>
              </w:rPr>
              <w:t xml:space="preserve"> </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0.429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continue"/>
            <w:tcBorders>
              <w:top w:val="single" w:color="auto" w:sz="6" w:space="0"/>
              <w:bottom w:val="single" w:color="auto" w:sz="6" w:space="0"/>
            </w:tcBorders>
            <w:vAlign w:val="center"/>
          </w:tcPr>
          <w:p>
            <w:pPr>
              <w:spacing w:line="340" w:lineRule="exact"/>
              <w:ind w:firstLine="0" w:firstLineChars="0"/>
              <w:jc w:val="center"/>
              <w:rPr>
                <w:sz w:val="21"/>
                <w:szCs w:val="21"/>
              </w:rPr>
            </w:pP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超标</w:t>
            </w:r>
            <w:r>
              <w:rPr>
                <w:rFonts w:hint="eastAsia" w:hAnsi="宋体"/>
                <w:sz w:val="21"/>
                <w:szCs w:val="21"/>
              </w:rPr>
              <w:t>情况</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10"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restart"/>
            <w:tcBorders>
              <w:top w:val="single" w:color="auto" w:sz="6" w:space="0"/>
            </w:tcBorders>
            <w:vAlign w:val="center"/>
          </w:tcPr>
          <w:p>
            <w:pPr>
              <w:spacing w:line="340" w:lineRule="exact"/>
              <w:ind w:firstLine="0" w:firstLineChars="0"/>
              <w:jc w:val="center"/>
              <w:rPr>
                <w:sz w:val="21"/>
                <w:szCs w:val="21"/>
              </w:rPr>
            </w:pPr>
            <w:r>
              <w:rPr>
                <w:sz w:val="21"/>
                <w:szCs w:val="21"/>
              </w:rPr>
              <w:t>S</w:t>
            </w:r>
            <w:r>
              <w:rPr>
                <w:rFonts w:hint="eastAsia"/>
                <w:sz w:val="21"/>
                <w:szCs w:val="21"/>
              </w:rPr>
              <w:t>3</w:t>
            </w: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监测值</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6.44</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64</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0.13</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0.135</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10.3</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43</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58</w:t>
            </w:r>
          </w:p>
        </w:tc>
        <w:tc>
          <w:tcPr>
            <w:tcW w:w="777" w:type="dxa"/>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0.5L</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continue"/>
            <w:vAlign w:val="center"/>
          </w:tcPr>
          <w:p>
            <w:pPr>
              <w:spacing w:line="340" w:lineRule="exact"/>
              <w:ind w:firstLine="0" w:firstLineChars="0"/>
              <w:jc w:val="center"/>
              <w:rPr>
                <w:sz w:val="21"/>
                <w:szCs w:val="21"/>
              </w:rPr>
            </w:pP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单因子指数</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0.711</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0.433 </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0.075 </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0.258 </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0.86</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0.29</w:t>
            </w:r>
          </w:p>
        </w:tc>
        <w:tc>
          <w:tcPr>
            <w:tcW w:w="777" w:type="dxa"/>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szCs w:val="21"/>
              </w:rPr>
              <w:t>&lt;1</w:t>
            </w:r>
            <w:r>
              <w:rPr>
                <w:rFonts w:hint="eastAsia" w:hAnsi="宋体"/>
                <w:szCs w:val="21"/>
              </w:rPr>
              <w:t xml:space="preserve"> </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 xml:space="preserve">0.414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261" w:type="pct"/>
            <w:vMerge w:val="continue"/>
            <w:tcBorders>
              <w:bottom w:val="single" w:color="auto" w:sz="6" w:space="0"/>
            </w:tcBorders>
            <w:vAlign w:val="center"/>
          </w:tcPr>
          <w:p>
            <w:pPr>
              <w:spacing w:line="340" w:lineRule="exact"/>
              <w:ind w:firstLine="0" w:firstLineChars="0"/>
              <w:jc w:val="center"/>
              <w:rPr>
                <w:sz w:val="21"/>
                <w:szCs w:val="21"/>
              </w:rPr>
            </w:pPr>
          </w:p>
        </w:tc>
        <w:tc>
          <w:tcPr>
            <w:tcW w:w="788" w:type="pct"/>
            <w:tcBorders>
              <w:top w:val="single" w:color="auto" w:sz="6" w:space="0"/>
              <w:bottom w:val="single" w:color="auto" w:sz="6" w:space="0"/>
            </w:tcBorders>
            <w:vAlign w:val="center"/>
          </w:tcPr>
          <w:p>
            <w:pPr>
              <w:spacing w:line="340" w:lineRule="exact"/>
              <w:ind w:firstLine="0" w:firstLineChars="0"/>
              <w:jc w:val="center"/>
              <w:rPr>
                <w:sz w:val="21"/>
                <w:szCs w:val="21"/>
              </w:rPr>
            </w:pPr>
            <w:r>
              <w:rPr>
                <w:rFonts w:hAnsi="宋体"/>
                <w:sz w:val="21"/>
                <w:szCs w:val="21"/>
              </w:rPr>
              <w:t>超标</w:t>
            </w:r>
            <w:r>
              <w:rPr>
                <w:rFonts w:hint="eastAsia" w:hAnsi="宋体"/>
                <w:sz w:val="21"/>
                <w:szCs w:val="21"/>
              </w:rPr>
              <w:t>情况</w:t>
            </w:r>
          </w:p>
        </w:tc>
        <w:tc>
          <w:tcPr>
            <w:tcW w:w="578"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left w:val="single" w:color="auto" w:sz="4"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2" w:type="pct"/>
            <w:tcBorders>
              <w:top w:val="single" w:color="auto" w:sz="6" w:space="0"/>
              <w:bottom w:val="single" w:color="auto" w:sz="6" w:space="0"/>
              <w:right w:val="single" w:color="auto" w:sz="4"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10"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c>
          <w:tcPr>
            <w:tcW w:w="424" w:type="pct"/>
            <w:tcBorders>
              <w:top w:val="single" w:color="auto" w:sz="6" w:space="0"/>
              <w:bottom w:val="single" w:color="auto" w:sz="6" w:space="0"/>
            </w:tcBorders>
            <w:vAlign w:val="center"/>
          </w:tcPr>
          <w:p>
            <w:pPr>
              <w:pStyle w:val="694"/>
              <w:kinsoku w:val="0"/>
              <w:overflowPunct w:val="0"/>
              <w:spacing w:line="340" w:lineRule="exact"/>
              <w:jc w:val="center"/>
              <w:rPr>
                <w:rFonts w:hAnsi="宋体"/>
                <w:szCs w:val="21"/>
              </w:rPr>
            </w:pPr>
            <w:r>
              <w:rPr>
                <w:rFonts w:hint="eastAsia" w:hAnsi="宋体"/>
                <w:szCs w:val="21"/>
              </w:rPr>
              <w:t>达标</w:t>
            </w:r>
          </w:p>
        </w:tc>
      </w:tr>
    </w:tbl>
    <w:p>
      <w:pPr>
        <w:ind w:firstLine="480"/>
      </w:pPr>
      <w:r>
        <w:rPr>
          <w:rFonts w:hint="eastAsia"/>
        </w:rPr>
        <w:t>由表4.4-11~4.4-12可知，根据土壤环境现状监测数据，厂区占地范围内各监测指标均满足《建设用地土壤污染风险管控标准（试行）》（</w:t>
      </w:r>
      <w:r>
        <w:rPr>
          <w:rFonts w:hint="eastAsia"/>
          <w:szCs w:val="24"/>
        </w:rPr>
        <w:t>GB36/1282-2020</w:t>
      </w:r>
      <w:r>
        <w:rPr>
          <w:rFonts w:hint="eastAsia"/>
        </w:rPr>
        <w:t>）二类用地土壤污染风险筛选值，厂区占地范围外各监测指标均满足《土壤环境质量  农用地土壤污染风险管控标准（试行）》（GB 15618-2018）农用地土壤污染风险筛选值，工程占地范围内、外均未发生盐化、碱化。厂区占地及评价范围内土壤环境质量良好。</w:t>
      </w:r>
    </w:p>
    <w:p>
      <w:pPr>
        <w:pStyle w:val="835"/>
        <w:spacing w:before="0" w:line="360" w:lineRule="auto"/>
      </w:pPr>
      <w:r>
        <w:t>4.</w:t>
      </w:r>
      <w:r>
        <w:rPr>
          <w:rFonts w:hint="eastAsia"/>
        </w:rPr>
        <w:t>4</w:t>
      </w:r>
      <w:r>
        <w:t>.</w:t>
      </w:r>
      <w:r>
        <w:rPr>
          <w:rFonts w:hint="eastAsia"/>
        </w:rPr>
        <w:t>6底泥现状监测与评价</w:t>
      </w:r>
    </w:p>
    <w:p>
      <w:pPr>
        <w:numPr>
          <w:ilvl w:val="0"/>
          <w:numId w:val="8"/>
        </w:numPr>
        <w:ind w:firstLine="503"/>
        <w:rPr>
          <w:w w:val="105"/>
          <w:szCs w:val="24"/>
        </w:rPr>
      </w:pPr>
      <w:r>
        <w:rPr>
          <w:w w:val="105"/>
          <w:szCs w:val="24"/>
        </w:rPr>
        <w:t>监测点位布设</w:t>
      </w:r>
    </w:p>
    <w:p>
      <w:pPr>
        <w:ind w:firstLine="503"/>
        <w:rPr>
          <w:w w:val="105"/>
          <w:szCs w:val="24"/>
        </w:rPr>
      </w:pPr>
      <w:r>
        <w:rPr>
          <w:w w:val="105"/>
          <w:szCs w:val="24"/>
        </w:rPr>
        <w:t>共布设</w:t>
      </w:r>
      <w:r>
        <w:rPr>
          <w:rFonts w:hint="eastAsia"/>
          <w:w w:val="105"/>
          <w:szCs w:val="24"/>
        </w:rPr>
        <w:t>2</w:t>
      </w:r>
      <w:r>
        <w:rPr>
          <w:w w:val="105"/>
          <w:szCs w:val="24"/>
        </w:rPr>
        <w:t>个监测点。</w:t>
      </w:r>
    </w:p>
    <w:p>
      <w:pPr>
        <w:spacing w:before="120" w:beforeLines="50" w:line="240" w:lineRule="auto"/>
        <w:ind w:firstLine="756" w:firstLineChars="300"/>
        <w:jc w:val="center"/>
        <w:rPr>
          <w:rFonts w:ascii="黑体" w:hAnsi="黑体" w:eastAsia="黑体" w:cs="黑体"/>
          <w:bCs/>
          <w:w w:val="105"/>
          <w:szCs w:val="24"/>
        </w:rPr>
      </w:pPr>
      <w:r>
        <w:rPr>
          <w:rFonts w:hint="eastAsia" w:ascii="黑体" w:hAnsi="黑体" w:eastAsia="黑体" w:cs="黑体"/>
          <w:bCs/>
          <w:w w:val="105"/>
          <w:szCs w:val="24"/>
        </w:rPr>
        <w:t>表4.4-13  底泥监测点位</w:t>
      </w:r>
    </w:p>
    <w:tbl>
      <w:tblPr>
        <w:tblStyle w:val="8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510"/>
        <w:gridCol w:w="3331"/>
        <w:gridCol w:w="35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vAlign w:val="center"/>
          </w:tcPr>
          <w:p>
            <w:pPr>
              <w:spacing w:line="340" w:lineRule="exact"/>
              <w:ind w:firstLine="0" w:firstLineChars="0"/>
              <w:jc w:val="center"/>
              <w:rPr>
                <w:w w:val="105"/>
                <w:sz w:val="21"/>
                <w:szCs w:val="21"/>
              </w:rPr>
            </w:pPr>
            <w:r>
              <w:rPr>
                <w:w w:val="105"/>
                <w:sz w:val="21"/>
                <w:szCs w:val="21"/>
              </w:rPr>
              <w:t>序号</w:t>
            </w:r>
          </w:p>
        </w:tc>
        <w:tc>
          <w:tcPr>
            <w:tcW w:w="789" w:type="pct"/>
            <w:vAlign w:val="center"/>
          </w:tcPr>
          <w:p>
            <w:pPr>
              <w:spacing w:line="340" w:lineRule="exact"/>
              <w:ind w:firstLine="0" w:firstLineChars="0"/>
              <w:jc w:val="center"/>
              <w:rPr>
                <w:w w:val="105"/>
                <w:sz w:val="21"/>
                <w:szCs w:val="21"/>
              </w:rPr>
            </w:pPr>
            <w:r>
              <w:rPr>
                <w:rFonts w:hint="eastAsia"/>
                <w:w w:val="105"/>
                <w:sz w:val="21"/>
                <w:szCs w:val="21"/>
              </w:rPr>
              <w:t>监测位置</w:t>
            </w:r>
          </w:p>
        </w:tc>
        <w:tc>
          <w:tcPr>
            <w:tcW w:w="1741" w:type="pct"/>
            <w:vAlign w:val="center"/>
          </w:tcPr>
          <w:p>
            <w:pPr>
              <w:spacing w:line="340" w:lineRule="exact"/>
              <w:ind w:firstLine="0" w:firstLineChars="0"/>
              <w:jc w:val="center"/>
              <w:rPr>
                <w:w w:val="105"/>
                <w:sz w:val="21"/>
                <w:szCs w:val="21"/>
              </w:rPr>
            </w:pPr>
            <w:r>
              <w:rPr>
                <w:rFonts w:hint="eastAsia"/>
                <w:w w:val="105"/>
                <w:sz w:val="21"/>
                <w:szCs w:val="21"/>
              </w:rPr>
              <w:t>地理位置</w:t>
            </w:r>
          </w:p>
        </w:tc>
        <w:tc>
          <w:tcPr>
            <w:tcW w:w="1861" w:type="pct"/>
            <w:vAlign w:val="center"/>
          </w:tcPr>
          <w:p>
            <w:pPr>
              <w:spacing w:line="340" w:lineRule="exact"/>
              <w:ind w:firstLine="0" w:firstLineChars="0"/>
              <w:jc w:val="center"/>
              <w:rPr>
                <w:sz w:val="21"/>
                <w:szCs w:val="21"/>
              </w:rPr>
            </w:pPr>
            <w:r>
              <w:rPr>
                <w:sz w:val="21"/>
                <w:szCs w:val="21"/>
              </w:rPr>
              <w:t>监测项目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07" w:type="pct"/>
            <w:vAlign w:val="center"/>
          </w:tcPr>
          <w:p>
            <w:pPr>
              <w:spacing w:line="340" w:lineRule="exact"/>
              <w:ind w:firstLine="0" w:firstLineChars="0"/>
              <w:jc w:val="center"/>
              <w:rPr>
                <w:w w:val="105"/>
                <w:sz w:val="21"/>
                <w:szCs w:val="21"/>
              </w:rPr>
            </w:pPr>
            <w:r>
              <w:rPr>
                <w:rFonts w:hint="eastAsia"/>
                <w:sz w:val="21"/>
                <w:szCs w:val="21"/>
              </w:rPr>
              <w:t>D</w:t>
            </w:r>
            <w:r>
              <w:rPr>
                <w:sz w:val="21"/>
                <w:szCs w:val="21"/>
              </w:rPr>
              <w:t>1</w:t>
            </w:r>
          </w:p>
        </w:tc>
        <w:tc>
          <w:tcPr>
            <w:tcW w:w="789" w:type="pct"/>
            <w:vAlign w:val="center"/>
          </w:tcPr>
          <w:p>
            <w:pPr>
              <w:spacing w:line="340" w:lineRule="exact"/>
              <w:ind w:firstLine="0" w:firstLineChars="0"/>
              <w:jc w:val="center"/>
              <w:rPr>
                <w:w w:val="105"/>
                <w:sz w:val="21"/>
                <w:szCs w:val="21"/>
              </w:rPr>
            </w:pPr>
            <w:r>
              <w:rPr>
                <w:rFonts w:hint="eastAsia"/>
                <w:sz w:val="21"/>
                <w:szCs w:val="21"/>
              </w:rPr>
              <w:t>靠坝址右岸</w:t>
            </w:r>
          </w:p>
        </w:tc>
        <w:tc>
          <w:tcPr>
            <w:tcW w:w="1741" w:type="pct"/>
            <w:vAlign w:val="center"/>
          </w:tcPr>
          <w:p>
            <w:pPr>
              <w:spacing w:line="340" w:lineRule="exact"/>
              <w:ind w:firstLine="0" w:firstLineChars="0"/>
              <w:jc w:val="center"/>
              <w:rPr>
                <w:sz w:val="21"/>
                <w:szCs w:val="21"/>
              </w:rPr>
            </w:pPr>
            <w:r>
              <w:rPr>
                <w:sz w:val="21"/>
                <w:szCs w:val="21"/>
              </w:rPr>
              <w:t>114°57′53.96″</w:t>
            </w:r>
            <w:r>
              <w:rPr>
                <w:rFonts w:hint="eastAsia"/>
                <w:sz w:val="21"/>
                <w:szCs w:val="21"/>
              </w:rPr>
              <w:t>，</w:t>
            </w:r>
            <w:r>
              <w:rPr>
                <w:sz w:val="21"/>
                <w:szCs w:val="21"/>
              </w:rPr>
              <w:t>28°14′32.81″</w:t>
            </w:r>
          </w:p>
        </w:tc>
        <w:tc>
          <w:tcPr>
            <w:tcW w:w="1861" w:type="pct"/>
            <w:vMerge w:val="restart"/>
            <w:vAlign w:val="center"/>
          </w:tcPr>
          <w:p>
            <w:pPr>
              <w:spacing w:line="340" w:lineRule="exact"/>
              <w:ind w:firstLine="0" w:firstLineChars="0"/>
              <w:jc w:val="center"/>
              <w:rPr>
                <w:sz w:val="21"/>
                <w:szCs w:val="21"/>
              </w:rPr>
            </w:pPr>
            <w:r>
              <w:rPr>
                <w:rFonts w:hint="eastAsia"/>
                <w:sz w:val="21"/>
                <w:szCs w:val="21"/>
              </w:rPr>
              <w:t>pH、镉、汞、砷、铅、铬、铜、镍 、锌共</w:t>
            </w:r>
            <w:r>
              <w:rPr>
                <w:sz w:val="21"/>
                <w:szCs w:val="21"/>
              </w:rPr>
              <w:t>9</w:t>
            </w:r>
            <w:r>
              <w:rPr>
                <w:rFonts w:hint="eastAsia"/>
                <w:sz w:val="21"/>
                <w:szCs w:val="21"/>
              </w:rPr>
              <w:t>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7" w:type="pct"/>
            <w:vAlign w:val="center"/>
          </w:tcPr>
          <w:p>
            <w:pPr>
              <w:spacing w:line="340" w:lineRule="exact"/>
              <w:ind w:firstLine="0" w:firstLineChars="0"/>
              <w:jc w:val="center"/>
              <w:rPr>
                <w:w w:val="105"/>
                <w:sz w:val="21"/>
                <w:szCs w:val="21"/>
              </w:rPr>
            </w:pPr>
            <w:r>
              <w:rPr>
                <w:rFonts w:hint="eastAsia"/>
                <w:sz w:val="21"/>
                <w:szCs w:val="21"/>
              </w:rPr>
              <w:t>D2</w:t>
            </w:r>
          </w:p>
        </w:tc>
        <w:tc>
          <w:tcPr>
            <w:tcW w:w="789" w:type="pct"/>
            <w:vAlign w:val="center"/>
          </w:tcPr>
          <w:p>
            <w:pPr>
              <w:spacing w:line="340" w:lineRule="exact"/>
              <w:ind w:firstLine="0" w:firstLineChars="0"/>
              <w:jc w:val="center"/>
              <w:rPr>
                <w:w w:val="105"/>
                <w:sz w:val="21"/>
                <w:szCs w:val="21"/>
              </w:rPr>
            </w:pPr>
            <w:r>
              <w:rPr>
                <w:rFonts w:hint="eastAsia"/>
                <w:sz w:val="21"/>
                <w:szCs w:val="21"/>
              </w:rPr>
              <w:t>靠坝址左岸</w:t>
            </w:r>
          </w:p>
        </w:tc>
        <w:tc>
          <w:tcPr>
            <w:tcW w:w="1741" w:type="pct"/>
            <w:vAlign w:val="center"/>
          </w:tcPr>
          <w:p>
            <w:pPr>
              <w:spacing w:line="340" w:lineRule="exact"/>
              <w:ind w:firstLine="0" w:firstLineChars="0"/>
              <w:jc w:val="center"/>
              <w:rPr>
                <w:sz w:val="21"/>
                <w:szCs w:val="21"/>
              </w:rPr>
            </w:pPr>
            <w:r>
              <w:rPr>
                <w:sz w:val="21"/>
                <w:szCs w:val="21"/>
              </w:rPr>
              <w:t>114°57′49.78″</w:t>
            </w:r>
            <w:r>
              <w:rPr>
                <w:rFonts w:hint="eastAsia"/>
                <w:sz w:val="21"/>
                <w:szCs w:val="21"/>
              </w:rPr>
              <w:t>，</w:t>
            </w:r>
            <w:r>
              <w:rPr>
                <w:sz w:val="21"/>
                <w:szCs w:val="21"/>
              </w:rPr>
              <w:t>28°14′33.41″</w:t>
            </w:r>
          </w:p>
        </w:tc>
        <w:tc>
          <w:tcPr>
            <w:tcW w:w="1861" w:type="pct"/>
            <w:vMerge w:val="continue"/>
            <w:vAlign w:val="center"/>
          </w:tcPr>
          <w:p>
            <w:pPr>
              <w:spacing w:line="340" w:lineRule="exact"/>
              <w:ind w:firstLine="420"/>
              <w:jc w:val="center"/>
              <w:rPr>
                <w:sz w:val="21"/>
                <w:szCs w:val="21"/>
              </w:rPr>
            </w:pPr>
          </w:p>
        </w:tc>
      </w:tr>
    </w:tbl>
    <w:p>
      <w:pPr>
        <w:numPr>
          <w:ilvl w:val="0"/>
          <w:numId w:val="8"/>
        </w:numPr>
        <w:ind w:firstLine="503"/>
        <w:rPr>
          <w:w w:val="105"/>
          <w:szCs w:val="24"/>
        </w:rPr>
      </w:pPr>
      <w:r>
        <w:rPr>
          <w:w w:val="105"/>
          <w:szCs w:val="24"/>
        </w:rPr>
        <w:t>监测因子及分析方法</w:t>
      </w:r>
    </w:p>
    <w:p>
      <w:pPr>
        <w:ind w:firstLine="503"/>
        <w:rPr>
          <w:w w:val="105"/>
          <w:szCs w:val="24"/>
        </w:rPr>
      </w:pPr>
      <w:r>
        <w:rPr>
          <w:w w:val="105"/>
          <w:szCs w:val="24"/>
        </w:rPr>
        <w:t>监测因子分别选取pH、Cu、Zn、Cd、Cr、Hg、As、Pb、Ni共计9个监测因子，底泥监测分析方法参照土壤环境监测分析方法，并按照国家环保行业标准《土壤环境监测技术规范》（HJ/T166-2004）等有关监测技术要求进行。</w:t>
      </w:r>
    </w:p>
    <w:p>
      <w:pPr>
        <w:numPr>
          <w:ilvl w:val="0"/>
          <w:numId w:val="8"/>
        </w:numPr>
        <w:ind w:firstLine="503"/>
        <w:rPr>
          <w:w w:val="105"/>
          <w:szCs w:val="24"/>
        </w:rPr>
      </w:pPr>
      <w:r>
        <w:rPr>
          <w:w w:val="105"/>
          <w:szCs w:val="24"/>
        </w:rPr>
        <w:t>检测时间及频次</w:t>
      </w:r>
    </w:p>
    <w:p>
      <w:pPr>
        <w:ind w:firstLine="503"/>
        <w:rPr>
          <w:w w:val="105"/>
          <w:szCs w:val="24"/>
        </w:rPr>
      </w:pPr>
      <w:r>
        <w:rPr>
          <w:w w:val="105"/>
          <w:szCs w:val="24"/>
        </w:rPr>
        <w:t>监测时间为20</w:t>
      </w:r>
      <w:r>
        <w:rPr>
          <w:rFonts w:hint="eastAsia"/>
          <w:w w:val="105"/>
          <w:szCs w:val="24"/>
        </w:rPr>
        <w:t>22</w:t>
      </w:r>
      <w:r>
        <w:rPr>
          <w:w w:val="105"/>
          <w:szCs w:val="24"/>
        </w:rPr>
        <w:t>年</w:t>
      </w:r>
      <w:r>
        <w:rPr>
          <w:rFonts w:hint="eastAsia"/>
          <w:w w:val="105"/>
          <w:szCs w:val="24"/>
        </w:rPr>
        <w:t>07</w:t>
      </w:r>
      <w:r>
        <w:rPr>
          <w:w w:val="105"/>
          <w:szCs w:val="24"/>
        </w:rPr>
        <w:t>月2</w:t>
      </w:r>
      <w:r>
        <w:rPr>
          <w:rFonts w:hint="eastAsia"/>
          <w:w w:val="105"/>
          <w:szCs w:val="24"/>
        </w:rPr>
        <w:t>0</w:t>
      </w:r>
      <w:r>
        <w:rPr>
          <w:w w:val="105"/>
          <w:szCs w:val="24"/>
        </w:rPr>
        <w:t>日，采样1次。</w:t>
      </w:r>
    </w:p>
    <w:p>
      <w:pPr>
        <w:numPr>
          <w:ilvl w:val="0"/>
          <w:numId w:val="8"/>
        </w:numPr>
        <w:ind w:firstLine="503"/>
        <w:rPr>
          <w:w w:val="105"/>
          <w:szCs w:val="24"/>
        </w:rPr>
      </w:pPr>
      <w:r>
        <w:rPr>
          <w:w w:val="105"/>
          <w:szCs w:val="24"/>
        </w:rPr>
        <w:t>评价方法</w:t>
      </w:r>
    </w:p>
    <w:p>
      <w:pPr>
        <w:ind w:firstLine="503"/>
        <w:rPr>
          <w:w w:val="105"/>
          <w:szCs w:val="24"/>
        </w:rPr>
      </w:pPr>
      <w:r>
        <w:rPr>
          <w:w w:val="105"/>
          <w:szCs w:val="24"/>
        </w:rPr>
        <w:t>将各点位各监测因子的检测结果与《土壤环境质量</w:t>
      </w:r>
      <w:r>
        <w:rPr>
          <w:rFonts w:hint="eastAsia"/>
          <w:w w:val="105"/>
          <w:szCs w:val="24"/>
        </w:rPr>
        <w:t xml:space="preserve">  </w:t>
      </w:r>
      <w:r>
        <w:rPr>
          <w:w w:val="105"/>
          <w:szCs w:val="24"/>
        </w:rPr>
        <w:t>农用地土壤污染风险管控标准（试行）》（GB15619-2018）中规定的风险筛选值</w:t>
      </w:r>
      <w:r>
        <w:rPr>
          <w:rFonts w:hint="eastAsia"/>
          <w:w w:val="105"/>
          <w:szCs w:val="24"/>
        </w:rPr>
        <w:t>（表1.5-6）</w:t>
      </w:r>
      <w:r>
        <w:rPr>
          <w:w w:val="105"/>
          <w:szCs w:val="24"/>
        </w:rPr>
        <w:t>对比，评价底泥的污染风险情况。</w:t>
      </w:r>
    </w:p>
    <w:p>
      <w:pPr>
        <w:ind w:firstLine="503"/>
        <w:rPr>
          <w:w w:val="105"/>
          <w:szCs w:val="24"/>
        </w:rPr>
      </w:pPr>
      <w:r>
        <w:rPr>
          <w:w w:val="105"/>
          <w:szCs w:val="24"/>
        </w:rPr>
        <w:t>当土壤（底泥）中污染物含量等于或低于表</w:t>
      </w:r>
      <w:r>
        <w:rPr>
          <w:rFonts w:hint="eastAsia"/>
          <w:w w:val="105"/>
          <w:szCs w:val="24"/>
        </w:rPr>
        <w:t>1.5-6</w:t>
      </w:r>
      <w:r>
        <w:rPr>
          <w:w w:val="105"/>
          <w:szCs w:val="24"/>
        </w:rPr>
        <w:t>规定的风险筛选值时，土壤（底泥）污染风险低，一般情况下可以忽略；高于表</w:t>
      </w:r>
      <w:r>
        <w:rPr>
          <w:rFonts w:hint="eastAsia"/>
          <w:w w:val="105"/>
          <w:szCs w:val="24"/>
        </w:rPr>
        <w:t>1.5-6</w:t>
      </w:r>
      <w:r>
        <w:rPr>
          <w:w w:val="105"/>
          <w:szCs w:val="24"/>
        </w:rPr>
        <w:t>规定的风险筛选值时，可能存在土壤（底泥）污染风险，应加强土壤（底泥）监测。</w:t>
      </w:r>
    </w:p>
    <w:p>
      <w:pPr>
        <w:numPr>
          <w:ilvl w:val="0"/>
          <w:numId w:val="8"/>
        </w:numPr>
        <w:ind w:firstLine="503"/>
        <w:rPr>
          <w:w w:val="105"/>
          <w:szCs w:val="24"/>
        </w:rPr>
      </w:pPr>
      <w:r>
        <w:rPr>
          <w:w w:val="105"/>
          <w:szCs w:val="24"/>
        </w:rPr>
        <w:t>监测结果及评价</w:t>
      </w:r>
    </w:p>
    <w:p>
      <w:pPr>
        <w:ind w:firstLine="503"/>
        <w:rPr>
          <w:w w:val="105"/>
          <w:szCs w:val="24"/>
        </w:rPr>
      </w:pPr>
      <w:r>
        <w:rPr>
          <w:w w:val="105"/>
          <w:szCs w:val="24"/>
        </w:rPr>
        <w:t>各监测点位底泥现状监测结果详见表4.</w:t>
      </w:r>
      <w:r>
        <w:rPr>
          <w:rFonts w:hint="eastAsia"/>
          <w:w w:val="105"/>
          <w:szCs w:val="24"/>
        </w:rPr>
        <w:t>4</w:t>
      </w:r>
      <w:r>
        <w:rPr>
          <w:w w:val="105"/>
          <w:szCs w:val="24"/>
        </w:rPr>
        <w:t>-1</w:t>
      </w:r>
      <w:r>
        <w:rPr>
          <w:rFonts w:hint="eastAsia"/>
          <w:w w:val="105"/>
          <w:szCs w:val="24"/>
        </w:rPr>
        <w:t>4</w:t>
      </w:r>
      <w:r>
        <w:rPr>
          <w:w w:val="105"/>
          <w:szCs w:val="24"/>
        </w:rPr>
        <w:t>。</w:t>
      </w:r>
    </w:p>
    <w:p>
      <w:pPr>
        <w:spacing w:before="120" w:beforeLines="50" w:line="240" w:lineRule="auto"/>
        <w:ind w:firstLine="503"/>
        <w:jc w:val="center"/>
        <w:rPr>
          <w:rFonts w:ascii="黑体" w:hAnsi="黑体" w:eastAsia="黑体" w:cs="黑体"/>
          <w:bCs/>
          <w:w w:val="105"/>
          <w:szCs w:val="24"/>
        </w:rPr>
      </w:pPr>
      <w:r>
        <w:rPr>
          <w:rFonts w:hint="eastAsia" w:ascii="黑体" w:hAnsi="黑体" w:eastAsia="黑体" w:cs="黑体"/>
          <w:bCs/>
          <w:w w:val="105"/>
          <w:szCs w:val="24"/>
        </w:rPr>
        <w:t>表4.4-14  底泥现状监测结果一览表   单位：mg/kg</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1"/>
        <w:gridCol w:w="682"/>
        <w:gridCol w:w="776"/>
        <w:gridCol w:w="846"/>
        <w:gridCol w:w="980"/>
        <w:gridCol w:w="831"/>
        <w:gridCol w:w="953"/>
        <w:gridCol w:w="844"/>
        <w:gridCol w:w="913"/>
        <w:gridCol w:w="840"/>
        <w:gridCol w:w="10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Merge w:val="restart"/>
            <w:vAlign w:val="center"/>
          </w:tcPr>
          <w:p>
            <w:pPr>
              <w:spacing w:line="340" w:lineRule="exact"/>
              <w:ind w:firstLine="0" w:firstLineChars="0"/>
              <w:jc w:val="center"/>
              <w:rPr>
                <w:w w:val="105"/>
                <w:sz w:val="21"/>
                <w:szCs w:val="21"/>
              </w:rPr>
            </w:pPr>
            <w:r>
              <w:rPr>
                <w:w w:val="105"/>
                <w:sz w:val="21"/>
                <w:szCs w:val="21"/>
              </w:rPr>
              <w:t>监测点位</w:t>
            </w:r>
          </w:p>
        </w:tc>
        <w:tc>
          <w:tcPr>
            <w:tcW w:w="4004" w:type="pct"/>
            <w:gridSpan w:val="9"/>
            <w:vAlign w:val="center"/>
          </w:tcPr>
          <w:p>
            <w:pPr>
              <w:spacing w:line="340" w:lineRule="exact"/>
              <w:ind w:firstLine="440"/>
              <w:jc w:val="center"/>
              <w:rPr>
                <w:w w:val="105"/>
                <w:sz w:val="21"/>
                <w:szCs w:val="21"/>
              </w:rPr>
            </w:pPr>
            <w:r>
              <w:rPr>
                <w:w w:val="105"/>
                <w:sz w:val="21"/>
                <w:szCs w:val="21"/>
              </w:rPr>
              <w:t>监测因子</w:t>
            </w:r>
          </w:p>
        </w:tc>
        <w:tc>
          <w:tcPr>
            <w:tcW w:w="530" w:type="pct"/>
            <w:vMerge w:val="restart"/>
            <w:vAlign w:val="center"/>
          </w:tcPr>
          <w:p>
            <w:pPr>
              <w:spacing w:line="340" w:lineRule="exact"/>
              <w:ind w:firstLine="0" w:firstLineChars="0"/>
              <w:jc w:val="center"/>
              <w:rPr>
                <w:w w:val="105"/>
                <w:sz w:val="21"/>
                <w:szCs w:val="21"/>
              </w:rPr>
            </w:pPr>
            <w:r>
              <w:rPr>
                <w:w w:val="105"/>
                <w:sz w:val="21"/>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Merge w:val="continue"/>
            <w:vAlign w:val="center"/>
          </w:tcPr>
          <w:p>
            <w:pPr>
              <w:spacing w:line="340" w:lineRule="exact"/>
              <w:ind w:firstLine="440"/>
              <w:jc w:val="center"/>
              <w:rPr>
                <w:w w:val="105"/>
                <w:sz w:val="21"/>
                <w:szCs w:val="21"/>
              </w:rPr>
            </w:pPr>
          </w:p>
        </w:tc>
        <w:tc>
          <w:tcPr>
            <w:tcW w:w="356" w:type="pct"/>
            <w:vAlign w:val="center"/>
          </w:tcPr>
          <w:p>
            <w:pPr>
              <w:spacing w:line="340" w:lineRule="exact"/>
              <w:ind w:firstLine="0" w:firstLineChars="0"/>
              <w:jc w:val="center"/>
              <w:rPr>
                <w:w w:val="105"/>
                <w:sz w:val="21"/>
                <w:szCs w:val="21"/>
              </w:rPr>
            </w:pPr>
            <w:r>
              <w:rPr>
                <w:w w:val="105"/>
                <w:sz w:val="21"/>
                <w:szCs w:val="21"/>
              </w:rPr>
              <w:t>pH</w:t>
            </w:r>
          </w:p>
        </w:tc>
        <w:tc>
          <w:tcPr>
            <w:tcW w:w="405" w:type="pct"/>
            <w:vAlign w:val="center"/>
          </w:tcPr>
          <w:p>
            <w:pPr>
              <w:spacing w:line="340" w:lineRule="exact"/>
              <w:ind w:firstLine="0" w:firstLineChars="0"/>
              <w:jc w:val="center"/>
              <w:rPr>
                <w:w w:val="105"/>
                <w:sz w:val="21"/>
                <w:szCs w:val="21"/>
              </w:rPr>
            </w:pPr>
            <w:r>
              <w:rPr>
                <w:w w:val="105"/>
                <w:sz w:val="21"/>
                <w:szCs w:val="21"/>
              </w:rPr>
              <w:t>Cu</w:t>
            </w:r>
          </w:p>
        </w:tc>
        <w:tc>
          <w:tcPr>
            <w:tcW w:w="442" w:type="pct"/>
            <w:vAlign w:val="center"/>
          </w:tcPr>
          <w:p>
            <w:pPr>
              <w:spacing w:line="340" w:lineRule="exact"/>
              <w:ind w:firstLine="0" w:firstLineChars="0"/>
              <w:jc w:val="center"/>
              <w:rPr>
                <w:w w:val="105"/>
                <w:sz w:val="21"/>
                <w:szCs w:val="21"/>
              </w:rPr>
            </w:pPr>
            <w:r>
              <w:rPr>
                <w:w w:val="105"/>
                <w:sz w:val="21"/>
                <w:szCs w:val="21"/>
              </w:rPr>
              <w:t>Zn</w:t>
            </w:r>
          </w:p>
        </w:tc>
        <w:tc>
          <w:tcPr>
            <w:tcW w:w="512" w:type="pct"/>
            <w:vAlign w:val="center"/>
          </w:tcPr>
          <w:p>
            <w:pPr>
              <w:spacing w:line="340" w:lineRule="exact"/>
              <w:ind w:firstLine="0" w:firstLineChars="0"/>
              <w:jc w:val="center"/>
              <w:rPr>
                <w:w w:val="105"/>
                <w:sz w:val="21"/>
                <w:szCs w:val="21"/>
              </w:rPr>
            </w:pPr>
            <w:r>
              <w:rPr>
                <w:w w:val="105"/>
                <w:sz w:val="21"/>
                <w:szCs w:val="21"/>
              </w:rPr>
              <w:t>Cd</w:t>
            </w:r>
          </w:p>
        </w:tc>
        <w:tc>
          <w:tcPr>
            <w:tcW w:w="434" w:type="pct"/>
            <w:vAlign w:val="center"/>
          </w:tcPr>
          <w:p>
            <w:pPr>
              <w:spacing w:line="340" w:lineRule="exact"/>
              <w:ind w:firstLine="0" w:firstLineChars="0"/>
              <w:jc w:val="center"/>
              <w:rPr>
                <w:w w:val="105"/>
                <w:sz w:val="21"/>
                <w:szCs w:val="21"/>
              </w:rPr>
            </w:pPr>
            <w:r>
              <w:rPr>
                <w:w w:val="105"/>
                <w:sz w:val="21"/>
                <w:szCs w:val="21"/>
              </w:rPr>
              <w:t>Cr</w:t>
            </w:r>
          </w:p>
        </w:tc>
        <w:tc>
          <w:tcPr>
            <w:tcW w:w="498" w:type="pct"/>
            <w:vAlign w:val="center"/>
          </w:tcPr>
          <w:p>
            <w:pPr>
              <w:spacing w:line="340" w:lineRule="exact"/>
              <w:ind w:firstLine="0" w:firstLineChars="0"/>
              <w:jc w:val="center"/>
              <w:rPr>
                <w:w w:val="105"/>
                <w:sz w:val="21"/>
                <w:szCs w:val="21"/>
              </w:rPr>
            </w:pPr>
            <w:r>
              <w:rPr>
                <w:w w:val="105"/>
                <w:sz w:val="21"/>
                <w:szCs w:val="21"/>
              </w:rPr>
              <w:t>Hg</w:t>
            </w:r>
          </w:p>
        </w:tc>
        <w:tc>
          <w:tcPr>
            <w:tcW w:w="441" w:type="pct"/>
            <w:vAlign w:val="center"/>
          </w:tcPr>
          <w:p>
            <w:pPr>
              <w:spacing w:line="340" w:lineRule="exact"/>
              <w:ind w:firstLine="0" w:firstLineChars="0"/>
              <w:jc w:val="center"/>
              <w:rPr>
                <w:w w:val="105"/>
                <w:sz w:val="21"/>
                <w:szCs w:val="21"/>
              </w:rPr>
            </w:pPr>
            <w:r>
              <w:rPr>
                <w:w w:val="105"/>
                <w:sz w:val="21"/>
                <w:szCs w:val="21"/>
              </w:rPr>
              <w:t>As</w:t>
            </w:r>
          </w:p>
        </w:tc>
        <w:tc>
          <w:tcPr>
            <w:tcW w:w="477" w:type="pct"/>
            <w:vAlign w:val="center"/>
          </w:tcPr>
          <w:p>
            <w:pPr>
              <w:spacing w:line="340" w:lineRule="exact"/>
              <w:ind w:firstLine="0" w:firstLineChars="0"/>
              <w:jc w:val="center"/>
              <w:rPr>
                <w:w w:val="105"/>
                <w:sz w:val="21"/>
                <w:szCs w:val="21"/>
              </w:rPr>
            </w:pPr>
            <w:r>
              <w:rPr>
                <w:w w:val="105"/>
                <w:sz w:val="21"/>
                <w:szCs w:val="21"/>
              </w:rPr>
              <w:t>Pb</w:t>
            </w:r>
          </w:p>
        </w:tc>
        <w:tc>
          <w:tcPr>
            <w:tcW w:w="434" w:type="pct"/>
            <w:vAlign w:val="center"/>
          </w:tcPr>
          <w:p>
            <w:pPr>
              <w:spacing w:line="340" w:lineRule="exact"/>
              <w:ind w:firstLine="0" w:firstLineChars="0"/>
              <w:jc w:val="center"/>
              <w:rPr>
                <w:w w:val="105"/>
                <w:sz w:val="21"/>
                <w:szCs w:val="21"/>
              </w:rPr>
            </w:pPr>
            <w:r>
              <w:rPr>
                <w:w w:val="105"/>
                <w:sz w:val="21"/>
                <w:szCs w:val="21"/>
              </w:rPr>
              <w:t>Ni</w:t>
            </w:r>
          </w:p>
        </w:tc>
        <w:tc>
          <w:tcPr>
            <w:tcW w:w="530" w:type="pct"/>
            <w:vMerge w:val="continue"/>
            <w:vAlign w:val="center"/>
          </w:tcPr>
          <w:p>
            <w:pPr>
              <w:spacing w:line="340" w:lineRule="exact"/>
              <w:ind w:firstLine="440"/>
              <w:jc w:val="center"/>
              <w:rPr>
                <w:w w:val="105"/>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Align w:val="center"/>
          </w:tcPr>
          <w:p>
            <w:pPr>
              <w:spacing w:line="340" w:lineRule="exact"/>
              <w:ind w:firstLine="0" w:firstLineChars="0"/>
              <w:jc w:val="center"/>
              <w:rPr>
                <w:w w:val="105"/>
                <w:sz w:val="21"/>
                <w:szCs w:val="21"/>
              </w:rPr>
            </w:pPr>
            <w:r>
              <w:rPr>
                <w:rFonts w:hint="eastAsia"/>
                <w:sz w:val="21"/>
                <w:szCs w:val="21"/>
              </w:rPr>
              <w:t>D</w:t>
            </w:r>
            <w:r>
              <w:rPr>
                <w:sz w:val="21"/>
                <w:szCs w:val="21"/>
              </w:rPr>
              <w:t>1</w:t>
            </w:r>
          </w:p>
        </w:tc>
        <w:tc>
          <w:tcPr>
            <w:tcW w:w="356" w:type="pct"/>
            <w:vAlign w:val="center"/>
          </w:tcPr>
          <w:p>
            <w:pPr>
              <w:spacing w:line="340" w:lineRule="exact"/>
              <w:ind w:firstLine="0" w:firstLineChars="0"/>
              <w:jc w:val="center"/>
              <w:rPr>
                <w:w w:val="105"/>
                <w:sz w:val="21"/>
                <w:szCs w:val="21"/>
              </w:rPr>
            </w:pPr>
            <w:r>
              <w:rPr>
                <w:rFonts w:hint="eastAsia"/>
                <w:w w:val="105"/>
                <w:sz w:val="21"/>
                <w:szCs w:val="21"/>
              </w:rPr>
              <w:t>6.05</w:t>
            </w:r>
          </w:p>
        </w:tc>
        <w:tc>
          <w:tcPr>
            <w:tcW w:w="405" w:type="pct"/>
            <w:vAlign w:val="center"/>
          </w:tcPr>
          <w:p>
            <w:pPr>
              <w:spacing w:line="340" w:lineRule="exact"/>
              <w:ind w:firstLine="0" w:firstLineChars="0"/>
              <w:jc w:val="center"/>
              <w:rPr>
                <w:w w:val="105"/>
                <w:sz w:val="21"/>
                <w:szCs w:val="21"/>
              </w:rPr>
            </w:pPr>
            <w:r>
              <w:rPr>
                <w:rFonts w:hint="eastAsia"/>
                <w:w w:val="105"/>
                <w:sz w:val="21"/>
                <w:szCs w:val="21"/>
              </w:rPr>
              <w:t>36</w:t>
            </w:r>
          </w:p>
        </w:tc>
        <w:tc>
          <w:tcPr>
            <w:tcW w:w="442" w:type="pct"/>
            <w:vAlign w:val="center"/>
          </w:tcPr>
          <w:p>
            <w:pPr>
              <w:spacing w:line="340" w:lineRule="exact"/>
              <w:ind w:firstLine="0" w:firstLineChars="0"/>
              <w:jc w:val="center"/>
              <w:rPr>
                <w:w w:val="105"/>
                <w:sz w:val="21"/>
                <w:szCs w:val="21"/>
              </w:rPr>
            </w:pPr>
            <w:r>
              <w:rPr>
                <w:rFonts w:hint="eastAsia"/>
                <w:w w:val="105"/>
                <w:sz w:val="21"/>
                <w:szCs w:val="21"/>
              </w:rPr>
              <w:t>64</w:t>
            </w:r>
          </w:p>
        </w:tc>
        <w:tc>
          <w:tcPr>
            <w:tcW w:w="512" w:type="pct"/>
            <w:vAlign w:val="center"/>
          </w:tcPr>
          <w:p>
            <w:pPr>
              <w:spacing w:line="340" w:lineRule="exact"/>
              <w:ind w:firstLine="0" w:firstLineChars="0"/>
              <w:jc w:val="center"/>
              <w:rPr>
                <w:w w:val="105"/>
                <w:sz w:val="21"/>
                <w:szCs w:val="21"/>
              </w:rPr>
            </w:pPr>
            <w:r>
              <w:rPr>
                <w:rFonts w:hint="eastAsia"/>
                <w:w w:val="105"/>
                <w:sz w:val="21"/>
                <w:szCs w:val="21"/>
              </w:rPr>
              <w:t>0.14</w:t>
            </w:r>
          </w:p>
        </w:tc>
        <w:tc>
          <w:tcPr>
            <w:tcW w:w="434" w:type="pct"/>
            <w:vAlign w:val="center"/>
          </w:tcPr>
          <w:p>
            <w:pPr>
              <w:spacing w:line="340" w:lineRule="exact"/>
              <w:ind w:firstLine="0" w:firstLineChars="0"/>
              <w:jc w:val="center"/>
              <w:rPr>
                <w:w w:val="105"/>
                <w:sz w:val="21"/>
                <w:szCs w:val="21"/>
              </w:rPr>
            </w:pPr>
            <w:r>
              <w:rPr>
                <w:rFonts w:hint="eastAsia"/>
                <w:w w:val="105"/>
                <w:sz w:val="21"/>
                <w:szCs w:val="21"/>
              </w:rPr>
              <w:t>78</w:t>
            </w:r>
          </w:p>
        </w:tc>
        <w:tc>
          <w:tcPr>
            <w:tcW w:w="498" w:type="pct"/>
            <w:vAlign w:val="center"/>
          </w:tcPr>
          <w:p>
            <w:pPr>
              <w:spacing w:line="340" w:lineRule="exact"/>
              <w:ind w:firstLine="0" w:firstLineChars="0"/>
              <w:jc w:val="center"/>
              <w:rPr>
                <w:w w:val="105"/>
                <w:sz w:val="21"/>
                <w:szCs w:val="21"/>
              </w:rPr>
            </w:pPr>
            <w:r>
              <w:rPr>
                <w:w w:val="105"/>
                <w:sz w:val="21"/>
                <w:szCs w:val="21"/>
              </w:rPr>
              <w:t>0.</w:t>
            </w:r>
            <w:r>
              <w:rPr>
                <w:rFonts w:hint="eastAsia"/>
                <w:w w:val="105"/>
                <w:sz w:val="21"/>
                <w:szCs w:val="21"/>
              </w:rPr>
              <w:t>131</w:t>
            </w:r>
          </w:p>
        </w:tc>
        <w:tc>
          <w:tcPr>
            <w:tcW w:w="441" w:type="pct"/>
            <w:vAlign w:val="center"/>
          </w:tcPr>
          <w:p>
            <w:pPr>
              <w:spacing w:line="340" w:lineRule="exact"/>
              <w:ind w:firstLine="0" w:firstLineChars="0"/>
              <w:jc w:val="center"/>
              <w:rPr>
                <w:w w:val="105"/>
                <w:sz w:val="21"/>
                <w:szCs w:val="21"/>
              </w:rPr>
            </w:pPr>
            <w:r>
              <w:rPr>
                <w:rFonts w:hint="eastAsia"/>
                <w:w w:val="105"/>
                <w:sz w:val="21"/>
                <w:szCs w:val="21"/>
              </w:rPr>
              <w:t>9.06</w:t>
            </w:r>
          </w:p>
        </w:tc>
        <w:tc>
          <w:tcPr>
            <w:tcW w:w="477" w:type="pct"/>
            <w:vAlign w:val="center"/>
          </w:tcPr>
          <w:p>
            <w:pPr>
              <w:spacing w:line="340" w:lineRule="exact"/>
              <w:ind w:firstLine="0" w:firstLineChars="0"/>
              <w:jc w:val="center"/>
              <w:rPr>
                <w:w w:val="105"/>
                <w:sz w:val="21"/>
                <w:szCs w:val="21"/>
              </w:rPr>
            </w:pPr>
            <w:r>
              <w:rPr>
                <w:rFonts w:hint="eastAsia"/>
                <w:w w:val="105"/>
                <w:sz w:val="21"/>
                <w:szCs w:val="21"/>
              </w:rPr>
              <w:t>74</w:t>
            </w:r>
          </w:p>
        </w:tc>
        <w:tc>
          <w:tcPr>
            <w:tcW w:w="434" w:type="pct"/>
            <w:vAlign w:val="center"/>
          </w:tcPr>
          <w:p>
            <w:pPr>
              <w:spacing w:line="340" w:lineRule="exact"/>
              <w:ind w:firstLine="0" w:firstLineChars="0"/>
              <w:jc w:val="center"/>
              <w:rPr>
                <w:w w:val="105"/>
                <w:sz w:val="21"/>
                <w:szCs w:val="21"/>
              </w:rPr>
            </w:pPr>
            <w:r>
              <w:rPr>
                <w:rFonts w:hint="eastAsia"/>
                <w:w w:val="105"/>
                <w:sz w:val="21"/>
                <w:szCs w:val="21"/>
              </w:rPr>
              <w:t>32</w:t>
            </w:r>
          </w:p>
        </w:tc>
        <w:tc>
          <w:tcPr>
            <w:tcW w:w="530" w:type="pct"/>
            <w:vAlign w:val="center"/>
          </w:tcPr>
          <w:p>
            <w:pPr>
              <w:spacing w:line="340" w:lineRule="exact"/>
              <w:ind w:firstLine="0" w:firstLineChars="0"/>
              <w:jc w:val="center"/>
              <w:rPr>
                <w:w w:val="105"/>
                <w:sz w:val="21"/>
                <w:szCs w:val="21"/>
              </w:rPr>
            </w:pPr>
            <w:r>
              <w:rPr>
                <w:w w:val="105"/>
                <w:sz w:val="21"/>
                <w:szCs w:val="21"/>
              </w:rPr>
              <w:t>污染风险低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Align w:val="center"/>
          </w:tcPr>
          <w:p>
            <w:pPr>
              <w:spacing w:line="340" w:lineRule="exact"/>
              <w:ind w:firstLine="0" w:firstLineChars="0"/>
              <w:jc w:val="center"/>
              <w:rPr>
                <w:w w:val="105"/>
                <w:sz w:val="21"/>
                <w:szCs w:val="21"/>
              </w:rPr>
            </w:pPr>
            <w:r>
              <w:rPr>
                <w:rFonts w:hint="eastAsia"/>
                <w:sz w:val="21"/>
                <w:szCs w:val="21"/>
              </w:rPr>
              <w:t>D2</w:t>
            </w:r>
          </w:p>
        </w:tc>
        <w:tc>
          <w:tcPr>
            <w:tcW w:w="356" w:type="pct"/>
            <w:vAlign w:val="center"/>
          </w:tcPr>
          <w:p>
            <w:pPr>
              <w:spacing w:line="340" w:lineRule="exact"/>
              <w:ind w:firstLine="0" w:firstLineChars="0"/>
              <w:jc w:val="center"/>
              <w:rPr>
                <w:w w:val="105"/>
                <w:sz w:val="21"/>
                <w:szCs w:val="21"/>
              </w:rPr>
            </w:pPr>
            <w:r>
              <w:rPr>
                <w:rFonts w:hint="eastAsia"/>
                <w:w w:val="105"/>
                <w:sz w:val="21"/>
                <w:szCs w:val="21"/>
              </w:rPr>
              <w:t>6.26</w:t>
            </w:r>
          </w:p>
        </w:tc>
        <w:tc>
          <w:tcPr>
            <w:tcW w:w="405" w:type="pct"/>
            <w:vAlign w:val="center"/>
          </w:tcPr>
          <w:p>
            <w:pPr>
              <w:spacing w:line="340" w:lineRule="exact"/>
              <w:ind w:firstLine="0" w:firstLineChars="0"/>
              <w:jc w:val="center"/>
              <w:rPr>
                <w:w w:val="105"/>
                <w:sz w:val="21"/>
                <w:szCs w:val="21"/>
              </w:rPr>
            </w:pPr>
            <w:r>
              <w:rPr>
                <w:rFonts w:hint="eastAsia"/>
                <w:w w:val="105"/>
                <w:sz w:val="21"/>
                <w:szCs w:val="21"/>
              </w:rPr>
              <w:t>40</w:t>
            </w:r>
          </w:p>
        </w:tc>
        <w:tc>
          <w:tcPr>
            <w:tcW w:w="442" w:type="pct"/>
            <w:vAlign w:val="center"/>
          </w:tcPr>
          <w:p>
            <w:pPr>
              <w:spacing w:line="340" w:lineRule="exact"/>
              <w:ind w:firstLine="0" w:firstLineChars="0"/>
              <w:jc w:val="center"/>
              <w:rPr>
                <w:w w:val="105"/>
                <w:sz w:val="21"/>
                <w:szCs w:val="21"/>
              </w:rPr>
            </w:pPr>
            <w:r>
              <w:rPr>
                <w:rFonts w:hint="eastAsia"/>
                <w:w w:val="105"/>
                <w:sz w:val="21"/>
                <w:szCs w:val="21"/>
              </w:rPr>
              <w:t>58</w:t>
            </w:r>
          </w:p>
        </w:tc>
        <w:tc>
          <w:tcPr>
            <w:tcW w:w="512" w:type="pct"/>
            <w:vAlign w:val="center"/>
          </w:tcPr>
          <w:p>
            <w:pPr>
              <w:spacing w:line="340" w:lineRule="exact"/>
              <w:ind w:firstLine="0" w:firstLineChars="0"/>
              <w:jc w:val="center"/>
              <w:rPr>
                <w:w w:val="105"/>
                <w:sz w:val="21"/>
                <w:szCs w:val="21"/>
              </w:rPr>
            </w:pPr>
            <w:r>
              <w:rPr>
                <w:rFonts w:hint="eastAsia"/>
                <w:w w:val="105"/>
                <w:sz w:val="21"/>
                <w:szCs w:val="21"/>
              </w:rPr>
              <w:t>0.16</w:t>
            </w:r>
          </w:p>
        </w:tc>
        <w:tc>
          <w:tcPr>
            <w:tcW w:w="434" w:type="pct"/>
            <w:vAlign w:val="center"/>
          </w:tcPr>
          <w:p>
            <w:pPr>
              <w:spacing w:line="340" w:lineRule="exact"/>
              <w:ind w:firstLine="0" w:firstLineChars="0"/>
              <w:jc w:val="center"/>
              <w:rPr>
                <w:w w:val="105"/>
                <w:sz w:val="21"/>
                <w:szCs w:val="21"/>
              </w:rPr>
            </w:pPr>
            <w:r>
              <w:rPr>
                <w:rFonts w:hint="eastAsia"/>
                <w:w w:val="105"/>
                <w:sz w:val="21"/>
                <w:szCs w:val="21"/>
              </w:rPr>
              <w:t>70</w:t>
            </w:r>
          </w:p>
        </w:tc>
        <w:tc>
          <w:tcPr>
            <w:tcW w:w="498" w:type="pct"/>
            <w:vAlign w:val="center"/>
          </w:tcPr>
          <w:p>
            <w:pPr>
              <w:spacing w:line="340" w:lineRule="exact"/>
              <w:ind w:firstLine="0" w:firstLineChars="0"/>
              <w:jc w:val="center"/>
              <w:rPr>
                <w:w w:val="105"/>
                <w:sz w:val="21"/>
                <w:szCs w:val="21"/>
              </w:rPr>
            </w:pPr>
            <w:r>
              <w:rPr>
                <w:w w:val="105"/>
                <w:sz w:val="21"/>
                <w:szCs w:val="21"/>
              </w:rPr>
              <w:t>0.12</w:t>
            </w:r>
            <w:r>
              <w:rPr>
                <w:rFonts w:hint="eastAsia"/>
                <w:w w:val="105"/>
                <w:sz w:val="21"/>
                <w:szCs w:val="21"/>
              </w:rPr>
              <w:t>3</w:t>
            </w:r>
          </w:p>
        </w:tc>
        <w:tc>
          <w:tcPr>
            <w:tcW w:w="441" w:type="pct"/>
            <w:vAlign w:val="center"/>
          </w:tcPr>
          <w:p>
            <w:pPr>
              <w:spacing w:line="340" w:lineRule="exact"/>
              <w:ind w:firstLine="0" w:firstLineChars="0"/>
              <w:jc w:val="center"/>
              <w:rPr>
                <w:w w:val="105"/>
                <w:sz w:val="21"/>
                <w:szCs w:val="21"/>
              </w:rPr>
            </w:pPr>
            <w:r>
              <w:rPr>
                <w:rFonts w:hint="eastAsia"/>
                <w:w w:val="105"/>
                <w:sz w:val="21"/>
                <w:szCs w:val="21"/>
              </w:rPr>
              <w:t>10.2</w:t>
            </w:r>
          </w:p>
        </w:tc>
        <w:tc>
          <w:tcPr>
            <w:tcW w:w="477" w:type="pct"/>
            <w:vAlign w:val="center"/>
          </w:tcPr>
          <w:p>
            <w:pPr>
              <w:spacing w:line="340" w:lineRule="exact"/>
              <w:ind w:firstLine="0" w:firstLineChars="0"/>
              <w:jc w:val="center"/>
              <w:rPr>
                <w:w w:val="105"/>
                <w:sz w:val="21"/>
                <w:szCs w:val="21"/>
              </w:rPr>
            </w:pPr>
            <w:r>
              <w:rPr>
                <w:rFonts w:hint="eastAsia"/>
                <w:w w:val="105"/>
                <w:sz w:val="21"/>
                <w:szCs w:val="21"/>
              </w:rPr>
              <w:t>74</w:t>
            </w:r>
          </w:p>
        </w:tc>
        <w:tc>
          <w:tcPr>
            <w:tcW w:w="434" w:type="pct"/>
            <w:vAlign w:val="center"/>
          </w:tcPr>
          <w:p>
            <w:pPr>
              <w:spacing w:line="340" w:lineRule="exact"/>
              <w:ind w:firstLine="0" w:firstLineChars="0"/>
              <w:jc w:val="center"/>
              <w:rPr>
                <w:w w:val="105"/>
                <w:sz w:val="21"/>
                <w:szCs w:val="21"/>
              </w:rPr>
            </w:pPr>
            <w:r>
              <w:rPr>
                <w:rFonts w:hint="eastAsia"/>
                <w:w w:val="105"/>
                <w:sz w:val="21"/>
                <w:szCs w:val="21"/>
              </w:rPr>
              <w:t>34</w:t>
            </w:r>
          </w:p>
        </w:tc>
        <w:tc>
          <w:tcPr>
            <w:tcW w:w="530" w:type="pct"/>
            <w:vAlign w:val="center"/>
          </w:tcPr>
          <w:p>
            <w:pPr>
              <w:spacing w:line="340" w:lineRule="exact"/>
              <w:ind w:firstLine="0" w:firstLineChars="0"/>
              <w:jc w:val="center"/>
              <w:rPr>
                <w:w w:val="105"/>
                <w:sz w:val="21"/>
                <w:szCs w:val="21"/>
              </w:rPr>
            </w:pPr>
            <w:r>
              <w:rPr>
                <w:w w:val="105"/>
                <w:sz w:val="21"/>
                <w:szCs w:val="21"/>
              </w:rPr>
              <w:t>污染风险低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vAlign w:val="center"/>
          </w:tcPr>
          <w:p>
            <w:pPr>
              <w:spacing w:line="340" w:lineRule="exact"/>
              <w:ind w:firstLine="0" w:firstLineChars="0"/>
              <w:jc w:val="center"/>
              <w:rPr>
                <w:w w:val="105"/>
                <w:sz w:val="21"/>
                <w:szCs w:val="21"/>
              </w:rPr>
            </w:pPr>
            <w:r>
              <w:rPr>
                <w:w w:val="105"/>
                <w:sz w:val="21"/>
                <w:szCs w:val="21"/>
              </w:rPr>
              <w:t>标准值</w:t>
            </w:r>
          </w:p>
        </w:tc>
        <w:tc>
          <w:tcPr>
            <w:tcW w:w="356" w:type="pct"/>
            <w:vAlign w:val="center"/>
          </w:tcPr>
          <w:p>
            <w:pPr>
              <w:spacing w:line="340" w:lineRule="exact"/>
              <w:ind w:firstLine="0" w:firstLineChars="0"/>
              <w:rPr>
                <w:w w:val="105"/>
                <w:sz w:val="21"/>
                <w:szCs w:val="21"/>
              </w:rPr>
            </w:pPr>
            <w:r>
              <w:rPr>
                <w:w w:val="105"/>
                <w:sz w:val="21"/>
                <w:szCs w:val="21"/>
              </w:rPr>
              <w:t>/</w:t>
            </w:r>
          </w:p>
        </w:tc>
        <w:tc>
          <w:tcPr>
            <w:tcW w:w="405" w:type="pct"/>
            <w:vAlign w:val="center"/>
          </w:tcPr>
          <w:p>
            <w:pPr>
              <w:spacing w:line="340" w:lineRule="exact"/>
              <w:ind w:firstLine="0" w:firstLineChars="0"/>
              <w:jc w:val="center"/>
              <w:rPr>
                <w:w w:val="105"/>
                <w:sz w:val="21"/>
                <w:szCs w:val="21"/>
              </w:rPr>
            </w:pPr>
            <w:r>
              <w:rPr>
                <w:w w:val="105"/>
                <w:sz w:val="21"/>
                <w:szCs w:val="21"/>
              </w:rPr>
              <w:t>≤100</w:t>
            </w:r>
          </w:p>
        </w:tc>
        <w:tc>
          <w:tcPr>
            <w:tcW w:w="442" w:type="pct"/>
            <w:vAlign w:val="center"/>
          </w:tcPr>
          <w:p>
            <w:pPr>
              <w:spacing w:line="340" w:lineRule="exact"/>
              <w:ind w:firstLine="0" w:firstLineChars="0"/>
              <w:jc w:val="center"/>
              <w:rPr>
                <w:w w:val="105"/>
                <w:sz w:val="21"/>
                <w:szCs w:val="21"/>
              </w:rPr>
            </w:pPr>
            <w:r>
              <w:rPr>
                <w:w w:val="105"/>
                <w:sz w:val="21"/>
                <w:szCs w:val="21"/>
              </w:rPr>
              <w:t>≤300</w:t>
            </w:r>
          </w:p>
        </w:tc>
        <w:tc>
          <w:tcPr>
            <w:tcW w:w="512" w:type="pct"/>
            <w:vAlign w:val="center"/>
          </w:tcPr>
          <w:p>
            <w:pPr>
              <w:spacing w:line="340" w:lineRule="exact"/>
              <w:ind w:firstLine="0" w:firstLineChars="0"/>
              <w:jc w:val="center"/>
              <w:rPr>
                <w:w w:val="105"/>
                <w:sz w:val="21"/>
                <w:szCs w:val="21"/>
              </w:rPr>
            </w:pPr>
            <w:r>
              <w:rPr>
                <w:w w:val="105"/>
                <w:sz w:val="21"/>
                <w:szCs w:val="21"/>
              </w:rPr>
              <w:t>≤0.6</w:t>
            </w:r>
          </w:p>
        </w:tc>
        <w:tc>
          <w:tcPr>
            <w:tcW w:w="434" w:type="pct"/>
            <w:vAlign w:val="center"/>
          </w:tcPr>
          <w:p>
            <w:pPr>
              <w:spacing w:line="340" w:lineRule="exact"/>
              <w:ind w:firstLine="0" w:firstLineChars="0"/>
              <w:jc w:val="center"/>
              <w:rPr>
                <w:w w:val="105"/>
                <w:sz w:val="21"/>
                <w:szCs w:val="21"/>
              </w:rPr>
            </w:pPr>
            <w:r>
              <w:rPr>
                <w:w w:val="105"/>
                <w:sz w:val="21"/>
                <w:szCs w:val="21"/>
              </w:rPr>
              <w:t>≤250</w:t>
            </w:r>
          </w:p>
        </w:tc>
        <w:tc>
          <w:tcPr>
            <w:tcW w:w="498" w:type="pct"/>
            <w:vAlign w:val="center"/>
          </w:tcPr>
          <w:p>
            <w:pPr>
              <w:spacing w:line="340" w:lineRule="exact"/>
              <w:ind w:firstLine="0" w:firstLineChars="0"/>
              <w:jc w:val="center"/>
              <w:rPr>
                <w:w w:val="105"/>
                <w:sz w:val="21"/>
                <w:szCs w:val="21"/>
              </w:rPr>
            </w:pPr>
            <w:r>
              <w:rPr>
                <w:w w:val="105"/>
                <w:sz w:val="21"/>
                <w:szCs w:val="21"/>
              </w:rPr>
              <w:t>≤1.0</w:t>
            </w:r>
          </w:p>
        </w:tc>
        <w:tc>
          <w:tcPr>
            <w:tcW w:w="441" w:type="pct"/>
            <w:vAlign w:val="center"/>
          </w:tcPr>
          <w:p>
            <w:pPr>
              <w:spacing w:line="340" w:lineRule="exact"/>
              <w:ind w:firstLine="0" w:firstLineChars="0"/>
              <w:jc w:val="center"/>
              <w:rPr>
                <w:w w:val="105"/>
                <w:sz w:val="21"/>
                <w:szCs w:val="21"/>
              </w:rPr>
            </w:pPr>
            <w:r>
              <w:rPr>
                <w:w w:val="105"/>
                <w:sz w:val="21"/>
                <w:szCs w:val="21"/>
              </w:rPr>
              <w:t>≤20</w:t>
            </w:r>
          </w:p>
        </w:tc>
        <w:tc>
          <w:tcPr>
            <w:tcW w:w="477" w:type="pct"/>
            <w:vAlign w:val="center"/>
          </w:tcPr>
          <w:p>
            <w:pPr>
              <w:spacing w:line="340" w:lineRule="exact"/>
              <w:ind w:firstLine="0" w:firstLineChars="0"/>
              <w:jc w:val="center"/>
              <w:rPr>
                <w:w w:val="105"/>
                <w:sz w:val="21"/>
                <w:szCs w:val="21"/>
              </w:rPr>
            </w:pPr>
            <w:r>
              <w:rPr>
                <w:w w:val="105"/>
                <w:sz w:val="21"/>
                <w:szCs w:val="21"/>
              </w:rPr>
              <w:t>≤170</w:t>
            </w:r>
          </w:p>
        </w:tc>
        <w:tc>
          <w:tcPr>
            <w:tcW w:w="434" w:type="pct"/>
            <w:vAlign w:val="center"/>
          </w:tcPr>
          <w:p>
            <w:pPr>
              <w:spacing w:line="340" w:lineRule="exact"/>
              <w:ind w:firstLine="0" w:firstLineChars="0"/>
              <w:jc w:val="center"/>
              <w:rPr>
                <w:w w:val="105"/>
                <w:sz w:val="21"/>
                <w:szCs w:val="21"/>
              </w:rPr>
            </w:pPr>
            <w:r>
              <w:rPr>
                <w:w w:val="105"/>
                <w:sz w:val="21"/>
                <w:szCs w:val="21"/>
              </w:rPr>
              <w:t>≤190</w:t>
            </w:r>
          </w:p>
        </w:tc>
        <w:tc>
          <w:tcPr>
            <w:tcW w:w="530" w:type="pct"/>
            <w:vAlign w:val="center"/>
          </w:tcPr>
          <w:p>
            <w:pPr>
              <w:spacing w:line="340" w:lineRule="exact"/>
              <w:ind w:firstLine="440"/>
              <w:rPr>
                <w:w w:val="105"/>
                <w:sz w:val="21"/>
                <w:szCs w:val="21"/>
              </w:rPr>
            </w:pPr>
            <w:r>
              <w:rPr>
                <w:w w:val="105"/>
                <w:sz w:val="21"/>
                <w:szCs w:val="21"/>
              </w:rPr>
              <w:t>/</w:t>
            </w:r>
          </w:p>
        </w:tc>
      </w:tr>
    </w:tbl>
    <w:p>
      <w:pPr>
        <w:ind w:firstLine="503"/>
        <w:rPr>
          <w:w w:val="105"/>
          <w:szCs w:val="24"/>
        </w:rPr>
      </w:pPr>
      <w:r>
        <w:rPr>
          <w:w w:val="105"/>
          <w:szCs w:val="24"/>
        </w:rPr>
        <w:t>从表中可以看出，各监测点位底泥中各监测指标检测值均低于《土壤环境质量</w:t>
      </w:r>
      <w:r>
        <w:rPr>
          <w:rFonts w:hint="eastAsia"/>
          <w:w w:val="105"/>
          <w:szCs w:val="24"/>
        </w:rPr>
        <w:t xml:space="preserve">  </w:t>
      </w:r>
      <w:r>
        <w:rPr>
          <w:w w:val="105"/>
          <w:szCs w:val="24"/>
        </w:rPr>
        <w:t>农用地土壤污染风险管控标准（试行）》（GB15618-2018）中规定的风险筛选值，底泥污染风险低。</w:t>
      </w:r>
    </w:p>
    <w:p>
      <w:pPr>
        <w:pStyle w:val="6"/>
        <w:spacing w:beforeLines="50" w:afterLines="50"/>
        <w:rPr>
          <w:szCs w:val="28"/>
        </w:rPr>
      </w:pPr>
      <w:bookmarkStart w:id="756" w:name="_Toc31825"/>
      <w:r>
        <w:rPr>
          <w:szCs w:val="28"/>
        </w:rPr>
        <w:t>4.</w:t>
      </w:r>
      <w:r>
        <w:rPr>
          <w:rFonts w:hint="eastAsia"/>
          <w:szCs w:val="28"/>
        </w:rPr>
        <w:t>5</w:t>
      </w:r>
      <w:r>
        <w:rPr>
          <w:szCs w:val="28"/>
        </w:rPr>
        <w:t>生态环境</w:t>
      </w:r>
      <w:bookmarkEnd w:id="738"/>
      <w:bookmarkEnd w:id="739"/>
      <w:bookmarkEnd w:id="740"/>
      <w:bookmarkEnd w:id="748"/>
      <w:bookmarkEnd w:id="749"/>
      <w:bookmarkEnd w:id="750"/>
      <w:bookmarkEnd w:id="751"/>
      <w:bookmarkEnd w:id="752"/>
      <w:r>
        <w:rPr>
          <w:szCs w:val="28"/>
        </w:rPr>
        <w:t>现状调查与评价</w:t>
      </w:r>
      <w:bookmarkEnd w:id="756"/>
    </w:p>
    <w:p>
      <w:pPr>
        <w:pStyle w:val="835"/>
        <w:spacing w:before="0" w:line="360" w:lineRule="auto"/>
      </w:pPr>
      <w:bookmarkStart w:id="757" w:name="_Toc534807059"/>
      <w:bookmarkStart w:id="758" w:name="_Toc534386300"/>
      <w:bookmarkStart w:id="759" w:name="_Toc3903281"/>
      <w:bookmarkStart w:id="760" w:name="_Toc529279061"/>
      <w:bookmarkStart w:id="761" w:name="_Toc536265144"/>
      <w:bookmarkStart w:id="762" w:name="_Toc534895276"/>
      <w:r>
        <w:t>4.</w:t>
      </w:r>
      <w:r>
        <w:rPr>
          <w:rFonts w:hint="eastAsia"/>
        </w:rPr>
        <w:t>5</w:t>
      </w:r>
      <w:r>
        <w:t>.1</w:t>
      </w:r>
      <w:bookmarkEnd w:id="757"/>
      <w:bookmarkEnd w:id="758"/>
      <w:bookmarkEnd w:id="759"/>
      <w:bookmarkEnd w:id="760"/>
      <w:bookmarkEnd w:id="761"/>
      <w:bookmarkEnd w:id="762"/>
      <w:r>
        <w:t>生态功能区划</w:t>
      </w:r>
    </w:p>
    <w:p>
      <w:pPr>
        <w:ind w:firstLine="480"/>
        <w:rPr>
          <w:kern w:val="10"/>
        </w:rPr>
      </w:pPr>
      <w:r>
        <w:rPr>
          <w:kern w:val="10"/>
        </w:rPr>
        <w:t>项目处于</w:t>
      </w:r>
      <w:r>
        <w:rPr>
          <w:rFonts w:ascii="宋体" w:hAnsi="宋体" w:cs="宋体"/>
          <w:kern w:val="0"/>
          <w:szCs w:val="24"/>
        </w:rPr>
        <w:t>江西省</w:t>
      </w:r>
      <w:r>
        <w:rPr>
          <w:rFonts w:hint="eastAsia" w:ascii="宋体" w:hAnsi="宋体" w:cs="宋体"/>
          <w:kern w:val="0"/>
          <w:szCs w:val="24"/>
        </w:rPr>
        <w:t>上高县</w:t>
      </w:r>
      <w:r>
        <w:rPr>
          <w:kern w:val="10"/>
        </w:rPr>
        <w:t>，根据江西省生态功能区划，</w:t>
      </w:r>
      <w:r>
        <w:rPr>
          <w:kern w:val="10"/>
        </w:rPr>
        <w:fldChar w:fldCharType="begin"/>
      </w:r>
      <w:r>
        <w:rPr>
          <w:kern w:val="10"/>
        </w:rPr>
        <w:instrText xml:space="preserve"> = 4 \* ROMAN </w:instrText>
      </w:r>
      <w:r>
        <w:rPr>
          <w:kern w:val="10"/>
        </w:rPr>
        <w:fldChar w:fldCharType="separate"/>
      </w:r>
      <w:r>
        <w:rPr>
          <w:kern w:val="10"/>
        </w:rPr>
        <w:t>IV</w:t>
      </w:r>
      <w:r>
        <w:rPr>
          <w:kern w:val="10"/>
        </w:rPr>
        <w:fldChar w:fldCharType="end"/>
      </w:r>
      <w:r>
        <w:rPr>
          <w:kern w:val="10"/>
        </w:rPr>
        <w:t>-</w:t>
      </w:r>
      <w:r>
        <w:rPr>
          <w:rFonts w:hint="eastAsia"/>
          <w:kern w:val="10"/>
        </w:rPr>
        <w:t>2</w:t>
      </w:r>
      <w:r>
        <w:rPr>
          <w:kern w:val="10"/>
        </w:rPr>
        <w:t>-</w:t>
      </w:r>
      <w:r>
        <w:rPr>
          <w:rFonts w:hint="eastAsia"/>
          <w:kern w:val="10"/>
        </w:rPr>
        <w:t>1锦河</w:t>
      </w:r>
      <w:r>
        <w:rPr>
          <w:kern w:val="10"/>
        </w:rPr>
        <w:t>上游水源涵养与水质保护生态功能区（见附图十</w:t>
      </w:r>
      <w:r>
        <w:rPr>
          <w:rFonts w:hint="eastAsia"/>
          <w:kern w:val="10"/>
        </w:rPr>
        <w:t>七</w:t>
      </w:r>
      <w:r>
        <w:rPr>
          <w:kern w:val="10"/>
        </w:rPr>
        <w:t>）</w:t>
      </w:r>
      <w:r>
        <w:rPr>
          <w:rFonts w:hint="eastAsia"/>
          <w:kern w:val="10"/>
        </w:rPr>
        <w:t>。</w:t>
      </w:r>
      <w:r>
        <w:rPr>
          <w:kern w:val="10"/>
        </w:rPr>
        <w:t xml:space="preserve"> </w:t>
      </w:r>
    </w:p>
    <w:p>
      <w:pPr>
        <w:ind w:firstLine="480"/>
      </w:pPr>
      <w:r>
        <w:rPr>
          <w:rFonts w:hint="eastAsia"/>
          <w:kern w:val="10"/>
        </w:rPr>
        <w:t>锦河上游水源涵养与水质保护生态功能区包括宜春市万载县、宜丰县和上高县</w:t>
      </w:r>
      <w:r>
        <w:rPr>
          <w:rFonts w:hint="eastAsia"/>
        </w:rPr>
        <w:t>，辖34个乡、镇，土地总面积5004 km</w:t>
      </w:r>
      <w:r>
        <w:rPr>
          <w:rFonts w:hint="eastAsia"/>
          <w:vertAlign w:val="superscript"/>
        </w:rPr>
        <w:t>2</w:t>
      </w:r>
      <w:r>
        <w:rPr>
          <w:rFonts w:hint="eastAsia"/>
        </w:rPr>
        <w:t>，分别占赣江中上游及长河流域亚区和赣西山地丘陵生态区总土地面积21.6%和15.6%。该功能区是赣江重要支流锦河的地区，山地面积大，森林植被保存较好，拥有大面积次生常绿阔叶林分布，生物多样性特征显著，农业地位突出，因而生态系统主要服务功能为水源涵养和水质保护，其他功能还有农业环境保护、水土保持和生物多样性保护。</w:t>
      </w:r>
    </w:p>
    <w:p>
      <w:pPr>
        <w:widowControl/>
        <w:spacing w:before="120" w:beforeLines="50" w:line="240" w:lineRule="auto"/>
        <w:ind w:firstLine="480"/>
        <w:jc w:val="center"/>
        <w:rPr>
          <w:rFonts w:ascii="黑体" w:hAnsi="黑体" w:eastAsia="黑体" w:cs="黑体"/>
        </w:rPr>
      </w:pPr>
      <w:r>
        <w:rPr>
          <w:rFonts w:hint="eastAsia" w:ascii="黑体" w:hAnsi="黑体" w:eastAsia="黑体" w:cs="黑体"/>
        </w:rPr>
        <w:t>表4.5-1 项目所处生态功能区划一览表</w:t>
      </w:r>
    </w:p>
    <w:tbl>
      <w:tblPr>
        <w:tblStyle w:val="8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1407"/>
        <w:gridCol w:w="2720"/>
        <w:gridCol w:w="3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0"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生态功能区</w:t>
            </w:r>
          </w:p>
        </w:tc>
        <w:tc>
          <w:tcPr>
            <w:tcW w:w="735"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经过行政区</w:t>
            </w:r>
          </w:p>
        </w:tc>
        <w:tc>
          <w:tcPr>
            <w:tcW w:w="1421" w:type="pct"/>
            <w:vAlign w:val="center"/>
          </w:tcPr>
          <w:p>
            <w:pPr>
              <w:pStyle w:val="573"/>
              <w:spacing w:line="340" w:lineRule="exact"/>
              <w:jc w:val="center"/>
              <w:rPr>
                <w:color w:val="auto"/>
                <w:sz w:val="21"/>
                <w:szCs w:val="21"/>
              </w:rPr>
            </w:pPr>
            <w:r>
              <w:rPr>
                <w:color w:val="auto"/>
                <w:sz w:val="21"/>
                <w:szCs w:val="21"/>
              </w:rPr>
              <w:t>主要环境问题</w:t>
            </w:r>
          </w:p>
        </w:tc>
        <w:tc>
          <w:tcPr>
            <w:tcW w:w="1772"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生态系统服务功能类型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0" w:type="pct"/>
            <w:vAlign w:val="center"/>
          </w:tcPr>
          <w:p>
            <w:pPr>
              <w:pStyle w:val="573"/>
              <w:spacing w:line="340" w:lineRule="exact"/>
              <w:jc w:val="center"/>
              <w:rPr>
                <w:rFonts w:ascii="Times New Roman" w:cs="Times New Roman"/>
                <w:color w:val="auto"/>
                <w:sz w:val="21"/>
                <w:szCs w:val="21"/>
              </w:rPr>
            </w:pPr>
            <w:r>
              <w:rPr>
                <w:rFonts w:hint="eastAsia"/>
                <w:color w:val="auto"/>
                <w:sz w:val="21"/>
                <w:szCs w:val="21"/>
              </w:rPr>
              <w:t>锦河</w:t>
            </w:r>
            <w:r>
              <w:rPr>
                <w:color w:val="auto"/>
                <w:sz w:val="21"/>
                <w:szCs w:val="21"/>
              </w:rPr>
              <w:t>上游水源涵养与水质保护生态功能区</w:t>
            </w:r>
            <w:r>
              <w:rPr>
                <w:rFonts w:ascii="Times New Roman" w:cs="Times New Roman"/>
                <w:color w:val="auto"/>
                <w:sz w:val="21"/>
                <w:szCs w:val="21"/>
              </w:rPr>
              <w:t>（</w:t>
            </w:r>
            <w:r>
              <w:rPr>
                <w:color w:val="auto"/>
                <w:sz w:val="21"/>
                <w:szCs w:val="21"/>
              </w:rPr>
              <w:fldChar w:fldCharType="begin"/>
            </w:r>
            <w:r>
              <w:rPr>
                <w:color w:val="auto"/>
                <w:sz w:val="21"/>
                <w:szCs w:val="21"/>
              </w:rPr>
              <w:instrText xml:space="preserve"> = 4 \* ROMAN </w:instrText>
            </w:r>
            <w:r>
              <w:rPr>
                <w:color w:val="auto"/>
                <w:sz w:val="21"/>
                <w:szCs w:val="21"/>
              </w:rPr>
              <w:fldChar w:fldCharType="separate"/>
            </w:r>
            <w:r>
              <w:rPr>
                <w:color w:val="auto"/>
                <w:sz w:val="21"/>
                <w:szCs w:val="21"/>
              </w:rPr>
              <w:t>IV</w:t>
            </w:r>
            <w:r>
              <w:rPr>
                <w:color w:val="auto"/>
                <w:sz w:val="21"/>
                <w:szCs w:val="21"/>
              </w:rPr>
              <w:fldChar w:fldCharType="end"/>
            </w:r>
            <w:r>
              <w:rPr>
                <w:color w:val="auto"/>
                <w:sz w:val="21"/>
                <w:szCs w:val="21"/>
              </w:rPr>
              <w:t>-</w:t>
            </w:r>
            <w:r>
              <w:rPr>
                <w:rFonts w:hint="eastAsia"/>
                <w:color w:val="auto"/>
                <w:sz w:val="21"/>
                <w:szCs w:val="21"/>
              </w:rPr>
              <w:t>2</w:t>
            </w:r>
            <w:r>
              <w:rPr>
                <w:color w:val="auto"/>
                <w:sz w:val="21"/>
                <w:szCs w:val="21"/>
              </w:rPr>
              <w:t>-</w:t>
            </w:r>
            <w:r>
              <w:rPr>
                <w:rFonts w:hint="eastAsia"/>
                <w:color w:val="auto"/>
                <w:sz w:val="21"/>
                <w:szCs w:val="21"/>
              </w:rPr>
              <w:t>1</w:t>
            </w:r>
            <w:r>
              <w:rPr>
                <w:rFonts w:ascii="Times New Roman" w:cs="Times New Roman"/>
                <w:color w:val="auto"/>
                <w:sz w:val="21"/>
                <w:szCs w:val="21"/>
              </w:rPr>
              <w:t>）</w:t>
            </w:r>
          </w:p>
        </w:tc>
        <w:tc>
          <w:tcPr>
            <w:tcW w:w="735"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上高县</w:t>
            </w:r>
          </w:p>
        </w:tc>
        <w:tc>
          <w:tcPr>
            <w:tcW w:w="1421" w:type="pct"/>
            <w:vAlign w:val="center"/>
          </w:tcPr>
          <w:p>
            <w:pPr>
              <w:pStyle w:val="573"/>
              <w:spacing w:line="340" w:lineRule="exact"/>
              <w:jc w:val="center"/>
              <w:rPr>
                <w:color w:val="auto"/>
                <w:sz w:val="21"/>
                <w:szCs w:val="21"/>
              </w:rPr>
            </w:pPr>
            <w:r>
              <w:rPr>
                <w:rFonts w:hint="eastAsia"/>
                <w:color w:val="auto"/>
                <w:sz w:val="21"/>
                <w:szCs w:val="21"/>
              </w:rPr>
              <w:t>低山丘陵地区水土流失比较突出；河谷平原地区农业面源污染比较严重; 易地质灾害威胁</w:t>
            </w:r>
          </w:p>
        </w:tc>
        <w:tc>
          <w:tcPr>
            <w:tcW w:w="1772" w:type="pct"/>
            <w:vAlign w:val="center"/>
          </w:tcPr>
          <w:p>
            <w:pPr>
              <w:spacing w:line="340" w:lineRule="exact"/>
              <w:ind w:firstLine="0" w:firstLineChars="0"/>
              <w:jc w:val="center"/>
              <w:rPr>
                <w:sz w:val="21"/>
                <w:szCs w:val="21"/>
              </w:rPr>
            </w:pPr>
            <w:r>
              <w:rPr>
                <w:kern w:val="0"/>
                <w:sz w:val="21"/>
                <w:szCs w:val="21"/>
              </w:rPr>
              <w:t>主要服务功能为</w:t>
            </w:r>
            <w:r>
              <w:rPr>
                <w:rFonts w:hint="eastAsia"/>
                <w:kern w:val="0"/>
                <w:sz w:val="21"/>
                <w:szCs w:val="21"/>
              </w:rPr>
              <w:t>水源涵养和水质保护，其他功能还有农业环境保护、水土保持和生物多样性保护。</w:t>
            </w:r>
          </w:p>
        </w:tc>
      </w:tr>
    </w:tbl>
    <w:p>
      <w:pPr>
        <w:pStyle w:val="835"/>
        <w:spacing w:before="0" w:line="360" w:lineRule="auto"/>
      </w:pPr>
      <w:r>
        <w:t>4.</w:t>
      </w:r>
      <w:r>
        <w:rPr>
          <w:rFonts w:hint="eastAsia"/>
        </w:rPr>
        <w:t>5</w:t>
      </w:r>
      <w:r>
        <w:t>.2</w:t>
      </w:r>
      <w:r>
        <w:rPr>
          <w:rFonts w:hint="eastAsia"/>
        </w:rPr>
        <w:t>调查方法</w:t>
      </w:r>
    </w:p>
    <w:p>
      <w:pPr>
        <w:ind w:firstLine="480"/>
      </w:pPr>
      <w:bookmarkStart w:id="763" w:name="_Toc534386303"/>
      <w:bookmarkStart w:id="764" w:name="_Toc3903284"/>
      <w:bookmarkStart w:id="765" w:name="_Toc534895279"/>
      <w:bookmarkStart w:id="766" w:name="_Toc534807062"/>
      <w:bookmarkStart w:id="767" w:name="_Toc536265147"/>
      <w:r>
        <w:rPr>
          <w:rFonts w:hint="eastAsia" w:ascii="宋体" w:hAnsi="宋体" w:cs="宋体"/>
        </w:rPr>
        <w:t>⑴</w:t>
      </w:r>
      <w:r>
        <w:t>调查范围：</w:t>
      </w:r>
      <w:r>
        <w:rPr>
          <w:rFonts w:hint="eastAsia" w:ascii="微软雅黑" w:hAnsi="微软雅黑" w:eastAsia="微软雅黑" w:cs="微软雅黑"/>
        </w:rPr>
        <w:t>①</w:t>
      </w:r>
      <w:r>
        <w:rPr>
          <w:rFonts w:hint="eastAsia" w:ascii="宋体" w:hAnsi="宋体" w:cs="宋体"/>
          <w:szCs w:val="24"/>
        </w:rPr>
        <w:t>陆生生态，</w:t>
      </w:r>
      <w:r>
        <w:rPr>
          <w:rFonts w:hint="eastAsia"/>
        </w:rPr>
        <w:t>为充分体现生态完整性，涵盖工程活动的直接影响区和间接影响区域。陆生生态评价范围主要包括：淹没区及减水河段岸边外延200m范围区域；坝址及其他临辅工程主要以生态单位和地理单元为参照边界，外延 200m范围。评价范围内，无珍稀濒危受保护的动植物。</w:t>
      </w:r>
      <w:r>
        <w:rPr>
          <w:rFonts w:hint="eastAsia" w:ascii="宋体" w:hAnsi="宋体" w:cs="宋体"/>
          <w:szCs w:val="24"/>
        </w:rPr>
        <w:t>②</w:t>
      </w:r>
      <w:r>
        <w:rPr>
          <w:rFonts w:hint="eastAsia"/>
          <w:szCs w:val="24"/>
        </w:rPr>
        <w:t>水生生态，水库及坝址下游1500m 范围。</w:t>
      </w:r>
    </w:p>
    <w:p>
      <w:pPr>
        <w:ind w:firstLine="480"/>
      </w:pPr>
      <w:r>
        <w:rPr>
          <w:rFonts w:hint="eastAsia" w:ascii="宋体" w:hAnsi="宋体" w:cs="宋体"/>
        </w:rPr>
        <w:t>⑵</w:t>
      </w:r>
      <w:r>
        <w:t>调查方法：采用收集资料及现场调查等方法。收集整理生物多样性资料，包括地方志、统计年鉴以及林业、环保、水利、农业、国土资源等部门提供的相关资料。</w:t>
      </w:r>
    </w:p>
    <w:p>
      <w:pPr>
        <w:ind w:firstLine="480"/>
      </w:pPr>
      <w:r>
        <w:t>植物物种调查采用</w:t>
      </w:r>
      <w:r>
        <w:rPr>
          <w:rFonts w:hint="eastAsia"/>
        </w:rPr>
        <w:t>样方</w:t>
      </w:r>
      <w:r>
        <w:t>调查法，记录所见到的所有植物种类；针对项目区植被类型与分布状况，进行了项目用地植被群落专项调查，采用样方法，每种群落类型调查</w:t>
      </w:r>
      <w:r>
        <w:rPr>
          <w:rFonts w:hint="eastAsia"/>
        </w:rPr>
        <w:t>5</w:t>
      </w:r>
      <w:r>
        <w:t>个样方，记录群落的物种组成及数量特征。</w:t>
      </w:r>
    </w:p>
    <w:p>
      <w:pPr>
        <w:ind w:firstLine="480"/>
      </w:pPr>
      <w:r>
        <w:t>采用野外调查、访问、查阅文献资料等方法确定项目区内的动物资源状况。主要针对项目区水域是否有鱼类产卵场，是否有国家级或省级保护野生动物分布等。</w:t>
      </w:r>
    </w:p>
    <w:p>
      <w:pPr>
        <w:ind w:firstLine="480"/>
      </w:pPr>
      <w:r>
        <w:rPr>
          <w:rFonts w:hint="eastAsia" w:ascii="宋体" w:hAnsi="宋体" w:cs="宋体"/>
        </w:rPr>
        <w:t>⑶</w:t>
      </w:r>
      <w:r>
        <w:t>调查内容</w:t>
      </w:r>
    </w:p>
    <w:p>
      <w:pPr>
        <w:ind w:firstLine="480"/>
        <w:rPr>
          <w:color w:val="0000FF"/>
        </w:rPr>
      </w:pPr>
      <w:r>
        <w:rPr>
          <w:rFonts w:hint="eastAsia"/>
        </w:rPr>
        <w:t>A.区域生态系统类型、面积等。</w:t>
      </w:r>
    </w:p>
    <w:p>
      <w:pPr>
        <w:ind w:firstLine="480"/>
        <w:rPr>
          <w:color w:val="0000FF"/>
        </w:rPr>
      </w:pPr>
      <w:r>
        <w:rPr>
          <w:color w:val="0000FF"/>
        </w:rPr>
        <w:t>B.区域地被植物的种类、数量、保护类别、分布及植被覆盖率等。</w:t>
      </w:r>
    </w:p>
    <w:p>
      <w:pPr>
        <w:ind w:firstLine="480"/>
      </w:pPr>
      <w:r>
        <w:rPr>
          <w:rFonts w:hint="eastAsia"/>
        </w:rPr>
        <w:t>C</w:t>
      </w:r>
      <w:r>
        <w:t>.区域内野生动物的种类、分布及栖息环境等。</w:t>
      </w:r>
    </w:p>
    <w:p>
      <w:pPr>
        <w:ind w:firstLine="480"/>
      </w:pPr>
      <w:r>
        <w:rPr>
          <w:rFonts w:hint="eastAsia" w:ascii="宋体" w:hAnsi="宋体" w:cs="宋体"/>
        </w:rPr>
        <w:t>⑷</w:t>
      </w:r>
      <w:r>
        <w:t>生态影响评价方法</w:t>
      </w:r>
    </w:p>
    <w:p>
      <w:pPr>
        <w:ind w:firstLine="480"/>
      </w:pPr>
      <w:r>
        <w:t>根据工程特点，结合已有的相关文献资料，依据生态学原理对评价区动植物种群分布，林地、农田旱地、湿地的植被特点、结构特征和演替趋势，生态环境的相关性等进行评价分析、预测生态影响。</w:t>
      </w:r>
    </w:p>
    <w:p>
      <w:pPr>
        <w:spacing w:before="120" w:beforeLines="50" w:line="240" w:lineRule="auto"/>
        <w:ind w:firstLine="480"/>
        <w:jc w:val="center"/>
        <w:rPr>
          <w:rFonts w:ascii="黑体" w:hAnsi="黑体" w:eastAsia="黑体" w:cs="黑体"/>
          <w:szCs w:val="21"/>
        </w:rPr>
      </w:pPr>
      <w:r>
        <w:rPr>
          <w:rFonts w:hint="eastAsia" w:ascii="黑体" w:hAnsi="黑体" w:eastAsia="黑体" w:cs="黑体"/>
          <w:szCs w:val="21"/>
        </w:rPr>
        <w:t>表4</w:t>
      </w:r>
      <w:r>
        <w:rPr>
          <w:rFonts w:ascii="黑体" w:hAnsi="黑体" w:eastAsia="黑体" w:cs="黑体"/>
          <w:szCs w:val="21"/>
        </w:rPr>
        <w:t xml:space="preserve">.5-2 </w:t>
      </w:r>
      <w:r>
        <w:rPr>
          <w:rFonts w:hint="eastAsia" w:ascii="黑体" w:hAnsi="黑体" w:eastAsia="黑体" w:cs="黑体"/>
          <w:szCs w:val="21"/>
        </w:rPr>
        <w:t>植物调查样方统计</w:t>
      </w:r>
    </w:p>
    <w:tbl>
      <w:tblPr>
        <w:tblStyle w:val="82"/>
        <w:tblW w:w="911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33"/>
        <w:gridCol w:w="1616"/>
        <w:gridCol w:w="1226"/>
        <w:gridCol w:w="590"/>
        <w:gridCol w:w="426"/>
        <w:gridCol w:w="720"/>
        <w:gridCol w:w="1896"/>
        <w:gridCol w:w="10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0" w:type="auto"/>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样方编号</w:t>
            </w:r>
          </w:p>
        </w:tc>
        <w:tc>
          <w:tcPr>
            <w:tcW w:w="1133" w:type="dxa"/>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群落（群系）名称</w:t>
            </w:r>
          </w:p>
        </w:tc>
        <w:tc>
          <w:tcPr>
            <w:tcW w:w="1616" w:type="dxa"/>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调查地点</w:t>
            </w:r>
          </w:p>
        </w:tc>
        <w:tc>
          <w:tcPr>
            <w:tcW w:w="1226" w:type="dxa"/>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地形</w:t>
            </w:r>
          </w:p>
        </w:tc>
        <w:tc>
          <w:tcPr>
            <w:tcW w:w="590" w:type="dxa"/>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海拔</w:t>
            </w:r>
          </w:p>
        </w:tc>
        <w:tc>
          <w:tcPr>
            <w:tcW w:w="0" w:type="auto"/>
            <w:vMerge w:val="restart"/>
            <w:shd w:val="clear" w:color="auto" w:fill="auto"/>
            <w:vAlign w:val="center"/>
          </w:tcPr>
          <w:p>
            <w:pPr>
              <w:widowControl/>
              <w:spacing w:line="240" w:lineRule="auto"/>
              <w:ind w:firstLine="0" w:firstLineChars="0"/>
              <w:jc w:val="center"/>
              <w:rPr>
                <w:color w:val="0000FF"/>
                <w:kern w:val="0"/>
                <w:sz w:val="21"/>
                <w:szCs w:val="21"/>
              </w:rPr>
            </w:pPr>
            <w:r>
              <w:rPr>
                <w:color w:val="0000FF"/>
                <w:kern w:val="0"/>
                <w:sz w:val="21"/>
                <w:szCs w:val="21"/>
              </w:rPr>
              <w:t>坡向</w:t>
            </w:r>
          </w:p>
        </w:tc>
        <w:tc>
          <w:tcPr>
            <w:tcW w:w="0" w:type="auto"/>
            <w:vMerge w:val="restart"/>
            <w:shd w:val="clear" w:color="auto" w:fill="auto"/>
            <w:vAlign w:val="center"/>
          </w:tcPr>
          <w:p>
            <w:pPr>
              <w:widowControl/>
              <w:spacing w:line="240" w:lineRule="auto"/>
              <w:ind w:firstLine="0" w:firstLineChars="0"/>
              <w:jc w:val="center"/>
              <w:rPr>
                <w:color w:val="0000FF"/>
                <w:kern w:val="0"/>
                <w:sz w:val="21"/>
                <w:szCs w:val="21"/>
              </w:rPr>
            </w:pPr>
            <w:r>
              <w:rPr>
                <w:color w:val="0000FF"/>
                <w:kern w:val="0"/>
                <w:sz w:val="21"/>
                <w:szCs w:val="21"/>
              </w:rPr>
              <w:t>坡度（°）</w:t>
            </w:r>
          </w:p>
        </w:tc>
        <w:tc>
          <w:tcPr>
            <w:tcW w:w="0" w:type="auto"/>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GPS 点位</w:t>
            </w:r>
          </w:p>
        </w:tc>
        <w:tc>
          <w:tcPr>
            <w:tcW w:w="0" w:type="auto"/>
            <w:vMerge w:val="restart"/>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样方面积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0" w:type="auto"/>
            <w:vMerge w:val="continue"/>
            <w:vAlign w:val="center"/>
          </w:tcPr>
          <w:p>
            <w:pPr>
              <w:widowControl/>
              <w:spacing w:line="240" w:lineRule="auto"/>
              <w:ind w:firstLine="0" w:firstLineChars="0"/>
              <w:jc w:val="left"/>
              <w:rPr>
                <w:color w:val="0000FF"/>
                <w:kern w:val="0"/>
                <w:sz w:val="21"/>
                <w:szCs w:val="21"/>
              </w:rPr>
            </w:pPr>
          </w:p>
        </w:tc>
        <w:tc>
          <w:tcPr>
            <w:tcW w:w="1133" w:type="dxa"/>
            <w:vMerge w:val="continue"/>
            <w:vAlign w:val="center"/>
          </w:tcPr>
          <w:p>
            <w:pPr>
              <w:widowControl/>
              <w:spacing w:line="240" w:lineRule="auto"/>
              <w:ind w:firstLine="0" w:firstLineChars="0"/>
              <w:jc w:val="left"/>
              <w:rPr>
                <w:color w:val="0000FF"/>
                <w:kern w:val="0"/>
                <w:sz w:val="21"/>
                <w:szCs w:val="21"/>
              </w:rPr>
            </w:pPr>
          </w:p>
        </w:tc>
        <w:tc>
          <w:tcPr>
            <w:tcW w:w="1616" w:type="dxa"/>
            <w:vMerge w:val="continue"/>
            <w:vAlign w:val="center"/>
          </w:tcPr>
          <w:p>
            <w:pPr>
              <w:widowControl/>
              <w:spacing w:line="240" w:lineRule="auto"/>
              <w:ind w:firstLine="0" w:firstLineChars="0"/>
              <w:jc w:val="left"/>
              <w:rPr>
                <w:color w:val="0000FF"/>
                <w:kern w:val="0"/>
                <w:sz w:val="21"/>
                <w:szCs w:val="21"/>
              </w:rPr>
            </w:pPr>
          </w:p>
        </w:tc>
        <w:tc>
          <w:tcPr>
            <w:tcW w:w="1226" w:type="dxa"/>
            <w:vMerge w:val="continue"/>
            <w:vAlign w:val="center"/>
          </w:tcPr>
          <w:p>
            <w:pPr>
              <w:widowControl/>
              <w:spacing w:line="240" w:lineRule="auto"/>
              <w:ind w:firstLine="0" w:firstLineChars="0"/>
              <w:jc w:val="left"/>
              <w:rPr>
                <w:color w:val="0000FF"/>
                <w:kern w:val="0"/>
                <w:sz w:val="21"/>
                <w:szCs w:val="21"/>
              </w:rPr>
            </w:pPr>
          </w:p>
        </w:tc>
        <w:tc>
          <w:tcPr>
            <w:tcW w:w="590" w:type="dxa"/>
            <w:vMerge w:val="continue"/>
            <w:vAlign w:val="center"/>
          </w:tcPr>
          <w:p>
            <w:pPr>
              <w:widowControl/>
              <w:spacing w:line="240" w:lineRule="auto"/>
              <w:ind w:firstLine="0" w:firstLineChars="0"/>
              <w:jc w:val="left"/>
              <w:rPr>
                <w:color w:val="0000FF"/>
                <w:kern w:val="0"/>
                <w:sz w:val="21"/>
                <w:szCs w:val="21"/>
              </w:rPr>
            </w:pPr>
          </w:p>
        </w:tc>
        <w:tc>
          <w:tcPr>
            <w:tcW w:w="0" w:type="auto"/>
            <w:vMerge w:val="continue"/>
            <w:vAlign w:val="center"/>
          </w:tcPr>
          <w:p>
            <w:pPr>
              <w:widowControl/>
              <w:spacing w:line="240" w:lineRule="auto"/>
              <w:ind w:firstLine="0" w:firstLineChars="0"/>
              <w:jc w:val="left"/>
              <w:rPr>
                <w:color w:val="0000FF"/>
                <w:kern w:val="0"/>
                <w:sz w:val="21"/>
                <w:szCs w:val="21"/>
              </w:rPr>
            </w:pPr>
          </w:p>
        </w:tc>
        <w:tc>
          <w:tcPr>
            <w:tcW w:w="0" w:type="auto"/>
            <w:vMerge w:val="continue"/>
            <w:vAlign w:val="center"/>
          </w:tcPr>
          <w:p>
            <w:pPr>
              <w:widowControl/>
              <w:spacing w:line="240" w:lineRule="auto"/>
              <w:ind w:firstLine="0" w:firstLineChars="0"/>
              <w:jc w:val="left"/>
              <w:rPr>
                <w:color w:val="0000FF"/>
                <w:kern w:val="0"/>
                <w:sz w:val="21"/>
                <w:szCs w:val="21"/>
              </w:rPr>
            </w:pPr>
          </w:p>
        </w:tc>
        <w:tc>
          <w:tcPr>
            <w:tcW w:w="0" w:type="auto"/>
            <w:vMerge w:val="continue"/>
            <w:vAlign w:val="center"/>
          </w:tcPr>
          <w:p>
            <w:pPr>
              <w:widowControl/>
              <w:spacing w:line="240" w:lineRule="auto"/>
              <w:ind w:firstLine="0" w:firstLineChars="0"/>
              <w:jc w:val="left"/>
              <w:rPr>
                <w:color w:val="0000FF"/>
                <w:kern w:val="0"/>
                <w:sz w:val="21"/>
                <w:szCs w:val="21"/>
              </w:rPr>
            </w:pPr>
          </w:p>
        </w:tc>
        <w:tc>
          <w:tcPr>
            <w:tcW w:w="0" w:type="auto"/>
            <w:vMerge w:val="continue"/>
            <w:vAlign w:val="center"/>
          </w:tcPr>
          <w:p>
            <w:pPr>
              <w:widowControl/>
              <w:spacing w:line="240" w:lineRule="auto"/>
              <w:ind w:firstLine="0" w:firstLineChars="0"/>
              <w:jc w:val="left"/>
              <w:rPr>
                <w:color w:val="0000FF"/>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杉木林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lang w:eastAsia="zh-TW"/>
              </w:rPr>
              <w:t>镜山森林公园</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74m</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东</w:t>
            </w:r>
          </w:p>
        </w:tc>
        <w:tc>
          <w:tcPr>
            <w:tcW w:w="0" w:type="auto"/>
            <w:shd w:val="clear" w:color="auto" w:fill="auto"/>
            <w:noWrap/>
            <w:vAlign w:val="center"/>
          </w:tcPr>
          <w:p>
            <w:pPr>
              <w:widowControl/>
              <w:spacing w:line="240" w:lineRule="auto"/>
              <w:ind w:firstLine="0" w:firstLineChars="0"/>
              <w:jc w:val="right"/>
              <w:rPr>
                <w:color w:val="0000FF"/>
                <w:kern w:val="0"/>
                <w:sz w:val="21"/>
                <w:szCs w:val="21"/>
              </w:rPr>
            </w:pPr>
            <w:r>
              <w:rPr>
                <w:color w:val="0000FF"/>
                <w:kern w:val="0"/>
                <w:sz w:val="21"/>
                <w:szCs w:val="21"/>
              </w:rPr>
              <w:t>15</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rFonts w:hint="eastAsia"/>
                <w:color w:val="0000FF"/>
                <w:kern w:val="0"/>
                <w:sz w:val="21"/>
                <w:szCs w:val="21"/>
              </w:rPr>
              <w:t>114°57′34.79″,</w:t>
            </w:r>
          </w:p>
          <w:p>
            <w:pPr>
              <w:widowControl/>
              <w:spacing w:line="240" w:lineRule="auto"/>
              <w:ind w:firstLine="0" w:firstLineChars="0"/>
              <w:jc w:val="left"/>
              <w:rPr>
                <w:color w:val="0000FF"/>
                <w:kern w:val="0"/>
                <w:sz w:val="21"/>
                <w:szCs w:val="21"/>
              </w:rPr>
            </w:pPr>
            <w:r>
              <w:rPr>
                <w:rFonts w:hint="eastAsia"/>
                <w:color w:val="0000FF"/>
                <w:kern w:val="0"/>
                <w:sz w:val="21"/>
                <w:szCs w:val="21"/>
              </w:rPr>
              <w:t>28°14′7.17″</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2</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杉木林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白溪村南面</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70m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北</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26</w:t>
            </w:r>
          </w:p>
        </w:tc>
        <w:tc>
          <w:tcPr>
            <w:tcW w:w="0" w:type="auto"/>
            <w:shd w:val="clear" w:color="auto" w:fill="auto"/>
            <w:vAlign w:val="center"/>
          </w:tcPr>
          <w:p>
            <w:pPr>
              <w:widowControl/>
              <w:spacing w:line="240" w:lineRule="auto"/>
              <w:ind w:firstLine="0" w:firstLineChars="0"/>
              <w:jc w:val="left"/>
              <w:rPr>
                <w:color w:val="0000FF"/>
                <w:kern w:val="0"/>
                <w:sz w:val="21"/>
                <w:szCs w:val="21"/>
              </w:rPr>
            </w:pPr>
            <w:r>
              <w:rPr>
                <w:rFonts w:hint="eastAsia"/>
                <w:color w:val="0000FF"/>
                <w:kern w:val="0"/>
                <w:sz w:val="21"/>
                <w:szCs w:val="21"/>
              </w:rPr>
              <w:t>114°58′3.29″,</w:t>
            </w:r>
          </w:p>
          <w:p>
            <w:pPr>
              <w:widowControl/>
              <w:spacing w:line="240" w:lineRule="auto"/>
              <w:ind w:firstLine="0" w:firstLineChars="0"/>
              <w:jc w:val="left"/>
              <w:rPr>
                <w:color w:val="0000FF"/>
                <w:kern w:val="0"/>
                <w:sz w:val="21"/>
                <w:szCs w:val="21"/>
              </w:rPr>
            </w:pPr>
            <w:r>
              <w:rPr>
                <w:rFonts w:hint="eastAsia"/>
                <w:color w:val="0000FF"/>
                <w:kern w:val="0"/>
                <w:sz w:val="21"/>
                <w:szCs w:val="21"/>
              </w:rPr>
              <w:t>28°14′14.91″</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3</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松树林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lang w:eastAsia="zh-TW"/>
              </w:rPr>
              <w:t>镜山森林公园</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78</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南</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35</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114°57′31.14″,</w:t>
            </w:r>
          </w:p>
          <w:p>
            <w:pPr>
              <w:widowControl/>
              <w:spacing w:line="240" w:lineRule="auto"/>
              <w:ind w:firstLine="0" w:firstLineChars="0"/>
              <w:rPr>
                <w:color w:val="0000FF"/>
                <w:kern w:val="0"/>
                <w:sz w:val="21"/>
                <w:szCs w:val="21"/>
              </w:rPr>
            </w:pPr>
            <w:r>
              <w:rPr>
                <w:color w:val="0000FF"/>
                <w:kern w:val="0"/>
                <w:sz w:val="21"/>
                <w:szCs w:val="21"/>
              </w:rPr>
              <w:t>28°14′17.21″</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4</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杨树林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坝址左岸</w:t>
            </w:r>
          </w:p>
        </w:tc>
        <w:tc>
          <w:tcPr>
            <w:tcW w:w="1226"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低丘岗地</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65m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东</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18</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114°57′47.86″,</w:t>
            </w:r>
          </w:p>
          <w:p>
            <w:pPr>
              <w:widowControl/>
              <w:spacing w:line="240" w:lineRule="auto"/>
              <w:ind w:firstLine="0" w:firstLineChars="0"/>
              <w:rPr>
                <w:color w:val="0000FF"/>
                <w:kern w:val="0"/>
                <w:sz w:val="21"/>
                <w:szCs w:val="21"/>
              </w:rPr>
            </w:pPr>
            <w:r>
              <w:rPr>
                <w:color w:val="0000FF"/>
                <w:kern w:val="0"/>
                <w:sz w:val="21"/>
                <w:szCs w:val="21"/>
              </w:rPr>
              <w:t>28°14′35.24″</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石栎林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镜山森林公园</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65m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北</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25</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114°57′23.11″,</w:t>
            </w:r>
          </w:p>
          <w:p>
            <w:pPr>
              <w:widowControl/>
              <w:spacing w:line="240" w:lineRule="auto"/>
              <w:ind w:firstLine="0" w:firstLineChars="0"/>
              <w:rPr>
                <w:color w:val="0000FF"/>
                <w:kern w:val="0"/>
                <w:sz w:val="21"/>
                <w:szCs w:val="21"/>
              </w:rPr>
            </w:pPr>
            <w:r>
              <w:rPr>
                <w:color w:val="0000FF"/>
                <w:kern w:val="0"/>
                <w:sz w:val="21"/>
                <w:szCs w:val="21"/>
              </w:rPr>
              <w:t>28°14′2.84″</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6</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枫香林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镜山森林公园</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54</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东</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10</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114°57′40.878″,</w:t>
            </w:r>
          </w:p>
          <w:p>
            <w:pPr>
              <w:widowControl/>
              <w:spacing w:line="240" w:lineRule="auto"/>
              <w:ind w:firstLine="0" w:firstLineChars="0"/>
              <w:rPr>
                <w:color w:val="0000FF"/>
                <w:kern w:val="0"/>
                <w:sz w:val="21"/>
                <w:szCs w:val="21"/>
              </w:rPr>
            </w:pPr>
            <w:r>
              <w:rPr>
                <w:color w:val="0000FF"/>
                <w:kern w:val="0"/>
                <w:sz w:val="21"/>
                <w:szCs w:val="21"/>
              </w:rPr>
              <w:t>28°14′22.774″</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7</w:t>
            </w:r>
          </w:p>
        </w:tc>
        <w:tc>
          <w:tcPr>
            <w:tcW w:w="1133"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毛竹林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坝址右岸</w:t>
            </w:r>
          </w:p>
        </w:tc>
        <w:tc>
          <w:tcPr>
            <w:tcW w:w="1226"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低丘岗地</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50</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西</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8</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114°57′59.72″,</w:t>
            </w:r>
          </w:p>
          <w:p>
            <w:pPr>
              <w:widowControl/>
              <w:spacing w:line="240" w:lineRule="auto"/>
              <w:ind w:firstLine="0" w:firstLineChars="0"/>
              <w:rPr>
                <w:color w:val="0000FF"/>
                <w:kern w:val="0"/>
                <w:sz w:val="21"/>
                <w:szCs w:val="21"/>
              </w:rPr>
            </w:pPr>
            <w:r>
              <w:rPr>
                <w:color w:val="0000FF"/>
                <w:kern w:val="0"/>
                <w:sz w:val="21"/>
                <w:szCs w:val="21"/>
              </w:rPr>
              <w:t>28°14′29.88″</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8</w:t>
            </w:r>
          </w:p>
        </w:tc>
        <w:tc>
          <w:tcPr>
            <w:tcW w:w="1133"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毛竹林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白溪村南面</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59m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北</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10</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114°58′12.01″,</w:t>
            </w:r>
          </w:p>
          <w:p>
            <w:pPr>
              <w:widowControl/>
              <w:spacing w:line="240" w:lineRule="auto"/>
              <w:ind w:firstLine="0" w:firstLineChars="0"/>
              <w:rPr>
                <w:color w:val="0000FF"/>
                <w:kern w:val="0"/>
                <w:sz w:val="21"/>
                <w:szCs w:val="21"/>
              </w:rPr>
            </w:pPr>
            <w:r>
              <w:rPr>
                <w:color w:val="0000FF"/>
                <w:kern w:val="0"/>
                <w:sz w:val="21"/>
                <w:szCs w:val="21"/>
              </w:rPr>
              <w:t>28°14′26.71″</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9</w:t>
            </w:r>
          </w:p>
        </w:tc>
        <w:tc>
          <w:tcPr>
            <w:tcW w:w="1133"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毛竹林</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白溪村南面</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低山丘陵</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55m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北</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8</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114°58′33.94″,</w:t>
            </w:r>
          </w:p>
          <w:p>
            <w:pPr>
              <w:widowControl/>
              <w:spacing w:line="240" w:lineRule="auto"/>
              <w:ind w:firstLine="0" w:firstLineChars="0"/>
              <w:rPr>
                <w:color w:val="0000FF"/>
                <w:kern w:val="0"/>
                <w:sz w:val="21"/>
                <w:szCs w:val="21"/>
              </w:rPr>
            </w:pPr>
            <w:r>
              <w:rPr>
                <w:color w:val="0000FF"/>
                <w:kern w:val="0"/>
                <w:sz w:val="21"/>
                <w:szCs w:val="21"/>
              </w:rPr>
              <w:t>28°14′21.07″</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20m×20m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10</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芒萁灌丛</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锦河河边</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rFonts w:hint="eastAsia"/>
                <w:color w:val="0000FF"/>
                <w:kern w:val="0"/>
                <w:sz w:val="21"/>
                <w:szCs w:val="21"/>
              </w:rPr>
              <w:t>河滩地</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57m</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东</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w:t>
            </w:r>
          </w:p>
        </w:tc>
        <w:tc>
          <w:tcPr>
            <w:tcW w:w="0" w:type="auto"/>
            <w:tcBorders>
              <w:top w:val="single" w:color="auto" w:sz="12" w:space="0"/>
              <w:left w:val="nil"/>
              <w:bottom w:val="single" w:color="auto" w:sz="12" w:space="0"/>
              <w:right w:val="nil"/>
            </w:tcBorders>
            <w:shd w:val="clear" w:color="auto" w:fill="auto"/>
            <w:vAlign w:val="center"/>
          </w:tcPr>
          <w:p>
            <w:pPr>
              <w:widowControl/>
              <w:spacing w:line="240" w:lineRule="auto"/>
              <w:ind w:firstLine="0" w:firstLineChars="0"/>
              <w:jc w:val="center"/>
              <w:rPr>
                <w:rFonts w:eastAsia="等线"/>
                <w:color w:val="000000"/>
                <w:sz w:val="21"/>
                <w:szCs w:val="21"/>
              </w:rPr>
            </w:pPr>
            <w:r>
              <w:rPr>
                <w:rFonts w:eastAsia="等线"/>
                <w:color w:val="000000"/>
                <w:sz w:val="21"/>
                <w:szCs w:val="21"/>
              </w:rPr>
              <w:t>114°57</w:t>
            </w:r>
            <w:r>
              <w:rPr>
                <w:rFonts w:hint="eastAsia"/>
                <w:color w:val="000000"/>
                <w:sz w:val="21"/>
                <w:szCs w:val="21"/>
              </w:rPr>
              <w:t>′</w:t>
            </w:r>
            <w:r>
              <w:rPr>
                <w:rFonts w:eastAsia="等线"/>
                <w:color w:val="000000"/>
                <w:sz w:val="21"/>
                <w:szCs w:val="21"/>
              </w:rPr>
              <w:t>47.45</w:t>
            </w:r>
            <w:r>
              <w:rPr>
                <w:rFonts w:hint="eastAsia"/>
                <w:color w:val="000000"/>
                <w:sz w:val="21"/>
                <w:szCs w:val="21"/>
              </w:rPr>
              <w:t>″</w:t>
            </w:r>
            <w:r>
              <w:rPr>
                <w:rFonts w:eastAsia="等线"/>
                <w:color w:val="000000"/>
                <w:sz w:val="21"/>
                <w:szCs w:val="21"/>
              </w:rPr>
              <w:t>,</w:t>
            </w:r>
          </w:p>
          <w:p>
            <w:pPr>
              <w:widowControl/>
              <w:spacing w:line="240" w:lineRule="auto"/>
              <w:ind w:firstLine="0" w:firstLineChars="0"/>
              <w:jc w:val="center"/>
              <w:rPr>
                <w:color w:val="0000FF"/>
                <w:kern w:val="0"/>
                <w:sz w:val="21"/>
                <w:szCs w:val="21"/>
              </w:rPr>
            </w:pPr>
            <w:r>
              <w:rPr>
                <w:rFonts w:eastAsia="等线"/>
                <w:color w:val="000000"/>
                <w:sz w:val="21"/>
                <w:szCs w:val="21"/>
              </w:rPr>
              <w:t>28°14</w:t>
            </w:r>
            <w:r>
              <w:rPr>
                <w:rFonts w:hint="eastAsia"/>
                <w:color w:val="000000"/>
                <w:sz w:val="21"/>
                <w:szCs w:val="21"/>
              </w:rPr>
              <w:t>′</w:t>
            </w:r>
            <w:r>
              <w:rPr>
                <w:rFonts w:eastAsia="等线"/>
                <w:color w:val="000000"/>
                <w:sz w:val="21"/>
                <w:szCs w:val="21"/>
              </w:rPr>
              <w:t>24.24</w:t>
            </w:r>
            <w:r>
              <w:rPr>
                <w:rFonts w:hint="eastAsia"/>
                <w:color w:val="000000"/>
                <w:sz w:val="21"/>
                <w:szCs w:val="21"/>
              </w:rPr>
              <w:t>″</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10m×10m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11</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五节芒灌草丛</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锦河河边</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rFonts w:hint="eastAsia"/>
                <w:color w:val="0000FF"/>
                <w:kern w:val="0"/>
                <w:sz w:val="21"/>
                <w:szCs w:val="21"/>
              </w:rPr>
              <w:t>河滩地</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46</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西</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w:t>
            </w:r>
          </w:p>
        </w:tc>
        <w:tc>
          <w:tcPr>
            <w:tcW w:w="0" w:type="auto"/>
            <w:tcBorders>
              <w:top w:val="nil"/>
              <w:left w:val="nil"/>
              <w:bottom w:val="single" w:color="auto" w:sz="12" w:space="0"/>
              <w:right w:val="nil"/>
            </w:tcBorders>
            <w:shd w:val="clear" w:color="auto" w:fill="auto"/>
            <w:noWrap/>
            <w:vAlign w:val="center"/>
          </w:tcPr>
          <w:p>
            <w:pPr>
              <w:widowControl/>
              <w:spacing w:line="240" w:lineRule="auto"/>
              <w:ind w:firstLine="0" w:firstLineChars="0"/>
              <w:jc w:val="left"/>
              <w:rPr>
                <w:rFonts w:eastAsia="等线"/>
                <w:color w:val="000000"/>
                <w:sz w:val="21"/>
                <w:szCs w:val="21"/>
              </w:rPr>
            </w:pPr>
            <w:r>
              <w:rPr>
                <w:rFonts w:eastAsia="等线"/>
                <w:color w:val="000000"/>
                <w:sz w:val="21"/>
                <w:szCs w:val="21"/>
              </w:rPr>
              <w:t>114°57</w:t>
            </w:r>
            <w:r>
              <w:rPr>
                <w:rFonts w:hint="eastAsia"/>
                <w:color w:val="000000"/>
                <w:sz w:val="21"/>
                <w:szCs w:val="21"/>
              </w:rPr>
              <w:t>′</w:t>
            </w:r>
            <w:r>
              <w:rPr>
                <w:rFonts w:eastAsia="等线"/>
                <w:color w:val="000000"/>
                <w:sz w:val="21"/>
                <w:szCs w:val="21"/>
              </w:rPr>
              <w:t>56.35</w:t>
            </w:r>
            <w:r>
              <w:rPr>
                <w:rFonts w:hint="eastAsia"/>
                <w:color w:val="000000"/>
                <w:sz w:val="21"/>
                <w:szCs w:val="21"/>
              </w:rPr>
              <w:t>″</w:t>
            </w:r>
            <w:r>
              <w:rPr>
                <w:rFonts w:eastAsia="等线"/>
                <w:color w:val="000000"/>
                <w:sz w:val="21"/>
                <w:szCs w:val="21"/>
              </w:rPr>
              <w:t>,</w:t>
            </w:r>
          </w:p>
          <w:p>
            <w:pPr>
              <w:widowControl/>
              <w:spacing w:line="240" w:lineRule="auto"/>
              <w:ind w:firstLine="0" w:firstLineChars="0"/>
              <w:jc w:val="left"/>
              <w:rPr>
                <w:color w:val="0000FF"/>
                <w:kern w:val="0"/>
                <w:sz w:val="21"/>
                <w:szCs w:val="21"/>
              </w:rPr>
            </w:pPr>
            <w:r>
              <w:rPr>
                <w:rFonts w:eastAsia="等线"/>
                <w:color w:val="000000"/>
                <w:sz w:val="21"/>
                <w:szCs w:val="21"/>
              </w:rPr>
              <w:t>28°14</w:t>
            </w:r>
            <w:r>
              <w:rPr>
                <w:rFonts w:hint="eastAsia"/>
                <w:color w:val="000000"/>
                <w:sz w:val="21"/>
                <w:szCs w:val="21"/>
              </w:rPr>
              <w:t>′</w:t>
            </w:r>
            <w:r>
              <w:rPr>
                <w:rFonts w:eastAsia="等线"/>
                <w:color w:val="000000"/>
                <w:sz w:val="21"/>
                <w:szCs w:val="21"/>
              </w:rPr>
              <w:t>13.12</w:t>
            </w:r>
            <w:r>
              <w:rPr>
                <w:rFonts w:hint="eastAsia"/>
                <w:color w:val="000000"/>
                <w:sz w:val="21"/>
                <w:szCs w:val="21"/>
              </w:rPr>
              <w:t>″</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1m×1m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12</w:t>
            </w:r>
          </w:p>
        </w:tc>
        <w:tc>
          <w:tcPr>
            <w:tcW w:w="1133"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蓼草灌草丛</w:t>
            </w:r>
          </w:p>
        </w:tc>
        <w:tc>
          <w:tcPr>
            <w:tcW w:w="1616" w:type="dxa"/>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锦河边</w:t>
            </w:r>
          </w:p>
        </w:tc>
        <w:tc>
          <w:tcPr>
            <w:tcW w:w="1226" w:type="dxa"/>
            <w:shd w:val="clear" w:color="auto" w:fill="auto"/>
            <w:noWrap/>
            <w:vAlign w:val="center"/>
          </w:tcPr>
          <w:p>
            <w:pPr>
              <w:widowControl/>
              <w:spacing w:line="240" w:lineRule="auto"/>
              <w:ind w:firstLine="0" w:firstLineChars="0"/>
              <w:jc w:val="left"/>
              <w:rPr>
                <w:color w:val="0000FF"/>
                <w:kern w:val="0"/>
                <w:sz w:val="21"/>
                <w:szCs w:val="21"/>
              </w:rPr>
            </w:pPr>
            <w:r>
              <w:rPr>
                <w:rFonts w:hint="eastAsia"/>
                <w:color w:val="0000FF"/>
                <w:kern w:val="0"/>
                <w:sz w:val="21"/>
                <w:szCs w:val="21"/>
              </w:rPr>
              <w:t>河滩地</w:t>
            </w:r>
          </w:p>
        </w:tc>
        <w:tc>
          <w:tcPr>
            <w:tcW w:w="590" w:type="dxa"/>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45</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西</w:t>
            </w:r>
          </w:p>
        </w:tc>
        <w:tc>
          <w:tcPr>
            <w:tcW w:w="0" w:type="auto"/>
            <w:shd w:val="clear" w:color="auto" w:fill="auto"/>
            <w:vAlign w:val="center"/>
          </w:tcPr>
          <w:p>
            <w:pPr>
              <w:widowControl/>
              <w:spacing w:line="240" w:lineRule="auto"/>
              <w:ind w:firstLine="0" w:firstLineChars="0"/>
              <w:rPr>
                <w:color w:val="0000FF"/>
                <w:kern w:val="0"/>
                <w:sz w:val="21"/>
                <w:szCs w:val="21"/>
              </w:rPr>
            </w:pPr>
            <w:r>
              <w:rPr>
                <w:color w:val="0000FF"/>
                <w:kern w:val="0"/>
                <w:sz w:val="21"/>
                <w:szCs w:val="21"/>
              </w:rPr>
              <w:t>5</w:t>
            </w:r>
          </w:p>
        </w:tc>
        <w:tc>
          <w:tcPr>
            <w:tcW w:w="0" w:type="auto"/>
            <w:tcBorders>
              <w:top w:val="nil"/>
              <w:left w:val="nil"/>
              <w:bottom w:val="single" w:color="auto" w:sz="12" w:space="0"/>
              <w:right w:val="nil"/>
            </w:tcBorders>
            <w:shd w:val="clear" w:color="auto" w:fill="auto"/>
            <w:vAlign w:val="center"/>
          </w:tcPr>
          <w:p>
            <w:pPr>
              <w:widowControl/>
              <w:spacing w:line="240" w:lineRule="auto"/>
              <w:ind w:firstLine="0" w:firstLineChars="0"/>
              <w:jc w:val="center"/>
              <w:rPr>
                <w:rFonts w:eastAsia="等线"/>
                <w:color w:val="000000"/>
                <w:sz w:val="21"/>
                <w:szCs w:val="21"/>
              </w:rPr>
            </w:pPr>
            <w:r>
              <w:rPr>
                <w:rFonts w:eastAsia="等线"/>
                <w:color w:val="000000"/>
                <w:sz w:val="21"/>
                <w:szCs w:val="21"/>
              </w:rPr>
              <w:t>114°57</w:t>
            </w:r>
            <w:r>
              <w:rPr>
                <w:rFonts w:hint="eastAsia"/>
                <w:color w:val="000000"/>
                <w:sz w:val="21"/>
                <w:szCs w:val="21"/>
              </w:rPr>
              <w:t>′</w:t>
            </w:r>
            <w:r>
              <w:rPr>
                <w:rFonts w:eastAsia="等线"/>
                <w:color w:val="000000"/>
                <w:sz w:val="21"/>
                <w:szCs w:val="21"/>
              </w:rPr>
              <w:t>55.186</w:t>
            </w:r>
            <w:r>
              <w:rPr>
                <w:rFonts w:hint="eastAsia"/>
                <w:color w:val="000000"/>
                <w:sz w:val="21"/>
                <w:szCs w:val="21"/>
              </w:rPr>
              <w:t>″</w:t>
            </w:r>
            <w:r>
              <w:rPr>
                <w:rFonts w:eastAsia="等线"/>
                <w:color w:val="000000"/>
                <w:sz w:val="21"/>
                <w:szCs w:val="21"/>
              </w:rPr>
              <w:t>,</w:t>
            </w:r>
          </w:p>
          <w:p>
            <w:pPr>
              <w:widowControl/>
              <w:spacing w:line="240" w:lineRule="auto"/>
              <w:ind w:firstLine="0" w:firstLineChars="0"/>
              <w:jc w:val="center"/>
              <w:rPr>
                <w:color w:val="0000FF"/>
                <w:kern w:val="0"/>
                <w:sz w:val="21"/>
                <w:szCs w:val="21"/>
              </w:rPr>
            </w:pPr>
            <w:r>
              <w:rPr>
                <w:rFonts w:eastAsia="等线"/>
                <w:color w:val="000000"/>
                <w:sz w:val="21"/>
                <w:szCs w:val="21"/>
              </w:rPr>
              <w:t>28°14</w:t>
            </w:r>
            <w:r>
              <w:rPr>
                <w:rFonts w:hint="eastAsia"/>
                <w:color w:val="000000"/>
                <w:sz w:val="21"/>
                <w:szCs w:val="21"/>
              </w:rPr>
              <w:t>′</w:t>
            </w:r>
            <w:r>
              <w:rPr>
                <w:rFonts w:eastAsia="等线"/>
                <w:color w:val="000000"/>
                <w:sz w:val="21"/>
                <w:szCs w:val="21"/>
              </w:rPr>
              <w:t>32.746</w:t>
            </w:r>
            <w:r>
              <w:rPr>
                <w:rFonts w:hint="eastAsia"/>
                <w:color w:val="000000"/>
                <w:sz w:val="21"/>
                <w:szCs w:val="21"/>
              </w:rPr>
              <w:t>″</w:t>
            </w:r>
          </w:p>
        </w:tc>
        <w:tc>
          <w:tcPr>
            <w:tcW w:w="0" w:type="auto"/>
            <w:shd w:val="clear" w:color="auto" w:fill="auto"/>
            <w:noWrap/>
            <w:vAlign w:val="center"/>
          </w:tcPr>
          <w:p>
            <w:pPr>
              <w:widowControl/>
              <w:spacing w:line="240" w:lineRule="auto"/>
              <w:ind w:firstLine="0" w:firstLineChars="0"/>
              <w:jc w:val="left"/>
              <w:rPr>
                <w:color w:val="0000FF"/>
                <w:kern w:val="0"/>
                <w:sz w:val="21"/>
                <w:szCs w:val="21"/>
              </w:rPr>
            </w:pPr>
            <w:r>
              <w:rPr>
                <w:color w:val="0000FF"/>
                <w:kern w:val="0"/>
                <w:sz w:val="21"/>
                <w:szCs w:val="21"/>
              </w:rPr>
              <w:t>1m×1m</w:t>
            </w:r>
          </w:p>
        </w:tc>
      </w:tr>
    </w:tbl>
    <w:p>
      <w:pPr>
        <w:pStyle w:val="2"/>
        <w:ind w:left="0" w:leftChars="0" w:firstLine="0" w:firstLineChars="0"/>
      </w:pPr>
      <w:r>
        <mc:AlternateContent>
          <mc:Choice Requires="wps">
            <w:drawing>
              <wp:anchor distT="0" distB="0" distL="114300" distR="114300" simplePos="0" relativeHeight="251716608" behindDoc="0" locked="0" layoutInCell="1" allowOverlap="1">
                <wp:simplePos x="0" y="0"/>
                <wp:positionH relativeFrom="column">
                  <wp:posOffset>142875</wp:posOffset>
                </wp:positionH>
                <wp:positionV relativeFrom="paragraph">
                  <wp:posOffset>3815080</wp:posOffset>
                </wp:positionV>
                <wp:extent cx="270510" cy="95250"/>
                <wp:effectExtent l="0" t="0" r="15240" b="19685"/>
                <wp:wrapNone/>
                <wp:docPr id="117" name="矩形 117"/>
                <wp:cNvGraphicFramePr/>
                <a:graphic xmlns:a="http://schemas.openxmlformats.org/drawingml/2006/main">
                  <a:graphicData uri="http://schemas.microsoft.com/office/word/2010/wordprocessingShape">
                    <wps:wsp>
                      <wps:cNvSpPr/>
                      <wps:spPr>
                        <a:xfrm>
                          <a:off x="0" y="0"/>
                          <a:ext cx="270662" cy="95097"/>
                        </a:xfrm>
                        <a:prstGeom prst="re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5pt;margin-top:300.4pt;height:7.5pt;width:21.3pt;z-index:251716608;v-text-anchor:middle;mso-width-relative:page;mso-height-relative:page;" fillcolor="#4F81BD [3204]" filled="t" stroked="t" coordsize="21600,21600" o:gfxdata="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uZnMv2AAAAAkBAAAPAAAAAAAAAAEAIAAAACIAAABkcnMvZG93bnJldi54bWxQ&#10;SwECFAAUAAAACACHTuJAAa4st2kCAADfBAAADgAAAAAAAAABACAAAAAnAQAAZHJzL2Uyb0RvYy54&#10;bWxQSwUGAAAAAAYABgBZAQAAAgYAAAAA&#10;">
                <v:fill on="t" focussize="0,0"/>
                <v:stroke weight="2pt" color="#FF0000 [3204]" joinstyle="round"/>
                <v:imagedata o:title=""/>
                <o:lock v:ext="edit" aspectratio="f"/>
              </v:rect>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142875</wp:posOffset>
                </wp:positionH>
                <wp:positionV relativeFrom="paragraph">
                  <wp:posOffset>3683000</wp:posOffset>
                </wp:positionV>
                <wp:extent cx="234315" cy="0"/>
                <wp:effectExtent l="0" t="19050" r="33020" b="19050"/>
                <wp:wrapNone/>
                <wp:docPr id="116" name="直接连接符 116"/>
                <wp:cNvGraphicFramePr/>
                <a:graphic xmlns:a="http://schemas.openxmlformats.org/drawingml/2006/main">
                  <a:graphicData uri="http://schemas.microsoft.com/office/word/2010/wordprocessingShape">
                    <wps:wsp>
                      <wps:cNvCnPr/>
                      <wps:spPr>
                        <a:xfrm>
                          <a:off x="0" y="0"/>
                          <a:ext cx="234086"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1.25pt;margin-top:290pt;height:0pt;width:18.45pt;z-index:251715584;mso-width-relative:page;mso-height-relative:page;" filled="f" stroked="t" coordsize="21600,21600" o:gfxdata="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d9rhGtkAAAAJAQAADwAA&#10;AAAAAAABACAAAAAiAAAAZHJzL2Rvd25yZXYueG1sUEsBAhQAFAAAAAgAh07iQBj8ZyPcAQAAngMA&#10;AA4AAAAAAAAAAQAgAAAAKAEAAGRycy9lMm9Eb2MueG1sUEsFBgAAAAAGAAYAWQEAAHYFAAAAAA==&#10;">
                <v:fill on="f" focussize="0,0"/>
                <v:stroke weight="3pt" color="#FF0000 [3204]" joinstyle="round"/>
                <v:imagedata o:title=""/>
                <o:lock v:ext="edit" aspectratio="f"/>
              </v:lin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47625</wp:posOffset>
                </wp:positionH>
                <wp:positionV relativeFrom="paragraph">
                  <wp:posOffset>3068955</wp:posOffset>
                </wp:positionV>
                <wp:extent cx="1741170" cy="1070610"/>
                <wp:effectExtent l="0" t="0" r="12065" b="15240"/>
                <wp:wrapNone/>
                <wp:docPr id="114" name="文本框 114"/>
                <wp:cNvGraphicFramePr/>
                <a:graphic xmlns:a="http://schemas.openxmlformats.org/drawingml/2006/main">
                  <a:graphicData uri="http://schemas.microsoft.com/office/word/2010/wordprocessingShape">
                    <wps:wsp>
                      <wps:cNvSpPr txBox="1"/>
                      <wps:spPr>
                        <a:xfrm>
                          <a:off x="0" y="0"/>
                          <a:ext cx="1741018" cy="1070839"/>
                        </a:xfrm>
                        <a:prstGeom prst="rect">
                          <a:avLst/>
                        </a:prstGeom>
                        <a:solidFill>
                          <a:schemeClr val="lt1"/>
                        </a:solidFill>
                        <a:ln w="6350">
                          <a:solidFill>
                            <a:prstClr val="black"/>
                          </a:solidFill>
                        </a:ln>
                      </wps:spPr>
                      <wps:txbx>
                        <w:txbxContent>
                          <w:p>
                            <w:pPr>
                              <w:spacing w:line="240" w:lineRule="auto"/>
                              <w:ind w:firstLine="480"/>
                            </w:pPr>
                            <w:r>
                              <w:rPr>
                                <w:rFonts w:hint="eastAsia"/>
                              </w:rPr>
                              <w:t>图例</w:t>
                            </w:r>
                          </w:p>
                          <w:p>
                            <w:pPr>
                              <w:pStyle w:val="2"/>
                              <w:spacing w:after="0" w:line="240" w:lineRule="auto"/>
                              <w:ind w:left="0" w:leftChars="0" w:firstLine="0" w:firstLineChars="0"/>
                            </w:pPr>
                            <w:r>
                              <w:drawing>
                                <wp:inline distT="0" distB="0" distL="0" distR="0">
                                  <wp:extent cx="182880" cy="220345"/>
                                  <wp:effectExtent l="0" t="0" r="762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7"/>
                                          <a:stretch>
                                            <a:fillRect/>
                                          </a:stretch>
                                        </pic:blipFill>
                                        <pic:spPr>
                                          <a:xfrm>
                                            <a:off x="0" y="0"/>
                                            <a:ext cx="188880" cy="227958"/>
                                          </a:xfrm>
                                          <a:prstGeom prst="rect">
                                            <a:avLst/>
                                          </a:prstGeom>
                                        </pic:spPr>
                                      </pic:pic>
                                    </a:graphicData>
                                  </a:graphic>
                                </wp:inline>
                              </w:drawing>
                            </w:r>
                            <w:r>
                              <w:rPr>
                                <w:rFonts w:hint="eastAsia"/>
                              </w:rPr>
                              <w:t>植被样方点位</w:t>
                            </w:r>
                          </w:p>
                          <w:p>
                            <w:pPr>
                              <w:spacing w:line="240" w:lineRule="auto"/>
                              <w:ind w:firstLine="480"/>
                            </w:pPr>
                            <w:r>
                              <w:rPr>
                                <w:rFonts w:hint="eastAsia"/>
                              </w:rPr>
                              <w:t>抬水坝</w:t>
                            </w:r>
                          </w:p>
                          <w:p>
                            <w:pPr>
                              <w:pStyle w:val="2"/>
                              <w:ind w:left="480" w:firstLine="0" w:firstLineChars="0"/>
                            </w:pPr>
                            <w:r>
                              <w:rPr>
                                <w:rFonts w:hint="eastAsia"/>
                              </w:rPr>
                              <w:t>取土场及弃土场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pt;margin-top:241.65pt;height:84.3pt;width:137.1pt;z-index:251714560;mso-width-relative:page;mso-height-relative:page;" fillcolor="#FFFFFF [3201]" filled="t" stroked="t" coordsize="21600,21600" o:gfxdata="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zBQgzX&#10;AAAACQEAAA8AAAAAAAAAAQAgAAAAIgAAAGRycy9kb3ducmV2LnhtbFBLAQIUABQAAAAIAIdO4kDX&#10;Pc80WgIAALwEAAAOAAAAAAAAAAEAIAAAACYBAABkcnMvZTJvRG9jLnhtbFBLBQYAAAAABgAGAFkB&#10;AADyBQAAAAA=&#10;">
                <v:fill on="t" focussize="0,0"/>
                <v:stroke weight="0.5pt" color="#000000" joinstyle="round"/>
                <v:imagedata o:title=""/>
                <o:lock v:ext="edit" aspectratio="f"/>
                <v:textbox>
                  <w:txbxContent>
                    <w:p>
                      <w:pPr>
                        <w:spacing w:line="240" w:lineRule="auto"/>
                        <w:ind w:firstLine="480"/>
                      </w:pPr>
                      <w:r>
                        <w:rPr>
                          <w:rFonts w:hint="eastAsia"/>
                        </w:rPr>
                        <w:t>图例</w:t>
                      </w:r>
                    </w:p>
                    <w:p>
                      <w:pPr>
                        <w:pStyle w:val="2"/>
                        <w:spacing w:after="0" w:line="240" w:lineRule="auto"/>
                        <w:ind w:left="0" w:leftChars="0" w:firstLine="0" w:firstLineChars="0"/>
                      </w:pPr>
                      <w:r>
                        <w:drawing>
                          <wp:inline distT="0" distB="0" distL="0" distR="0">
                            <wp:extent cx="182880" cy="220345"/>
                            <wp:effectExtent l="0" t="0" r="762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7"/>
                                    <a:stretch>
                                      <a:fillRect/>
                                    </a:stretch>
                                  </pic:blipFill>
                                  <pic:spPr>
                                    <a:xfrm>
                                      <a:off x="0" y="0"/>
                                      <a:ext cx="188880" cy="227958"/>
                                    </a:xfrm>
                                    <a:prstGeom prst="rect">
                                      <a:avLst/>
                                    </a:prstGeom>
                                  </pic:spPr>
                                </pic:pic>
                              </a:graphicData>
                            </a:graphic>
                          </wp:inline>
                        </w:drawing>
                      </w:r>
                      <w:r>
                        <w:rPr>
                          <w:rFonts w:hint="eastAsia"/>
                        </w:rPr>
                        <w:t>植被样方点位</w:t>
                      </w:r>
                    </w:p>
                    <w:p>
                      <w:pPr>
                        <w:spacing w:line="240" w:lineRule="auto"/>
                        <w:ind w:firstLine="480"/>
                      </w:pPr>
                      <w:r>
                        <w:rPr>
                          <w:rFonts w:hint="eastAsia"/>
                        </w:rPr>
                        <w:t>抬水坝</w:t>
                      </w:r>
                    </w:p>
                    <w:p>
                      <w:pPr>
                        <w:pStyle w:val="2"/>
                        <w:ind w:left="480" w:firstLine="0" w:firstLineChars="0"/>
                      </w:pPr>
                      <w:r>
                        <w:rPr>
                          <w:rFonts w:hint="eastAsia"/>
                        </w:rPr>
                        <w:t>取土场及弃土场</w:t>
                      </w:r>
                    </w:p>
                  </w:txbxContent>
                </v:textbox>
              </v:shape>
            </w:pict>
          </mc:Fallback>
        </mc:AlternateContent>
      </w:r>
      <w:r>
        <w:drawing>
          <wp:inline distT="0" distB="0" distL="0" distR="0">
            <wp:extent cx="5939790" cy="4143375"/>
            <wp:effectExtent l="0" t="0" r="381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8"/>
                    <a:stretch>
                      <a:fillRect/>
                    </a:stretch>
                  </pic:blipFill>
                  <pic:spPr>
                    <a:xfrm>
                      <a:off x="0" y="0"/>
                      <a:ext cx="5939790" cy="4143375"/>
                    </a:xfrm>
                    <a:prstGeom prst="rect">
                      <a:avLst/>
                    </a:prstGeom>
                  </pic:spPr>
                </pic:pic>
              </a:graphicData>
            </a:graphic>
          </wp:inline>
        </w:drawing>
      </w:r>
    </w:p>
    <w:p>
      <w:pPr>
        <w:spacing w:before="120" w:beforeLines="50" w:line="240" w:lineRule="auto"/>
        <w:ind w:firstLine="480"/>
        <w:jc w:val="center"/>
        <w:rPr>
          <w:rFonts w:ascii="黑体" w:hAnsi="黑体" w:eastAsia="黑体" w:cs="黑体"/>
          <w:szCs w:val="21"/>
        </w:rPr>
      </w:pPr>
      <w:r>
        <w:rPr>
          <w:rFonts w:hint="eastAsia" w:ascii="黑体" w:hAnsi="黑体" w:eastAsia="黑体" w:cs="黑体"/>
          <w:szCs w:val="21"/>
        </w:rPr>
        <w:t>图4</w:t>
      </w:r>
      <w:r>
        <w:rPr>
          <w:rFonts w:ascii="黑体" w:hAnsi="黑体" w:eastAsia="黑体" w:cs="黑体"/>
          <w:szCs w:val="21"/>
        </w:rPr>
        <w:t xml:space="preserve">.5-1 </w:t>
      </w:r>
      <w:r>
        <w:rPr>
          <w:rFonts w:hint="eastAsia" w:ascii="黑体" w:hAnsi="黑体" w:eastAsia="黑体" w:cs="黑体"/>
          <w:szCs w:val="21"/>
        </w:rPr>
        <w:t>植被样方监测点位图</w:t>
      </w:r>
    </w:p>
    <w:p>
      <w:pPr>
        <w:pStyle w:val="835"/>
        <w:spacing w:before="0" w:line="360" w:lineRule="auto"/>
      </w:pPr>
      <w:r>
        <w:rPr>
          <w:rFonts w:hint="eastAsia"/>
        </w:rPr>
        <w:t>4.5</w:t>
      </w:r>
      <w:r>
        <w:t>.</w:t>
      </w:r>
      <w:r>
        <w:rPr>
          <w:rFonts w:hint="eastAsia"/>
        </w:rPr>
        <w:t>3评价区土地利用现状</w:t>
      </w:r>
    </w:p>
    <w:p>
      <w:pPr>
        <w:spacing w:before="120" w:beforeLines="50" w:line="240" w:lineRule="auto"/>
        <w:ind w:firstLine="480"/>
        <w:jc w:val="center"/>
        <w:rPr>
          <w:rFonts w:ascii="黑体" w:hAnsi="黑体" w:eastAsia="黑体" w:cs="黑体"/>
          <w:color w:val="0000FF"/>
          <w:szCs w:val="21"/>
        </w:rPr>
      </w:pPr>
      <w:r>
        <w:rPr>
          <w:rFonts w:hint="eastAsia" w:ascii="黑体" w:hAnsi="黑体" w:eastAsia="黑体" w:cs="黑体"/>
          <w:color w:val="0000FF"/>
          <w:szCs w:val="21"/>
        </w:rPr>
        <w:t>表4</w:t>
      </w:r>
      <w:r>
        <w:rPr>
          <w:rFonts w:ascii="黑体" w:hAnsi="黑体" w:eastAsia="黑体" w:cs="黑体"/>
          <w:color w:val="0000FF"/>
          <w:szCs w:val="21"/>
        </w:rPr>
        <w:t xml:space="preserve">.5-3 </w:t>
      </w:r>
      <w:r>
        <w:rPr>
          <w:rFonts w:hint="eastAsia" w:ascii="黑体" w:hAnsi="黑体" w:eastAsia="黑体" w:cs="黑体"/>
          <w:color w:val="0000FF"/>
          <w:szCs w:val="21"/>
        </w:rPr>
        <w:t>评价区土地利用现状</w:t>
      </w:r>
    </w:p>
    <w:tbl>
      <w:tblPr>
        <w:tblStyle w:val="82"/>
        <w:tblW w:w="9302" w:type="dxa"/>
        <w:tblInd w:w="108" w:type="dxa"/>
        <w:tblLayout w:type="autofit"/>
        <w:tblCellMar>
          <w:top w:w="0" w:type="dxa"/>
          <w:left w:w="108" w:type="dxa"/>
          <w:bottom w:w="0" w:type="dxa"/>
          <w:right w:w="108" w:type="dxa"/>
        </w:tblCellMar>
      </w:tblPr>
      <w:tblGrid>
        <w:gridCol w:w="3431"/>
        <w:gridCol w:w="2680"/>
        <w:gridCol w:w="1742"/>
        <w:gridCol w:w="1449"/>
      </w:tblGrid>
      <w:tr>
        <w:tblPrEx>
          <w:tblCellMar>
            <w:top w:w="0" w:type="dxa"/>
            <w:left w:w="108" w:type="dxa"/>
            <w:bottom w:w="0" w:type="dxa"/>
            <w:right w:w="108" w:type="dxa"/>
          </w:tblCellMar>
        </w:tblPrEx>
        <w:trPr>
          <w:trHeight w:val="423" w:hRule="atLeast"/>
        </w:trPr>
        <w:tc>
          <w:tcPr>
            <w:tcW w:w="3431"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一级类</w:t>
            </w:r>
          </w:p>
        </w:tc>
        <w:tc>
          <w:tcPr>
            <w:tcW w:w="2680"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二级类</w:t>
            </w:r>
          </w:p>
        </w:tc>
        <w:tc>
          <w:tcPr>
            <w:tcW w:w="1742"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面积（</w:t>
            </w:r>
            <w:r>
              <w:rPr>
                <w:color w:val="0000FF"/>
                <w:kern w:val="0"/>
                <w:sz w:val="21"/>
                <w:szCs w:val="21"/>
              </w:rPr>
              <w:t>hm</w:t>
            </w:r>
            <w:r>
              <w:rPr>
                <w:color w:val="0000FF"/>
                <w:kern w:val="0"/>
                <w:sz w:val="21"/>
                <w:szCs w:val="21"/>
                <w:vertAlign w:val="superscript"/>
              </w:rPr>
              <w:t>2</w:t>
            </w:r>
            <w:r>
              <w:rPr>
                <w:rFonts w:hint="eastAsia" w:ascii="宋体" w:hAnsi="宋体" w:cs="宋体"/>
                <w:color w:val="0000FF"/>
                <w:kern w:val="0"/>
                <w:sz w:val="21"/>
                <w:szCs w:val="21"/>
              </w:rPr>
              <w:t>）</w:t>
            </w:r>
          </w:p>
        </w:tc>
        <w:tc>
          <w:tcPr>
            <w:tcW w:w="1449" w:type="dxa"/>
            <w:tcBorders>
              <w:top w:val="single" w:color="auto" w:sz="8" w:space="0"/>
              <w:left w:val="nil"/>
              <w:bottom w:val="single" w:color="auto" w:sz="8" w:space="0"/>
              <w:right w:val="nil"/>
            </w:tcBorders>
            <w:shd w:val="clear" w:color="auto" w:fill="auto"/>
            <w:vAlign w:val="center"/>
          </w:tcPr>
          <w:p>
            <w:pPr>
              <w:widowControl/>
              <w:spacing w:line="240" w:lineRule="auto"/>
              <w:ind w:firstLine="0" w:firstLineChars="0"/>
              <w:jc w:val="left"/>
              <w:rPr>
                <w:rFonts w:ascii="宋体" w:hAnsi="宋体" w:cs="宋体"/>
                <w:color w:val="0000FF"/>
                <w:kern w:val="0"/>
                <w:sz w:val="21"/>
                <w:szCs w:val="21"/>
              </w:rPr>
            </w:pPr>
            <w:r>
              <w:rPr>
                <w:rFonts w:hint="eastAsia" w:ascii="宋体" w:hAnsi="宋体" w:cs="宋体"/>
                <w:color w:val="0000FF"/>
                <w:kern w:val="0"/>
                <w:sz w:val="21"/>
                <w:szCs w:val="21"/>
              </w:rPr>
              <w:t>比例（</w:t>
            </w:r>
            <w:r>
              <w:rPr>
                <w:color w:val="0000FF"/>
                <w:kern w:val="0"/>
                <w:sz w:val="21"/>
                <w:szCs w:val="21"/>
              </w:rPr>
              <w:t>%</w:t>
            </w:r>
            <w:r>
              <w:rPr>
                <w:rFonts w:hint="eastAsia" w:ascii="宋体" w:hAnsi="宋体" w:cs="宋体"/>
                <w:color w:val="0000FF"/>
                <w:kern w:val="0"/>
                <w:sz w:val="21"/>
                <w:szCs w:val="21"/>
              </w:rPr>
              <w:t>）</w:t>
            </w:r>
          </w:p>
        </w:tc>
      </w:tr>
      <w:tr>
        <w:tblPrEx>
          <w:tblCellMar>
            <w:top w:w="0" w:type="dxa"/>
            <w:left w:w="108" w:type="dxa"/>
            <w:bottom w:w="0" w:type="dxa"/>
            <w:right w:w="108" w:type="dxa"/>
          </w:tblCellMar>
        </w:tblPrEx>
        <w:trPr>
          <w:trHeight w:val="423" w:hRule="atLeast"/>
        </w:trPr>
        <w:tc>
          <w:tcPr>
            <w:tcW w:w="3431" w:type="dxa"/>
            <w:vMerge w:val="restart"/>
            <w:tcBorders>
              <w:top w:val="nil"/>
              <w:left w:val="nil"/>
              <w:bottom w:val="single" w:color="000000"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林地</w:t>
            </w:r>
          </w:p>
        </w:tc>
        <w:tc>
          <w:tcPr>
            <w:tcW w:w="268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乔木林地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216.93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28.04 </w:t>
            </w:r>
          </w:p>
        </w:tc>
      </w:tr>
      <w:tr>
        <w:tblPrEx>
          <w:tblCellMar>
            <w:top w:w="0" w:type="dxa"/>
            <w:left w:w="108" w:type="dxa"/>
            <w:bottom w:w="0" w:type="dxa"/>
            <w:right w:w="108" w:type="dxa"/>
          </w:tblCellMar>
        </w:tblPrEx>
        <w:trPr>
          <w:trHeight w:val="370" w:hRule="atLeast"/>
        </w:trPr>
        <w:tc>
          <w:tcPr>
            <w:tcW w:w="3431" w:type="dxa"/>
            <w:vMerge w:val="continue"/>
            <w:tcBorders>
              <w:top w:val="nil"/>
              <w:left w:val="nil"/>
              <w:bottom w:val="single" w:color="000000" w:sz="8" w:space="0"/>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竹林地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35.61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4.60 </w:t>
            </w:r>
          </w:p>
        </w:tc>
      </w:tr>
      <w:tr>
        <w:tblPrEx>
          <w:tblCellMar>
            <w:top w:w="0" w:type="dxa"/>
            <w:left w:w="108" w:type="dxa"/>
            <w:bottom w:w="0" w:type="dxa"/>
            <w:right w:w="108" w:type="dxa"/>
          </w:tblCellMar>
        </w:tblPrEx>
        <w:trPr>
          <w:trHeight w:val="370" w:hRule="atLeast"/>
        </w:trPr>
        <w:tc>
          <w:tcPr>
            <w:tcW w:w="3431"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草地</w:t>
            </w:r>
          </w:p>
        </w:tc>
        <w:tc>
          <w:tcPr>
            <w:tcW w:w="268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其他草地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27.29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3.53 </w:t>
            </w:r>
          </w:p>
        </w:tc>
      </w:tr>
      <w:tr>
        <w:tblPrEx>
          <w:tblCellMar>
            <w:top w:w="0" w:type="dxa"/>
            <w:left w:w="108" w:type="dxa"/>
            <w:bottom w:w="0" w:type="dxa"/>
            <w:right w:w="108" w:type="dxa"/>
          </w:tblCellMar>
        </w:tblPrEx>
        <w:trPr>
          <w:trHeight w:val="370" w:hRule="atLeast"/>
        </w:trPr>
        <w:tc>
          <w:tcPr>
            <w:tcW w:w="3431" w:type="dxa"/>
            <w:vMerge w:val="restart"/>
            <w:tcBorders>
              <w:top w:val="nil"/>
              <w:left w:val="nil"/>
              <w:bottom w:val="single" w:color="000000"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耕地</w:t>
            </w: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旱地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48.43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6.26 </w:t>
            </w:r>
          </w:p>
        </w:tc>
      </w:tr>
      <w:tr>
        <w:tblPrEx>
          <w:tblCellMar>
            <w:top w:w="0" w:type="dxa"/>
            <w:left w:w="108" w:type="dxa"/>
            <w:bottom w:w="0" w:type="dxa"/>
            <w:right w:w="108" w:type="dxa"/>
          </w:tblCellMar>
        </w:tblPrEx>
        <w:trPr>
          <w:trHeight w:val="370" w:hRule="atLeast"/>
        </w:trPr>
        <w:tc>
          <w:tcPr>
            <w:tcW w:w="3431" w:type="dxa"/>
            <w:vMerge w:val="continue"/>
            <w:tcBorders>
              <w:top w:val="nil"/>
              <w:left w:val="nil"/>
              <w:bottom w:val="single" w:color="000000" w:sz="8" w:space="0"/>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水田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90.44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11.69 </w:t>
            </w:r>
          </w:p>
        </w:tc>
      </w:tr>
      <w:tr>
        <w:tblPrEx>
          <w:tblCellMar>
            <w:top w:w="0" w:type="dxa"/>
            <w:left w:w="108" w:type="dxa"/>
            <w:bottom w:w="0" w:type="dxa"/>
            <w:right w:w="108" w:type="dxa"/>
          </w:tblCellMar>
        </w:tblPrEx>
        <w:trPr>
          <w:trHeight w:val="370" w:hRule="atLeast"/>
        </w:trPr>
        <w:tc>
          <w:tcPr>
            <w:tcW w:w="3431" w:type="dxa"/>
            <w:vMerge w:val="restart"/>
            <w:tcBorders>
              <w:top w:val="nil"/>
              <w:left w:val="nil"/>
              <w:bottom w:val="nil"/>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水域及水利设施用地</w:t>
            </w: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河流水面</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254.71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32.92 </w:t>
            </w:r>
          </w:p>
        </w:tc>
      </w:tr>
      <w:tr>
        <w:tblPrEx>
          <w:tblCellMar>
            <w:top w:w="0" w:type="dxa"/>
            <w:left w:w="108" w:type="dxa"/>
            <w:bottom w:w="0" w:type="dxa"/>
            <w:right w:w="108" w:type="dxa"/>
          </w:tblCellMar>
        </w:tblPrEx>
        <w:trPr>
          <w:trHeight w:val="211" w:hRule="atLeast"/>
        </w:trPr>
        <w:tc>
          <w:tcPr>
            <w:tcW w:w="3431" w:type="dxa"/>
            <w:vMerge w:val="continue"/>
            <w:tcBorders>
              <w:top w:val="nil"/>
              <w:left w:val="nil"/>
              <w:bottom w:val="nil"/>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水库水面</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17.10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2.21 </w:t>
            </w:r>
          </w:p>
        </w:tc>
      </w:tr>
      <w:tr>
        <w:tblPrEx>
          <w:tblCellMar>
            <w:top w:w="0" w:type="dxa"/>
            <w:left w:w="108" w:type="dxa"/>
            <w:bottom w:w="0" w:type="dxa"/>
            <w:right w:w="108" w:type="dxa"/>
          </w:tblCellMar>
        </w:tblPrEx>
        <w:trPr>
          <w:trHeight w:val="211" w:hRule="atLeast"/>
        </w:trPr>
        <w:tc>
          <w:tcPr>
            <w:tcW w:w="3431" w:type="dxa"/>
            <w:vMerge w:val="continue"/>
            <w:tcBorders>
              <w:top w:val="nil"/>
              <w:left w:val="nil"/>
              <w:bottom w:val="nil"/>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坑塘水面</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8.93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1.15 </w:t>
            </w:r>
          </w:p>
        </w:tc>
      </w:tr>
      <w:tr>
        <w:tblPrEx>
          <w:tblCellMar>
            <w:top w:w="0" w:type="dxa"/>
            <w:left w:w="108" w:type="dxa"/>
            <w:bottom w:w="0" w:type="dxa"/>
            <w:right w:w="108" w:type="dxa"/>
          </w:tblCellMar>
        </w:tblPrEx>
        <w:trPr>
          <w:trHeight w:val="211" w:hRule="atLeast"/>
        </w:trPr>
        <w:tc>
          <w:tcPr>
            <w:tcW w:w="3431" w:type="dxa"/>
            <w:vMerge w:val="restart"/>
            <w:tcBorders>
              <w:top w:val="single" w:color="auto" w:sz="8" w:space="0"/>
              <w:left w:val="nil"/>
              <w:bottom w:val="single" w:color="000000"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交通运输用地</w:t>
            </w: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城镇村道路用地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11.51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1.49 </w:t>
            </w:r>
          </w:p>
        </w:tc>
      </w:tr>
      <w:tr>
        <w:tblPrEx>
          <w:tblCellMar>
            <w:top w:w="0" w:type="dxa"/>
            <w:left w:w="108" w:type="dxa"/>
            <w:bottom w:w="0" w:type="dxa"/>
            <w:right w:w="108" w:type="dxa"/>
          </w:tblCellMar>
        </w:tblPrEx>
        <w:trPr>
          <w:trHeight w:val="211" w:hRule="atLeast"/>
        </w:trPr>
        <w:tc>
          <w:tcPr>
            <w:tcW w:w="3431" w:type="dxa"/>
            <w:vMerge w:val="continue"/>
            <w:tcBorders>
              <w:top w:val="single" w:color="auto" w:sz="8" w:space="0"/>
              <w:left w:val="nil"/>
              <w:bottom w:val="single" w:color="000000" w:sz="8" w:space="0"/>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公路用地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1.92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0.25 </w:t>
            </w:r>
          </w:p>
        </w:tc>
      </w:tr>
      <w:tr>
        <w:tblPrEx>
          <w:tblCellMar>
            <w:top w:w="0" w:type="dxa"/>
            <w:left w:w="108" w:type="dxa"/>
            <w:bottom w:w="0" w:type="dxa"/>
            <w:right w:w="108" w:type="dxa"/>
          </w:tblCellMar>
        </w:tblPrEx>
        <w:trPr>
          <w:trHeight w:val="211" w:hRule="atLeast"/>
        </w:trPr>
        <w:tc>
          <w:tcPr>
            <w:tcW w:w="3431" w:type="dxa"/>
            <w:tcBorders>
              <w:top w:val="nil"/>
              <w:left w:val="nil"/>
              <w:bottom w:val="single" w:color="auto" w:sz="4"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住宅用地</w:t>
            </w: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农村宅基地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12.36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1.60 </w:t>
            </w:r>
          </w:p>
        </w:tc>
      </w:tr>
      <w:tr>
        <w:tblPrEx>
          <w:tblCellMar>
            <w:top w:w="0" w:type="dxa"/>
            <w:left w:w="108" w:type="dxa"/>
            <w:bottom w:w="0" w:type="dxa"/>
            <w:right w:w="108" w:type="dxa"/>
          </w:tblCellMar>
        </w:tblPrEx>
        <w:trPr>
          <w:trHeight w:val="211" w:hRule="atLeast"/>
        </w:trPr>
        <w:tc>
          <w:tcPr>
            <w:tcW w:w="3431" w:type="dxa"/>
            <w:vMerge w:val="restart"/>
            <w:tcBorders>
              <w:top w:val="single" w:color="auto" w:sz="4" w:space="0"/>
              <w:left w:val="nil"/>
              <w:bottom w:val="single" w:color="000000"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工矿仓储用地</w:t>
            </w: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采矿用地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4.93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0.64 </w:t>
            </w:r>
          </w:p>
        </w:tc>
      </w:tr>
      <w:tr>
        <w:tblPrEx>
          <w:tblCellMar>
            <w:top w:w="0" w:type="dxa"/>
            <w:left w:w="108" w:type="dxa"/>
            <w:bottom w:w="0" w:type="dxa"/>
            <w:right w:w="108" w:type="dxa"/>
          </w:tblCellMar>
        </w:tblPrEx>
        <w:trPr>
          <w:trHeight w:val="211" w:hRule="atLeast"/>
        </w:trPr>
        <w:tc>
          <w:tcPr>
            <w:tcW w:w="3431" w:type="dxa"/>
            <w:vMerge w:val="continue"/>
            <w:tcBorders>
              <w:top w:val="nil"/>
              <w:left w:val="nil"/>
              <w:bottom w:val="single" w:color="000000" w:sz="8" w:space="0"/>
              <w:right w:val="single" w:color="auto" w:sz="8" w:space="0"/>
            </w:tcBorders>
            <w:vAlign w:val="center"/>
          </w:tcPr>
          <w:p>
            <w:pPr>
              <w:widowControl/>
              <w:spacing w:line="240" w:lineRule="auto"/>
              <w:ind w:firstLine="0" w:firstLineChars="0"/>
              <w:jc w:val="center"/>
              <w:rPr>
                <w:rFonts w:ascii="宋体" w:hAnsi="宋体" w:cs="宋体"/>
                <w:color w:val="0000FF"/>
                <w:kern w:val="0"/>
                <w:sz w:val="21"/>
                <w:szCs w:val="21"/>
              </w:rPr>
            </w:pPr>
          </w:p>
        </w:tc>
        <w:tc>
          <w:tcPr>
            <w:tcW w:w="2680"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仓储用地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8.87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1.15 </w:t>
            </w:r>
          </w:p>
        </w:tc>
      </w:tr>
      <w:tr>
        <w:tblPrEx>
          <w:tblCellMar>
            <w:top w:w="0" w:type="dxa"/>
            <w:left w:w="108" w:type="dxa"/>
            <w:bottom w:w="0" w:type="dxa"/>
            <w:right w:w="108" w:type="dxa"/>
          </w:tblCellMar>
        </w:tblPrEx>
        <w:trPr>
          <w:trHeight w:val="549" w:hRule="atLeast"/>
        </w:trPr>
        <w:tc>
          <w:tcPr>
            <w:tcW w:w="3431" w:type="dxa"/>
            <w:tcBorders>
              <w:top w:val="nil"/>
              <w:left w:val="nil"/>
              <w:bottom w:val="single" w:color="auto" w:sz="4"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公共管理与公共服务用地</w:t>
            </w:r>
          </w:p>
        </w:tc>
        <w:tc>
          <w:tcPr>
            <w:tcW w:w="268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科教文卫用地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20.89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2.70 </w:t>
            </w:r>
          </w:p>
        </w:tc>
      </w:tr>
      <w:tr>
        <w:tblPrEx>
          <w:tblCellMar>
            <w:top w:w="0" w:type="dxa"/>
            <w:left w:w="108" w:type="dxa"/>
            <w:bottom w:w="0" w:type="dxa"/>
            <w:right w:w="108" w:type="dxa"/>
          </w:tblCellMar>
        </w:tblPrEx>
        <w:trPr>
          <w:trHeight w:val="370" w:hRule="atLeast"/>
        </w:trPr>
        <w:tc>
          <w:tcPr>
            <w:tcW w:w="3431" w:type="dxa"/>
            <w:tcBorders>
              <w:top w:val="single" w:color="auto" w:sz="4"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其他用地</w:t>
            </w:r>
          </w:p>
        </w:tc>
        <w:tc>
          <w:tcPr>
            <w:tcW w:w="268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设施农业用地</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13.83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1.79 </w:t>
            </w:r>
          </w:p>
        </w:tc>
      </w:tr>
      <w:tr>
        <w:tblPrEx>
          <w:tblCellMar>
            <w:top w:w="0" w:type="dxa"/>
            <w:left w:w="108" w:type="dxa"/>
            <w:bottom w:w="0" w:type="dxa"/>
            <w:right w:w="108" w:type="dxa"/>
          </w:tblCellMar>
        </w:tblPrEx>
        <w:trPr>
          <w:trHeight w:val="211" w:hRule="atLeast"/>
        </w:trPr>
        <w:tc>
          <w:tcPr>
            <w:tcW w:w="6111" w:type="dxa"/>
            <w:gridSpan w:val="2"/>
            <w:tcBorders>
              <w:top w:val="single" w:color="auto" w:sz="8" w:space="0"/>
              <w:left w:val="nil"/>
              <w:bottom w:val="single" w:color="auto" w:sz="8" w:space="0"/>
              <w:right w:val="single" w:color="000000" w:sz="8" w:space="0"/>
            </w:tcBorders>
            <w:shd w:val="clear" w:color="auto" w:fill="auto"/>
            <w:vAlign w:val="center"/>
          </w:tcPr>
          <w:p>
            <w:pPr>
              <w:widowControl/>
              <w:spacing w:line="240" w:lineRule="auto"/>
              <w:ind w:firstLine="0" w:firstLineChars="0"/>
              <w:jc w:val="center"/>
              <w:rPr>
                <w:rFonts w:ascii="宋体" w:hAnsi="宋体" w:cs="宋体"/>
                <w:color w:val="0000FF"/>
                <w:kern w:val="0"/>
                <w:sz w:val="21"/>
                <w:szCs w:val="21"/>
              </w:rPr>
            </w:pPr>
            <w:r>
              <w:rPr>
                <w:rFonts w:hint="eastAsia" w:ascii="宋体" w:hAnsi="宋体" w:cs="宋体"/>
                <w:color w:val="0000FF"/>
                <w:kern w:val="0"/>
                <w:sz w:val="21"/>
                <w:szCs w:val="21"/>
              </w:rPr>
              <w:t>总计</w:t>
            </w:r>
          </w:p>
        </w:tc>
        <w:tc>
          <w:tcPr>
            <w:tcW w:w="1742" w:type="dxa"/>
            <w:tcBorders>
              <w:top w:val="nil"/>
              <w:left w:val="nil"/>
              <w:bottom w:val="single" w:color="auto" w:sz="8" w:space="0"/>
              <w:right w:val="single" w:color="auto" w:sz="8" w:space="0"/>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 xml:space="preserve">773.73 </w:t>
            </w:r>
          </w:p>
        </w:tc>
        <w:tc>
          <w:tcPr>
            <w:tcW w:w="1449" w:type="dxa"/>
            <w:tcBorders>
              <w:top w:val="nil"/>
              <w:left w:val="nil"/>
              <w:bottom w:val="single" w:color="auto" w:sz="8" w:space="0"/>
              <w:right w:val="nil"/>
            </w:tcBorders>
            <w:shd w:val="clear" w:color="auto" w:fill="auto"/>
            <w:noWrap/>
            <w:vAlign w:val="center"/>
          </w:tcPr>
          <w:p>
            <w:pPr>
              <w:widowControl/>
              <w:spacing w:line="240" w:lineRule="auto"/>
              <w:ind w:firstLine="0" w:firstLineChars="0"/>
              <w:jc w:val="center"/>
              <w:rPr>
                <w:rFonts w:eastAsia="等线"/>
                <w:color w:val="0000FF"/>
                <w:kern w:val="0"/>
                <w:sz w:val="21"/>
                <w:szCs w:val="21"/>
              </w:rPr>
            </w:pPr>
            <w:r>
              <w:rPr>
                <w:rFonts w:eastAsia="等线"/>
                <w:color w:val="0000FF"/>
                <w:kern w:val="0"/>
                <w:sz w:val="21"/>
                <w:szCs w:val="21"/>
              </w:rPr>
              <w:t>100</w:t>
            </w:r>
          </w:p>
        </w:tc>
      </w:tr>
    </w:tbl>
    <w:p>
      <w:pPr>
        <w:ind w:firstLine="480"/>
        <w:rPr>
          <w:color w:val="0000FF"/>
        </w:rPr>
      </w:pPr>
    </w:p>
    <w:p>
      <w:pPr>
        <w:ind w:firstLine="480"/>
        <w:rPr>
          <w:color w:val="0000FF"/>
        </w:rPr>
      </w:pPr>
      <w:r>
        <w:rPr>
          <w:rFonts w:hint="eastAsia"/>
          <w:color w:val="0000FF"/>
        </w:rPr>
        <w:t>评价范围内土地利用现状调查是在卫片解译的基础上，参考《土地利用现状分类》（GB/T21010-2017）中有关分类标准，结合国土三调数据、现有资料，运用景观生态法（即以植被作为主导因素），并结合土壤、地貌等因子进行综合分析，因此本报告将土地利用格局的拼块类型分为耕地、林地、草地、工矿用地、住宅用地、公共管理与公共服务用地、交通运输用地、水域及水利设施用地及其他土地等</w:t>
      </w:r>
      <w:r>
        <w:rPr>
          <w:color w:val="0000FF"/>
        </w:rPr>
        <w:t>9</w:t>
      </w:r>
      <w:r>
        <w:rPr>
          <w:rFonts w:hint="eastAsia"/>
          <w:color w:val="0000FF"/>
        </w:rPr>
        <w:t xml:space="preserve"> 种类型。土地利用情况见表4.2-2。</w:t>
      </w:r>
    </w:p>
    <w:p>
      <w:pPr>
        <w:ind w:firstLine="480"/>
        <w:rPr>
          <w:color w:val="0000FF"/>
        </w:rPr>
      </w:pPr>
      <w:r>
        <w:rPr>
          <w:rFonts w:hint="eastAsia"/>
          <w:color w:val="0000FF"/>
        </w:rPr>
        <w:t>由表可知：评价区土地利用类型以林地和水域及水利设施用地为主。其中林地总面积为2426.32hm2，占评价区总面积的77.98%；水域及水利设施用地面积为399.37hm2，占评价区总面积的12.83%；其他类型用地面积较小。</w:t>
      </w:r>
    </w:p>
    <w:p>
      <w:pPr>
        <w:ind w:firstLine="480"/>
      </w:pPr>
    </w:p>
    <w:p>
      <w:pPr>
        <w:pStyle w:val="835"/>
        <w:spacing w:before="0" w:line="360" w:lineRule="auto"/>
      </w:pPr>
      <w:r>
        <w:rPr>
          <w:rFonts w:hint="eastAsia"/>
        </w:rPr>
        <w:t>4.5</w:t>
      </w:r>
      <w:r>
        <w:t>.</w:t>
      </w:r>
      <w:r>
        <w:rPr>
          <w:rFonts w:hint="eastAsia"/>
        </w:rPr>
        <w:t>4评价区生态系统现状</w:t>
      </w:r>
    </w:p>
    <w:p>
      <w:pPr>
        <w:ind w:firstLine="480"/>
        <w:rPr>
          <w:color w:val="0000FF"/>
        </w:rPr>
      </w:pPr>
      <w:r>
        <w:rPr>
          <w:rFonts w:hint="eastAsia"/>
          <w:color w:val="0000FF"/>
        </w:rPr>
        <w:t>评价区位于上高县城东面，锦河大桥下游约1.8km处，除城市建成区以外，植被生长良好，覆盖率较高，生物资源较丰富。参考《全国生态状况评估技术规范--生态系统遥感解译与野外核查》（HJ1166-2021）中有关分类标准，根据评价区土地类型，结合遥感影像数据，将评价区内生态系统划分为森林生态系统、草地生态系统、湿地生态系统、农业生态系统、城镇生态系统。</w:t>
      </w:r>
    </w:p>
    <w:p>
      <w:pPr>
        <w:ind w:firstLine="480"/>
        <w:rPr>
          <w:color w:val="0000FF"/>
        </w:rPr>
      </w:pPr>
      <w:r>
        <w:rPr>
          <w:rFonts w:hint="eastAsia"/>
          <w:color w:val="0000FF"/>
        </w:rPr>
        <w:t>根据遥感解译数据，评价区内各生态系统面积详见表4.</w:t>
      </w:r>
      <w:r>
        <w:rPr>
          <w:color w:val="0000FF"/>
        </w:rPr>
        <w:t>5</w:t>
      </w:r>
      <w:r>
        <w:rPr>
          <w:rFonts w:hint="eastAsia"/>
          <w:color w:val="0000FF"/>
        </w:rPr>
        <w:t>-</w:t>
      </w:r>
      <w:r>
        <w:rPr>
          <w:color w:val="0000FF"/>
        </w:rPr>
        <w:t>4</w:t>
      </w:r>
      <w:r>
        <w:rPr>
          <w:rFonts w:hint="eastAsia"/>
          <w:color w:val="0000FF"/>
        </w:rPr>
        <w:t>。评价区内生态系统以森林生态系统、湿地生态系统为主，草地生态系统所占面积相对较小。</w:t>
      </w:r>
    </w:p>
    <w:p>
      <w:pPr>
        <w:spacing w:before="120" w:beforeLines="50" w:line="240" w:lineRule="auto"/>
        <w:ind w:firstLine="480"/>
        <w:jc w:val="center"/>
        <w:rPr>
          <w:rFonts w:ascii="黑体" w:hAnsi="黑体" w:eastAsia="黑体" w:cs="黑体"/>
          <w:color w:val="0000FF"/>
          <w:szCs w:val="21"/>
        </w:rPr>
      </w:pPr>
      <w:r>
        <w:rPr>
          <w:rFonts w:hint="eastAsia" w:ascii="黑体" w:hAnsi="黑体" w:eastAsia="黑体" w:cs="黑体"/>
          <w:color w:val="0000FF"/>
          <w:szCs w:val="21"/>
        </w:rPr>
        <w:t>表4.5-</w:t>
      </w:r>
      <w:r>
        <w:rPr>
          <w:rFonts w:ascii="黑体" w:hAnsi="黑体" w:eastAsia="黑体" w:cs="黑体"/>
          <w:color w:val="0000FF"/>
          <w:szCs w:val="21"/>
        </w:rPr>
        <w:t>4</w:t>
      </w:r>
      <w:r>
        <w:rPr>
          <w:rFonts w:hint="eastAsia" w:ascii="黑体" w:hAnsi="黑体" w:eastAsia="黑体" w:cs="黑体"/>
          <w:color w:val="0000FF"/>
          <w:szCs w:val="21"/>
        </w:rPr>
        <w:t xml:space="preserve">  评价区评价区各生态系统面积统计表</w:t>
      </w:r>
    </w:p>
    <w:tbl>
      <w:tblPr>
        <w:tblStyle w:val="82"/>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386"/>
        <w:gridCol w:w="2180"/>
        <w:gridCol w:w="200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生态系统类型</w:t>
            </w:r>
          </w:p>
        </w:tc>
        <w:tc>
          <w:tcPr>
            <w:tcW w:w="1139"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面积（hm</w:t>
            </w:r>
            <w:r>
              <w:rPr>
                <w:color w:val="0000FF"/>
                <w:spacing w:val="-2"/>
                <w:sz w:val="21"/>
                <w:szCs w:val="21"/>
                <w:vertAlign w:val="superscript"/>
              </w:rPr>
              <w:t>2</w:t>
            </w:r>
            <w:r>
              <w:rPr>
                <w:color w:val="0000FF"/>
                <w:spacing w:val="-2"/>
                <w:sz w:val="21"/>
                <w:szCs w:val="21"/>
              </w:rPr>
              <w:t>）</w:t>
            </w:r>
          </w:p>
        </w:tc>
        <w:tc>
          <w:tcPr>
            <w:tcW w:w="1045" w:type="pct"/>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比例（%）</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湿地生态系统</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267.79</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 xml:space="preserve">34.61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森林生态系统</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226.78</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 xml:space="preserve">29.31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农业生态系统</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148.87</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 xml:space="preserve">19.24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城镇生态系统</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120.46</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 xml:space="preserve">15.57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草地生态系统</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9.83</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sz w:val="21"/>
                <w:szCs w:val="21"/>
              </w:rPr>
              <w:t xml:space="preserve">1.27 </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总计</w:t>
            </w:r>
          </w:p>
        </w:tc>
        <w:tc>
          <w:tcPr>
            <w:tcW w:w="1139"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773.73</w:t>
            </w:r>
          </w:p>
        </w:tc>
        <w:tc>
          <w:tcPr>
            <w:tcW w:w="104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100</w:t>
            </w:r>
          </w:p>
        </w:tc>
      </w:tr>
    </w:tbl>
    <w:p>
      <w:pPr>
        <w:ind w:firstLine="480"/>
        <w:rPr>
          <w:color w:val="0000FF"/>
        </w:rPr>
      </w:pPr>
      <w:r>
        <w:rPr>
          <w:rFonts w:hint="eastAsia"/>
          <w:color w:val="0000FF"/>
        </w:rPr>
        <w:t>(1) 森林生态系统</w:t>
      </w:r>
    </w:p>
    <w:p>
      <w:pPr>
        <w:ind w:firstLine="480"/>
        <w:rPr>
          <w:color w:val="0000FF"/>
        </w:rPr>
      </w:pPr>
      <w:r>
        <w:rPr>
          <w:rFonts w:hint="eastAsia"/>
          <w:color w:val="0000FF"/>
        </w:rPr>
        <w:t>根据卫片解译，评价区内森林生态系统主要集中分布于镜山森林公园、白溪村南面丘陵，面积为</w:t>
      </w:r>
      <w:r>
        <w:rPr>
          <w:color w:val="0000FF"/>
        </w:rPr>
        <w:t>226.78</w:t>
      </w:r>
      <w:r>
        <w:rPr>
          <w:rFonts w:hint="eastAsia"/>
          <w:color w:val="0000FF"/>
        </w:rPr>
        <w:t>hm</w:t>
      </w:r>
      <w:r>
        <w:rPr>
          <w:rFonts w:hint="eastAsia"/>
          <w:color w:val="0000FF"/>
          <w:vertAlign w:val="superscript"/>
        </w:rPr>
        <w:t>2</w:t>
      </w:r>
      <w:r>
        <w:rPr>
          <w:rFonts w:hint="eastAsia"/>
          <w:color w:val="0000FF"/>
        </w:rPr>
        <w:t>，占评价区生态系统总面积的</w:t>
      </w:r>
      <w:r>
        <w:rPr>
          <w:color w:val="0000FF"/>
        </w:rPr>
        <w:t>29.31</w:t>
      </w:r>
      <w:r>
        <w:rPr>
          <w:rFonts w:hint="eastAsia"/>
          <w:color w:val="0000FF"/>
        </w:rPr>
        <w:t>%。</w:t>
      </w:r>
    </w:p>
    <w:p>
      <w:pPr>
        <w:ind w:firstLine="480"/>
        <w:rPr>
          <w:color w:val="0000FF"/>
        </w:rPr>
      </w:pPr>
      <w:r>
        <w:rPr>
          <w:rFonts w:hint="eastAsia"/>
          <w:color w:val="0000FF"/>
        </w:rPr>
        <w:t>① 生态系统结构</w:t>
      </w:r>
    </w:p>
    <w:p>
      <w:pPr>
        <w:ind w:firstLine="480"/>
        <w:rPr>
          <w:color w:val="0000FF"/>
        </w:rPr>
      </w:pPr>
      <w:r>
        <w:rPr>
          <w:rFonts w:hint="eastAsia"/>
          <w:color w:val="0000FF"/>
        </w:rPr>
        <w:t>a 植被现状</w:t>
      </w:r>
    </w:p>
    <w:p>
      <w:pPr>
        <w:ind w:firstLine="480"/>
        <w:rPr>
          <w:color w:val="0000FF"/>
        </w:rPr>
      </w:pPr>
      <w:r>
        <w:rPr>
          <w:rFonts w:hint="eastAsia"/>
          <w:color w:val="0000FF"/>
        </w:rPr>
        <w:t>评价区森林生态系统主要由次生植被组成，包括针叶林、阔叶林、竹林，主要群系有杉木林(Form. Cunninghamia lanceolata)、马尾松林(Form. Pinus massoniana)、青冈林(Form. Quercus glauca)、毛竹林(Form. Phyllostachys edulis)等。</w:t>
      </w:r>
    </w:p>
    <w:p>
      <w:pPr>
        <w:ind w:firstLine="480"/>
        <w:rPr>
          <w:color w:val="0000FF"/>
        </w:rPr>
      </w:pPr>
      <w:r>
        <w:rPr>
          <w:rFonts w:hint="eastAsia"/>
          <w:color w:val="0000FF"/>
        </w:rPr>
        <w:t>b 动物现状</w:t>
      </w:r>
    </w:p>
    <w:p>
      <w:pPr>
        <w:ind w:firstLine="480"/>
        <w:rPr>
          <w:color w:val="0000FF"/>
        </w:rPr>
      </w:pPr>
      <w:r>
        <w:rPr>
          <w:rFonts w:hint="eastAsia"/>
          <w:color w:val="0000FF"/>
        </w:rPr>
        <w:t>森林不仅为动物提供了大量的食物，也是防御天敌的良好避难所，因此森林生态系统中分布着丰富的动物资源。评价区内森林生态系统两栖类主要有陆栖型的中华蟾蜍（Bufo gargarizans）等，树栖型的斑腿泛树蛙；爬行类主要有林栖傍水型的灰鼠蛇（Ptyas korro），灌丛石隙型的铜蜓蜥（Sphenomorphus indicus）、北草蜥（Takydromus septentrionalis）、等；鸟类主要有陆禽如灰胸竹鸡（Bambusicola thoracicus）、山斑鸠（Streptopelia orientalis）等，攀禽如戴胜（Upupa epops）、黑眉拟啄木鸟（Megalaima oorti）等以及大多数鸣禽，部分游禽或者涉禽夜晚也栖息在森林中；兽类主要有穴居型的东北刺猬（Erinaceus amurensis），隐纹花松鼠（Tamiops swinhoei）等。</w:t>
      </w:r>
    </w:p>
    <w:p>
      <w:pPr>
        <w:ind w:firstLine="480"/>
        <w:rPr>
          <w:color w:val="0000FF"/>
        </w:rPr>
      </w:pPr>
      <w:r>
        <w:rPr>
          <w:rFonts w:hint="eastAsia"/>
          <w:color w:val="0000FF"/>
        </w:rPr>
        <w:t>② 生态系统功能及特点</w:t>
      </w:r>
    </w:p>
    <w:p>
      <w:pPr>
        <w:ind w:firstLine="480"/>
        <w:rPr>
          <w:color w:val="0000FF"/>
        </w:rPr>
      </w:pPr>
      <w:r>
        <w:rPr>
          <w:rFonts w:hint="eastAsia"/>
          <w:color w:val="0000FF"/>
        </w:rPr>
        <w:t>森林生态系统是森林群落与其环境在功能流的作用下形成一定结构、功能和自调控的自然综合体，是陆地生态系统中面积最多、最重要的自然生态系统。森林生态系统生物多样性丰富，生态功能突出。森林生态系统比地表其他生态系统更加具有复杂的空间结构和营养链式结构，这有助于提高系统自身调节适应能力。其生态服务功能包括光能利用、调节大气、调节气温、涵养水源、稳定水文、改良土壤、防风固沙、水土保持，控制水土流失、净化环境、孕育和保存生物多样性等几个方面。</w:t>
      </w:r>
    </w:p>
    <w:p>
      <w:pPr>
        <w:ind w:firstLine="480"/>
        <w:rPr>
          <w:color w:val="0000FF"/>
        </w:rPr>
      </w:pPr>
      <w:r>
        <w:rPr>
          <w:rFonts w:hint="eastAsia"/>
          <w:color w:val="0000FF"/>
        </w:rPr>
        <w:t>(</w:t>
      </w:r>
      <w:r>
        <w:rPr>
          <w:color w:val="0000FF"/>
        </w:rPr>
        <w:t>2</w:t>
      </w:r>
      <w:r>
        <w:rPr>
          <w:rFonts w:hint="eastAsia"/>
          <w:color w:val="0000FF"/>
        </w:rPr>
        <w:t>) 草地生态系统</w:t>
      </w:r>
    </w:p>
    <w:p>
      <w:pPr>
        <w:ind w:firstLine="480"/>
        <w:rPr>
          <w:color w:val="0000FF"/>
        </w:rPr>
      </w:pPr>
      <w:r>
        <w:rPr>
          <w:rFonts w:hint="eastAsia"/>
          <w:color w:val="0000FF"/>
        </w:rPr>
        <w:t>根据卫片解译，评价区草地生态系统面积为</w:t>
      </w:r>
      <w:r>
        <w:rPr>
          <w:color w:val="0000FF"/>
        </w:rPr>
        <w:t>9.83</w:t>
      </w:r>
      <w:r>
        <w:rPr>
          <w:rFonts w:hint="eastAsia"/>
          <w:color w:val="0000FF"/>
        </w:rPr>
        <w:t>hm2，占评价区生态系统总面积的</w:t>
      </w:r>
      <w:r>
        <w:rPr>
          <w:color w:val="0000FF"/>
        </w:rPr>
        <w:t>1.27</w:t>
      </w:r>
      <w:r>
        <w:rPr>
          <w:rFonts w:hint="eastAsia"/>
          <w:color w:val="0000FF"/>
        </w:rPr>
        <w:t>%。</w:t>
      </w:r>
    </w:p>
    <w:p>
      <w:pPr>
        <w:ind w:firstLine="480"/>
        <w:rPr>
          <w:color w:val="0000FF"/>
        </w:rPr>
      </w:pPr>
      <w:r>
        <w:rPr>
          <w:rFonts w:hint="eastAsia"/>
          <w:color w:val="0000FF"/>
        </w:rPr>
        <w:t>① 生态系统结构</w:t>
      </w:r>
    </w:p>
    <w:p>
      <w:pPr>
        <w:ind w:firstLine="480"/>
        <w:rPr>
          <w:color w:val="0000FF"/>
        </w:rPr>
      </w:pPr>
      <w:r>
        <w:rPr>
          <w:rFonts w:hint="eastAsia"/>
          <w:color w:val="0000FF"/>
        </w:rPr>
        <w:t>a 植被现状</w:t>
      </w:r>
    </w:p>
    <w:p>
      <w:pPr>
        <w:ind w:firstLine="480"/>
        <w:rPr>
          <w:color w:val="0000FF"/>
        </w:rPr>
      </w:pPr>
      <w:r>
        <w:rPr>
          <w:rFonts w:hint="eastAsia"/>
          <w:color w:val="0000FF"/>
        </w:rPr>
        <w:t xml:space="preserve">评价区内草地生态系统分布面积相对较小主要位于锦江沿线， </w:t>
      </w:r>
    </w:p>
    <w:p>
      <w:pPr>
        <w:ind w:firstLine="480"/>
        <w:rPr>
          <w:color w:val="0000FF"/>
        </w:rPr>
      </w:pPr>
      <w:r>
        <w:rPr>
          <w:rFonts w:hint="eastAsia"/>
          <w:color w:val="0000FF"/>
        </w:rPr>
        <w:t>植被主要为草丛，常见的群系有五节芒草丛(Form. Miscanthus floridulus)、灯芯草草丛(Form. Juncus effusus)等。</w:t>
      </w:r>
    </w:p>
    <w:p>
      <w:pPr>
        <w:ind w:firstLine="480"/>
        <w:rPr>
          <w:color w:val="0000FF"/>
        </w:rPr>
      </w:pPr>
      <w:r>
        <w:rPr>
          <w:rFonts w:hint="eastAsia"/>
          <w:color w:val="0000FF"/>
        </w:rPr>
        <w:t>b 动物现状</w:t>
      </w:r>
    </w:p>
    <w:p>
      <w:pPr>
        <w:ind w:firstLine="480"/>
        <w:rPr>
          <w:color w:val="0000FF"/>
        </w:rPr>
      </w:pPr>
      <w:r>
        <w:rPr>
          <w:rFonts w:hint="eastAsia"/>
          <w:color w:val="0000FF"/>
        </w:rPr>
        <w:t>草地生态系统中的两栖类主要有陆栖型两栖类如泽陆蛙， 水栖型如沼蛙（oulengerana guentheri）等；爬行类主要有灌丛石隙型的铜蜓蜥、林栖傍水型爬行类灰鼠蛇等；鸟类中的陆禽如珠颈斑鸠（Streptopelia chinensis），涉禽如白鹭（Egretta garzetta），部分体型较小的鸣禽如丝光椋鸟（Sturnus sericeus）等；兽类中的半地下生活型种类如东北刺猬等。</w:t>
      </w:r>
    </w:p>
    <w:p>
      <w:pPr>
        <w:ind w:firstLine="480"/>
        <w:rPr>
          <w:color w:val="0000FF"/>
        </w:rPr>
      </w:pPr>
      <w:r>
        <w:rPr>
          <w:rFonts w:hint="eastAsia"/>
          <w:color w:val="0000FF"/>
        </w:rPr>
        <w:t>② 生态系统功能及特点</w:t>
      </w:r>
    </w:p>
    <w:p>
      <w:pPr>
        <w:ind w:firstLine="480"/>
        <w:rPr>
          <w:color w:val="0000FF"/>
        </w:rPr>
      </w:pPr>
      <w:r>
        <w:rPr>
          <w:rFonts w:hint="eastAsia"/>
          <w:color w:val="0000FF"/>
        </w:rPr>
        <w:t>草地生态系统在植被组成上来看，以草丛为主，为森林破坏后的次生类型，属隐域植被，可出现在不同生物气候地带。草地生态系统相比森林生态系统的空间结构和营养链式结构简单，其生态服务功能主要有生产经营、涵养水域、保育土壤、固氮释氧、控制污染、净化空气、更新能源、减缓洪灾危险等几个方面。</w:t>
      </w:r>
    </w:p>
    <w:p>
      <w:pPr>
        <w:ind w:firstLine="480"/>
        <w:rPr>
          <w:color w:val="0000FF"/>
        </w:rPr>
      </w:pPr>
      <w:r>
        <w:rPr>
          <w:rFonts w:hint="eastAsia"/>
          <w:color w:val="0000FF"/>
        </w:rPr>
        <w:t>(</w:t>
      </w:r>
      <w:r>
        <w:rPr>
          <w:color w:val="0000FF"/>
        </w:rPr>
        <w:t>3</w:t>
      </w:r>
      <w:r>
        <w:rPr>
          <w:rFonts w:hint="eastAsia"/>
          <w:color w:val="0000FF"/>
        </w:rPr>
        <w:t>) 湿地生态系统</w:t>
      </w:r>
    </w:p>
    <w:p>
      <w:pPr>
        <w:ind w:firstLine="480"/>
        <w:rPr>
          <w:color w:val="0000FF"/>
        </w:rPr>
      </w:pPr>
      <w:r>
        <w:rPr>
          <w:rFonts w:hint="eastAsia"/>
          <w:color w:val="0000FF"/>
        </w:rPr>
        <w:t>根据卫片解译，评价区湿地生态系统面积为</w:t>
      </w:r>
      <w:r>
        <w:rPr>
          <w:color w:val="0000FF"/>
        </w:rPr>
        <w:t>267.79</w:t>
      </w:r>
      <w:r>
        <w:rPr>
          <w:rFonts w:hint="eastAsia"/>
          <w:color w:val="0000FF"/>
        </w:rPr>
        <w:t>hm2，占评价区生态系统总面积的</w:t>
      </w:r>
      <w:r>
        <w:rPr>
          <w:color w:val="0000FF"/>
        </w:rPr>
        <w:t>34.61</w:t>
      </w:r>
      <w:r>
        <w:rPr>
          <w:rFonts w:hint="eastAsia"/>
          <w:color w:val="0000FF"/>
        </w:rPr>
        <w:t>%。</w:t>
      </w:r>
    </w:p>
    <w:p>
      <w:pPr>
        <w:ind w:firstLine="480"/>
        <w:rPr>
          <w:color w:val="0000FF"/>
        </w:rPr>
      </w:pPr>
      <w:r>
        <w:rPr>
          <w:rFonts w:hint="eastAsia"/>
          <w:color w:val="0000FF"/>
        </w:rPr>
        <w:t>① 生态系统结构</w:t>
      </w:r>
    </w:p>
    <w:p>
      <w:pPr>
        <w:ind w:firstLine="480"/>
        <w:rPr>
          <w:color w:val="0000FF"/>
        </w:rPr>
      </w:pPr>
      <w:r>
        <w:rPr>
          <w:rFonts w:hint="eastAsia"/>
          <w:color w:val="0000FF"/>
        </w:rPr>
        <w:t>a 植被现状</w:t>
      </w:r>
    </w:p>
    <w:p>
      <w:pPr>
        <w:ind w:firstLine="480"/>
        <w:rPr>
          <w:color w:val="0000FF"/>
        </w:rPr>
      </w:pPr>
      <w:r>
        <w:rPr>
          <w:rFonts w:hint="eastAsia"/>
          <w:color w:val="0000FF"/>
        </w:rPr>
        <w:t>评价区湿地多为水库、河流，评价区人工活动对其干扰影响较大，湿地生态系统植被类型较为简单。湿地植物常见有水蓼(Polygonum hydropiper)、菹草(Potamogeton crispus)等。</w:t>
      </w:r>
    </w:p>
    <w:p>
      <w:pPr>
        <w:ind w:firstLine="480"/>
        <w:rPr>
          <w:color w:val="0000FF"/>
        </w:rPr>
      </w:pPr>
      <w:r>
        <w:rPr>
          <w:rFonts w:hint="eastAsia"/>
          <w:color w:val="0000FF"/>
        </w:rPr>
        <w:t>b 动物现状</w:t>
      </w:r>
    </w:p>
    <w:p>
      <w:pPr>
        <w:ind w:firstLine="480"/>
        <w:rPr>
          <w:color w:val="0000FF"/>
        </w:rPr>
      </w:pPr>
      <w:r>
        <w:rPr>
          <w:rFonts w:hint="eastAsia"/>
          <w:color w:val="0000FF"/>
        </w:rPr>
        <w:t>湿地生态系统是多种两栖类和爬行类的栖息地，也是游禽和涉禽的重要栖息场所。拟建工程区域内湿地生态系统主要为河流，分布的爬行类及两栖类多为适应于水库及丘陵生活的种类，如沼蛙、泽陆蛙、日本林蛙等。鸟类以涉禽和鸣禽为主，如小䴙䴘（</w:t>
      </w:r>
      <w:r>
        <w:rPr>
          <w:color w:val="0000FF"/>
        </w:rPr>
        <w:t>Tachybaptus ruficollis</w:t>
      </w:r>
      <w:r>
        <w:rPr>
          <w:rFonts w:hint="eastAsia"/>
          <w:color w:val="0000FF"/>
        </w:rPr>
        <w:t>）、白鹭、牛背鹭（</w:t>
      </w:r>
      <w:r>
        <w:rPr>
          <w:color w:val="0000FF"/>
        </w:rPr>
        <w:t>ubulcus ibis</w:t>
      </w:r>
      <w:r>
        <w:rPr>
          <w:rFonts w:hint="eastAsia"/>
          <w:color w:val="0000FF"/>
        </w:rPr>
        <w:t>）、普通翠鸟（Alcedo atthis）等，兽类中的优势种则是一些常见的啮齿类如褐家鼠（Rattus novegicus）、黄胸鼠（Rattus flavipectus）等。</w:t>
      </w:r>
    </w:p>
    <w:p>
      <w:pPr>
        <w:ind w:firstLine="480"/>
        <w:rPr>
          <w:color w:val="0000FF"/>
        </w:rPr>
      </w:pPr>
      <w:r>
        <w:rPr>
          <w:rFonts w:hint="eastAsia"/>
          <w:color w:val="0000FF"/>
        </w:rPr>
        <w:t>② 生态系统功能及特点</w:t>
      </w:r>
    </w:p>
    <w:p>
      <w:pPr>
        <w:ind w:firstLine="480"/>
        <w:rPr>
          <w:color w:val="0000FF"/>
        </w:rPr>
      </w:pPr>
      <w:r>
        <w:rPr>
          <w:rFonts w:hint="eastAsia"/>
          <w:color w:val="0000FF"/>
        </w:rPr>
        <w:t>湿地生态系统服务功能不仅包括提供大量资源产品，而且具有大的环境调节功能和环境效益，在调蓄洪水、调节气候、控制土壤等多方面发挥着重要作用。同时，湿地还是重要的遗传基因库，拥有丰富的动植物群落和珍稀濒危物种。</w:t>
      </w:r>
    </w:p>
    <w:p>
      <w:pPr>
        <w:ind w:firstLine="480"/>
        <w:rPr>
          <w:color w:val="0000FF"/>
        </w:rPr>
      </w:pPr>
      <w:r>
        <w:rPr>
          <w:rFonts w:hint="eastAsia"/>
          <w:color w:val="0000FF"/>
        </w:rPr>
        <w:t>(</w:t>
      </w:r>
      <w:r>
        <w:rPr>
          <w:color w:val="0000FF"/>
        </w:rPr>
        <w:t>4</w:t>
      </w:r>
      <w:r>
        <w:rPr>
          <w:rFonts w:hint="eastAsia"/>
          <w:color w:val="0000FF"/>
        </w:rPr>
        <w:t>) 农业生态系统</w:t>
      </w:r>
    </w:p>
    <w:p>
      <w:pPr>
        <w:ind w:firstLine="480"/>
        <w:rPr>
          <w:color w:val="0000FF"/>
        </w:rPr>
      </w:pPr>
      <w:r>
        <w:rPr>
          <w:rFonts w:hint="eastAsia"/>
          <w:color w:val="0000FF"/>
        </w:rPr>
        <w:t>根据卫片解译，评价区农田生态系统面积为</w:t>
      </w:r>
      <w:r>
        <w:rPr>
          <w:color w:val="0000FF"/>
        </w:rPr>
        <w:t>148.87</w:t>
      </w:r>
      <w:r>
        <w:rPr>
          <w:rFonts w:hint="eastAsia"/>
          <w:color w:val="0000FF"/>
        </w:rPr>
        <w:t>hm</w:t>
      </w:r>
      <w:r>
        <w:rPr>
          <w:rFonts w:hint="eastAsia"/>
          <w:color w:val="0000FF"/>
          <w:vertAlign w:val="superscript"/>
        </w:rPr>
        <w:t>2</w:t>
      </w:r>
      <w:r>
        <w:rPr>
          <w:rFonts w:hint="eastAsia"/>
          <w:color w:val="0000FF"/>
        </w:rPr>
        <w:t>，占评价区生态系统总面积的</w:t>
      </w:r>
      <w:r>
        <w:rPr>
          <w:color w:val="0000FF"/>
        </w:rPr>
        <w:t>19.24</w:t>
      </w:r>
      <w:r>
        <w:rPr>
          <w:rFonts w:hint="eastAsia"/>
          <w:color w:val="0000FF"/>
        </w:rPr>
        <w:t>%。</w:t>
      </w:r>
    </w:p>
    <w:p>
      <w:pPr>
        <w:ind w:firstLine="480"/>
        <w:rPr>
          <w:color w:val="0000FF"/>
        </w:rPr>
      </w:pPr>
      <w:r>
        <w:rPr>
          <w:rFonts w:hint="eastAsia"/>
          <w:color w:val="0000FF"/>
        </w:rPr>
        <w:t>① 生态系统结构</w:t>
      </w:r>
    </w:p>
    <w:p>
      <w:pPr>
        <w:ind w:firstLine="480"/>
        <w:rPr>
          <w:color w:val="0000FF"/>
        </w:rPr>
      </w:pPr>
      <w:r>
        <w:rPr>
          <w:rFonts w:hint="eastAsia"/>
          <w:color w:val="0000FF"/>
        </w:rPr>
        <w:t>a 植被现状</w:t>
      </w:r>
    </w:p>
    <w:p>
      <w:pPr>
        <w:ind w:firstLine="480"/>
        <w:rPr>
          <w:color w:val="0000FF"/>
        </w:rPr>
      </w:pPr>
      <w:r>
        <w:rPr>
          <w:rFonts w:hint="eastAsia"/>
          <w:color w:val="0000FF"/>
        </w:rPr>
        <w:t>评价区农田生态系统内植被以水田为主。常见的田间杂草有拉拉藤(Galium spurium)、地菍(Melastoma dodecandrum)、金毛耳草(Hedyotis chrysotricha)等。</w:t>
      </w:r>
    </w:p>
    <w:p>
      <w:pPr>
        <w:ind w:firstLine="480"/>
        <w:rPr>
          <w:color w:val="0000FF"/>
        </w:rPr>
      </w:pPr>
      <w:r>
        <w:rPr>
          <w:rFonts w:hint="eastAsia"/>
          <w:color w:val="0000FF"/>
        </w:rPr>
        <w:t>b 动物现状</w:t>
      </w:r>
    </w:p>
    <w:p>
      <w:pPr>
        <w:ind w:firstLine="480"/>
        <w:rPr>
          <w:color w:val="0000FF"/>
        </w:rPr>
      </w:pPr>
      <w:r>
        <w:rPr>
          <w:rFonts w:hint="eastAsia"/>
          <w:color w:val="0000FF"/>
        </w:rPr>
        <w:t>评价区内的农田生态系统主要作物为水田，植被类型较为单一，受人为干扰严重，因此农田生态系统中动物种类不甚丰富。区域内常见的两类有陆栖型的中华蟾蜍，爬行类有灌丛石隙型的古氏草蜥，鸟类主要为白鹭、牛背鹭（</w:t>
      </w:r>
      <w:r>
        <w:rPr>
          <w:color w:val="0000FF"/>
        </w:rPr>
        <w:t>ubulcus ibis</w:t>
      </w:r>
      <w:r>
        <w:rPr>
          <w:rFonts w:hint="eastAsia"/>
          <w:color w:val="0000FF"/>
        </w:rPr>
        <w:t>）、大嘴乌鸦（Corvus macrorhynchos）、灰树鹊（Dendrocitta formosae）等鸣禽。</w:t>
      </w:r>
    </w:p>
    <w:p>
      <w:pPr>
        <w:ind w:firstLine="480"/>
        <w:rPr>
          <w:color w:val="0000FF"/>
        </w:rPr>
      </w:pPr>
      <w:r>
        <w:rPr>
          <w:rFonts w:hint="eastAsia"/>
          <w:color w:val="0000FF"/>
        </w:rPr>
        <w:t>② 生态系统功能及特点</w:t>
      </w:r>
    </w:p>
    <w:p>
      <w:pPr>
        <w:ind w:firstLine="480"/>
        <w:rPr>
          <w:color w:val="0000FF"/>
        </w:rPr>
      </w:pPr>
      <w:r>
        <w:rPr>
          <w:rFonts w:hint="eastAsia"/>
          <w:color w:val="0000FF"/>
        </w:rPr>
        <w:t>农业生态系统由一定农业地域内相互作用的生物因素和非生物因素构成的功能整体，人类生产活动干预下形成的人工生态系统。农田生态系统的主要生态功能体现在农产品及副产品生产，包括为人们提供农产品，为现代工业提供加工原料，以及提供生物生源等。同时，农田生态系统也具有大气调节、土壤保持、养分循环、水分调节、生物多样性及基因资源以及餐饮、娱乐、文化等功能。</w:t>
      </w:r>
    </w:p>
    <w:p>
      <w:pPr>
        <w:ind w:firstLine="480"/>
        <w:rPr>
          <w:color w:val="0000FF"/>
        </w:rPr>
      </w:pPr>
      <w:r>
        <w:rPr>
          <w:rFonts w:hint="eastAsia"/>
          <w:color w:val="0000FF"/>
        </w:rPr>
        <w:t>(</w:t>
      </w:r>
      <w:r>
        <w:rPr>
          <w:color w:val="0000FF"/>
        </w:rPr>
        <w:t>5</w:t>
      </w:r>
      <w:r>
        <w:rPr>
          <w:rFonts w:hint="eastAsia"/>
          <w:color w:val="0000FF"/>
        </w:rPr>
        <w:t>) 城镇生态系统</w:t>
      </w:r>
    </w:p>
    <w:p>
      <w:pPr>
        <w:ind w:firstLine="480"/>
        <w:rPr>
          <w:color w:val="0000FF"/>
        </w:rPr>
      </w:pPr>
      <w:r>
        <w:rPr>
          <w:rFonts w:hint="eastAsia"/>
          <w:color w:val="0000FF"/>
        </w:rPr>
        <w:t>根据卫片解译，评价区城镇生态系统面积为</w:t>
      </w:r>
      <w:r>
        <w:rPr>
          <w:color w:val="0000FF"/>
        </w:rPr>
        <w:t>120.46</w:t>
      </w:r>
      <w:r>
        <w:rPr>
          <w:rFonts w:hint="eastAsia"/>
          <w:color w:val="0000FF"/>
        </w:rPr>
        <w:t>hm</w:t>
      </w:r>
      <w:r>
        <w:rPr>
          <w:rFonts w:hint="eastAsia"/>
          <w:color w:val="0000FF"/>
          <w:vertAlign w:val="superscript"/>
        </w:rPr>
        <w:t>2</w:t>
      </w:r>
      <w:r>
        <w:rPr>
          <w:rFonts w:hint="eastAsia"/>
          <w:color w:val="0000FF"/>
        </w:rPr>
        <w:t>，占评价区总面积的</w:t>
      </w:r>
      <w:r>
        <w:rPr>
          <w:color w:val="0000FF"/>
        </w:rPr>
        <w:t>15.57</w:t>
      </w:r>
      <w:r>
        <w:rPr>
          <w:rFonts w:hint="eastAsia"/>
          <w:color w:val="0000FF"/>
        </w:rPr>
        <w:t>%。</w:t>
      </w:r>
    </w:p>
    <w:p>
      <w:pPr>
        <w:ind w:firstLine="480"/>
        <w:rPr>
          <w:color w:val="0000FF"/>
        </w:rPr>
      </w:pPr>
      <w:r>
        <w:rPr>
          <w:rFonts w:hint="eastAsia"/>
          <w:color w:val="0000FF"/>
        </w:rPr>
        <w:t>① 生态系统结构</w:t>
      </w:r>
    </w:p>
    <w:p>
      <w:pPr>
        <w:ind w:firstLine="480"/>
        <w:rPr>
          <w:color w:val="0000FF"/>
        </w:rPr>
      </w:pPr>
      <w:r>
        <w:rPr>
          <w:rFonts w:hint="eastAsia"/>
          <w:color w:val="0000FF"/>
        </w:rPr>
        <w:t>a 植被现状</w:t>
      </w:r>
    </w:p>
    <w:p>
      <w:pPr>
        <w:ind w:firstLine="480"/>
        <w:rPr>
          <w:color w:val="0000FF"/>
        </w:rPr>
      </w:pPr>
      <w:r>
        <w:rPr>
          <w:rFonts w:hint="eastAsia"/>
          <w:color w:val="0000FF"/>
        </w:rPr>
        <w:t>评价区城镇生态系统内植物多分布在路旁住宅旁，以绿化树种和经济果木为主，常见的绿化树种有银杏(Ginkgo biloba)、樟树等。</w:t>
      </w:r>
    </w:p>
    <w:p>
      <w:pPr>
        <w:ind w:firstLine="480"/>
        <w:rPr>
          <w:color w:val="0000FF"/>
        </w:rPr>
      </w:pPr>
      <w:r>
        <w:rPr>
          <w:rFonts w:hint="eastAsia"/>
          <w:color w:val="0000FF"/>
        </w:rPr>
        <w:t>b 动物现状</w:t>
      </w:r>
    </w:p>
    <w:p>
      <w:pPr>
        <w:ind w:firstLine="480"/>
        <w:rPr>
          <w:color w:val="0000FF"/>
        </w:rPr>
      </w:pPr>
      <w:r>
        <w:rPr>
          <w:rFonts w:hint="eastAsia"/>
          <w:color w:val="0000FF"/>
        </w:rPr>
        <w:t>城镇生态系统中虽自然植被较少，人为干扰程度最强，但其中生活着一些适应与人类伴居的动物，如爬行类中的住宅型种类如多疣壁虎（Gekko japonicus）等；鸟类中的一些种类，主要是鸣禽如白头鹎、棕背伯劳（Lanius schach）、黄臀鹎（Pycnonotusxanthorrhous）、八哥、鹊鸲（Copsychus saularis）、麻雀等；兽类中的一些鼠科如黄胸鼠、褐家鼠等。</w:t>
      </w:r>
    </w:p>
    <w:p>
      <w:pPr>
        <w:ind w:firstLine="480"/>
        <w:rPr>
          <w:color w:val="0000FF"/>
        </w:rPr>
      </w:pPr>
      <w:r>
        <w:rPr>
          <w:rFonts w:hint="eastAsia"/>
          <w:color w:val="0000FF"/>
        </w:rPr>
        <w:t>② 生态系统功能及特点</w:t>
      </w:r>
    </w:p>
    <w:p>
      <w:pPr>
        <w:ind w:firstLine="480"/>
        <w:rPr>
          <w:color w:val="0000FF"/>
        </w:rPr>
      </w:pPr>
      <w:r>
        <w:rPr>
          <w:rFonts w:hint="eastAsia"/>
          <w:color w:val="0000FF"/>
        </w:rPr>
        <w:t>城镇是一个高度复合的人工化生态系统，与自然生态系统在结构和功能上都存在明显差别。城镇生态系统的服务功能主要包括三大类：提供生活和生产物质的功能，包括食物生产、原材料生产；与人类日常生活和身心健康相关的生命支持的功能，包括：气候调节、水源涵养、土壤形成与保护、净化空气、生物多样性保护、减轻噪声；满足人类精神生活需求的功能，包括娱乐文化。</w:t>
      </w:r>
    </w:p>
    <w:p>
      <w:pPr>
        <w:pStyle w:val="835"/>
        <w:spacing w:before="0" w:line="360" w:lineRule="auto"/>
      </w:pPr>
      <w:r>
        <w:rPr>
          <w:rFonts w:hint="eastAsia"/>
        </w:rPr>
        <w:t>4.5</w:t>
      </w:r>
      <w:r>
        <w:t>.</w:t>
      </w:r>
      <w:r>
        <w:rPr>
          <w:rFonts w:hint="eastAsia"/>
        </w:rPr>
        <w:t>5</w:t>
      </w:r>
      <w:r>
        <w:t>陆生植物</w:t>
      </w:r>
      <w:bookmarkEnd w:id="763"/>
      <w:bookmarkEnd w:id="764"/>
      <w:bookmarkEnd w:id="765"/>
      <w:bookmarkEnd w:id="766"/>
      <w:bookmarkEnd w:id="767"/>
    </w:p>
    <w:p>
      <w:pPr>
        <w:pStyle w:val="9"/>
        <w:rPr>
          <w:rFonts w:eastAsia="宋体"/>
          <w:b/>
          <w:spacing w:val="-2"/>
          <w:kern w:val="0"/>
        </w:rPr>
      </w:pPr>
      <w:r>
        <w:rPr>
          <w:rFonts w:eastAsia="宋体"/>
          <w:b/>
          <w:spacing w:val="-2"/>
          <w:kern w:val="0"/>
        </w:rPr>
        <w:t>4.</w:t>
      </w:r>
      <w:r>
        <w:rPr>
          <w:rFonts w:hint="eastAsia" w:eastAsia="宋体"/>
          <w:b/>
          <w:spacing w:val="-2"/>
          <w:kern w:val="0"/>
        </w:rPr>
        <w:t>5</w:t>
      </w:r>
      <w:r>
        <w:rPr>
          <w:rFonts w:eastAsia="宋体"/>
          <w:b/>
          <w:spacing w:val="-2"/>
          <w:kern w:val="0"/>
        </w:rPr>
        <w:t>.</w:t>
      </w:r>
      <w:r>
        <w:rPr>
          <w:rFonts w:hint="eastAsia" w:eastAsia="宋体"/>
          <w:b/>
          <w:spacing w:val="-2"/>
          <w:kern w:val="0"/>
        </w:rPr>
        <w:t>5</w:t>
      </w:r>
      <w:r>
        <w:rPr>
          <w:rFonts w:eastAsia="宋体"/>
          <w:b/>
          <w:spacing w:val="-2"/>
          <w:kern w:val="0"/>
        </w:rPr>
        <w:t>.1区域</w:t>
      </w:r>
      <w:r>
        <w:rPr>
          <w:rFonts w:hint="eastAsia" w:eastAsia="宋体"/>
          <w:b/>
          <w:spacing w:val="-2"/>
          <w:kern w:val="0"/>
        </w:rPr>
        <w:t>植被覆盖度</w:t>
      </w:r>
    </w:p>
    <w:p>
      <w:pPr>
        <w:ind w:firstLine="480"/>
        <w:rPr>
          <w:color w:val="0000FF"/>
        </w:rPr>
      </w:pPr>
      <w:r>
        <w:rPr>
          <w:rFonts w:hint="eastAsia"/>
          <w:color w:val="0000FF"/>
        </w:rPr>
        <w:t>植被覆盖度可用于定量分析评价范围内的植被现状。</w:t>
      </w:r>
    </w:p>
    <w:p>
      <w:pPr>
        <w:ind w:firstLine="480"/>
        <w:rPr>
          <w:color w:val="0000FF"/>
        </w:rPr>
      </w:pPr>
      <w:r>
        <w:rPr>
          <w:rFonts w:hint="eastAsia"/>
          <w:color w:val="0000FF"/>
        </w:rPr>
        <w:t>基于遥感估算植被覆盖度可根据区域特点和数据基础采用不同的方法，如植被指数法、回归模型、机器学习法等。</w:t>
      </w:r>
    </w:p>
    <w:p>
      <w:pPr>
        <w:ind w:firstLine="480"/>
        <w:rPr>
          <w:color w:val="0000FF"/>
        </w:rPr>
      </w:pPr>
      <w:r>
        <w:rPr>
          <w:rFonts w:hint="eastAsia"/>
          <w:color w:val="0000FF"/>
        </w:rPr>
        <w:t>植被指数法主要是通过对各像元中植被类型及分布特征的分析，建立植被指数与植被覆盖度的转换关系。利用ArcGIS 及ENVI 软件对卫星遥感图进行解译，并结合现场调查植被复核，统计得到本项目的植被分布情况及评价区域内的植被覆盖度差异情况，采用归一化植被指数（NDVI）估算植被覆盖度的方法如下：</w:t>
      </w:r>
    </w:p>
    <w:p>
      <w:pPr>
        <w:ind w:firstLine="480"/>
        <w:rPr>
          <w:color w:val="0000FF"/>
        </w:rPr>
      </w:pPr>
      <w:r>
        <w:rPr>
          <w:color w:val="0000FF"/>
        </w:rPr>
        <w:t>FVC = (NDVI-NDVIs)/(NDVIv-NDVIs)</w:t>
      </w:r>
    </w:p>
    <w:p>
      <w:pPr>
        <w:ind w:firstLine="480"/>
        <w:rPr>
          <w:color w:val="0000FF"/>
        </w:rPr>
      </w:pPr>
      <w:r>
        <w:rPr>
          <w:rFonts w:hint="eastAsia"/>
          <w:color w:val="0000FF"/>
        </w:rPr>
        <w:t>式中：FVC——所计算像元的植被覆盖度；</w:t>
      </w:r>
    </w:p>
    <w:p>
      <w:pPr>
        <w:ind w:firstLine="480"/>
        <w:rPr>
          <w:color w:val="0000FF"/>
        </w:rPr>
      </w:pPr>
      <w:r>
        <w:rPr>
          <w:rFonts w:hint="eastAsia"/>
          <w:color w:val="0000FF"/>
        </w:rPr>
        <w:t>NDVI——所计算像元的 NDVI 值；</w:t>
      </w:r>
    </w:p>
    <w:p>
      <w:pPr>
        <w:ind w:firstLine="480"/>
        <w:rPr>
          <w:color w:val="0000FF"/>
        </w:rPr>
      </w:pPr>
      <w:r>
        <w:rPr>
          <w:rFonts w:hint="eastAsia"/>
          <w:color w:val="0000FF"/>
        </w:rPr>
        <w:t>NDVIv——纯植物像元的NDVI 值；</w:t>
      </w:r>
    </w:p>
    <w:p>
      <w:pPr>
        <w:ind w:firstLine="480"/>
        <w:rPr>
          <w:color w:val="0000FF"/>
        </w:rPr>
      </w:pPr>
      <w:r>
        <w:rPr>
          <w:rFonts w:hint="eastAsia"/>
          <w:color w:val="0000FF"/>
        </w:rPr>
        <w:t>NDVIs——完全无植被覆盖像元的 NDVI 值。</w:t>
      </w:r>
    </w:p>
    <w:p>
      <w:pPr>
        <w:ind w:firstLine="480"/>
        <w:rPr>
          <w:color w:val="0000FF"/>
        </w:rPr>
      </w:pPr>
      <w:r>
        <w:rPr>
          <w:rFonts w:hint="eastAsia"/>
          <w:color w:val="0000FF"/>
        </w:rPr>
        <w:t>评价区植被覆盖度统计见表4.</w:t>
      </w:r>
      <w:r>
        <w:rPr>
          <w:color w:val="0000FF"/>
        </w:rPr>
        <w:t>5</w:t>
      </w:r>
      <w:r>
        <w:rPr>
          <w:rFonts w:hint="eastAsia"/>
          <w:color w:val="0000FF"/>
        </w:rPr>
        <w:t>-</w:t>
      </w:r>
      <w:r>
        <w:rPr>
          <w:color w:val="0000FF"/>
        </w:rPr>
        <w:t>5</w:t>
      </w:r>
      <w:r>
        <w:rPr>
          <w:rFonts w:hint="eastAsia"/>
          <w:color w:val="0000FF"/>
        </w:rPr>
        <w:t>。</w:t>
      </w:r>
    </w:p>
    <w:p>
      <w:pPr>
        <w:spacing w:before="120" w:beforeLines="50" w:line="240" w:lineRule="auto"/>
        <w:ind w:firstLine="480"/>
        <w:jc w:val="center"/>
        <w:rPr>
          <w:rFonts w:ascii="黑体" w:hAnsi="黑体" w:eastAsia="黑体" w:cs="黑体"/>
          <w:color w:val="0000FF"/>
          <w:szCs w:val="21"/>
        </w:rPr>
      </w:pPr>
      <w:r>
        <w:rPr>
          <w:rFonts w:hint="eastAsia" w:ascii="黑体" w:hAnsi="黑体" w:eastAsia="黑体" w:cs="黑体"/>
          <w:color w:val="0000FF"/>
          <w:szCs w:val="21"/>
        </w:rPr>
        <w:t>表4.5-</w:t>
      </w:r>
      <w:r>
        <w:rPr>
          <w:rFonts w:ascii="黑体" w:hAnsi="黑体" w:eastAsia="黑体" w:cs="黑体"/>
          <w:color w:val="0000FF"/>
          <w:szCs w:val="21"/>
        </w:rPr>
        <w:t>5</w:t>
      </w:r>
      <w:r>
        <w:rPr>
          <w:rFonts w:hint="eastAsia" w:ascii="黑体" w:hAnsi="黑体" w:eastAsia="黑体" w:cs="黑体"/>
          <w:color w:val="0000FF"/>
          <w:szCs w:val="21"/>
        </w:rPr>
        <w:t xml:space="preserve"> 评价区评价区各生态系统面积统计表</w:t>
      </w:r>
    </w:p>
    <w:tbl>
      <w:tblPr>
        <w:tblStyle w:val="82"/>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386"/>
        <w:gridCol w:w="2180"/>
        <w:gridCol w:w="200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植被覆盖度</w:t>
            </w:r>
          </w:p>
        </w:tc>
        <w:tc>
          <w:tcPr>
            <w:tcW w:w="1139"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面积（hm</w:t>
            </w:r>
            <w:r>
              <w:rPr>
                <w:color w:val="0000FF"/>
                <w:spacing w:val="-2"/>
                <w:sz w:val="21"/>
                <w:szCs w:val="21"/>
                <w:vertAlign w:val="superscript"/>
              </w:rPr>
              <w:t>2</w:t>
            </w:r>
            <w:r>
              <w:rPr>
                <w:color w:val="0000FF"/>
                <w:spacing w:val="-2"/>
                <w:sz w:val="21"/>
                <w:szCs w:val="21"/>
              </w:rPr>
              <w:t>）</w:t>
            </w:r>
          </w:p>
        </w:tc>
        <w:tc>
          <w:tcPr>
            <w:tcW w:w="1045" w:type="pct"/>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比例（%）</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0~0.1</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151.92</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19.63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0.1~0.3</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69.3</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8.96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0.3~0.5</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74.88</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9.68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0.5~0.7</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95.31</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12.32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0.7~1</w:t>
            </w:r>
          </w:p>
        </w:tc>
        <w:tc>
          <w:tcPr>
            <w:tcW w:w="1139"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382.32</w:t>
            </w:r>
          </w:p>
        </w:tc>
        <w:tc>
          <w:tcPr>
            <w:tcW w:w="1045" w:type="pct"/>
            <w:shd w:val="clear" w:color="auto" w:fill="auto"/>
            <w:vAlign w:val="center"/>
          </w:tcPr>
          <w:p>
            <w:pPr>
              <w:snapToGrid w:val="0"/>
              <w:spacing w:line="340" w:lineRule="exact"/>
              <w:ind w:firstLine="0" w:firstLineChars="0"/>
              <w:contextualSpacing/>
              <w:jc w:val="center"/>
              <w:rPr>
                <w:color w:val="0000FF"/>
                <w:spacing w:val="-2"/>
                <w:sz w:val="21"/>
                <w:szCs w:val="21"/>
              </w:rPr>
            </w:pPr>
            <w:r>
              <w:rPr>
                <w:color w:val="0000FF"/>
                <w:kern w:val="0"/>
                <w:sz w:val="21"/>
                <w:szCs w:val="21"/>
              </w:rPr>
              <w:t>49.41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81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总计</w:t>
            </w:r>
          </w:p>
        </w:tc>
        <w:tc>
          <w:tcPr>
            <w:tcW w:w="1139"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773.73</w:t>
            </w:r>
          </w:p>
        </w:tc>
        <w:tc>
          <w:tcPr>
            <w:tcW w:w="1045" w:type="pct"/>
            <w:vAlign w:val="center"/>
          </w:tcPr>
          <w:p>
            <w:pPr>
              <w:snapToGrid w:val="0"/>
              <w:spacing w:line="340" w:lineRule="exact"/>
              <w:ind w:firstLine="0" w:firstLineChars="0"/>
              <w:contextualSpacing/>
              <w:jc w:val="center"/>
              <w:rPr>
                <w:color w:val="0000FF"/>
                <w:spacing w:val="-2"/>
                <w:sz w:val="21"/>
                <w:szCs w:val="21"/>
              </w:rPr>
            </w:pPr>
            <w:r>
              <w:rPr>
                <w:color w:val="0000FF"/>
                <w:spacing w:val="-2"/>
                <w:sz w:val="21"/>
                <w:szCs w:val="21"/>
              </w:rPr>
              <w:t>100</w:t>
            </w:r>
          </w:p>
        </w:tc>
      </w:tr>
    </w:tbl>
    <w:p>
      <w:pPr>
        <w:ind w:firstLine="480"/>
        <w:rPr>
          <w:color w:val="0000FF"/>
        </w:rPr>
      </w:pPr>
      <w:r>
        <w:rPr>
          <w:rFonts w:hint="eastAsia"/>
          <w:color w:val="0000FF"/>
        </w:rPr>
        <w:t>由上表可知，评价区植被生长状况良好，植被覆盖度高，</w:t>
      </w:r>
      <w:r>
        <w:rPr>
          <w:color w:val="0000FF"/>
        </w:rPr>
        <w:t>64.73</w:t>
      </w:r>
      <w:r>
        <w:rPr>
          <w:rFonts w:hint="eastAsia"/>
          <w:color w:val="0000FF"/>
        </w:rPr>
        <w:t>%的区域植被覆盖度大于0.</w:t>
      </w:r>
      <w:r>
        <w:rPr>
          <w:color w:val="0000FF"/>
        </w:rPr>
        <w:t>5</w:t>
      </w:r>
      <w:r>
        <w:rPr>
          <w:rFonts w:hint="eastAsia"/>
          <w:color w:val="0000FF"/>
        </w:rPr>
        <w:t>，其中，植被覆盖度在0.</w:t>
      </w:r>
      <w:r>
        <w:rPr>
          <w:color w:val="0000FF"/>
        </w:rPr>
        <w:t>5</w:t>
      </w:r>
      <w:r>
        <w:rPr>
          <w:rFonts w:hint="eastAsia"/>
          <w:color w:val="0000FF"/>
        </w:rPr>
        <w:t>-0.</w:t>
      </w:r>
      <w:r>
        <w:rPr>
          <w:color w:val="0000FF"/>
        </w:rPr>
        <w:t>7</w:t>
      </w:r>
      <w:r>
        <w:rPr>
          <w:rFonts w:hint="eastAsia"/>
          <w:color w:val="0000FF"/>
        </w:rPr>
        <w:t xml:space="preserve"> 的区域占评价区总面积的</w:t>
      </w:r>
      <w:r>
        <w:rPr>
          <w:color w:val="0000FF"/>
        </w:rPr>
        <w:t>12.32</w:t>
      </w:r>
      <w:r>
        <w:rPr>
          <w:rFonts w:hint="eastAsia"/>
          <w:color w:val="0000FF"/>
        </w:rPr>
        <w:t>%，植被覆盖度大于0.</w:t>
      </w:r>
      <w:r>
        <w:rPr>
          <w:color w:val="0000FF"/>
        </w:rPr>
        <w:t>7</w:t>
      </w:r>
      <w:r>
        <w:rPr>
          <w:rFonts w:hint="eastAsia"/>
          <w:color w:val="0000FF"/>
        </w:rPr>
        <w:t xml:space="preserve"> 的区域占评价区总面积的</w:t>
      </w:r>
      <w:r>
        <w:rPr>
          <w:color w:val="0000FF"/>
        </w:rPr>
        <w:t>49.41</w:t>
      </w:r>
      <w:r>
        <w:rPr>
          <w:rFonts w:hint="eastAsia"/>
          <w:color w:val="0000FF"/>
        </w:rPr>
        <w:t>%。</w:t>
      </w:r>
    </w:p>
    <w:p>
      <w:pPr>
        <w:ind w:firstLine="480"/>
      </w:pPr>
    </w:p>
    <w:p>
      <w:pPr>
        <w:pStyle w:val="9"/>
        <w:rPr>
          <w:rFonts w:eastAsia="宋体"/>
          <w:b/>
          <w:spacing w:val="-2"/>
          <w:kern w:val="0"/>
        </w:rPr>
      </w:pPr>
      <w:r>
        <w:rPr>
          <w:rFonts w:eastAsia="宋体"/>
          <w:b/>
          <w:spacing w:val="-2"/>
          <w:kern w:val="0"/>
        </w:rPr>
        <w:t>4.</w:t>
      </w:r>
      <w:r>
        <w:rPr>
          <w:rFonts w:hint="eastAsia" w:eastAsia="宋体"/>
          <w:b/>
          <w:spacing w:val="-2"/>
          <w:kern w:val="0"/>
        </w:rPr>
        <w:t>5</w:t>
      </w:r>
      <w:r>
        <w:rPr>
          <w:rFonts w:eastAsia="宋体"/>
          <w:b/>
          <w:spacing w:val="-2"/>
          <w:kern w:val="0"/>
        </w:rPr>
        <w:t>.</w:t>
      </w:r>
      <w:r>
        <w:rPr>
          <w:rFonts w:hint="eastAsia" w:eastAsia="宋体"/>
          <w:b/>
          <w:spacing w:val="-2"/>
          <w:kern w:val="0"/>
        </w:rPr>
        <w:t>5</w:t>
      </w:r>
      <w:r>
        <w:rPr>
          <w:rFonts w:eastAsia="宋体"/>
          <w:b/>
          <w:spacing w:val="-2"/>
          <w:kern w:val="0"/>
        </w:rPr>
        <w:t>.</w:t>
      </w:r>
      <w:r>
        <w:rPr>
          <w:rFonts w:hint="eastAsia" w:eastAsia="宋体"/>
          <w:b/>
          <w:spacing w:val="-2"/>
          <w:kern w:val="0"/>
        </w:rPr>
        <w:t>2</w:t>
      </w:r>
      <w:r>
        <w:rPr>
          <w:rFonts w:eastAsia="宋体"/>
          <w:b/>
          <w:spacing w:val="-2"/>
          <w:kern w:val="0"/>
        </w:rPr>
        <w:t>区域陆生植物资源现状</w:t>
      </w:r>
    </w:p>
    <w:p>
      <w:pPr>
        <w:ind w:firstLine="480"/>
        <w:rPr>
          <w:szCs w:val="24"/>
        </w:rPr>
      </w:pPr>
      <w:r>
        <w:rPr>
          <w:szCs w:val="24"/>
        </w:rPr>
        <w:t>本项目所在区域位于</w:t>
      </w:r>
      <w:r>
        <w:rPr>
          <w:rFonts w:hint="eastAsia"/>
          <w:szCs w:val="24"/>
        </w:rPr>
        <w:t>上高</w:t>
      </w:r>
      <w:r>
        <w:rPr>
          <w:szCs w:val="24"/>
        </w:rPr>
        <w:t>县，属于中亚热带</w:t>
      </w:r>
      <w:r>
        <w:rPr>
          <w:rFonts w:hint="eastAsia"/>
          <w:szCs w:val="24"/>
        </w:rPr>
        <w:t>季风</w:t>
      </w:r>
      <w:r>
        <w:rPr>
          <w:szCs w:val="24"/>
        </w:rPr>
        <w:t>气候</w:t>
      </w:r>
      <w:r>
        <w:rPr>
          <w:rFonts w:hint="eastAsia"/>
          <w:szCs w:val="24"/>
        </w:rPr>
        <w:t>型</w:t>
      </w:r>
      <w:r>
        <w:rPr>
          <w:szCs w:val="24"/>
        </w:rPr>
        <w:t>，四季分明，气候温暖，雨量充沛，日照充足，无霜期长，适宜农业生产发展。随着地形变化，气温由东到西递减，降雨量由东到西逐增，东西干湿明显，南北温差较小。</w:t>
      </w:r>
    </w:p>
    <w:p>
      <w:pPr>
        <w:ind w:firstLine="480"/>
        <w:rPr>
          <w:szCs w:val="24"/>
        </w:rPr>
      </w:pPr>
      <w:r>
        <w:rPr>
          <w:rFonts w:hint="eastAsia"/>
          <w:szCs w:val="24"/>
        </w:rPr>
        <w:t>①植物区系组成</w:t>
      </w:r>
    </w:p>
    <w:p>
      <w:pPr>
        <w:ind w:firstLine="480"/>
      </w:pPr>
      <w:r>
        <w:t>根据现场调查，</w:t>
      </w:r>
      <w:r>
        <w:rPr>
          <w:rFonts w:hint="eastAsia"/>
        </w:rPr>
        <w:t>最终得评价区范围内有共有野生维管束植物62科，167属，256种， 其中蕨类植物 9科，12属，14种；种子植物53科，155 属、242 种（其中裸子植物2科， 3 属，11 种，被子植物53科，155属，113种），科、属、种分别占江西野生种子植物总数的 34.05%， 16.60%， 6.70%（依据刘仁林《江西种子植物》 收录的科属种数）见表 4.5-</w:t>
      </w:r>
      <w:r>
        <w:t>6</w:t>
      </w:r>
      <w:r>
        <w:rPr>
          <w:rFonts w:hint="eastAsia"/>
        </w:rPr>
        <w:t>。</w:t>
      </w:r>
    </w:p>
    <w:p>
      <w:pPr>
        <w:spacing w:before="120" w:beforeLines="50" w:line="240" w:lineRule="auto"/>
        <w:ind w:firstLine="480"/>
        <w:jc w:val="center"/>
        <w:rPr>
          <w:rFonts w:ascii="黑体" w:hAnsi="黑体" w:eastAsia="黑体" w:cs="黑体"/>
          <w:szCs w:val="21"/>
        </w:rPr>
      </w:pPr>
      <w:r>
        <w:rPr>
          <w:rFonts w:hint="eastAsia" w:ascii="黑体" w:hAnsi="黑体" w:eastAsia="黑体" w:cs="黑体"/>
          <w:szCs w:val="21"/>
        </w:rPr>
        <w:t>表4.5-</w:t>
      </w:r>
      <w:r>
        <w:rPr>
          <w:rFonts w:ascii="黑体" w:hAnsi="黑体" w:eastAsia="黑体" w:cs="黑体"/>
          <w:szCs w:val="21"/>
        </w:rPr>
        <w:t>6</w:t>
      </w:r>
      <w:r>
        <w:rPr>
          <w:rFonts w:hint="eastAsia" w:ascii="黑体" w:hAnsi="黑体" w:eastAsia="黑体" w:cs="黑体"/>
          <w:szCs w:val="21"/>
        </w:rPr>
        <w:t xml:space="preserve">  评价区种子植物数量统计表</w:t>
      </w:r>
    </w:p>
    <w:tbl>
      <w:tblPr>
        <w:tblStyle w:val="8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82"/>
        <w:gridCol w:w="3034"/>
        <w:gridCol w:w="1826"/>
        <w:gridCol w:w="1675"/>
        <w:gridCol w:w="15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59" w:type="pct"/>
            <w:gridSpan w:val="2"/>
            <w:vAlign w:val="center"/>
          </w:tcPr>
          <w:p>
            <w:pPr>
              <w:snapToGrid w:val="0"/>
              <w:spacing w:line="340" w:lineRule="exact"/>
              <w:ind w:firstLine="0" w:firstLineChars="0"/>
              <w:contextualSpacing/>
              <w:jc w:val="center"/>
              <w:rPr>
                <w:spacing w:val="-2"/>
                <w:sz w:val="21"/>
                <w:szCs w:val="21"/>
              </w:rPr>
            </w:pPr>
            <w:r>
              <w:rPr>
                <w:spacing w:val="-2"/>
                <w:sz w:val="21"/>
                <w:szCs w:val="21"/>
              </w:rPr>
              <w:t>分类群</w:t>
            </w:r>
          </w:p>
        </w:tc>
        <w:tc>
          <w:tcPr>
            <w:tcW w:w="954" w:type="pct"/>
            <w:vAlign w:val="center"/>
          </w:tcPr>
          <w:p>
            <w:pPr>
              <w:snapToGrid w:val="0"/>
              <w:spacing w:line="340" w:lineRule="exact"/>
              <w:ind w:firstLine="0" w:firstLineChars="0"/>
              <w:contextualSpacing/>
              <w:jc w:val="center"/>
              <w:rPr>
                <w:spacing w:val="-2"/>
                <w:sz w:val="21"/>
                <w:szCs w:val="21"/>
              </w:rPr>
            </w:pPr>
            <w:r>
              <w:rPr>
                <w:spacing w:val="-2"/>
                <w:sz w:val="21"/>
                <w:szCs w:val="21"/>
              </w:rPr>
              <w:t>科数</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属数</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种数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59" w:type="pct"/>
            <w:gridSpan w:val="2"/>
            <w:vAlign w:val="center"/>
          </w:tcPr>
          <w:p>
            <w:pPr>
              <w:snapToGrid w:val="0"/>
              <w:spacing w:line="340" w:lineRule="exact"/>
              <w:ind w:firstLine="0" w:firstLineChars="0"/>
              <w:contextualSpacing/>
              <w:jc w:val="center"/>
              <w:rPr>
                <w:spacing w:val="-2"/>
                <w:sz w:val="21"/>
                <w:szCs w:val="21"/>
              </w:rPr>
            </w:pPr>
            <w:r>
              <w:rPr>
                <w:spacing w:val="-2"/>
                <w:sz w:val="21"/>
                <w:szCs w:val="21"/>
              </w:rPr>
              <w:t>蕨类植物</w:t>
            </w:r>
          </w:p>
        </w:tc>
        <w:tc>
          <w:tcPr>
            <w:tcW w:w="954" w:type="pct"/>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9</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8</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Merge w:val="restart"/>
            <w:tcBorders>
              <w:right w:val="single" w:color="auto" w:sz="4"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种</w:t>
            </w:r>
            <w:r>
              <w:rPr>
                <w:spacing w:val="-2"/>
                <w:sz w:val="21"/>
                <w:szCs w:val="21"/>
              </w:rPr>
              <w:t>子植物</w:t>
            </w:r>
          </w:p>
        </w:tc>
        <w:tc>
          <w:tcPr>
            <w:tcW w:w="1585" w:type="pct"/>
            <w:tcBorders>
              <w:left w:val="single" w:color="auto" w:sz="4"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裸子植物</w:t>
            </w:r>
          </w:p>
        </w:tc>
        <w:tc>
          <w:tcPr>
            <w:tcW w:w="954" w:type="pct"/>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2</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4</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Merge w:val="continue"/>
            <w:tcBorders>
              <w:right w:val="single" w:color="auto" w:sz="4" w:space="0"/>
            </w:tcBorders>
            <w:vAlign w:val="center"/>
          </w:tcPr>
          <w:p>
            <w:pPr>
              <w:snapToGrid w:val="0"/>
              <w:spacing w:line="340" w:lineRule="exact"/>
              <w:ind w:firstLine="0" w:firstLineChars="0"/>
              <w:contextualSpacing/>
              <w:jc w:val="center"/>
              <w:rPr>
                <w:spacing w:val="-2"/>
                <w:sz w:val="21"/>
                <w:szCs w:val="21"/>
              </w:rPr>
            </w:pPr>
          </w:p>
        </w:tc>
        <w:tc>
          <w:tcPr>
            <w:tcW w:w="1585" w:type="pct"/>
            <w:tcBorders>
              <w:left w:val="single" w:color="auto" w:sz="4"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被子</w:t>
            </w:r>
            <w:r>
              <w:rPr>
                <w:spacing w:val="-2"/>
                <w:sz w:val="21"/>
                <w:szCs w:val="21"/>
              </w:rPr>
              <w:t>叶植物</w:t>
            </w:r>
          </w:p>
        </w:tc>
        <w:tc>
          <w:tcPr>
            <w:tcW w:w="954" w:type="pct"/>
            <w:vAlign w:val="center"/>
          </w:tcPr>
          <w:p>
            <w:pPr>
              <w:snapToGrid w:val="0"/>
              <w:spacing w:line="340" w:lineRule="exact"/>
              <w:ind w:firstLine="0" w:firstLineChars="0"/>
              <w:contextualSpacing/>
              <w:jc w:val="center"/>
              <w:rPr>
                <w:spacing w:val="-2"/>
                <w:sz w:val="21"/>
                <w:szCs w:val="21"/>
              </w:rPr>
            </w:pPr>
            <w:r>
              <w:rPr>
                <w:spacing w:val="-2"/>
                <w:sz w:val="21"/>
                <w:szCs w:val="21"/>
              </w:rPr>
              <w:t>5</w:t>
            </w:r>
            <w:r>
              <w:rPr>
                <w:rFonts w:hint="eastAsia"/>
                <w:spacing w:val="-2"/>
                <w:sz w:val="21"/>
                <w:szCs w:val="21"/>
              </w:rPr>
              <w:t>1</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85</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Merge w:val="continue"/>
            <w:tcBorders>
              <w:right w:val="single" w:color="auto" w:sz="4" w:space="0"/>
            </w:tcBorders>
            <w:vAlign w:val="center"/>
          </w:tcPr>
          <w:p>
            <w:pPr>
              <w:snapToGrid w:val="0"/>
              <w:spacing w:line="340" w:lineRule="exact"/>
              <w:ind w:firstLine="0" w:firstLineChars="0"/>
              <w:contextualSpacing/>
              <w:jc w:val="center"/>
              <w:rPr>
                <w:spacing w:val="-2"/>
                <w:sz w:val="21"/>
                <w:szCs w:val="21"/>
              </w:rPr>
            </w:pPr>
          </w:p>
        </w:tc>
        <w:tc>
          <w:tcPr>
            <w:tcW w:w="1585" w:type="pct"/>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种</w:t>
            </w:r>
            <w:r>
              <w:rPr>
                <w:spacing w:val="-2"/>
                <w:sz w:val="21"/>
                <w:szCs w:val="21"/>
              </w:rPr>
              <w:t>子植物</w:t>
            </w:r>
            <w:r>
              <w:rPr>
                <w:rFonts w:hint="eastAsia"/>
                <w:spacing w:val="-2"/>
                <w:sz w:val="21"/>
                <w:szCs w:val="21"/>
              </w:rPr>
              <w:t>小计</w:t>
            </w:r>
          </w:p>
        </w:tc>
        <w:tc>
          <w:tcPr>
            <w:tcW w:w="954" w:type="pct"/>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53</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16</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59" w:type="pct"/>
            <w:gridSpan w:val="2"/>
            <w:vAlign w:val="center"/>
          </w:tcPr>
          <w:p>
            <w:pPr>
              <w:snapToGrid w:val="0"/>
              <w:spacing w:line="340" w:lineRule="exact"/>
              <w:ind w:firstLine="0" w:firstLineChars="0"/>
              <w:contextualSpacing/>
              <w:jc w:val="center"/>
              <w:rPr>
                <w:spacing w:val="-2"/>
                <w:sz w:val="21"/>
                <w:szCs w:val="21"/>
              </w:rPr>
            </w:pPr>
            <w:r>
              <w:rPr>
                <w:spacing w:val="-2"/>
                <w:sz w:val="21"/>
                <w:szCs w:val="21"/>
              </w:rPr>
              <w:t>总计</w:t>
            </w:r>
          </w:p>
        </w:tc>
        <w:tc>
          <w:tcPr>
            <w:tcW w:w="954" w:type="pct"/>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6</w:t>
            </w:r>
            <w:r>
              <w:rPr>
                <w:spacing w:val="-2"/>
                <w:sz w:val="21"/>
                <w:szCs w:val="21"/>
              </w:rPr>
              <w:t>2</w:t>
            </w:r>
          </w:p>
        </w:tc>
        <w:tc>
          <w:tcPr>
            <w:tcW w:w="875" w:type="pct"/>
            <w:vAlign w:val="center"/>
          </w:tcPr>
          <w:p>
            <w:pPr>
              <w:snapToGrid w:val="0"/>
              <w:spacing w:line="340" w:lineRule="exact"/>
              <w:ind w:firstLine="0" w:firstLineChars="0"/>
              <w:contextualSpacing/>
              <w:jc w:val="center"/>
              <w:rPr>
                <w:spacing w:val="-2"/>
                <w:sz w:val="21"/>
                <w:szCs w:val="21"/>
              </w:rPr>
            </w:pPr>
            <w:r>
              <w:rPr>
                <w:spacing w:val="-2"/>
                <w:sz w:val="21"/>
                <w:szCs w:val="21"/>
              </w:rPr>
              <w:t>113</w:t>
            </w:r>
          </w:p>
        </w:tc>
        <w:tc>
          <w:tcPr>
            <w:tcW w:w="809" w:type="pct"/>
            <w:vAlign w:val="center"/>
          </w:tcPr>
          <w:p>
            <w:pPr>
              <w:snapToGrid w:val="0"/>
              <w:spacing w:line="340" w:lineRule="exact"/>
              <w:ind w:firstLine="0" w:firstLineChars="0"/>
              <w:contextualSpacing/>
              <w:jc w:val="center"/>
              <w:rPr>
                <w:spacing w:val="-2"/>
                <w:sz w:val="21"/>
                <w:szCs w:val="21"/>
              </w:rPr>
            </w:pPr>
            <w:r>
              <w:rPr>
                <w:spacing w:val="-2"/>
                <w:sz w:val="21"/>
                <w:szCs w:val="21"/>
              </w:rPr>
              <w:t>122</w:t>
            </w:r>
          </w:p>
        </w:tc>
      </w:tr>
    </w:tbl>
    <w:p>
      <w:pPr>
        <w:ind w:firstLine="480"/>
        <w:jc w:val="left"/>
      </w:pPr>
      <w:r>
        <w:rPr>
          <w:rFonts w:hint="eastAsia"/>
        </w:rPr>
        <w:t>本区种子植物科属的统计显示优势科禾本科 Gramineae（39种）、菊科 Compositae（34 种）、唇形科 Labiatae（11种）、莎草科Cyperaceae（17种）、蓼科 Polygonaceae（16种）、蔷薇科 Euphorbiaceae（16种）、玄参科Scrophulariaceae（11种），以上7科共含144种，占总种数的42.98%。上述优势科中，除去禾本科、菊科、唇形科、莎草科四个世界广布的科，蓼科、玄参科较能体现本区植物区系，确定为本区植物表征科。</w:t>
      </w:r>
    </w:p>
    <w:p>
      <w:pPr>
        <w:ind w:firstLine="480"/>
      </w:pPr>
      <w:r>
        <w:rPr>
          <w:rFonts w:hint="eastAsia"/>
        </w:rPr>
        <w:t>本区植物区系大科优势明显，单种科或寡种科种类数量虽少，但却对本区植物区系成分多样性有较大贡献。</w:t>
      </w:r>
    </w:p>
    <w:p>
      <w:pPr>
        <w:ind w:firstLine="480"/>
      </w:pPr>
      <w:r>
        <w:rPr>
          <w:rFonts w:hint="eastAsia" w:ascii="宋体" w:hAnsi="宋体" w:cs="宋体"/>
        </w:rPr>
        <w:t>②区系成分分析</w:t>
      </w:r>
    </w:p>
    <w:p>
      <w:pPr>
        <w:ind w:firstLine="480"/>
      </w:pPr>
      <w:r>
        <w:rPr>
          <w:rFonts w:hint="eastAsia"/>
        </w:rPr>
        <w:t>A、蕨类植物区系</w:t>
      </w:r>
    </w:p>
    <w:p>
      <w:pPr>
        <w:ind w:firstLine="480"/>
      </w:pPr>
      <w:r>
        <w:rPr>
          <w:rFonts w:hint="eastAsia"/>
        </w:rPr>
        <w:t>蕨类植物科的分布区类型参照吴征镒先生《中国种子植物属的分布区类型》，结合陆树刚《中国植物志（第1卷）》对中国蕨类植物科、属的分布区类型判定，对本区蕨类植物科、属的分布区类型进行统计分析。</w:t>
      </w:r>
    </w:p>
    <w:p>
      <w:pPr>
        <w:ind w:firstLine="480"/>
      </w:pPr>
      <w:r>
        <w:rPr>
          <w:rFonts w:hint="eastAsia"/>
        </w:rPr>
        <w:t>评价区内蕨类植物热带科6科，温带科3科，热带类型占明显优势，说明本区蕨类植物区系的热带亲缘性较突出；属的分布区类型统计显示热带属7属，温带属6属，热带属与温带属所占比例基本持平，热带成分仍略占优势；本区蕨类植物的热带属中仍有许多东亚分布的成分，属于温带分布成分，因此，评价区蕨类植物区系属温带性，但与热带植物区系具有较强的亲缘性。</w:t>
      </w:r>
    </w:p>
    <w:p>
      <w:pPr>
        <w:ind w:firstLine="480"/>
      </w:pPr>
      <w:r>
        <w:rPr>
          <w:rFonts w:hint="eastAsia"/>
        </w:rPr>
        <w:t>B、 种子植物区系</w:t>
      </w:r>
    </w:p>
    <w:p>
      <w:pPr>
        <w:ind w:firstLine="480"/>
      </w:pPr>
      <w:r>
        <w:rPr>
          <w:rFonts w:hint="eastAsia"/>
        </w:rPr>
        <w:t>种子植物区系成分的统计分析，依据吴征镒《中国种子植物属的分布区类型》确定分布区，并依据吴征镒《中国被子植物3097属的分布区类型》对评价区155属植物分布区进行判定，并对各分布区类型的属数进行统计分析，见表 4.5-</w:t>
      </w:r>
      <w:r>
        <w:t>7</w:t>
      </w:r>
      <w:r>
        <w:rPr>
          <w:rFonts w:hint="eastAsia"/>
        </w:rPr>
        <w:t>。</w:t>
      </w:r>
    </w:p>
    <w:p>
      <w:pPr>
        <w:spacing w:before="120" w:beforeLines="50" w:line="240" w:lineRule="auto"/>
        <w:ind w:firstLine="480"/>
        <w:jc w:val="center"/>
        <w:rPr>
          <w:rFonts w:ascii="黑体" w:hAnsi="黑体" w:eastAsia="黑体" w:cs="黑体"/>
          <w:szCs w:val="21"/>
        </w:rPr>
      </w:pPr>
      <w:r>
        <w:rPr>
          <w:rFonts w:hint="eastAsia" w:ascii="黑体" w:hAnsi="黑体" w:eastAsia="黑体" w:cs="黑体"/>
          <w:szCs w:val="21"/>
        </w:rPr>
        <w:t>表4.5-</w:t>
      </w:r>
      <w:r>
        <w:rPr>
          <w:rFonts w:ascii="黑体" w:hAnsi="黑体" w:eastAsia="黑体" w:cs="黑体"/>
          <w:szCs w:val="21"/>
        </w:rPr>
        <w:t>7</w:t>
      </w:r>
      <w:r>
        <w:rPr>
          <w:rFonts w:hint="eastAsia" w:ascii="黑体" w:hAnsi="黑体" w:eastAsia="黑体" w:cs="黑体"/>
          <w:szCs w:val="21"/>
        </w:rPr>
        <w:t xml:space="preserve">  评价范围种子植物属的分布区类型统计</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94"/>
        <w:gridCol w:w="4150"/>
        <w:gridCol w:w="993"/>
        <w:gridCol w:w="1967"/>
        <w:gridCol w:w="19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44" w:type="dxa"/>
            <w:gridSpan w:val="2"/>
            <w:tcBorders>
              <w:top w:val="single" w:color="auto" w:sz="12"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分布区类型</w:t>
            </w:r>
          </w:p>
        </w:tc>
        <w:tc>
          <w:tcPr>
            <w:tcW w:w="993" w:type="dxa"/>
            <w:tcBorders>
              <w:top w:val="single" w:color="auto" w:sz="12"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属数</w:t>
            </w:r>
          </w:p>
        </w:tc>
        <w:tc>
          <w:tcPr>
            <w:tcW w:w="1967" w:type="dxa"/>
            <w:tcBorders>
              <w:top w:val="single" w:color="auto" w:sz="12"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占总属数百分比(%)</w:t>
            </w:r>
          </w:p>
        </w:tc>
        <w:tc>
          <w:tcPr>
            <w:tcW w:w="1966" w:type="dxa"/>
            <w:tcBorders>
              <w:top w:val="single" w:color="auto" w:sz="12"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地理成分组成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44" w:type="dxa"/>
            <w:gridSpan w:val="2"/>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1.世界分布区类型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33</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1966"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restart"/>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热</w:t>
            </w:r>
          </w:p>
          <w:p>
            <w:pPr>
              <w:snapToGrid w:val="0"/>
              <w:spacing w:line="340" w:lineRule="exact"/>
              <w:ind w:firstLine="0" w:firstLineChars="0"/>
              <w:contextualSpacing/>
              <w:jc w:val="center"/>
              <w:rPr>
                <w:spacing w:val="-2"/>
                <w:sz w:val="21"/>
                <w:szCs w:val="21"/>
              </w:rPr>
            </w:pPr>
            <w:r>
              <w:rPr>
                <w:spacing w:val="-2"/>
                <w:sz w:val="21"/>
                <w:szCs w:val="21"/>
              </w:rPr>
              <w:t>带</w:t>
            </w: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2.泛热带分布区类型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5</w:t>
            </w:r>
            <w:r>
              <w:rPr>
                <w:spacing w:val="-2"/>
                <w:sz w:val="21"/>
                <w:szCs w:val="21"/>
              </w:rPr>
              <w:t>5</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45.08</w:t>
            </w:r>
          </w:p>
        </w:tc>
        <w:tc>
          <w:tcPr>
            <w:tcW w:w="1966" w:type="dxa"/>
            <w:vMerge w:val="restart"/>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热带属77属，占总属数的63.11%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3.热带亚洲和热带美洲间断分布区类型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1</w:t>
            </w:r>
            <w:r>
              <w:rPr>
                <w:rFonts w:hint="eastAsia"/>
                <w:spacing w:val="-2"/>
                <w:sz w:val="21"/>
                <w:szCs w:val="21"/>
              </w:rPr>
              <w:t>1</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9.02</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4.旧世界热带分布区类型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2</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1.64</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5.热带亚洲至热带大洋洲分布区类型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5</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4.1</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6</w:t>
            </w:r>
            <w:r>
              <w:rPr>
                <w:spacing w:val="-2"/>
                <w:sz w:val="21"/>
                <w:szCs w:val="21"/>
              </w:rPr>
              <w:t>.热带亚洲(印度—马来西亚)分布区类型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4</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3.</w:t>
            </w:r>
            <w:r>
              <w:rPr>
                <w:rFonts w:hint="eastAsia"/>
                <w:spacing w:val="-2"/>
                <w:sz w:val="21"/>
                <w:szCs w:val="21"/>
              </w:rPr>
              <w:t>27</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restart"/>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温</w:t>
            </w:r>
          </w:p>
          <w:p>
            <w:pPr>
              <w:snapToGrid w:val="0"/>
              <w:spacing w:line="340" w:lineRule="exact"/>
              <w:ind w:firstLine="0" w:firstLineChars="0"/>
              <w:contextualSpacing/>
              <w:jc w:val="center"/>
              <w:rPr>
                <w:spacing w:val="-2"/>
                <w:sz w:val="21"/>
                <w:szCs w:val="21"/>
              </w:rPr>
            </w:pPr>
            <w:r>
              <w:rPr>
                <w:spacing w:val="-2"/>
                <w:sz w:val="21"/>
                <w:szCs w:val="21"/>
              </w:rPr>
              <w:t>带</w:t>
            </w: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7</w:t>
            </w:r>
            <w:r>
              <w:rPr>
                <w:spacing w:val="-2"/>
                <w:sz w:val="21"/>
                <w:szCs w:val="21"/>
              </w:rPr>
              <w:t>.北温带分布区类型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31</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25.41</w:t>
            </w:r>
          </w:p>
        </w:tc>
        <w:tc>
          <w:tcPr>
            <w:tcW w:w="1966" w:type="dxa"/>
            <w:vMerge w:val="restart"/>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温带属共45属，占总属数的36.89%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8</w:t>
            </w:r>
            <w:r>
              <w:rPr>
                <w:spacing w:val="-2"/>
                <w:sz w:val="21"/>
                <w:szCs w:val="21"/>
              </w:rPr>
              <w:t>.东亚和北美洲间断分布区类型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9</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7.38</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9</w:t>
            </w:r>
            <w:r>
              <w:rPr>
                <w:spacing w:val="-2"/>
                <w:sz w:val="21"/>
                <w:szCs w:val="21"/>
              </w:rPr>
              <w:t>.旧世界温带分布区类型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1</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0.82</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4"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c>
          <w:tcPr>
            <w:tcW w:w="4150"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1</w:t>
            </w:r>
            <w:r>
              <w:rPr>
                <w:rFonts w:hint="eastAsia"/>
                <w:spacing w:val="-2"/>
                <w:sz w:val="21"/>
                <w:szCs w:val="21"/>
              </w:rPr>
              <w:t>0</w:t>
            </w:r>
            <w:r>
              <w:rPr>
                <w:spacing w:val="-2"/>
                <w:sz w:val="21"/>
                <w:szCs w:val="21"/>
              </w:rPr>
              <w:t>.东亚分布区类型</w:t>
            </w:r>
          </w:p>
        </w:tc>
        <w:tc>
          <w:tcPr>
            <w:tcW w:w="993"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4</w:t>
            </w:r>
          </w:p>
        </w:tc>
        <w:tc>
          <w:tcPr>
            <w:tcW w:w="1967" w:type="dxa"/>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r>
              <w:rPr>
                <w:rFonts w:hint="eastAsia"/>
                <w:spacing w:val="-2"/>
                <w:sz w:val="21"/>
                <w:szCs w:val="21"/>
              </w:rPr>
              <w:t>3.28</w:t>
            </w:r>
          </w:p>
        </w:tc>
        <w:tc>
          <w:tcPr>
            <w:tcW w:w="1966" w:type="dxa"/>
            <w:vMerge w:val="continue"/>
            <w:tcBorders>
              <w:top w:val="single" w:color="auto" w:sz="6" w:space="0"/>
              <w:bottom w:val="single" w:color="auto" w:sz="6" w:space="0"/>
            </w:tcBorders>
            <w:vAlign w:val="center"/>
          </w:tcPr>
          <w:p>
            <w:pPr>
              <w:snapToGrid w:val="0"/>
              <w:spacing w:line="340" w:lineRule="exact"/>
              <w:ind w:firstLine="0" w:firstLineChars="0"/>
              <w:contextualSpacing/>
              <w:jc w:val="center"/>
              <w:rPr>
                <w:spacing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644" w:type="dxa"/>
            <w:gridSpan w:val="2"/>
            <w:tcBorders>
              <w:top w:val="single" w:color="auto" w:sz="6" w:space="0"/>
              <w:bottom w:val="single" w:color="auto" w:sz="12"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总计</w:t>
            </w:r>
          </w:p>
        </w:tc>
        <w:tc>
          <w:tcPr>
            <w:tcW w:w="993" w:type="dxa"/>
            <w:tcBorders>
              <w:top w:val="single" w:color="auto" w:sz="6" w:space="0"/>
              <w:bottom w:val="single" w:color="auto" w:sz="12"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1</w:t>
            </w:r>
            <w:r>
              <w:rPr>
                <w:rFonts w:hint="eastAsia"/>
                <w:spacing w:val="-2"/>
                <w:sz w:val="21"/>
                <w:szCs w:val="21"/>
              </w:rPr>
              <w:t>5</w:t>
            </w:r>
            <w:r>
              <w:rPr>
                <w:spacing w:val="-2"/>
                <w:sz w:val="21"/>
                <w:szCs w:val="21"/>
              </w:rPr>
              <w:t>5</w:t>
            </w:r>
          </w:p>
        </w:tc>
        <w:tc>
          <w:tcPr>
            <w:tcW w:w="1967" w:type="dxa"/>
            <w:tcBorders>
              <w:top w:val="single" w:color="auto" w:sz="6" w:space="0"/>
              <w:bottom w:val="single" w:color="auto" w:sz="12" w:space="0"/>
            </w:tcBorders>
            <w:vAlign w:val="center"/>
          </w:tcPr>
          <w:p>
            <w:pPr>
              <w:snapToGrid w:val="0"/>
              <w:spacing w:line="340" w:lineRule="exact"/>
              <w:ind w:firstLine="0" w:firstLineChars="0"/>
              <w:contextualSpacing/>
              <w:jc w:val="center"/>
              <w:rPr>
                <w:spacing w:val="-2"/>
                <w:sz w:val="21"/>
                <w:szCs w:val="21"/>
              </w:rPr>
            </w:pPr>
            <w:r>
              <w:rPr>
                <w:spacing w:val="-2"/>
                <w:sz w:val="21"/>
                <w:szCs w:val="21"/>
              </w:rPr>
              <w:t>100</w:t>
            </w:r>
          </w:p>
        </w:tc>
        <w:tc>
          <w:tcPr>
            <w:tcW w:w="1966" w:type="dxa"/>
            <w:tcBorders>
              <w:top w:val="single" w:color="auto" w:sz="6" w:space="0"/>
              <w:bottom w:val="single" w:color="auto" w:sz="12" w:space="0"/>
            </w:tcBorders>
            <w:vAlign w:val="center"/>
          </w:tcPr>
          <w:p>
            <w:pPr>
              <w:snapToGrid w:val="0"/>
              <w:spacing w:line="340" w:lineRule="exact"/>
              <w:ind w:firstLine="0" w:firstLineChars="0"/>
              <w:contextualSpacing/>
              <w:jc w:val="center"/>
              <w:rPr>
                <w:spacing w:val="-2"/>
                <w:sz w:val="21"/>
                <w:szCs w:val="21"/>
              </w:rPr>
            </w:pPr>
          </w:p>
        </w:tc>
      </w:tr>
    </w:tbl>
    <w:p>
      <w:pPr>
        <w:pStyle w:val="295"/>
        <w:spacing w:line="360" w:lineRule="auto"/>
        <w:ind w:firstLine="480"/>
      </w:pPr>
      <w:r>
        <w:rPr>
          <w:rFonts w:hint="eastAsia"/>
        </w:rPr>
        <w:t>种子植物科的分布区类型统计热带科45科，温带科18科，热带科的绝对优势显示出本区植物区系的热带起源性。属的分布区类型统计，除去世界广布的33属外，泛热带分布型属有55属，占总属数的45.08%，温带分布型属45属，占总属数的36.89%；热温比为 1:0.5844，热带属仍占有较大的优势。</w:t>
      </w:r>
    </w:p>
    <w:p>
      <w:pPr>
        <w:pStyle w:val="295"/>
        <w:spacing w:line="360" w:lineRule="auto"/>
        <w:ind w:firstLine="480"/>
      </w:pPr>
      <w:r>
        <w:rPr>
          <w:rFonts w:hint="eastAsia"/>
        </w:rPr>
        <w:t>热带分布中以2型泛热带分布属数最多，达55属，是本区热带成分的主体，使本区植物表现出较强的热带亲缘性；热带亚洲和热带美洲间断分布11属，表现出本区植物与中美洲植物区的相似性和一定的地理联结性；其他热带成分属均较少。</w:t>
      </w:r>
    </w:p>
    <w:p>
      <w:pPr>
        <w:pStyle w:val="295"/>
        <w:spacing w:line="360" w:lineRule="auto"/>
        <w:ind w:firstLine="480"/>
      </w:pPr>
      <w:r>
        <w:rPr>
          <w:rFonts w:hint="eastAsia"/>
        </w:rPr>
        <w:t>温带成分中以北温带分布为主，共31属，属于本分布区类型的属，虽然数量上略低于泛热带分布属，但其森林植被中的作用极大，如松属 Pinus、栎属 Quercus 等都是本区森林植被的主要组成类群，从一个侧面反映出本区植物区的温带性特征。特有成分看， 本区缺乏中国特有成分。</w:t>
      </w:r>
    </w:p>
    <w:p>
      <w:pPr>
        <w:pStyle w:val="295"/>
        <w:spacing w:line="360" w:lineRule="auto"/>
        <w:ind w:firstLine="482"/>
      </w:pPr>
      <w:r>
        <w:rPr>
          <w:b/>
        </w:rPr>
        <w:t>评价区植物区系特征：</w:t>
      </w:r>
      <w:r>
        <w:rPr>
          <w:rFonts w:hint="eastAsia"/>
        </w:rPr>
        <w:t>评价区植物区系属于泛北极植物区→中国及日本森林植物亚区→华东地区。种子植物种数占江西省种子植物种数的6.7%，科的区系统计具有较强的热带亲缘性，属的统计显示本区热带成分和温带成分比重较接近，显示出较强的过渡性特征。</w:t>
      </w:r>
    </w:p>
    <w:p>
      <w:pPr>
        <w:pStyle w:val="9"/>
        <w:rPr>
          <w:rFonts w:eastAsia="宋体"/>
          <w:b/>
          <w:spacing w:val="-2"/>
          <w:kern w:val="0"/>
        </w:rPr>
      </w:pPr>
      <w:r>
        <w:rPr>
          <w:rFonts w:eastAsia="宋体"/>
          <w:b/>
          <w:spacing w:val="-2"/>
          <w:kern w:val="0"/>
        </w:rPr>
        <w:t>4.</w:t>
      </w:r>
      <w:r>
        <w:rPr>
          <w:rFonts w:hint="eastAsia" w:eastAsia="宋体"/>
          <w:b/>
          <w:spacing w:val="-2"/>
          <w:kern w:val="0"/>
        </w:rPr>
        <w:t>5</w:t>
      </w:r>
      <w:r>
        <w:rPr>
          <w:rFonts w:eastAsia="宋体"/>
          <w:b/>
          <w:spacing w:val="-2"/>
          <w:kern w:val="0"/>
        </w:rPr>
        <w:t>.</w:t>
      </w:r>
      <w:r>
        <w:rPr>
          <w:rFonts w:hint="eastAsia" w:eastAsia="宋体"/>
          <w:b/>
          <w:spacing w:val="-2"/>
          <w:kern w:val="0"/>
        </w:rPr>
        <w:t>5</w:t>
      </w:r>
      <w:r>
        <w:rPr>
          <w:rFonts w:eastAsia="宋体"/>
          <w:b/>
          <w:spacing w:val="-2"/>
          <w:kern w:val="0"/>
        </w:rPr>
        <w:t>.</w:t>
      </w:r>
      <w:r>
        <w:rPr>
          <w:rFonts w:hint="eastAsia" w:eastAsia="宋体"/>
          <w:b/>
          <w:spacing w:val="-2"/>
          <w:kern w:val="0"/>
        </w:rPr>
        <w:t>3</w:t>
      </w:r>
      <w:r>
        <w:rPr>
          <w:rFonts w:eastAsia="宋体"/>
          <w:b/>
          <w:spacing w:val="-2"/>
          <w:kern w:val="0"/>
        </w:rPr>
        <w:t>植被类型</w:t>
      </w:r>
    </w:p>
    <w:p>
      <w:pPr>
        <w:ind w:firstLine="480"/>
        <w:rPr>
          <w:szCs w:val="24"/>
        </w:rPr>
      </w:pPr>
      <w:r>
        <w:rPr>
          <w:szCs w:val="24"/>
        </w:rPr>
        <w:t>在样方调查的基础上，参考现有的资料和文献，根据群落的特征，通过比较它们之间的异同点，参照《中国植被》（吴征镒等，1980）、</w:t>
      </w:r>
      <w:r>
        <w:t>《江西森林》(林英，1986)以及</w:t>
      </w:r>
      <w:r>
        <w:rPr>
          <w:szCs w:val="24"/>
        </w:rPr>
        <w:t>《植被生态学》（宋永昌，2001）中对中国和江西自然、人工植被的分类系统，划分出拟建项目评价区域不同的植被类型。具体原则如下：</w:t>
      </w:r>
      <w:r>
        <w:rPr>
          <w:rFonts w:hint="eastAsia" w:ascii="宋体" w:hAnsi="宋体" w:cs="宋体"/>
          <w:szCs w:val="24"/>
        </w:rPr>
        <w:t>①</w:t>
      </w:r>
      <w:r>
        <w:rPr>
          <w:szCs w:val="24"/>
        </w:rPr>
        <w:t>低级分类单位的划分主要依据优势种原则，主要考虑群落的建群种或共建种；</w:t>
      </w:r>
      <w:r>
        <w:rPr>
          <w:rFonts w:hint="eastAsia" w:ascii="宋体" w:hAnsi="宋体" w:cs="宋体"/>
          <w:szCs w:val="24"/>
        </w:rPr>
        <w:t>②</w:t>
      </w:r>
      <w:r>
        <w:rPr>
          <w:szCs w:val="24"/>
        </w:rPr>
        <w:t>高级分类单位的划分主要依据群落的外貌和结构特征，兼顾群落的生态地理特征；</w:t>
      </w:r>
      <w:r>
        <w:rPr>
          <w:rFonts w:hint="eastAsia" w:ascii="宋体" w:hAnsi="宋体" w:cs="宋体"/>
          <w:szCs w:val="24"/>
        </w:rPr>
        <w:t>③</w:t>
      </w:r>
      <w:r>
        <w:rPr>
          <w:szCs w:val="24"/>
        </w:rPr>
        <w:t>有些单位群落具有次生性，或在演替过程之中，参考其演替趋势，合理地归入相应类型。</w:t>
      </w:r>
    </w:p>
    <w:p>
      <w:pPr>
        <w:tabs>
          <w:tab w:val="left" w:pos="1815"/>
        </w:tabs>
        <w:ind w:firstLine="480"/>
      </w:pPr>
      <w:r>
        <w:t>依据上述原则及实地调查资料，</w:t>
      </w:r>
      <w:r>
        <w:rPr>
          <w:rFonts w:hint="eastAsia"/>
        </w:rPr>
        <w:t>评价区内主要的自然植被可分为3种植被型组、4种植被型、5 个群系。此外还有一些经济果木林及农业植被。</w:t>
      </w:r>
      <w:r>
        <w:t>（表4.</w:t>
      </w:r>
      <w:r>
        <w:rPr>
          <w:rFonts w:hint="eastAsia"/>
        </w:rPr>
        <w:t>5</w:t>
      </w:r>
      <w:r>
        <w:t>-8）</w:t>
      </w:r>
    </w:p>
    <w:p>
      <w:pPr>
        <w:pStyle w:val="1022"/>
        <w:spacing w:before="120" w:beforeLines="50" w:line="240" w:lineRule="auto"/>
        <w:ind w:firstLine="0" w:firstLineChars="0"/>
        <w:jc w:val="center"/>
        <w:rPr>
          <w:rFonts w:ascii="黑体" w:hAnsi="黑体" w:eastAsia="黑体" w:cs="黑体"/>
          <w:color w:val="0000FF"/>
        </w:rPr>
      </w:pPr>
      <w:r>
        <w:rPr>
          <w:rFonts w:hint="eastAsia" w:ascii="黑体" w:hAnsi="黑体" w:eastAsia="黑体" w:cs="黑体"/>
          <w:color w:val="0000FF"/>
        </w:rPr>
        <w:t>表4.5-</w:t>
      </w:r>
      <w:r>
        <w:rPr>
          <w:rFonts w:ascii="黑体" w:hAnsi="黑体" w:eastAsia="黑体" w:cs="黑体"/>
          <w:color w:val="0000FF"/>
        </w:rPr>
        <w:t>8</w:t>
      </w:r>
      <w:r>
        <w:rPr>
          <w:rFonts w:hint="eastAsia" w:ascii="黑体" w:hAnsi="黑体" w:eastAsia="黑体" w:cs="黑体"/>
          <w:color w:val="0000FF"/>
        </w:rPr>
        <w:t xml:space="preserve">  评价区主要植被类型及分布表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4"/>
        <w:gridCol w:w="1227"/>
        <w:gridCol w:w="1472"/>
        <w:gridCol w:w="3539"/>
        <w:gridCol w:w="20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Align w:val="center"/>
          </w:tcPr>
          <w:p>
            <w:pPr>
              <w:snapToGrid w:val="0"/>
              <w:spacing w:line="340" w:lineRule="exact"/>
              <w:ind w:firstLine="0" w:firstLineChars="0"/>
              <w:contextualSpacing/>
              <w:jc w:val="center"/>
              <w:rPr>
                <w:b/>
                <w:color w:val="0000FF"/>
                <w:sz w:val="21"/>
                <w:szCs w:val="21"/>
              </w:rPr>
            </w:pPr>
            <w:r>
              <w:rPr>
                <w:rFonts w:hint="eastAsia"/>
                <w:b/>
                <w:color w:val="0000FF"/>
                <w:sz w:val="21"/>
                <w:szCs w:val="21"/>
              </w:rPr>
              <w:t>植被型组</w:t>
            </w:r>
          </w:p>
        </w:tc>
        <w:tc>
          <w:tcPr>
            <w:tcW w:w="641" w:type="pct"/>
            <w:vAlign w:val="center"/>
          </w:tcPr>
          <w:p>
            <w:pPr>
              <w:snapToGrid w:val="0"/>
              <w:spacing w:line="340" w:lineRule="exact"/>
              <w:ind w:firstLine="0" w:firstLineChars="0"/>
              <w:contextualSpacing/>
              <w:jc w:val="center"/>
              <w:rPr>
                <w:b/>
                <w:color w:val="0000FF"/>
                <w:sz w:val="21"/>
                <w:szCs w:val="21"/>
              </w:rPr>
            </w:pPr>
            <w:r>
              <w:rPr>
                <w:rFonts w:hint="eastAsia"/>
                <w:b/>
                <w:color w:val="0000FF"/>
                <w:sz w:val="21"/>
                <w:szCs w:val="21"/>
              </w:rPr>
              <w:t>植被型</w:t>
            </w:r>
          </w:p>
        </w:tc>
        <w:tc>
          <w:tcPr>
            <w:tcW w:w="769" w:type="pct"/>
            <w:vAlign w:val="center"/>
          </w:tcPr>
          <w:p>
            <w:pPr>
              <w:snapToGrid w:val="0"/>
              <w:spacing w:line="340" w:lineRule="exact"/>
              <w:ind w:firstLine="0" w:firstLineChars="0"/>
              <w:contextualSpacing/>
              <w:jc w:val="center"/>
              <w:rPr>
                <w:b/>
                <w:color w:val="0000FF"/>
                <w:sz w:val="21"/>
                <w:szCs w:val="21"/>
              </w:rPr>
            </w:pPr>
            <w:r>
              <w:rPr>
                <w:b/>
                <w:color w:val="0000FF"/>
                <w:sz w:val="21"/>
                <w:szCs w:val="21"/>
              </w:rPr>
              <w:t>群系</w:t>
            </w:r>
          </w:p>
        </w:tc>
        <w:tc>
          <w:tcPr>
            <w:tcW w:w="1849" w:type="pct"/>
            <w:vAlign w:val="center"/>
          </w:tcPr>
          <w:p>
            <w:pPr>
              <w:snapToGrid w:val="0"/>
              <w:spacing w:line="340" w:lineRule="exact"/>
              <w:ind w:firstLine="0" w:firstLineChars="0"/>
              <w:contextualSpacing/>
              <w:jc w:val="center"/>
              <w:rPr>
                <w:b/>
                <w:color w:val="0000FF"/>
                <w:sz w:val="21"/>
                <w:szCs w:val="21"/>
              </w:rPr>
            </w:pPr>
            <w:r>
              <w:rPr>
                <w:b/>
                <w:color w:val="0000FF"/>
                <w:sz w:val="21"/>
                <w:szCs w:val="21"/>
              </w:rPr>
              <w:t>拉丁名</w:t>
            </w:r>
          </w:p>
        </w:tc>
        <w:tc>
          <w:tcPr>
            <w:tcW w:w="1049" w:type="pct"/>
            <w:vAlign w:val="center"/>
          </w:tcPr>
          <w:p>
            <w:pPr>
              <w:snapToGrid w:val="0"/>
              <w:spacing w:line="340" w:lineRule="exact"/>
              <w:ind w:firstLine="0" w:firstLineChars="0"/>
              <w:contextualSpacing/>
              <w:jc w:val="center"/>
              <w:rPr>
                <w:b/>
                <w:color w:val="0000FF"/>
                <w:sz w:val="21"/>
                <w:szCs w:val="21"/>
              </w:rPr>
            </w:pPr>
            <w:r>
              <w:rPr>
                <w:b/>
                <w:color w:val="0000FF"/>
                <w:sz w:val="21"/>
                <w:szCs w:val="21"/>
              </w:rPr>
              <w:t>主要分布区域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Merge w:val="restart"/>
            <w:vAlign w:val="center"/>
          </w:tcPr>
          <w:p>
            <w:pPr>
              <w:snapToGrid w:val="0"/>
              <w:spacing w:line="340" w:lineRule="exact"/>
              <w:ind w:firstLine="0" w:firstLineChars="0"/>
              <w:contextualSpacing/>
              <w:jc w:val="center"/>
              <w:rPr>
                <w:b/>
                <w:color w:val="0000FF"/>
                <w:sz w:val="21"/>
                <w:szCs w:val="21"/>
              </w:rPr>
            </w:pPr>
            <w:r>
              <w:rPr>
                <w:rFonts w:hint="eastAsia" w:ascii="宋体" w:hAnsi="宋体" w:cs="宋体"/>
                <w:color w:val="0000FF"/>
                <w:sz w:val="21"/>
                <w:szCs w:val="21"/>
              </w:rPr>
              <w:t>Ⅰ</w:t>
            </w:r>
            <w:r>
              <w:rPr>
                <w:color w:val="0000FF"/>
                <w:sz w:val="21"/>
                <w:szCs w:val="21"/>
              </w:rPr>
              <w:t>针叶林</w:t>
            </w:r>
          </w:p>
        </w:tc>
        <w:tc>
          <w:tcPr>
            <w:tcW w:w="641" w:type="pct"/>
            <w:vMerge w:val="restart"/>
            <w:vAlign w:val="center"/>
          </w:tcPr>
          <w:p>
            <w:pPr>
              <w:spacing w:line="340" w:lineRule="exact"/>
              <w:ind w:firstLine="105" w:firstLineChars="50"/>
              <w:jc w:val="center"/>
              <w:rPr>
                <w:b/>
                <w:color w:val="0000FF"/>
                <w:sz w:val="21"/>
                <w:szCs w:val="21"/>
              </w:rPr>
            </w:pPr>
            <w:r>
              <w:rPr>
                <w:rFonts w:hint="eastAsia"/>
                <w:color w:val="0000FF"/>
                <w:sz w:val="21"/>
                <w:szCs w:val="21"/>
              </w:rPr>
              <w:t>暖性针叶林</w:t>
            </w:r>
          </w:p>
        </w:tc>
        <w:tc>
          <w:tcPr>
            <w:tcW w:w="769" w:type="pct"/>
            <w:vAlign w:val="center"/>
          </w:tcPr>
          <w:p>
            <w:pPr>
              <w:snapToGrid w:val="0"/>
              <w:spacing w:line="340" w:lineRule="exact"/>
              <w:ind w:firstLine="0" w:firstLineChars="0"/>
              <w:contextualSpacing/>
              <w:jc w:val="center"/>
              <w:rPr>
                <w:b/>
                <w:color w:val="0000FF"/>
                <w:sz w:val="21"/>
                <w:szCs w:val="21"/>
              </w:rPr>
            </w:pPr>
            <w:r>
              <w:rPr>
                <w:rFonts w:hint="eastAsia"/>
                <w:color w:val="0000FF"/>
                <w:sz w:val="21"/>
                <w:szCs w:val="21"/>
              </w:rPr>
              <w:t>马尾松林</w:t>
            </w:r>
          </w:p>
        </w:tc>
        <w:tc>
          <w:tcPr>
            <w:tcW w:w="1849" w:type="pct"/>
            <w:vAlign w:val="center"/>
          </w:tcPr>
          <w:p>
            <w:pPr>
              <w:snapToGrid w:val="0"/>
              <w:spacing w:line="340" w:lineRule="exact"/>
              <w:ind w:firstLine="0" w:firstLineChars="0"/>
              <w:contextualSpacing/>
              <w:jc w:val="center"/>
              <w:rPr>
                <w:b/>
                <w:color w:val="0000FF"/>
                <w:sz w:val="21"/>
                <w:szCs w:val="21"/>
              </w:rPr>
            </w:pPr>
            <w:r>
              <w:rPr>
                <w:rFonts w:hint="eastAsia"/>
                <w:color w:val="0000FF"/>
                <w:sz w:val="21"/>
                <w:szCs w:val="21"/>
              </w:rPr>
              <w:t>Form. pinus elliottii</w:t>
            </w:r>
          </w:p>
        </w:tc>
        <w:tc>
          <w:tcPr>
            <w:tcW w:w="1049" w:type="pct"/>
            <w:vAlign w:val="center"/>
          </w:tcPr>
          <w:p>
            <w:pPr>
              <w:snapToGrid w:val="0"/>
              <w:spacing w:line="340" w:lineRule="exact"/>
              <w:ind w:firstLine="0" w:firstLineChars="0"/>
              <w:contextualSpacing/>
              <w:jc w:val="center"/>
              <w:rPr>
                <w:b/>
                <w:color w:val="0000FF"/>
                <w:sz w:val="21"/>
                <w:szCs w:val="21"/>
              </w:rPr>
            </w:pPr>
            <w:r>
              <w:rPr>
                <w:rFonts w:hint="eastAsia"/>
                <w:color w:val="0000FF"/>
                <w:sz w:val="21"/>
                <w:szCs w:val="21"/>
                <w:lang w:val="zh-TW"/>
              </w:rPr>
              <w:t>坝址左岸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Merge w:val="continue"/>
            <w:vAlign w:val="center"/>
          </w:tcPr>
          <w:p>
            <w:pPr>
              <w:snapToGrid w:val="0"/>
              <w:spacing w:line="340" w:lineRule="exact"/>
              <w:ind w:firstLine="0" w:firstLineChars="0"/>
              <w:contextualSpacing/>
              <w:jc w:val="center"/>
              <w:rPr>
                <w:b/>
                <w:color w:val="0000FF"/>
                <w:sz w:val="21"/>
                <w:szCs w:val="21"/>
              </w:rPr>
            </w:pPr>
          </w:p>
        </w:tc>
        <w:tc>
          <w:tcPr>
            <w:tcW w:w="641" w:type="pct"/>
            <w:vMerge w:val="continue"/>
            <w:vAlign w:val="center"/>
          </w:tcPr>
          <w:p>
            <w:pPr>
              <w:spacing w:line="340" w:lineRule="exact"/>
              <w:ind w:firstLine="105" w:firstLineChars="50"/>
              <w:jc w:val="center"/>
              <w:rPr>
                <w:b/>
                <w:color w:val="0000FF"/>
                <w:sz w:val="21"/>
                <w:szCs w:val="21"/>
              </w:rPr>
            </w:pPr>
          </w:p>
        </w:tc>
        <w:tc>
          <w:tcPr>
            <w:tcW w:w="769" w:type="pct"/>
            <w:vAlign w:val="center"/>
          </w:tcPr>
          <w:p>
            <w:pPr>
              <w:snapToGrid w:val="0"/>
              <w:spacing w:line="340" w:lineRule="exact"/>
              <w:ind w:firstLine="0" w:firstLineChars="0"/>
              <w:contextualSpacing/>
              <w:jc w:val="center"/>
              <w:rPr>
                <w:b/>
                <w:color w:val="0000FF"/>
                <w:sz w:val="21"/>
                <w:szCs w:val="21"/>
              </w:rPr>
            </w:pPr>
            <w:r>
              <w:rPr>
                <w:color w:val="0000FF"/>
                <w:sz w:val="21"/>
                <w:szCs w:val="21"/>
              </w:rPr>
              <w:t>杉</w:t>
            </w:r>
            <w:r>
              <w:rPr>
                <w:rFonts w:hint="eastAsia"/>
                <w:color w:val="0000FF"/>
                <w:sz w:val="21"/>
                <w:szCs w:val="21"/>
              </w:rPr>
              <w:t>木</w:t>
            </w:r>
            <w:r>
              <w:rPr>
                <w:color w:val="0000FF"/>
                <w:sz w:val="21"/>
                <w:szCs w:val="21"/>
              </w:rPr>
              <w:t>林</w:t>
            </w:r>
          </w:p>
        </w:tc>
        <w:tc>
          <w:tcPr>
            <w:tcW w:w="1849" w:type="pct"/>
            <w:vAlign w:val="center"/>
          </w:tcPr>
          <w:p>
            <w:pPr>
              <w:snapToGrid w:val="0"/>
              <w:spacing w:line="340" w:lineRule="exact"/>
              <w:ind w:firstLine="0" w:firstLineChars="0"/>
              <w:contextualSpacing/>
              <w:jc w:val="center"/>
              <w:rPr>
                <w:b/>
                <w:color w:val="0000FF"/>
                <w:sz w:val="21"/>
                <w:szCs w:val="21"/>
              </w:rPr>
            </w:pPr>
            <w:r>
              <w:rPr>
                <w:color w:val="0000FF"/>
                <w:sz w:val="21"/>
                <w:szCs w:val="21"/>
              </w:rPr>
              <w:t>Form.</w:t>
            </w:r>
            <w:r>
              <w:rPr>
                <w:i/>
                <w:color w:val="0000FF"/>
                <w:sz w:val="21"/>
                <w:szCs w:val="21"/>
              </w:rPr>
              <w:t xml:space="preserve"> Cuninghamia lanceolata</w:t>
            </w:r>
          </w:p>
        </w:tc>
        <w:tc>
          <w:tcPr>
            <w:tcW w:w="1049" w:type="pct"/>
            <w:vAlign w:val="center"/>
          </w:tcPr>
          <w:p>
            <w:pPr>
              <w:snapToGrid w:val="0"/>
              <w:spacing w:line="340" w:lineRule="exact"/>
              <w:ind w:firstLine="0" w:firstLineChars="0"/>
              <w:contextualSpacing/>
              <w:jc w:val="center"/>
              <w:rPr>
                <w:b/>
                <w:color w:val="0000FF"/>
                <w:sz w:val="21"/>
                <w:szCs w:val="21"/>
              </w:rPr>
            </w:pPr>
            <w:r>
              <w:rPr>
                <w:rFonts w:eastAsiaTheme="minorEastAsia"/>
                <w:color w:val="0000FF"/>
                <w:sz w:val="21"/>
                <w:szCs w:val="21"/>
              </w:rPr>
              <w:t>评价区广泛分布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Merge w:val="restar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Ⅱ阔叶林</w:t>
            </w:r>
          </w:p>
        </w:tc>
        <w:tc>
          <w:tcPr>
            <w:tcW w:w="641" w:type="pct"/>
            <w:vMerge w:val="restar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中亚热带常绿阔叶林</w:t>
            </w:r>
          </w:p>
        </w:tc>
        <w:tc>
          <w:tcPr>
            <w:tcW w:w="769" w:type="pct"/>
            <w:vAlign w:val="center"/>
          </w:tcPr>
          <w:p>
            <w:pPr>
              <w:snapToGrid w:val="0"/>
              <w:spacing w:line="340" w:lineRule="exact"/>
              <w:ind w:firstLine="0" w:firstLineChars="0"/>
              <w:contextualSpacing/>
              <w:jc w:val="center"/>
              <w:rPr>
                <w:color w:val="0000FF"/>
                <w:spacing w:val="-16"/>
                <w:sz w:val="21"/>
                <w:szCs w:val="21"/>
              </w:rPr>
            </w:pPr>
            <w:r>
              <w:rPr>
                <w:rFonts w:hint="eastAsia"/>
                <w:color w:val="0000FF"/>
                <w:spacing w:val="-16"/>
                <w:sz w:val="21"/>
                <w:szCs w:val="21"/>
              </w:rPr>
              <w:t>杨树</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hint="eastAsia"/>
                <w:color w:val="0000FF"/>
                <w:spacing w:val="-2"/>
                <w:sz w:val="21"/>
                <w:szCs w:val="21"/>
              </w:rPr>
              <w:t>Form. Populus L.</w:t>
            </w:r>
          </w:p>
        </w:tc>
        <w:tc>
          <w:tcPr>
            <w:tcW w:w="1049" w:type="pc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坝址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Merge w:val="continue"/>
            <w:vAlign w:val="center"/>
          </w:tcPr>
          <w:p>
            <w:pPr>
              <w:snapToGrid w:val="0"/>
              <w:spacing w:line="340" w:lineRule="exact"/>
              <w:ind w:firstLine="0" w:firstLineChars="0"/>
              <w:contextualSpacing/>
              <w:jc w:val="center"/>
              <w:rPr>
                <w:color w:val="0000FF"/>
                <w:sz w:val="21"/>
                <w:szCs w:val="21"/>
              </w:rPr>
            </w:pPr>
          </w:p>
        </w:tc>
        <w:tc>
          <w:tcPr>
            <w:tcW w:w="641" w:type="pct"/>
            <w:vMerge w:val="continue"/>
            <w:vAlign w:val="center"/>
          </w:tcPr>
          <w:p>
            <w:pPr>
              <w:snapToGrid w:val="0"/>
              <w:spacing w:line="340" w:lineRule="exact"/>
              <w:ind w:firstLine="0" w:firstLineChars="0"/>
              <w:contextualSpacing/>
              <w:jc w:val="center"/>
              <w:rPr>
                <w:color w:val="0000FF"/>
                <w:sz w:val="21"/>
                <w:szCs w:val="21"/>
              </w:rPr>
            </w:pPr>
          </w:p>
        </w:tc>
        <w:tc>
          <w:tcPr>
            <w:tcW w:w="769" w:type="pct"/>
            <w:vAlign w:val="center"/>
          </w:tcPr>
          <w:p>
            <w:pPr>
              <w:snapToGrid w:val="0"/>
              <w:spacing w:line="340" w:lineRule="exact"/>
              <w:ind w:firstLine="0" w:firstLineChars="0"/>
              <w:contextualSpacing/>
              <w:jc w:val="center"/>
              <w:rPr>
                <w:color w:val="0000FF"/>
                <w:spacing w:val="-16"/>
                <w:sz w:val="21"/>
                <w:szCs w:val="21"/>
              </w:rPr>
            </w:pPr>
            <w:r>
              <w:rPr>
                <w:rFonts w:eastAsiaTheme="minorEastAsia"/>
                <w:color w:val="0000FF"/>
                <w:sz w:val="21"/>
                <w:szCs w:val="21"/>
              </w:rPr>
              <w:t>石栎（柯）林</w:t>
            </w:r>
          </w:p>
        </w:tc>
        <w:tc>
          <w:tcPr>
            <w:tcW w:w="1849" w:type="pct"/>
            <w:vAlign w:val="center"/>
          </w:tcPr>
          <w:p>
            <w:pPr>
              <w:snapToGrid w:val="0"/>
              <w:spacing w:line="340" w:lineRule="exact"/>
              <w:ind w:firstLine="0" w:firstLineChars="0"/>
              <w:contextualSpacing/>
              <w:jc w:val="center"/>
              <w:rPr>
                <w:color w:val="0000FF"/>
                <w:spacing w:val="-2"/>
                <w:sz w:val="21"/>
                <w:szCs w:val="21"/>
              </w:rPr>
            </w:pPr>
            <w:r>
              <w:rPr>
                <w:rStyle w:val="88"/>
                <w:rFonts w:ascii="Arial" w:hAnsi="Arial" w:cs="Arial"/>
                <w:i w:val="0"/>
                <w:iCs w:val="0"/>
                <w:color w:val="0000FF"/>
                <w:sz w:val="20"/>
                <w:shd w:val="clear" w:color="auto" w:fill="FFFFFF"/>
              </w:rPr>
              <w:t>Lithocarpus sp.</w:t>
            </w:r>
          </w:p>
        </w:tc>
        <w:tc>
          <w:tcPr>
            <w:tcW w:w="1049"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评价区广泛分布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2" w:type="pct"/>
            <w:vMerge w:val="continue"/>
            <w:vAlign w:val="center"/>
          </w:tcPr>
          <w:p>
            <w:pPr>
              <w:snapToGrid w:val="0"/>
              <w:spacing w:line="340" w:lineRule="exact"/>
              <w:ind w:firstLine="0" w:firstLineChars="0"/>
              <w:contextualSpacing/>
              <w:jc w:val="center"/>
              <w:rPr>
                <w:color w:val="0000FF"/>
                <w:sz w:val="21"/>
                <w:szCs w:val="21"/>
              </w:rPr>
            </w:pPr>
          </w:p>
        </w:tc>
        <w:tc>
          <w:tcPr>
            <w:tcW w:w="641" w:type="pct"/>
            <w:vMerge w:val="continue"/>
            <w:vAlign w:val="center"/>
          </w:tcPr>
          <w:p>
            <w:pPr>
              <w:snapToGrid w:val="0"/>
              <w:spacing w:line="340" w:lineRule="exact"/>
              <w:ind w:firstLine="0" w:firstLineChars="0"/>
              <w:contextualSpacing/>
              <w:jc w:val="center"/>
              <w:rPr>
                <w:color w:val="0000FF"/>
                <w:sz w:val="21"/>
                <w:szCs w:val="21"/>
              </w:rPr>
            </w:pPr>
          </w:p>
        </w:tc>
        <w:tc>
          <w:tcPr>
            <w:tcW w:w="769" w:type="pct"/>
            <w:vAlign w:val="center"/>
          </w:tcPr>
          <w:p>
            <w:pPr>
              <w:snapToGrid w:val="0"/>
              <w:spacing w:line="340" w:lineRule="exact"/>
              <w:ind w:firstLine="0" w:firstLineChars="0"/>
              <w:contextualSpacing/>
              <w:jc w:val="center"/>
              <w:rPr>
                <w:color w:val="0000FF"/>
                <w:spacing w:val="-16"/>
                <w:sz w:val="21"/>
                <w:szCs w:val="21"/>
              </w:rPr>
            </w:pPr>
            <w:r>
              <w:rPr>
                <w:rFonts w:eastAsiaTheme="minorEastAsia"/>
                <w:color w:val="0000FF"/>
                <w:sz w:val="21"/>
                <w:szCs w:val="21"/>
              </w:rPr>
              <w:t>枫香林</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hint="eastAsia"/>
                <w:color w:val="0000FF"/>
                <w:spacing w:val="-2"/>
                <w:sz w:val="21"/>
                <w:szCs w:val="21"/>
              </w:rPr>
              <w:t>Form. Lithocarpus glaber</w:t>
            </w:r>
          </w:p>
        </w:tc>
        <w:tc>
          <w:tcPr>
            <w:tcW w:w="1049" w:type="pc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lang w:val="zh-TW" w:eastAsia="zh-TW"/>
              </w:rPr>
              <w:t>镜山森林公园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2" w:type="pct"/>
            <w:vMerge w:val="continue"/>
            <w:vAlign w:val="center"/>
          </w:tcPr>
          <w:p>
            <w:pPr>
              <w:snapToGrid w:val="0"/>
              <w:spacing w:line="340" w:lineRule="exact"/>
              <w:ind w:firstLine="0" w:firstLineChars="0"/>
              <w:contextualSpacing/>
              <w:jc w:val="center"/>
              <w:rPr>
                <w:color w:val="0000FF"/>
                <w:sz w:val="21"/>
                <w:szCs w:val="21"/>
              </w:rPr>
            </w:pPr>
          </w:p>
        </w:tc>
        <w:tc>
          <w:tcPr>
            <w:tcW w:w="641"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竹林</w:t>
            </w:r>
          </w:p>
        </w:tc>
        <w:tc>
          <w:tcPr>
            <w:tcW w:w="769" w:type="pct"/>
            <w:vAlign w:val="center"/>
          </w:tcPr>
          <w:p>
            <w:pPr>
              <w:snapToGrid w:val="0"/>
              <w:spacing w:line="340" w:lineRule="exact"/>
              <w:ind w:firstLine="0" w:firstLineChars="0"/>
              <w:contextualSpacing/>
              <w:jc w:val="center"/>
              <w:rPr>
                <w:color w:val="0000FF"/>
                <w:spacing w:val="-16"/>
                <w:sz w:val="21"/>
                <w:szCs w:val="21"/>
              </w:rPr>
            </w:pPr>
            <w:r>
              <w:rPr>
                <w:rFonts w:eastAsiaTheme="minorEastAsia"/>
                <w:color w:val="0000FF"/>
                <w:sz w:val="21"/>
                <w:szCs w:val="21"/>
              </w:rPr>
              <w:t>毛竹林</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eastAsiaTheme="minorEastAsia"/>
                <w:color w:val="0000FF"/>
                <w:sz w:val="21"/>
                <w:szCs w:val="21"/>
              </w:rPr>
              <w:t>Form.Phyllostachys heterocycla</w:t>
            </w:r>
          </w:p>
        </w:tc>
        <w:tc>
          <w:tcPr>
            <w:tcW w:w="1049"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坝址、库区、坝址下游村</w:t>
            </w:r>
            <w:r>
              <w:rPr>
                <w:rFonts w:hint="eastAsia" w:eastAsiaTheme="minorEastAsia"/>
                <w:color w:val="0000FF"/>
                <w:sz w:val="21"/>
                <w:szCs w:val="21"/>
              </w:rPr>
              <w:t>庄</w:t>
            </w:r>
            <w:r>
              <w:rPr>
                <w:rFonts w:eastAsiaTheme="minorEastAsia"/>
                <w:color w:val="0000FF"/>
                <w:sz w:val="21"/>
                <w:szCs w:val="21"/>
              </w:rPr>
              <w:t>周围均有分布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43" w:hRule="atLeast"/>
          <w:jc w:val="center"/>
        </w:trPr>
        <w:tc>
          <w:tcPr>
            <w:tcW w:w="692" w:type="pct"/>
            <w:vMerge w:val="restar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Ⅲ</w:t>
            </w:r>
            <w:r>
              <w:rPr>
                <w:color w:val="0000FF"/>
                <w:sz w:val="21"/>
                <w:szCs w:val="21"/>
              </w:rPr>
              <w:t>灌丛和灌草丛</w:t>
            </w:r>
          </w:p>
        </w:tc>
        <w:tc>
          <w:tcPr>
            <w:tcW w:w="641" w:type="pct"/>
            <w:vAlign w:val="center"/>
          </w:tcPr>
          <w:p>
            <w:pPr>
              <w:snapToGrid w:val="0"/>
              <w:spacing w:line="340" w:lineRule="exact"/>
              <w:ind w:firstLine="0" w:firstLineChars="0"/>
              <w:contextualSpacing/>
              <w:jc w:val="center"/>
              <w:rPr>
                <w:color w:val="0000FF"/>
                <w:sz w:val="21"/>
                <w:szCs w:val="21"/>
              </w:rPr>
            </w:pPr>
            <w:r>
              <w:rPr>
                <w:color w:val="0000FF"/>
                <w:sz w:val="21"/>
                <w:szCs w:val="21"/>
              </w:rPr>
              <w:t>灌丛</w:t>
            </w:r>
          </w:p>
        </w:tc>
        <w:tc>
          <w:tcPr>
            <w:tcW w:w="769" w:type="pct"/>
            <w:vAlign w:val="center"/>
          </w:tcPr>
          <w:p>
            <w:pPr>
              <w:snapToGrid w:val="0"/>
              <w:spacing w:line="340" w:lineRule="exact"/>
              <w:ind w:firstLine="0" w:firstLineChars="0"/>
              <w:contextualSpacing/>
              <w:jc w:val="center"/>
              <w:rPr>
                <w:color w:val="0000FF"/>
                <w:sz w:val="21"/>
                <w:szCs w:val="21"/>
              </w:rPr>
            </w:pPr>
            <w:r>
              <w:rPr>
                <w:rFonts w:hint="eastAsia"/>
                <w:color w:val="0000FF"/>
                <w:spacing w:val="-16"/>
                <w:sz w:val="21"/>
                <w:szCs w:val="21"/>
              </w:rPr>
              <w:t>芭茅灌丛</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hint="eastAsia"/>
                <w:color w:val="0000FF"/>
                <w:spacing w:val="-2"/>
                <w:sz w:val="21"/>
                <w:szCs w:val="21"/>
              </w:rPr>
              <w:t>Form. Miscanthus floridulus(Labill.)Warb</w:t>
            </w:r>
          </w:p>
        </w:tc>
        <w:tc>
          <w:tcPr>
            <w:tcW w:w="1049"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评价区广泛分布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Merge w:val="continue"/>
            <w:vAlign w:val="center"/>
          </w:tcPr>
          <w:p>
            <w:pPr>
              <w:snapToGrid w:val="0"/>
              <w:spacing w:line="340" w:lineRule="exact"/>
              <w:ind w:firstLine="0" w:firstLineChars="0"/>
              <w:contextualSpacing/>
              <w:jc w:val="center"/>
              <w:rPr>
                <w:color w:val="0000FF"/>
                <w:sz w:val="21"/>
                <w:szCs w:val="21"/>
              </w:rPr>
            </w:pPr>
          </w:p>
        </w:tc>
        <w:tc>
          <w:tcPr>
            <w:tcW w:w="641" w:type="pct"/>
            <w:vAlign w:val="center"/>
          </w:tcPr>
          <w:p>
            <w:pPr>
              <w:snapToGrid w:val="0"/>
              <w:spacing w:line="340" w:lineRule="exact"/>
              <w:ind w:firstLine="0" w:firstLineChars="0"/>
              <w:contextualSpacing/>
              <w:jc w:val="center"/>
              <w:rPr>
                <w:color w:val="0000FF"/>
                <w:sz w:val="21"/>
                <w:szCs w:val="21"/>
              </w:rPr>
            </w:pPr>
            <w:r>
              <w:rPr>
                <w:color w:val="0000FF"/>
                <w:sz w:val="21"/>
                <w:szCs w:val="21"/>
              </w:rPr>
              <w:t>灌草丛</w:t>
            </w:r>
          </w:p>
        </w:tc>
        <w:tc>
          <w:tcPr>
            <w:tcW w:w="769" w:type="pc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芒群系</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hint="eastAsia"/>
                <w:color w:val="0000FF"/>
                <w:spacing w:val="-2"/>
                <w:sz w:val="21"/>
                <w:szCs w:val="21"/>
              </w:rPr>
              <w:t>Form. Miscanthus sinensis</w:t>
            </w:r>
          </w:p>
        </w:tc>
        <w:tc>
          <w:tcPr>
            <w:tcW w:w="1049" w:type="pc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坝址两岸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92" w:type="pct"/>
            <w:vAlign w:val="center"/>
          </w:tcPr>
          <w:p>
            <w:pPr>
              <w:snapToGrid w:val="0"/>
              <w:spacing w:line="340" w:lineRule="exact"/>
              <w:ind w:firstLine="0" w:firstLineChars="0"/>
              <w:contextualSpacing/>
              <w:jc w:val="center"/>
              <w:rPr>
                <w:color w:val="0000FF"/>
                <w:sz w:val="21"/>
                <w:szCs w:val="21"/>
              </w:rPr>
            </w:pPr>
            <w:r>
              <w:rPr>
                <w:rFonts w:hint="eastAsia"/>
                <w:color w:val="0000FF"/>
                <w:sz w:val="21"/>
                <w:szCs w:val="21"/>
              </w:rPr>
              <w:t>人工植被</w:t>
            </w:r>
          </w:p>
        </w:tc>
        <w:tc>
          <w:tcPr>
            <w:tcW w:w="641" w:type="pct"/>
            <w:vAlign w:val="center"/>
          </w:tcPr>
          <w:p>
            <w:pPr>
              <w:widowControl/>
              <w:spacing w:line="320" w:lineRule="exact"/>
              <w:ind w:firstLine="0" w:firstLineChars="0"/>
              <w:jc w:val="center"/>
              <w:rPr>
                <w:color w:val="0000FF"/>
                <w:sz w:val="21"/>
                <w:szCs w:val="21"/>
              </w:rPr>
            </w:pPr>
            <w:r>
              <w:rPr>
                <w:rFonts w:eastAsiaTheme="minorEastAsia"/>
                <w:color w:val="0000FF"/>
                <w:sz w:val="21"/>
                <w:szCs w:val="21"/>
              </w:rPr>
              <w:t>农业植被</w:t>
            </w:r>
          </w:p>
        </w:tc>
        <w:tc>
          <w:tcPr>
            <w:tcW w:w="769"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农作物</w:t>
            </w:r>
          </w:p>
        </w:tc>
        <w:tc>
          <w:tcPr>
            <w:tcW w:w="1849" w:type="pct"/>
            <w:vAlign w:val="center"/>
          </w:tcPr>
          <w:p>
            <w:pPr>
              <w:snapToGrid w:val="0"/>
              <w:spacing w:line="340" w:lineRule="exact"/>
              <w:ind w:firstLine="0" w:firstLineChars="0"/>
              <w:contextualSpacing/>
              <w:jc w:val="center"/>
              <w:rPr>
                <w:color w:val="0000FF"/>
                <w:spacing w:val="-2"/>
                <w:sz w:val="21"/>
                <w:szCs w:val="21"/>
              </w:rPr>
            </w:pPr>
            <w:r>
              <w:rPr>
                <w:rFonts w:eastAsiaTheme="minorEastAsia"/>
                <w:color w:val="0000FF"/>
                <w:sz w:val="21"/>
                <w:szCs w:val="21"/>
              </w:rPr>
              <w:t>水稻、玉米等</w:t>
            </w:r>
          </w:p>
        </w:tc>
        <w:tc>
          <w:tcPr>
            <w:tcW w:w="1049" w:type="pct"/>
            <w:vAlign w:val="center"/>
          </w:tcPr>
          <w:p>
            <w:pPr>
              <w:snapToGrid w:val="0"/>
              <w:spacing w:line="340" w:lineRule="exact"/>
              <w:ind w:firstLine="0" w:firstLineChars="0"/>
              <w:contextualSpacing/>
              <w:jc w:val="center"/>
              <w:rPr>
                <w:color w:val="0000FF"/>
                <w:sz w:val="21"/>
                <w:szCs w:val="21"/>
              </w:rPr>
            </w:pPr>
            <w:r>
              <w:rPr>
                <w:rFonts w:eastAsiaTheme="minorEastAsia"/>
                <w:color w:val="0000FF"/>
                <w:sz w:val="21"/>
                <w:szCs w:val="21"/>
              </w:rPr>
              <w:t>评价区广泛内分布</w:t>
            </w:r>
          </w:p>
        </w:tc>
      </w:tr>
    </w:tbl>
    <w:p>
      <w:pPr>
        <w:pStyle w:val="9"/>
        <w:spacing w:before="120" w:beforeLines="50"/>
        <w:rPr>
          <w:rFonts w:eastAsia="宋体"/>
          <w:b/>
          <w:spacing w:val="-2"/>
          <w:kern w:val="0"/>
        </w:rPr>
      </w:pPr>
      <w:r>
        <w:rPr>
          <w:rFonts w:eastAsia="宋体"/>
          <w:b/>
          <w:spacing w:val="-2"/>
          <w:kern w:val="0"/>
        </w:rPr>
        <w:t>4.</w:t>
      </w:r>
      <w:r>
        <w:rPr>
          <w:rFonts w:hint="eastAsia" w:eastAsia="宋体"/>
          <w:b/>
          <w:spacing w:val="-2"/>
          <w:kern w:val="0"/>
        </w:rPr>
        <w:t>5</w:t>
      </w:r>
      <w:r>
        <w:rPr>
          <w:rFonts w:eastAsia="宋体"/>
          <w:b/>
          <w:spacing w:val="-2"/>
          <w:kern w:val="0"/>
        </w:rPr>
        <w:t>.</w:t>
      </w:r>
      <w:r>
        <w:rPr>
          <w:rFonts w:hint="eastAsia" w:eastAsia="宋体"/>
          <w:b/>
          <w:spacing w:val="-2"/>
          <w:kern w:val="0"/>
        </w:rPr>
        <w:t>5</w:t>
      </w:r>
      <w:r>
        <w:rPr>
          <w:rFonts w:eastAsia="宋体"/>
          <w:b/>
          <w:spacing w:val="-2"/>
          <w:kern w:val="0"/>
        </w:rPr>
        <w:t>.</w:t>
      </w:r>
      <w:r>
        <w:rPr>
          <w:rFonts w:hint="eastAsia" w:eastAsia="宋体"/>
          <w:b/>
          <w:spacing w:val="-2"/>
          <w:kern w:val="0"/>
        </w:rPr>
        <w:t>4</w:t>
      </w:r>
      <w:r>
        <w:rPr>
          <w:rFonts w:eastAsia="宋体"/>
          <w:b/>
          <w:spacing w:val="-2"/>
          <w:kern w:val="0"/>
        </w:rPr>
        <w:t>主要群落组成特征及分布</w:t>
      </w:r>
    </w:p>
    <w:p>
      <w:pPr>
        <w:tabs>
          <w:tab w:val="left" w:pos="1815"/>
        </w:tabs>
        <w:ind w:firstLine="482"/>
      </w:pPr>
      <w:r>
        <w:rPr>
          <w:b/>
        </w:rPr>
        <w:t>天然林：</w:t>
      </w:r>
      <w:r>
        <w:t>是指自然更新的森林植被，评价区已没有原生性天然林存在，只有自然更新的针叶林、针阔混交林、次生灌草丛等林地植被，是动植物种类及项目区自然生态调查的重点区域。项目区天然林主要有以下植被型及群系。</w:t>
      </w:r>
    </w:p>
    <w:p>
      <w:pPr>
        <w:tabs>
          <w:tab w:val="left" w:pos="1815"/>
        </w:tabs>
        <w:ind w:firstLine="482"/>
      </w:pPr>
      <w:r>
        <w:rPr>
          <w:b/>
        </w:rPr>
        <w:t>针叶林：</w:t>
      </w:r>
      <w:r>
        <w:rPr>
          <w:rFonts w:hint="eastAsia"/>
        </w:rPr>
        <w:t>是以针叶树为建群种所组成的各种森林植物群落的总称， 其中包括纯林或以针叶树为主的针阔混交林。根据起源不同，又可分为天然林或人工林。</w:t>
      </w:r>
    </w:p>
    <w:p>
      <w:pPr>
        <w:tabs>
          <w:tab w:val="left" w:pos="1815"/>
        </w:tabs>
        <w:ind w:firstLine="480"/>
      </w:pPr>
      <w:r>
        <w:rPr>
          <w:rFonts w:hint="eastAsia"/>
        </w:rPr>
        <w:t>评价区针叶林是以针叶乔木树种为主要建群种组成的森林群落。主要为杉木林、马尾松林。</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57"/>
        <w:gridCol w:w="4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7" w:type="dxa"/>
            <w:vAlign w:val="center"/>
          </w:tcPr>
          <w:p>
            <w:pPr>
              <w:pStyle w:val="1341"/>
              <w:spacing w:line="360" w:lineRule="auto"/>
              <w:ind w:firstLine="0" w:firstLineChars="0"/>
              <w:jc w:val="center"/>
              <w:rPr>
                <w:rFonts w:hAnsi="宋体"/>
                <w:b/>
                <w:color w:val="auto"/>
                <w:szCs w:val="20"/>
              </w:rPr>
            </w:pPr>
            <w:r>
              <w:rPr>
                <w:rFonts w:hint="eastAsia"/>
              </w:rPr>
              <w:drawing>
                <wp:inline distT="0" distB="0" distL="114300" distR="114300">
                  <wp:extent cx="2905760" cy="2178685"/>
                  <wp:effectExtent l="0" t="0" r="8890" b="12065"/>
                  <wp:docPr id="82" name="图片 82" descr="0cee861319061e09a3d8c739f071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cee861319061e09a3d8c739f071e42"/>
                          <pic:cNvPicPr>
                            <a:picLocks noChangeAspect="1"/>
                          </pic:cNvPicPr>
                        </pic:nvPicPr>
                        <pic:blipFill>
                          <a:blip r:embed="rId59"/>
                          <a:stretch>
                            <a:fillRect/>
                          </a:stretch>
                        </pic:blipFill>
                        <pic:spPr>
                          <a:xfrm>
                            <a:off x="0" y="0"/>
                            <a:ext cx="2905760" cy="2178685"/>
                          </a:xfrm>
                          <a:prstGeom prst="rect">
                            <a:avLst/>
                          </a:prstGeom>
                        </pic:spPr>
                      </pic:pic>
                    </a:graphicData>
                  </a:graphic>
                </wp:inline>
              </w:drawing>
            </w:r>
          </w:p>
        </w:tc>
        <w:tc>
          <w:tcPr>
            <w:tcW w:w="4713" w:type="dxa"/>
            <w:vAlign w:val="center"/>
          </w:tcPr>
          <w:p>
            <w:pPr>
              <w:pStyle w:val="1341"/>
              <w:spacing w:line="360" w:lineRule="auto"/>
              <w:ind w:firstLine="0" w:firstLineChars="0"/>
              <w:jc w:val="center"/>
              <w:rPr>
                <w:rFonts w:hAnsi="宋体"/>
                <w:b/>
                <w:color w:val="auto"/>
                <w:szCs w:val="20"/>
              </w:rPr>
            </w:pPr>
            <w:r>
              <w:rPr>
                <w:rFonts w:hint="eastAsia" w:hAnsi="宋体"/>
                <w:b/>
                <w:color w:val="auto"/>
                <w:szCs w:val="20"/>
              </w:rPr>
              <w:drawing>
                <wp:inline distT="0" distB="0" distL="114300" distR="114300">
                  <wp:extent cx="2758440" cy="2312670"/>
                  <wp:effectExtent l="0" t="0" r="3810" b="11430"/>
                  <wp:docPr id="11" name="图片 11" descr="8cef2245c475909c967e03128aab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cef2245c475909c967e03128aab0bd"/>
                          <pic:cNvPicPr>
                            <a:picLocks noChangeAspect="1"/>
                          </pic:cNvPicPr>
                        </pic:nvPicPr>
                        <pic:blipFill>
                          <a:blip r:embed="rId60"/>
                          <a:stretch>
                            <a:fillRect/>
                          </a:stretch>
                        </pic:blipFill>
                        <pic:spPr>
                          <a:xfrm>
                            <a:off x="0" y="0"/>
                            <a:ext cx="2758440" cy="23126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4857" w:type="dxa"/>
            <w:vAlign w:val="center"/>
          </w:tcPr>
          <w:p>
            <w:pPr>
              <w:pStyle w:val="1341"/>
              <w:spacing w:line="360" w:lineRule="auto"/>
              <w:ind w:firstLine="0" w:firstLineChars="0"/>
              <w:jc w:val="center"/>
            </w:pPr>
            <w:r>
              <w:rPr>
                <w:rFonts w:hint="eastAsia"/>
              </w:rPr>
              <w:t xml:space="preserve">图4.5-1  </w:t>
            </w:r>
            <w:r>
              <w:rPr>
                <w:rFonts w:hint="eastAsia" w:ascii="黑体" w:hAnsi="黑体" w:eastAsia="黑体"/>
                <w:szCs w:val="21"/>
              </w:rPr>
              <w:t>杉木林样方现场调查照片（样方1）</w:t>
            </w:r>
          </w:p>
        </w:tc>
        <w:tc>
          <w:tcPr>
            <w:tcW w:w="4713" w:type="dxa"/>
            <w:vAlign w:val="center"/>
          </w:tcPr>
          <w:p>
            <w:pPr>
              <w:pStyle w:val="1341"/>
              <w:spacing w:line="360" w:lineRule="auto"/>
              <w:ind w:firstLine="0" w:firstLineChars="0"/>
              <w:jc w:val="center"/>
              <w:rPr>
                <w:rFonts w:hAnsi="宋体"/>
                <w:b/>
                <w:color w:val="auto"/>
                <w:szCs w:val="20"/>
              </w:rPr>
            </w:pPr>
            <w:r>
              <w:rPr>
                <w:rFonts w:hint="eastAsia"/>
              </w:rPr>
              <w:t xml:space="preserve">图4.5-2 </w:t>
            </w:r>
            <w:r>
              <w:rPr>
                <w:rFonts w:hint="eastAsia" w:ascii="黑体" w:hAnsi="黑体" w:eastAsia="黑体"/>
                <w:szCs w:val="21"/>
              </w:rPr>
              <w:t>杉木林样方现场调查照片（样方2）</w:t>
            </w:r>
          </w:p>
        </w:tc>
      </w:tr>
    </w:tbl>
    <w:p>
      <w:pPr>
        <w:pStyle w:val="1341"/>
        <w:spacing w:line="360" w:lineRule="auto"/>
        <w:ind w:firstLine="482"/>
        <w:rPr>
          <w:rFonts w:hAnsi="宋体"/>
          <w:b/>
          <w:color w:val="auto"/>
          <w:szCs w:val="20"/>
        </w:rPr>
        <w:sectPr>
          <w:pgSz w:w="11906" w:h="16838"/>
          <w:pgMar w:top="1814" w:right="1134" w:bottom="1701" w:left="1418" w:header="1077" w:footer="992" w:gutter="0"/>
          <w:cols w:space="720" w:num="1"/>
          <w:docGrid w:linePitch="326" w:charSpace="0"/>
        </w:sectPr>
      </w:pPr>
    </w:p>
    <w:p>
      <w:pPr>
        <w:pStyle w:val="1341"/>
        <w:spacing w:line="360" w:lineRule="auto"/>
        <w:ind w:firstLine="482"/>
        <w:rPr>
          <w:rFonts w:hAnsi="宋体"/>
          <w:color w:val="auto"/>
          <w:szCs w:val="20"/>
        </w:rPr>
      </w:pPr>
      <w:r>
        <w:rPr>
          <w:rFonts w:hAnsi="宋体"/>
          <w:b/>
          <w:color w:val="auto"/>
          <w:szCs w:val="20"/>
        </w:rPr>
        <w:t>杉木林</w:t>
      </w:r>
      <w:r>
        <w:rPr>
          <w:rFonts w:hAnsi="宋体"/>
          <w:color w:val="auto"/>
          <w:szCs w:val="20"/>
        </w:rPr>
        <w:t>（</w:t>
      </w:r>
      <w:r>
        <w:rPr>
          <w:color w:val="auto"/>
          <w:szCs w:val="20"/>
        </w:rPr>
        <w:t>Form.</w:t>
      </w:r>
      <w:r>
        <w:fldChar w:fldCharType="begin"/>
      </w:r>
      <w:r>
        <w:instrText xml:space="preserve"> HYPERLINK "http://www.nature-museum.net/5190.sp" \t "_blank" </w:instrText>
      </w:r>
      <w:r>
        <w:fldChar w:fldCharType="separate"/>
      </w:r>
      <w:r>
        <w:rPr>
          <w:color w:val="auto"/>
          <w:szCs w:val="20"/>
        </w:rPr>
        <w:t>Cunninghamia lanceolata</w:t>
      </w:r>
      <w:r>
        <w:rPr>
          <w:color w:val="auto"/>
          <w:szCs w:val="20"/>
        </w:rPr>
        <w:fldChar w:fldCharType="end"/>
      </w:r>
      <w:r>
        <w:rPr>
          <w:rFonts w:hAnsi="宋体"/>
          <w:color w:val="auto"/>
          <w:szCs w:val="20"/>
        </w:rPr>
        <w:t>）</w:t>
      </w:r>
      <w:r>
        <w:rPr>
          <w:rFonts w:hint="eastAsia"/>
          <w:color w:val="auto"/>
          <w:szCs w:val="20"/>
        </w:rPr>
        <w:t>：</w:t>
      </w:r>
      <w:r>
        <w:rPr>
          <w:rFonts w:hAnsi="宋体"/>
          <w:color w:val="auto"/>
          <w:szCs w:val="20"/>
        </w:rPr>
        <w:t>杉是浅根性树种，主根不明显，水平根系发达，有明显的趋肥性，分布于亚热带山地丘陵，是本区的传统优良用材树种。</w:t>
      </w:r>
      <w:r>
        <w:rPr>
          <w:rFonts w:hint="eastAsia" w:hAnsi="宋体"/>
          <w:color w:val="auto"/>
          <w:szCs w:val="20"/>
        </w:rPr>
        <w:t>锦河</w:t>
      </w:r>
      <w:r>
        <w:rPr>
          <w:rFonts w:hAnsi="宋体"/>
          <w:color w:val="auto"/>
          <w:szCs w:val="20"/>
        </w:rPr>
        <w:t>流域内杉林主要分布于由页岩</w:t>
      </w:r>
      <w:r>
        <w:rPr>
          <w:rFonts w:hint="eastAsia" w:hAnsi="宋体"/>
          <w:color w:val="auto"/>
          <w:szCs w:val="20"/>
        </w:rPr>
        <w:t>、</w:t>
      </w:r>
      <w:r>
        <w:rPr>
          <w:rFonts w:hAnsi="宋体"/>
          <w:color w:val="auto"/>
          <w:szCs w:val="20"/>
        </w:rPr>
        <w:t>砂岩等成土母质形成的红壤山坡。</w:t>
      </w:r>
      <w:r>
        <w:rPr>
          <w:rFonts w:hint="eastAsia" w:hAnsi="宋体"/>
          <w:color w:val="auto"/>
          <w:szCs w:val="20"/>
        </w:rPr>
        <w:t>评价区杉木群落多分布于250~600m，由于多为次生林，分层不明显。乔木层杉木为绝对优势种，平均树高分别约为13m，林缘或林窗处有少量的拟赤杨、枫香等。灌木层植物盖度约30%，平均高度约1.5m，主要有格药柃、毛柄连蕊茶（Camellia fraterna）、拟赤杨、杜茎山（Maesa japonica）等。草本植物较单一，盖度约60%，主要为芒萁。</w:t>
      </w:r>
    </w:p>
    <w:p>
      <w:pPr>
        <w:spacing w:before="120" w:beforeLines="50" w:line="240" w:lineRule="auto"/>
        <w:ind w:firstLine="480"/>
        <w:jc w:val="center"/>
        <w:rPr>
          <w:rFonts w:ascii="黑体" w:hAnsi="黑体" w:eastAsia="黑体" w:cs="黑体"/>
          <w:kern w:val="0"/>
        </w:rPr>
        <w:sectPr>
          <w:type w:val="continuous"/>
          <w:pgSz w:w="11906" w:h="16838"/>
          <w:pgMar w:top="1814" w:right="1134" w:bottom="1701" w:left="1418" w:header="1077" w:footer="992" w:gutter="0"/>
          <w:cols w:space="720" w:num="1"/>
          <w:docGrid w:linePitch="326" w:charSpace="0"/>
        </w:sectPr>
      </w:pPr>
    </w:p>
    <w:p>
      <w:pPr>
        <w:spacing w:before="120" w:beforeLines="50" w:line="240" w:lineRule="auto"/>
        <w:ind w:firstLine="480"/>
        <w:jc w:val="center"/>
        <w:rPr>
          <w:rFonts w:ascii="黑体" w:hAnsi="黑体" w:cs="黑体"/>
          <w:kern w:val="0"/>
        </w:rPr>
      </w:pPr>
      <w:r>
        <w:rPr>
          <w:rFonts w:hint="eastAsia" w:ascii="黑体" w:hAnsi="黑体" w:eastAsia="黑体" w:cs="黑体"/>
          <w:kern w:val="0"/>
        </w:rPr>
        <w:t>表4.5-</w:t>
      </w:r>
      <w:r>
        <w:rPr>
          <w:rFonts w:ascii="黑体" w:hAnsi="黑体" w:eastAsia="黑体" w:cs="黑体"/>
          <w:kern w:val="0"/>
        </w:rPr>
        <w:t>9</w:t>
      </w:r>
      <w:r>
        <w:rPr>
          <w:rFonts w:hint="eastAsia" w:ascii="黑体" w:hAnsi="黑体" w:eastAsia="黑体" w:cs="黑体"/>
          <w:kern w:val="0"/>
        </w:rPr>
        <w:t xml:space="preserve">   杉木林样方调查表</w:t>
      </w:r>
      <w:r>
        <w:rPr>
          <w:rStyle w:val="96"/>
          <w:rFonts w:hint="eastAsia"/>
          <w:spacing w:val="20"/>
          <w:kern w:val="10"/>
        </w:rPr>
        <w:t>（样方1）</w:t>
      </w:r>
    </w:p>
    <w:tbl>
      <w:tblPr>
        <w:tblStyle w:val="82"/>
        <w:tblW w:w="951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2520"/>
        <w:gridCol w:w="532"/>
        <w:gridCol w:w="1247"/>
        <w:gridCol w:w="1158"/>
        <w:gridCol w:w="646"/>
        <w:gridCol w:w="21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21" w:type="dxa"/>
            <w:gridSpan w:val="3"/>
            <w:tcBorders>
              <w:top w:val="single" w:color="auto" w:sz="12" w:space="0"/>
            </w:tcBorders>
            <w:vAlign w:val="center"/>
          </w:tcPr>
          <w:p>
            <w:pPr>
              <w:spacing w:line="340" w:lineRule="exact"/>
              <w:ind w:firstLine="0" w:firstLineChars="0"/>
              <w:jc w:val="center"/>
              <w:rPr>
                <w:sz w:val="21"/>
                <w:szCs w:val="21"/>
              </w:rPr>
            </w:pPr>
            <w:r>
              <w:rPr>
                <w:sz w:val="21"/>
                <w:szCs w:val="21"/>
              </w:rPr>
              <w:t>植被类型/群落名称：杉</w:t>
            </w:r>
            <w:r>
              <w:rPr>
                <w:rFonts w:hint="eastAsia"/>
                <w:sz w:val="21"/>
                <w:szCs w:val="21"/>
              </w:rPr>
              <w:t>木</w:t>
            </w:r>
            <w:r>
              <w:rPr>
                <w:sz w:val="21"/>
                <w:szCs w:val="21"/>
              </w:rPr>
              <w:t>林</w:t>
            </w:r>
          </w:p>
        </w:tc>
        <w:tc>
          <w:tcPr>
            <w:tcW w:w="3051" w:type="dxa"/>
            <w:gridSpan w:val="3"/>
            <w:tcBorders>
              <w:top w:val="single" w:color="auto" w:sz="12" w:space="0"/>
            </w:tcBorders>
            <w:vAlign w:val="center"/>
          </w:tcPr>
          <w:p>
            <w:pPr>
              <w:spacing w:line="340" w:lineRule="exact"/>
              <w:ind w:firstLine="0" w:firstLineChars="0"/>
              <w:jc w:val="center"/>
              <w:rPr>
                <w:sz w:val="21"/>
                <w:szCs w:val="21"/>
              </w:rPr>
            </w:pPr>
            <w:r>
              <w:rPr>
                <w:sz w:val="21"/>
                <w:szCs w:val="21"/>
              </w:rPr>
              <w:t>点位：</w:t>
            </w:r>
            <w:r>
              <w:rPr>
                <w:rFonts w:hint="eastAsia"/>
                <w:color w:val="0000FF"/>
                <w:sz w:val="21"/>
                <w:szCs w:val="21"/>
              </w:rPr>
              <w:t>镜山森林公园</w:t>
            </w:r>
            <w:r>
              <w:rPr>
                <w:color w:val="0000FF"/>
                <w:sz w:val="21"/>
                <w:szCs w:val="21"/>
              </w:rPr>
              <w:t>附近</w:t>
            </w:r>
          </w:p>
        </w:tc>
        <w:tc>
          <w:tcPr>
            <w:tcW w:w="2140" w:type="dxa"/>
            <w:tcBorders>
              <w:top w:val="single" w:color="auto" w:sz="12" w:space="0"/>
            </w:tcBorders>
            <w:vAlign w:val="center"/>
          </w:tcPr>
          <w:p>
            <w:pPr>
              <w:spacing w:line="340" w:lineRule="exact"/>
              <w:ind w:firstLine="0" w:firstLineChars="0"/>
              <w:rPr>
                <w:sz w:val="21"/>
                <w:szCs w:val="21"/>
              </w:rPr>
            </w:pPr>
            <w:r>
              <w:rPr>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经纬度</w:t>
            </w:r>
          </w:p>
        </w:tc>
        <w:tc>
          <w:tcPr>
            <w:tcW w:w="3052" w:type="dxa"/>
            <w:gridSpan w:val="2"/>
            <w:vAlign w:val="center"/>
          </w:tcPr>
          <w:p>
            <w:pPr>
              <w:spacing w:line="340" w:lineRule="exact"/>
              <w:ind w:firstLine="0" w:firstLineChars="0"/>
              <w:jc w:val="center"/>
              <w:rPr>
                <w:sz w:val="21"/>
                <w:szCs w:val="21"/>
              </w:rPr>
            </w:pPr>
            <w:r>
              <w:rPr>
                <w:rFonts w:hint="eastAsia"/>
                <w:sz w:val="21"/>
                <w:szCs w:val="21"/>
              </w:rPr>
              <w:t>114°57′40.97″</w:t>
            </w:r>
          </w:p>
          <w:p>
            <w:pPr>
              <w:spacing w:line="340" w:lineRule="exact"/>
              <w:ind w:firstLine="0" w:firstLineChars="0"/>
              <w:jc w:val="center"/>
              <w:rPr>
                <w:sz w:val="21"/>
                <w:szCs w:val="21"/>
              </w:rPr>
            </w:pPr>
            <w:r>
              <w:rPr>
                <w:rFonts w:hint="eastAsia"/>
                <w:sz w:val="21"/>
                <w:szCs w:val="21"/>
              </w:rPr>
              <w:t>28°14′5715″</w:t>
            </w:r>
          </w:p>
        </w:tc>
        <w:tc>
          <w:tcPr>
            <w:tcW w:w="1247" w:type="dxa"/>
            <w:vAlign w:val="center"/>
          </w:tcPr>
          <w:p>
            <w:pPr>
              <w:spacing w:line="340" w:lineRule="exact"/>
              <w:ind w:firstLine="0" w:firstLineChars="0"/>
              <w:jc w:val="center"/>
              <w:rPr>
                <w:sz w:val="21"/>
                <w:szCs w:val="21"/>
              </w:rPr>
            </w:pPr>
            <w:r>
              <w:rPr>
                <w:sz w:val="21"/>
                <w:szCs w:val="21"/>
              </w:rPr>
              <w:t>海拔</w:t>
            </w:r>
          </w:p>
        </w:tc>
        <w:tc>
          <w:tcPr>
            <w:tcW w:w="1158" w:type="dxa"/>
            <w:vAlign w:val="center"/>
          </w:tcPr>
          <w:p>
            <w:pPr>
              <w:spacing w:line="340" w:lineRule="exact"/>
              <w:ind w:firstLine="0" w:firstLineChars="0"/>
              <w:jc w:val="center"/>
              <w:rPr>
                <w:sz w:val="21"/>
                <w:szCs w:val="21"/>
              </w:rPr>
            </w:pPr>
            <w:r>
              <w:rPr>
                <w:rFonts w:hint="eastAsia"/>
                <w:sz w:val="21"/>
                <w:szCs w:val="21"/>
              </w:rPr>
              <w:t>74</w:t>
            </w:r>
            <w:r>
              <w:rPr>
                <w:sz w:val="21"/>
                <w:szCs w:val="21"/>
              </w:rPr>
              <w:t>米</w:t>
            </w:r>
          </w:p>
        </w:tc>
        <w:tc>
          <w:tcPr>
            <w:tcW w:w="2786" w:type="dxa"/>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地貌</w:t>
            </w:r>
          </w:p>
        </w:tc>
        <w:tc>
          <w:tcPr>
            <w:tcW w:w="3052" w:type="dxa"/>
            <w:gridSpan w:val="2"/>
            <w:vAlign w:val="center"/>
          </w:tcPr>
          <w:p>
            <w:pPr>
              <w:spacing w:line="340" w:lineRule="exact"/>
              <w:ind w:firstLine="0" w:firstLineChars="0"/>
              <w:jc w:val="center"/>
              <w:rPr>
                <w:sz w:val="21"/>
                <w:szCs w:val="21"/>
              </w:rPr>
            </w:pPr>
            <w:r>
              <w:rPr>
                <w:sz w:val="21"/>
                <w:szCs w:val="21"/>
              </w:rPr>
              <w:t>低山丘陵</w:t>
            </w:r>
          </w:p>
        </w:tc>
        <w:tc>
          <w:tcPr>
            <w:tcW w:w="1247" w:type="dxa"/>
            <w:vAlign w:val="center"/>
          </w:tcPr>
          <w:p>
            <w:pPr>
              <w:spacing w:line="340" w:lineRule="exact"/>
              <w:ind w:firstLine="0" w:firstLineChars="0"/>
              <w:jc w:val="center"/>
              <w:rPr>
                <w:sz w:val="21"/>
                <w:szCs w:val="21"/>
              </w:rPr>
            </w:pPr>
            <w:r>
              <w:rPr>
                <w:sz w:val="21"/>
                <w:szCs w:val="21"/>
              </w:rPr>
              <w:t>土壤</w:t>
            </w:r>
          </w:p>
        </w:tc>
        <w:tc>
          <w:tcPr>
            <w:tcW w:w="1158" w:type="dxa"/>
            <w:vAlign w:val="center"/>
          </w:tcPr>
          <w:p>
            <w:pPr>
              <w:spacing w:line="340" w:lineRule="exact"/>
              <w:ind w:firstLine="0" w:firstLineChars="0"/>
              <w:jc w:val="center"/>
              <w:rPr>
                <w:sz w:val="21"/>
                <w:szCs w:val="21"/>
              </w:rPr>
            </w:pPr>
            <w:r>
              <w:rPr>
                <w:sz w:val="21"/>
                <w:szCs w:val="21"/>
              </w:rPr>
              <w:t>红壤</w:t>
            </w:r>
          </w:p>
        </w:tc>
        <w:tc>
          <w:tcPr>
            <w:tcW w:w="2786" w:type="dxa"/>
            <w:gridSpan w:val="2"/>
            <w:vAlign w:val="center"/>
          </w:tcPr>
          <w:p>
            <w:pPr>
              <w:spacing w:line="340" w:lineRule="exact"/>
              <w:ind w:firstLine="0" w:firstLineChars="0"/>
              <w:jc w:val="center"/>
              <w:rPr>
                <w:sz w:val="21"/>
                <w:szCs w:val="21"/>
              </w:rPr>
            </w:pPr>
            <w:r>
              <w:rPr>
                <w:sz w:val="21"/>
                <w:szCs w:val="21"/>
              </w:rPr>
              <w:t>地上生物量：87491kg/hm</w:t>
            </w:r>
            <w:r>
              <w:rPr>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环境简述</w:t>
            </w:r>
          </w:p>
        </w:tc>
        <w:tc>
          <w:tcPr>
            <w:tcW w:w="8243" w:type="dxa"/>
            <w:gridSpan w:val="6"/>
          </w:tcPr>
          <w:p>
            <w:pPr>
              <w:spacing w:line="340" w:lineRule="exact"/>
              <w:ind w:firstLine="0" w:firstLineChars="0"/>
              <w:jc w:val="center"/>
              <w:rPr>
                <w:sz w:val="21"/>
                <w:szCs w:val="21"/>
              </w:rPr>
            </w:pPr>
            <w:r>
              <w:rPr>
                <w:sz w:val="21"/>
                <w:szCs w:val="21"/>
              </w:rPr>
              <w:t>原人工杉林被采伐后，杉树伐蔸萌芽更新，经十几年封育而形成的针阔叶混交林。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林 层</w:t>
            </w:r>
          </w:p>
        </w:tc>
        <w:tc>
          <w:tcPr>
            <w:tcW w:w="2520" w:type="dxa"/>
          </w:tcPr>
          <w:p>
            <w:pPr>
              <w:spacing w:line="340" w:lineRule="exact"/>
              <w:ind w:firstLine="0" w:firstLineChars="0"/>
              <w:jc w:val="center"/>
              <w:rPr>
                <w:sz w:val="21"/>
                <w:szCs w:val="21"/>
              </w:rPr>
            </w:pPr>
            <w:r>
              <w:rPr>
                <w:sz w:val="21"/>
                <w:szCs w:val="21"/>
              </w:rPr>
              <w:t>单层林</w:t>
            </w:r>
          </w:p>
        </w:tc>
        <w:tc>
          <w:tcPr>
            <w:tcW w:w="5723" w:type="dxa"/>
            <w:gridSpan w:val="5"/>
            <w:vAlign w:val="bottom"/>
          </w:tcPr>
          <w:p>
            <w:pPr>
              <w:spacing w:line="340" w:lineRule="exact"/>
              <w:ind w:firstLine="0" w:firstLineChars="0"/>
              <w:jc w:val="center"/>
              <w:rPr>
                <w:sz w:val="21"/>
                <w:szCs w:val="21"/>
              </w:rPr>
            </w:pPr>
            <w:r>
              <w:rPr>
                <w:b/>
                <w:sz w:val="21"/>
                <w:szCs w:val="21"/>
              </w:rPr>
              <w:t>群系物种组成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乔木层</w:t>
            </w:r>
          </w:p>
        </w:tc>
        <w:tc>
          <w:tcPr>
            <w:tcW w:w="2520" w:type="dxa"/>
            <w:vAlign w:val="center"/>
          </w:tcPr>
          <w:p>
            <w:pPr>
              <w:spacing w:line="340" w:lineRule="exact"/>
              <w:ind w:firstLine="0" w:firstLineChars="0"/>
              <w:jc w:val="center"/>
              <w:rPr>
                <w:sz w:val="21"/>
                <w:szCs w:val="21"/>
              </w:rPr>
            </w:pPr>
            <w:r>
              <w:rPr>
                <w:sz w:val="21"/>
                <w:szCs w:val="21"/>
              </w:rPr>
              <w:t>高</w:t>
            </w:r>
            <w:r>
              <w:rPr>
                <w:rFonts w:hint="eastAsia"/>
                <w:sz w:val="21"/>
                <w:szCs w:val="21"/>
              </w:rPr>
              <w:t>8</w:t>
            </w:r>
            <w:r>
              <w:rPr>
                <w:sz w:val="21"/>
                <w:szCs w:val="21"/>
              </w:rPr>
              <w:t>~</w:t>
            </w:r>
            <w:r>
              <w:rPr>
                <w:rFonts w:hint="eastAsia"/>
                <w:sz w:val="21"/>
                <w:szCs w:val="21"/>
              </w:rPr>
              <w:t>13.0</w:t>
            </w:r>
            <w:r>
              <w:rPr>
                <w:sz w:val="21"/>
                <w:szCs w:val="21"/>
              </w:rPr>
              <w:t>m，盖度60%</w:t>
            </w:r>
          </w:p>
        </w:tc>
        <w:tc>
          <w:tcPr>
            <w:tcW w:w="5723" w:type="dxa"/>
            <w:gridSpan w:val="5"/>
            <w:vAlign w:val="center"/>
          </w:tcPr>
          <w:p>
            <w:pPr>
              <w:spacing w:line="340" w:lineRule="exact"/>
              <w:ind w:firstLine="0" w:firstLineChars="0"/>
              <w:jc w:val="center"/>
              <w:rPr>
                <w:sz w:val="21"/>
                <w:szCs w:val="21"/>
              </w:rPr>
            </w:pPr>
            <w:r>
              <w:rPr>
                <w:sz w:val="21"/>
                <w:szCs w:val="21"/>
              </w:rPr>
              <w:t>杉、</w:t>
            </w:r>
            <w:r>
              <w:rPr>
                <w:rFonts w:hint="eastAsia" w:hAnsi="宋体"/>
                <w:sz w:val="21"/>
                <w:szCs w:val="21"/>
              </w:rPr>
              <w:t>赤杨、枫香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vAlign w:val="center"/>
          </w:tcPr>
          <w:p>
            <w:pPr>
              <w:spacing w:line="340" w:lineRule="exact"/>
              <w:ind w:firstLine="0" w:firstLineChars="0"/>
              <w:jc w:val="center"/>
              <w:rPr>
                <w:sz w:val="21"/>
                <w:szCs w:val="21"/>
              </w:rPr>
            </w:pPr>
            <w:r>
              <w:rPr>
                <w:sz w:val="21"/>
                <w:szCs w:val="21"/>
              </w:rPr>
              <w:t>灌木层</w:t>
            </w:r>
          </w:p>
        </w:tc>
        <w:tc>
          <w:tcPr>
            <w:tcW w:w="2520" w:type="dxa"/>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.4~2</w:t>
            </w:r>
            <w:r>
              <w:rPr>
                <w:rFonts w:hint="eastAsia"/>
                <w:sz w:val="21"/>
                <w:szCs w:val="21"/>
              </w:rPr>
              <w:t>.5</w:t>
            </w:r>
            <w:r>
              <w:rPr>
                <w:sz w:val="21"/>
                <w:szCs w:val="21"/>
              </w:rPr>
              <w:t>m，盖度40%</w:t>
            </w:r>
          </w:p>
        </w:tc>
        <w:tc>
          <w:tcPr>
            <w:tcW w:w="5723" w:type="dxa"/>
            <w:gridSpan w:val="5"/>
            <w:vAlign w:val="center"/>
          </w:tcPr>
          <w:p>
            <w:pPr>
              <w:spacing w:line="340" w:lineRule="exact"/>
              <w:ind w:firstLine="0" w:firstLineChars="0"/>
              <w:jc w:val="center"/>
              <w:rPr>
                <w:sz w:val="21"/>
                <w:szCs w:val="21"/>
              </w:rPr>
            </w:pPr>
            <w:r>
              <w:rPr>
                <w:rFonts w:hint="eastAsia" w:hAnsi="宋体"/>
                <w:sz w:val="21"/>
                <w:szCs w:val="21"/>
              </w:rPr>
              <w:t xml:space="preserve">格药柃、毛柄连蕊茶（Camellia fraterna）、拟赤杨、杜茎山（Maesa japonica）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69" w:type="dxa"/>
            <w:tcBorders>
              <w:bottom w:val="single" w:color="auto" w:sz="12" w:space="0"/>
            </w:tcBorders>
            <w:vAlign w:val="center"/>
          </w:tcPr>
          <w:p>
            <w:pPr>
              <w:spacing w:line="340" w:lineRule="exact"/>
              <w:ind w:firstLine="0" w:firstLineChars="0"/>
              <w:jc w:val="center"/>
              <w:rPr>
                <w:sz w:val="21"/>
                <w:szCs w:val="21"/>
              </w:rPr>
            </w:pPr>
            <w:r>
              <w:rPr>
                <w:sz w:val="21"/>
                <w:szCs w:val="21"/>
              </w:rPr>
              <w:t>草本层</w:t>
            </w:r>
          </w:p>
        </w:tc>
        <w:tc>
          <w:tcPr>
            <w:tcW w:w="2520" w:type="dxa"/>
            <w:tcBorders>
              <w:bottom w:val="single" w:color="auto" w:sz="12" w:space="0"/>
            </w:tcBorders>
            <w:vAlign w:val="center"/>
          </w:tcPr>
          <w:p>
            <w:pPr>
              <w:spacing w:line="340" w:lineRule="exact"/>
              <w:ind w:firstLine="0" w:firstLineChars="0"/>
              <w:jc w:val="center"/>
              <w:rPr>
                <w:sz w:val="21"/>
                <w:szCs w:val="21"/>
              </w:rPr>
            </w:pPr>
            <w:r>
              <w:rPr>
                <w:sz w:val="21"/>
                <w:szCs w:val="21"/>
              </w:rPr>
              <w:t>高0.6m，盖度35%</w:t>
            </w:r>
          </w:p>
        </w:tc>
        <w:tc>
          <w:tcPr>
            <w:tcW w:w="5723" w:type="dxa"/>
            <w:gridSpan w:val="5"/>
            <w:tcBorders>
              <w:bottom w:val="single" w:color="auto" w:sz="12" w:space="0"/>
            </w:tcBorders>
            <w:vAlign w:val="center"/>
          </w:tcPr>
          <w:p>
            <w:pPr>
              <w:spacing w:line="340" w:lineRule="exact"/>
              <w:ind w:firstLine="0" w:firstLineChars="0"/>
              <w:jc w:val="center"/>
              <w:rPr>
                <w:sz w:val="21"/>
                <w:szCs w:val="21"/>
              </w:rPr>
            </w:pPr>
            <w:r>
              <w:rPr>
                <w:rFonts w:hint="eastAsia" w:hAnsi="宋体"/>
                <w:sz w:val="21"/>
                <w:szCs w:val="21"/>
              </w:rPr>
              <w:t>芒萁</w:t>
            </w:r>
          </w:p>
        </w:tc>
      </w:tr>
    </w:tbl>
    <w:p>
      <w:pPr>
        <w:spacing w:before="120" w:beforeLines="50" w:line="240" w:lineRule="auto"/>
        <w:ind w:firstLine="480"/>
        <w:jc w:val="center"/>
        <w:rPr>
          <w:rFonts w:ascii="黑体" w:hAnsi="黑体" w:eastAsia="黑体" w:cs="黑体"/>
          <w:color w:val="0000FF"/>
          <w:kern w:val="0"/>
        </w:rPr>
      </w:pPr>
      <w:r>
        <w:rPr>
          <w:rFonts w:hint="eastAsia" w:ascii="黑体" w:hAnsi="黑体" w:eastAsia="黑体" w:cs="黑体"/>
          <w:color w:val="0000FF"/>
          <w:kern w:val="0"/>
        </w:rPr>
        <w:t>表4.5-</w:t>
      </w:r>
      <w:r>
        <w:rPr>
          <w:rFonts w:ascii="黑体" w:hAnsi="黑体" w:eastAsia="黑体" w:cs="黑体"/>
          <w:color w:val="0000FF"/>
          <w:kern w:val="0"/>
        </w:rPr>
        <w:t>10</w:t>
      </w:r>
      <w:r>
        <w:rPr>
          <w:rFonts w:hint="eastAsia" w:ascii="黑体" w:hAnsi="黑体" w:eastAsia="黑体" w:cs="黑体"/>
          <w:color w:val="0000FF"/>
          <w:kern w:val="0"/>
        </w:rPr>
        <w:t xml:space="preserve">   杉木林样方调查表（样方2）</w:t>
      </w:r>
    </w:p>
    <w:tbl>
      <w:tblPr>
        <w:tblStyle w:val="82"/>
        <w:tblW w:w="951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2520"/>
        <w:gridCol w:w="532"/>
        <w:gridCol w:w="1247"/>
        <w:gridCol w:w="1158"/>
        <w:gridCol w:w="646"/>
        <w:gridCol w:w="21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321" w:type="dxa"/>
            <w:gridSpan w:val="3"/>
            <w:tcBorders>
              <w:top w:val="single" w:color="auto" w:sz="12" w:space="0"/>
            </w:tcBorders>
            <w:vAlign w:val="center"/>
          </w:tcPr>
          <w:p>
            <w:pPr>
              <w:spacing w:line="340" w:lineRule="exact"/>
              <w:ind w:firstLine="0" w:firstLineChars="0"/>
              <w:jc w:val="center"/>
              <w:rPr>
                <w:color w:val="0000FF"/>
                <w:sz w:val="21"/>
                <w:szCs w:val="21"/>
              </w:rPr>
            </w:pPr>
            <w:r>
              <w:rPr>
                <w:color w:val="0000FF"/>
                <w:sz w:val="21"/>
                <w:szCs w:val="21"/>
              </w:rPr>
              <w:t>植被类型/群落名称：杉</w:t>
            </w:r>
            <w:r>
              <w:rPr>
                <w:rFonts w:hint="eastAsia"/>
                <w:color w:val="0000FF"/>
                <w:sz w:val="21"/>
                <w:szCs w:val="21"/>
              </w:rPr>
              <w:t>木</w:t>
            </w:r>
            <w:r>
              <w:rPr>
                <w:color w:val="0000FF"/>
                <w:sz w:val="21"/>
                <w:szCs w:val="21"/>
              </w:rPr>
              <w:t>林</w:t>
            </w:r>
          </w:p>
        </w:tc>
        <w:tc>
          <w:tcPr>
            <w:tcW w:w="3051" w:type="dxa"/>
            <w:gridSpan w:val="3"/>
            <w:tcBorders>
              <w:top w:val="single" w:color="auto" w:sz="12" w:space="0"/>
            </w:tcBorders>
            <w:vAlign w:val="center"/>
          </w:tcPr>
          <w:p>
            <w:pPr>
              <w:spacing w:line="340" w:lineRule="exact"/>
              <w:ind w:firstLine="0" w:firstLineChars="0"/>
              <w:jc w:val="center"/>
              <w:rPr>
                <w:color w:val="0000FF"/>
                <w:sz w:val="21"/>
                <w:szCs w:val="21"/>
              </w:rPr>
            </w:pPr>
            <w:r>
              <w:rPr>
                <w:color w:val="0000FF"/>
                <w:sz w:val="21"/>
                <w:szCs w:val="21"/>
              </w:rPr>
              <w:t>点位：</w:t>
            </w:r>
            <w:r>
              <w:rPr>
                <w:rFonts w:hint="eastAsia"/>
                <w:color w:val="0000FF"/>
                <w:sz w:val="21"/>
                <w:szCs w:val="21"/>
              </w:rPr>
              <w:t>白溪村南面</w:t>
            </w:r>
            <w:r>
              <w:rPr>
                <w:color w:val="0000FF"/>
                <w:sz w:val="21"/>
                <w:szCs w:val="21"/>
              </w:rPr>
              <w:t>附近</w:t>
            </w:r>
          </w:p>
        </w:tc>
        <w:tc>
          <w:tcPr>
            <w:tcW w:w="2140" w:type="dxa"/>
            <w:tcBorders>
              <w:top w:val="single" w:color="auto" w:sz="12" w:space="0"/>
            </w:tcBorders>
            <w:vAlign w:val="center"/>
          </w:tcPr>
          <w:p>
            <w:pPr>
              <w:spacing w:line="340" w:lineRule="exact"/>
              <w:ind w:firstLine="0" w:firstLineChars="0"/>
              <w:rPr>
                <w:color w:val="0000FF"/>
                <w:sz w:val="21"/>
                <w:szCs w:val="21"/>
              </w:rPr>
            </w:pPr>
            <w:r>
              <w:rPr>
                <w:color w:val="0000FF"/>
                <w:sz w:val="21"/>
                <w:szCs w:val="21"/>
              </w:rPr>
              <w:t>调查时间：</w:t>
            </w:r>
            <w:r>
              <w:rPr>
                <w:color w:val="0000FF"/>
                <w:spacing w:val="-12"/>
                <w:sz w:val="21"/>
                <w:szCs w:val="21"/>
              </w:rPr>
              <w:t>202</w:t>
            </w:r>
            <w:r>
              <w:rPr>
                <w:rFonts w:hint="eastAsia"/>
                <w:color w:val="0000FF"/>
                <w:spacing w:val="-12"/>
                <w:sz w:val="21"/>
                <w:szCs w:val="21"/>
              </w:rPr>
              <w:t>2</w:t>
            </w:r>
            <w:r>
              <w:rPr>
                <w:color w:val="0000FF"/>
                <w:spacing w:val="-12"/>
                <w:sz w:val="21"/>
                <w:szCs w:val="21"/>
              </w:rPr>
              <w:t>-</w:t>
            </w:r>
            <w:r>
              <w:rPr>
                <w:rFonts w:hint="eastAsia"/>
                <w:color w:val="0000FF"/>
                <w:spacing w:val="-12"/>
                <w:sz w:val="21"/>
                <w:szCs w:val="21"/>
              </w:rPr>
              <w:t>6</w:t>
            </w:r>
            <w:r>
              <w:rPr>
                <w:color w:val="0000FF"/>
                <w:spacing w:val="-12"/>
                <w:sz w:val="21"/>
                <w:szCs w:val="21"/>
              </w:rPr>
              <w:t>-</w:t>
            </w:r>
            <w:r>
              <w:rPr>
                <w:rFonts w:hint="eastAsia"/>
                <w:color w:val="0000FF"/>
                <w:spacing w:val="-12"/>
                <w:sz w:val="21"/>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经纬度</w:t>
            </w:r>
          </w:p>
        </w:tc>
        <w:tc>
          <w:tcPr>
            <w:tcW w:w="3052" w:type="dxa"/>
            <w:gridSpan w:val="2"/>
            <w:vAlign w:val="center"/>
          </w:tcPr>
          <w:p>
            <w:pPr>
              <w:spacing w:line="340" w:lineRule="exact"/>
              <w:ind w:firstLine="0" w:firstLineChars="0"/>
              <w:jc w:val="center"/>
              <w:rPr>
                <w:color w:val="0000FF"/>
                <w:sz w:val="21"/>
                <w:szCs w:val="21"/>
              </w:rPr>
            </w:pPr>
            <w:r>
              <w:rPr>
                <w:rFonts w:hint="eastAsia"/>
                <w:color w:val="0000FF"/>
                <w:sz w:val="21"/>
                <w:szCs w:val="21"/>
              </w:rPr>
              <w:t>114°58′3.29″,</w:t>
            </w:r>
          </w:p>
          <w:p>
            <w:pPr>
              <w:spacing w:line="340" w:lineRule="exact"/>
              <w:ind w:firstLine="0" w:firstLineChars="0"/>
              <w:jc w:val="center"/>
              <w:rPr>
                <w:color w:val="0000FF"/>
                <w:sz w:val="21"/>
                <w:szCs w:val="21"/>
              </w:rPr>
            </w:pPr>
            <w:r>
              <w:rPr>
                <w:rFonts w:hint="eastAsia"/>
                <w:color w:val="0000FF"/>
                <w:sz w:val="21"/>
                <w:szCs w:val="21"/>
              </w:rPr>
              <w:t>28°14′14.91″</w:t>
            </w:r>
          </w:p>
        </w:tc>
        <w:tc>
          <w:tcPr>
            <w:tcW w:w="1247" w:type="dxa"/>
            <w:vAlign w:val="center"/>
          </w:tcPr>
          <w:p>
            <w:pPr>
              <w:spacing w:line="340" w:lineRule="exact"/>
              <w:ind w:firstLine="0" w:firstLineChars="0"/>
              <w:jc w:val="center"/>
              <w:rPr>
                <w:color w:val="0000FF"/>
                <w:sz w:val="21"/>
                <w:szCs w:val="21"/>
              </w:rPr>
            </w:pPr>
            <w:r>
              <w:rPr>
                <w:color w:val="0000FF"/>
                <w:sz w:val="21"/>
                <w:szCs w:val="21"/>
              </w:rPr>
              <w:t>海拔</w:t>
            </w:r>
          </w:p>
        </w:tc>
        <w:tc>
          <w:tcPr>
            <w:tcW w:w="1158" w:type="dxa"/>
            <w:vAlign w:val="center"/>
          </w:tcPr>
          <w:p>
            <w:pPr>
              <w:spacing w:line="340" w:lineRule="exact"/>
              <w:ind w:firstLine="0" w:firstLineChars="0"/>
              <w:jc w:val="center"/>
              <w:rPr>
                <w:color w:val="0000FF"/>
                <w:sz w:val="21"/>
                <w:szCs w:val="21"/>
              </w:rPr>
            </w:pPr>
            <w:r>
              <w:rPr>
                <w:rFonts w:hint="eastAsia"/>
                <w:color w:val="0000FF"/>
                <w:sz w:val="21"/>
                <w:szCs w:val="21"/>
              </w:rPr>
              <w:t>70</w:t>
            </w:r>
            <w:r>
              <w:rPr>
                <w:color w:val="0000FF"/>
                <w:sz w:val="21"/>
                <w:szCs w:val="21"/>
              </w:rPr>
              <w:t>米</w:t>
            </w:r>
          </w:p>
        </w:tc>
        <w:tc>
          <w:tcPr>
            <w:tcW w:w="2786" w:type="dxa"/>
            <w:gridSpan w:val="2"/>
            <w:vAlign w:val="center"/>
          </w:tcPr>
          <w:p>
            <w:pPr>
              <w:spacing w:line="340" w:lineRule="exact"/>
              <w:ind w:firstLine="0" w:firstLineChars="0"/>
              <w:jc w:val="center"/>
              <w:rPr>
                <w:color w:val="0000FF"/>
                <w:sz w:val="21"/>
                <w:szCs w:val="21"/>
              </w:rPr>
            </w:pPr>
            <w:r>
              <w:rPr>
                <w:color w:val="0000FF"/>
                <w:sz w:val="21"/>
                <w:szCs w:val="21"/>
              </w:rPr>
              <w:t>样方面积：20×20m</w:t>
            </w:r>
            <w:r>
              <w:rPr>
                <w:color w:val="0000FF"/>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地貌</w:t>
            </w:r>
          </w:p>
        </w:tc>
        <w:tc>
          <w:tcPr>
            <w:tcW w:w="3052" w:type="dxa"/>
            <w:gridSpan w:val="2"/>
            <w:vAlign w:val="center"/>
          </w:tcPr>
          <w:p>
            <w:pPr>
              <w:spacing w:line="340" w:lineRule="exact"/>
              <w:ind w:firstLine="0" w:firstLineChars="0"/>
              <w:jc w:val="center"/>
              <w:rPr>
                <w:color w:val="0000FF"/>
                <w:sz w:val="21"/>
                <w:szCs w:val="21"/>
              </w:rPr>
            </w:pPr>
            <w:r>
              <w:rPr>
                <w:color w:val="0000FF"/>
                <w:sz w:val="21"/>
                <w:szCs w:val="21"/>
              </w:rPr>
              <w:t>低山丘陵</w:t>
            </w:r>
          </w:p>
        </w:tc>
        <w:tc>
          <w:tcPr>
            <w:tcW w:w="1247" w:type="dxa"/>
            <w:vAlign w:val="center"/>
          </w:tcPr>
          <w:p>
            <w:pPr>
              <w:spacing w:line="340" w:lineRule="exact"/>
              <w:ind w:firstLine="0" w:firstLineChars="0"/>
              <w:jc w:val="center"/>
              <w:rPr>
                <w:color w:val="0000FF"/>
                <w:sz w:val="21"/>
                <w:szCs w:val="21"/>
              </w:rPr>
            </w:pPr>
            <w:r>
              <w:rPr>
                <w:color w:val="0000FF"/>
                <w:sz w:val="21"/>
                <w:szCs w:val="21"/>
              </w:rPr>
              <w:t>土壤</w:t>
            </w:r>
          </w:p>
        </w:tc>
        <w:tc>
          <w:tcPr>
            <w:tcW w:w="1158" w:type="dxa"/>
            <w:vAlign w:val="center"/>
          </w:tcPr>
          <w:p>
            <w:pPr>
              <w:spacing w:line="340" w:lineRule="exact"/>
              <w:ind w:firstLine="0" w:firstLineChars="0"/>
              <w:jc w:val="center"/>
              <w:rPr>
                <w:color w:val="0000FF"/>
                <w:sz w:val="21"/>
                <w:szCs w:val="21"/>
              </w:rPr>
            </w:pPr>
            <w:r>
              <w:rPr>
                <w:color w:val="0000FF"/>
                <w:sz w:val="21"/>
                <w:szCs w:val="21"/>
              </w:rPr>
              <w:t>红壤</w:t>
            </w:r>
          </w:p>
        </w:tc>
        <w:tc>
          <w:tcPr>
            <w:tcW w:w="2786" w:type="dxa"/>
            <w:gridSpan w:val="2"/>
            <w:vAlign w:val="center"/>
          </w:tcPr>
          <w:p>
            <w:pPr>
              <w:spacing w:line="340" w:lineRule="exact"/>
              <w:ind w:firstLine="0" w:firstLineChars="0"/>
              <w:jc w:val="center"/>
              <w:rPr>
                <w:color w:val="0000FF"/>
                <w:sz w:val="21"/>
                <w:szCs w:val="21"/>
              </w:rPr>
            </w:pPr>
            <w:r>
              <w:rPr>
                <w:color w:val="0000FF"/>
                <w:sz w:val="21"/>
                <w:szCs w:val="21"/>
              </w:rPr>
              <w:t>地上生物量：95</w:t>
            </w:r>
            <w:r>
              <w:rPr>
                <w:rFonts w:hint="eastAsia"/>
                <w:color w:val="0000FF"/>
                <w:sz w:val="21"/>
                <w:szCs w:val="21"/>
              </w:rPr>
              <w:t>578</w:t>
            </w:r>
            <w:r>
              <w:rPr>
                <w:color w:val="0000FF"/>
                <w:sz w:val="21"/>
                <w:szCs w:val="21"/>
              </w:rPr>
              <w:t>kg/hm</w:t>
            </w:r>
            <w:r>
              <w:rPr>
                <w:color w:val="0000FF"/>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环境简述</w:t>
            </w:r>
          </w:p>
        </w:tc>
        <w:tc>
          <w:tcPr>
            <w:tcW w:w="8243" w:type="dxa"/>
            <w:gridSpan w:val="6"/>
          </w:tcPr>
          <w:p>
            <w:pPr>
              <w:spacing w:line="340" w:lineRule="exact"/>
              <w:ind w:firstLine="0" w:firstLineChars="0"/>
              <w:jc w:val="center"/>
              <w:rPr>
                <w:color w:val="0000FF"/>
                <w:sz w:val="21"/>
                <w:szCs w:val="21"/>
              </w:rPr>
            </w:pPr>
            <w:r>
              <w:rPr>
                <w:color w:val="0000FF"/>
                <w:sz w:val="21"/>
                <w:szCs w:val="21"/>
              </w:rPr>
              <w:t>原人工杉林被采伐后，杉树伐蔸萌芽更新，经十几年封育而形成的针阔叶混交林。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林 层</w:t>
            </w:r>
          </w:p>
        </w:tc>
        <w:tc>
          <w:tcPr>
            <w:tcW w:w="2520" w:type="dxa"/>
          </w:tcPr>
          <w:p>
            <w:pPr>
              <w:spacing w:line="340" w:lineRule="exact"/>
              <w:ind w:firstLine="0" w:firstLineChars="0"/>
              <w:jc w:val="center"/>
              <w:rPr>
                <w:color w:val="0000FF"/>
                <w:sz w:val="21"/>
                <w:szCs w:val="21"/>
              </w:rPr>
            </w:pPr>
            <w:r>
              <w:rPr>
                <w:color w:val="0000FF"/>
                <w:sz w:val="21"/>
                <w:szCs w:val="21"/>
              </w:rPr>
              <w:t>单层林</w:t>
            </w:r>
          </w:p>
        </w:tc>
        <w:tc>
          <w:tcPr>
            <w:tcW w:w="5723" w:type="dxa"/>
            <w:gridSpan w:val="5"/>
            <w:vAlign w:val="bottom"/>
          </w:tcPr>
          <w:p>
            <w:pPr>
              <w:spacing w:line="340" w:lineRule="exact"/>
              <w:ind w:firstLine="0" w:firstLineChars="0"/>
              <w:jc w:val="center"/>
              <w:rPr>
                <w:color w:val="0000FF"/>
                <w:sz w:val="21"/>
                <w:szCs w:val="21"/>
              </w:rPr>
            </w:pPr>
            <w:r>
              <w:rPr>
                <w:b/>
                <w:color w:val="0000FF"/>
                <w:sz w:val="21"/>
                <w:szCs w:val="21"/>
              </w:rPr>
              <w:t>群系物种组成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乔木层</w:t>
            </w:r>
          </w:p>
        </w:tc>
        <w:tc>
          <w:tcPr>
            <w:tcW w:w="2520" w:type="dxa"/>
            <w:vAlign w:val="center"/>
          </w:tcPr>
          <w:p>
            <w:pPr>
              <w:spacing w:line="340" w:lineRule="exact"/>
              <w:ind w:firstLine="0" w:firstLineChars="0"/>
              <w:jc w:val="center"/>
              <w:rPr>
                <w:color w:val="0000FF"/>
                <w:sz w:val="21"/>
                <w:szCs w:val="21"/>
              </w:rPr>
            </w:pPr>
            <w:r>
              <w:rPr>
                <w:color w:val="0000FF"/>
                <w:sz w:val="21"/>
                <w:szCs w:val="21"/>
              </w:rPr>
              <w:t>高</w:t>
            </w:r>
            <w:r>
              <w:rPr>
                <w:rFonts w:hint="eastAsia"/>
                <w:color w:val="0000FF"/>
                <w:sz w:val="21"/>
                <w:szCs w:val="21"/>
              </w:rPr>
              <w:t>6</w:t>
            </w:r>
            <w:r>
              <w:rPr>
                <w:color w:val="0000FF"/>
                <w:sz w:val="21"/>
                <w:szCs w:val="21"/>
              </w:rPr>
              <w:t>~12</w:t>
            </w:r>
            <w:r>
              <w:rPr>
                <w:rFonts w:hint="eastAsia"/>
                <w:color w:val="0000FF"/>
                <w:sz w:val="21"/>
                <w:szCs w:val="21"/>
              </w:rPr>
              <w:t>.0</w:t>
            </w:r>
            <w:r>
              <w:rPr>
                <w:color w:val="0000FF"/>
                <w:sz w:val="21"/>
                <w:szCs w:val="21"/>
              </w:rPr>
              <w:t>m，盖度50%</w:t>
            </w:r>
          </w:p>
        </w:tc>
        <w:tc>
          <w:tcPr>
            <w:tcW w:w="5723" w:type="dxa"/>
            <w:gridSpan w:val="5"/>
            <w:vAlign w:val="center"/>
          </w:tcPr>
          <w:p>
            <w:pPr>
              <w:spacing w:line="340" w:lineRule="exact"/>
              <w:ind w:firstLine="0" w:firstLineChars="0"/>
              <w:jc w:val="center"/>
              <w:rPr>
                <w:color w:val="0000FF"/>
                <w:sz w:val="21"/>
                <w:szCs w:val="21"/>
              </w:rPr>
            </w:pPr>
            <w:r>
              <w:rPr>
                <w:color w:val="0000FF"/>
                <w:sz w:val="21"/>
                <w:szCs w:val="21"/>
              </w:rPr>
              <w:t>苦槠、杉木、枫香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269" w:type="dxa"/>
            <w:vAlign w:val="center"/>
          </w:tcPr>
          <w:p>
            <w:pPr>
              <w:spacing w:line="340" w:lineRule="exact"/>
              <w:ind w:firstLine="0" w:firstLineChars="0"/>
              <w:jc w:val="center"/>
              <w:rPr>
                <w:color w:val="0000FF"/>
                <w:sz w:val="21"/>
                <w:szCs w:val="21"/>
              </w:rPr>
            </w:pPr>
            <w:r>
              <w:rPr>
                <w:color w:val="0000FF"/>
                <w:sz w:val="21"/>
                <w:szCs w:val="21"/>
              </w:rPr>
              <w:t>灌木层</w:t>
            </w:r>
          </w:p>
        </w:tc>
        <w:tc>
          <w:tcPr>
            <w:tcW w:w="2520" w:type="dxa"/>
            <w:vAlign w:val="center"/>
          </w:tcPr>
          <w:p>
            <w:pPr>
              <w:spacing w:line="340" w:lineRule="exact"/>
              <w:ind w:firstLine="0" w:firstLineChars="0"/>
              <w:jc w:val="center"/>
              <w:rPr>
                <w:color w:val="0000FF"/>
                <w:sz w:val="21"/>
                <w:szCs w:val="21"/>
              </w:rPr>
            </w:pPr>
            <w:r>
              <w:rPr>
                <w:color w:val="0000FF"/>
                <w:sz w:val="21"/>
                <w:szCs w:val="21"/>
              </w:rPr>
              <w:t>高</w:t>
            </w:r>
            <w:r>
              <w:rPr>
                <w:rFonts w:hint="eastAsia"/>
                <w:color w:val="0000FF"/>
                <w:sz w:val="21"/>
                <w:szCs w:val="21"/>
              </w:rPr>
              <w:t>0</w:t>
            </w:r>
            <w:r>
              <w:rPr>
                <w:color w:val="0000FF"/>
                <w:sz w:val="21"/>
                <w:szCs w:val="21"/>
              </w:rPr>
              <w:t>.4~</w:t>
            </w:r>
            <w:r>
              <w:rPr>
                <w:rFonts w:hint="eastAsia"/>
                <w:color w:val="0000FF"/>
                <w:sz w:val="21"/>
                <w:szCs w:val="21"/>
              </w:rPr>
              <w:t>1.5</w:t>
            </w:r>
            <w:r>
              <w:rPr>
                <w:color w:val="0000FF"/>
                <w:sz w:val="21"/>
                <w:szCs w:val="21"/>
              </w:rPr>
              <w:t>m，盖度35%</w:t>
            </w:r>
          </w:p>
        </w:tc>
        <w:tc>
          <w:tcPr>
            <w:tcW w:w="5723" w:type="dxa"/>
            <w:gridSpan w:val="5"/>
            <w:vAlign w:val="center"/>
          </w:tcPr>
          <w:p>
            <w:pPr>
              <w:spacing w:line="340" w:lineRule="exact"/>
              <w:ind w:firstLine="0" w:firstLineChars="0"/>
              <w:jc w:val="center"/>
              <w:rPr>
                <w:color w:val="0000FF"/>
                <w:sz w:val="21"/>
                <w:szCs w:val="21"/>
              </w:rPr>
            </w:pPr>
            <w:r>
              <w:rPr>
                <w:rFonts w:hint="eastAsia" w:hAnsi="宋体"/>
                <w:color w:val="0000FF"/>
                <w:sz w:val="21"/>
                <w:szCs w:val="21"/>
              </w:rPr>
              <w:t>格药柃、毛柄连蕊茶、拟赤杨、杜茎山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exact"/>
          <w:jc w:val="center"/>
        </w:trPr>
        <w:tc>
          <w:tcPr>
            <w:tcW w:w="1269" w:type="dxa"/>
            <w:tcBorders>
              <w:bottom w:val="single" w:color="auto" w:sz="12" w:space="0"/>
            </w:tcBorders>
            <w:vAlign w:val="center"/>
          </w:tcPr>
          <w:p>
            <w:pPr>
              <w:spacing w:line="340" w:lineRule="exact"/>
              <w:ind w:firstLine="0" w:firstLineChars="0"/>
              <w:jc w:val="center"/>
              <w:rPr>
                <w:color w:val="0000FF"/>
                <w:sz w:val="21"/>
                <w:szCs w:val="21"/>
              </w:rPr>
            </w:pPr>
            <w:r>
              <w:rPr>
                <w:color w:val="0000FF"/>
                <w:sz w:val="21"/>
                <w:szCs w:val="21"/>
              </w:rPr>
              <w:t>草本层</w:t>
            </w:r>
          </w:p>
        </w:tc>
        <w:tc>
          <w:tcPr>
            <w:tcW w:w="2520" w:type="dxa"/>
            <w:tcBorders>
              <w:bottom w:val="single" w:color="auto" w:sz="12" w:space="0"/>
            </w:tcBorders>
            <w:vAlign w:val="center"/>
          </w:tcPr>
          <w:p>
            <w:pPr>
              <w:spacing w:line="340" w:lineRule="exact"/>
              <w:ind w:firstLine="0" w:firstLineChars="0"/>
              <w:jc w:val="center"/>
              <w:rPr>
                <w:color w:val="0000FF"/>
                <w:sz w:val="21"/>
                <w:szCs w:val="21"/>
              </w:rPr>
            </w:pPr>
            <w:r>
              <w:rPr>
                <w:color w:val="0000FF"/>
                <w:sz w:val="21"/>
                <w:szCs w:val="21"/>
              </w:rPr>
              <w:t>高0.6m，盖度2</w:t>
            </w:r>
            <w:r>
              <w:rPr>
                <w:rFonts w:hint="eastAsia"/>
                <w:color w:val="0000FF"/>
                <w:sz w:val="21"/>
                <w:szCs w:val="21"/>
              </w:rPr>
              <w:t>0</w:t>
            </w:r>
            <w:r>
              <w:rPr>
                <w:color w:val="0000FF"/>
                <w:sz w:val="21"/>
                <w:szCs w:val="21"/>
              </w:rPr>
              <w:t>%</w:t>
            </w:r>
          </w:p>
        </w:tc>
        <w:tc>
          <w:tcPr>
            <w:tcW w:w="5723" w:type="dxa"/>
            <w:gridSpan w:val="5"/>
            <w:tcBorders>
              <w:bottom w:val="single" w:color="auto" w:sz="12" w:space="0"/>
            </w:tcBorders>
            <w:vAlign w:val="center"/>
          </w:tcPr>
          <w:p>
            <w:pPr>
              <w:spacing w:line="340" w:lineRule="exact"/>
              <w:ind w:firstLine="0" w:firstLineChars="0"/>
              <w:jc w:val="center"/>
              <w:rPr>
                <w:color w:val="0000FF"/>
                <w:sz w:val="21"/>
                <w:szCs w:val="21"/>
              </w:rPr>
            </w:pPr>
            <w:r>
              <w:rPr>
                <w:rFonts w:hint="eastAsia" w:hAnsi="宋体"/>
                <w:color w:val="0000FF"/>
                <w:sz w:val="21"/>
                <w:szCs w:val="21"/>
              </w:rPr>
              <w:t>五节芒、山木通、海金沙</w:t>
            </w:r>
          </w:p>
        </w:tc>
      </w:tr>
    </w:tbl>
    <w:p>
      <w:pPr>
        <w:tabs>
          <w:tab w:val="left" w:pos="1815"/>
        </w:tabs>
        <w:ind w:firstLine="482"/>
        <w:rPr>
          <w:b/>
        </w:rPr>
        <w:sectPr>
          <w:type w:val="continuous"/>
          <w:pgSz w:w="11906" w:h="16838"/>
          <w:pgMar w:top="1814" w:right="1134" w:bottom="1701" w:left="1418" w:header="1077" w:footer="992" w:gutter="0"/>
          <w:cols w:space="720" w:num="1"/>
          <w:docGrid w:linePitch="326" w:charSpace="0"/>
        </w:sectPr>
      </w:pPr>
    </w:p>
    <w:p>
      <w:pPr>
        <w:tabs>
          <w:tab w:val="left" w:pos="1815"/>
        </w:tabs>
        <w:ind w:firstLine="482"/>
      </w:pPr>
      <w:r>
        <w:rPr>
          <w:rFonts w:hint="eastAsia"/>
          <w:b/>
        </w:rPr>
        <w:t>松树林：</w:t>
      </w:r>
      <w:r>
        <w:rPr>
          <w:bCs/>
        </w:rPr>
        <w:t>（</w:t>
      </w:r>
      <w:r>
        <w:rPr>
          <w:rFonts w:hint="eastAsia"/>
          <w:bCs/>
        </w:rPr>
        <w:t>Form.Pinus），松科松属植物，在各地均有分布。其适应力极强，对土壤要求不高，喜光照，较耐旱及耐寒。松树枝轮生，每年生一节或数节，冬芽显著，芽鳞多数。芽鳞、鳞叶（原生叶）、雄蕊、苞鳞、珠鳞及种鳞均螺旋状排列。鳞叶单生，幼时线形，绿色，随后逐渐退化成褐色；雌雄同株，球花单性。球果2年成熟，熟时种鳞张开，颜色由绿、紫色逐渐转变为黄色、浅褐色或暗褐色。评价范围可见自然更新的松树林。如敖背村附近的天然次生松树林，胸径多在10~30cm之间。乔木树种以松树为主，伴生有少量的枫香、台湾泡桐等。林分郁闭度在0.45～0.65之间。林下灌木有檵木、白栎、栀子、盐肤木、野茉莉、赤楠等为主；层间植物有紫藤等；草本层有狗脊、五节芒、芒萁等。灌草层盖度在15%～35%</w:t>
      </w:r>
      <w:r>
        <w:t>之间。</w:t>
      </w:r>
    </w:p>
    <w:p>
      <w:pPr>
        <w:tabs>
          <w:tab w:val="left" w:pos="1815"/>
        </w:tabs>
        <w:ind w:firstLine="480"/>
      </w:pPr>
      <w:r>
        <w:rPr>
          <w:rFonts w:hint="eastAsia"/>
        </w:rPr>
        <w:drawing>
          <wp:inline distT="0" distB="0" distL="114300" distR="114300">
            <wp:extent cx="2480945" cy="1860550"/>
            <wp:effectExtent l="0" t="0" r="14605" b="6350"/>
            <wp:docPr id="83" name="图片 83" descr="3a6b62f59c02014a61841501b1f50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a6b62f59c02014a61841501b1f507c"/>
                    <pic:cNvPicPr>
                      <a:picLocks noChangeAspect="1"/>
                    </pic:cNvPicPr>
                  </pic:nvPicPr>
                  <pic:blipFill>
                    <a:blip r:embed="rId61"/>
                    <a:stretch>
                      <a:fillRect/>
                    </a:stretch>
                  </pic:blipFill>
                  <pic:spPr>
                    <a:xfrm>
                      <a:off x="0" y="0"/>
                      <a:ext cx="2480945" cy="1860550"/>
                    </a:xfrm>
                    <a:prstGeom prst="rect">
                      <a:avLst/>
                    </a:prstGeom>
                  </pic:spPr>
                </pic:pic>
              </a:graphicData>
            </a:graphic>
          </wp:inline>
        </w:drawing>
      </w:r>
    </w:p>
    <w:p>
      <w:pPr>
        <w:tabs>
          <w:tab w:val="left" w:pos="1815"/>
        </w:tabs>
        <w:ind w:firstLine="480"/>
        <w:rPr>
          <w:bCs/>
        </w:rPr>
      </w:pPr>
      <w:r>
        <w:rPr>
          <w:rFonts w:hint="eastAsia"/>
          <w:bCs/>
        </w:rPr>
        <w:t xml:space="preserve">图4.5-3 </w:t>
      </w:r>
      <w:r>
        <w:rPr>
          <w:rFonts w:hint="eastAsia" w:ascii="黑体" w:hAnsi="黑体" w:eastAsia="黑体"/>
          <w:szCs w:val="21"/>
        </w:rPr>
        <w:t>松树林样方现场调查照片</w:t>
      </w:r>
      <w:r>
        <w:rPr>
          <w:rFonts w:hint="eastAsia"/>
          <w:bCs/>
        </w:rPr>
        <w:t xml:space="preserve"> </w:t>
      </w:r>
    </w:p>
    <w:p>
      <w:pPr>
        <w:tabs>
          <w:tab w:val="left" w:pos="1815"/>
        </w:tabs>
        <w:ind w:firstLine="480"/>
        <w:rPr>
          <w:bCs/>
        </w:rPr>
        <w:sectPr>
          <w:type w:val="continuous"/>
          <w:pgSz w:w="11906" w:h="16838"/>
          <w:pgMar w:top="1814" w:right="1134" w:bottom="1701" w:left="1418" w:header="1077" w:footer="992" w:gutter="0"/>
          <w:cols w:equalWidth="0" w:num="2">
            <w:col w:w="4464" w:space="425"/>
            <w:col w:w="4464"/>
          </w:cols>
          <w:docGrid w:linePitch="326" w:charSpace="0"/>
        </w:sectPr>
      </w:pPr>
    </w:p>
    <w:p>
      <w:pPr>
        <w:pStyle w:val="1022"/>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11</w:t>
      </w:r>
      <w:r>
        <w:rPr>
          <w:rFonts w:hint="eastAsia" w:ascii="黑体" w:hAnsi="黑体" w:eastAsia="黑体" w:cs="黑体"/>
        </w:rPr>
        <w:t xml:space="preserve">  松树林样方调查表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2894"/>
        <w:gridCol w:w="365"/>
        <w:gridCol w:w="1119"/>
        <w:gridCol w:w="936"/>
        <w:gridCol w:w="949"/>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00" w:type="dxa"/>
            <w:gridSpan w:val="3"/>
            <w:vAlign w:val="center"/>
          </w:tcPr>
          <w:p>
            <w:pPr>
              <w:spacing w:line="340" w:lineRule="exact"/>
              <w:ind w:firstLine="0" w:firstLineChars="0"/>
              <w:jc w:val="center"/>
              <w:rPr>
                <w:sz w:val="21"/>
                <w:szCs w:val="21"/>
              </w:rPr>
            </w:pPr>
            <w:r>
              <w:rPr>
                <w:b/>
                <w:sz w:val="21"/>
                <w:szCs w:val="21"/>
              </w:rPr>
              <w:t>植被类型/群落名称：</w:t>
            </w:r>
            <w:r>
              <w:rPr>
                <w:rFonts w:hint="eastAsia"/>
                <w:b/>
                <w:sz w:val="21"/>
                <w:szCs w:val="21"/>
              </w:rPr>
              <w:t>松树</w:t>
            </w:r>
            <w:r>
              <w:rPr>
                <w:b/>
                <w:sz w:val="21"/>
                <w:szCs w:val="21"/>
              </w:rPr>
              <w:t>林</w:t>
            </w:r>
          </w:p>
        </w:tc>
        <w:tc>
          <w:tcPr>
            <w:tcW w:w="3004" w:type="dxa"/>
            <w:gridSpan w:val="3"/>
            <w:vAlign w:val="center"/>
          </w:tcPr>
          <w:p>
            <w:pPr>
              <w:spacing w:line="340" w:lineRule="exact"/>
              <w:ind w:firstLine="0" w:firstLineChars="0"/>
              <w:jc w:val="center"/>
              <w:rPr>
                <w:spacing w:val="-12"/>
                <w:sz w:val="21"/>
                <w:szCs w:val="21"/>
              </w:rPr>
            </w:pPr>
            <w:r>
              <w:rPr>
                <w:b/>
                <w:sz w:val="21"/>
                <w:szCs w:val="21"/>
              </w:rPr>
              <w:t>点位：</w:t>
            </w:r>
            <w:r>
              <w:rPr>
                <w:rFonts w:hint="eastAsia"/>
                <w:color w:val="0000FF"/>
                <w:sz w:val="21"/>
                <w:szCs w:val="21"/>
              </w:rPr>
              <w:t>镜山森林公园</w:t>
            </w:r>
            <w:r>
              <w:rPr>
                <w:color w:val="0000FF"/>
                <w:sz w:val="21"/>
                <w:szCs w:val="21"/>
              </w:rPr>
              <w:t>附近</w:t>
            </w:r>
          </w:p>
        </w:tc>
        <w:tc>
          <w:tcPr>
            <w:tcW w:w="1781" w:type="dxa"/>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经纬度</w:t>
            </w:r>
          </w:p>
        </w:tc>
        <w:tc>
          <w:tcPr>
            <w:tcW w:w="2839" w:type="dxa"/>
            <w:gridSpan w:val="2"/>
            <w:vAlign w:val="center"/>
          </w:tcPr>
          <w:p>
            <w:pPr>
              <w:spacing w:line="340" w:lineRule="exact"/>
              <w:ind w:firstLine="0" w:firstLineChars="0"/>
              <w:rPr>
                <w:sz w:val="21"/>
                <w:szCs w:val="21"/>
              </w:rPr>
            </w:pPr>
            <w:r>
              <w:rPr>
                <w:sz w:val="21"/>
                <w:szCs w:val="21"/>
              </w:rPr>
              <w:t>N28</w:t>
            </w:r>
            <w:r>
              <w:rPr>
                <w:rFonts w:hint="eastAsia"/>
                <w:sz w:val="21"/>
                <w:szCs w:val="21"/>
              </w:rPr>
              <w:t>.231653599</w:t>
            </w:r>
            <w:r>
              <w:rPr>
                <w:rFonts w:hint="eastAsia" w:ascii="微软雅黑" w:hAnsi="微软雅黑" w:eastAsia="微软雅黑" w:cs="微软雅黑"/>
                <w:sz w:val="21"/>
                <w:szCs w:val="21"/>
              </w:rPr>
              <w:t>°</w:t>
            </w:r>
            <w:r>
              <w:rPr>
                <w:sz w:val="21"/>
                <w:szCs w:val="21"/>
              </w:rPr>
              <w:t>E11</w:t>
            </w:r>
            <w:r>
              <w:rPr>
                <w:rFonts w:hint="eastAsia"/>
                <w:sz w:val="21"/>
                <w:szCs w:val="21"/>
              </w:rPr>
              <w:t>4.955445647</w:t>
            </w:r>
            <w:r>
              <w:rPr>
                <w:rFonts w:hint="eastAsia" w:ascii="微软雅黑" w:hAnsi="微软雅黑" w:eastAsia="微软雅黑" w:cs="微软雅黑"/>
                <w:sz w:val="21"/>
                <w:szCs w:val="21"/>
              </w:rPr>
              <w:t>°</w:t>
            </w:r>
          </w:p>
        </w:tc>
        <w:tc>
          <w:tcPr>
            <w:tcW w:w="1119" w:type="dxa"/>
            <w:vAlign w:val="center"/>
          </w:tcPr>
          <w:p>
            <w:pPr>
              <w:spacing w:line="340" w:lineRule="exact"/>
              <w:ind w:firstLine="0" w:firstLineChars="0"/>
              <w:jc w:val="center"/>
              <w:rPr>
                <w:b/>
                <w:sz w:val="21"/>
                <w:szCs w:val="21"/>
              </w:rPr>
            </w:pPr>
            <w:r>
              <w:rPr>
                <w:b/>
                <w:sz w:val="21"/>
                <w:szCs w:val="21"/>
              </w:rPr>
              <w:t>海拔</w:t>
            </w:r>
          </w:p>
        </w:tc>
        <w:tc>
          <w:tcPr>
            <w:tcW w:w="936" w:type="dxa"/>
            <w:vAlign w:val="center"/>
          </w:tcPr>
          <w:p>
            <w:pPr>
              <w:spacing w:line="340" w:lineRule="exact"/>
              <w:ind w:firstLine="0" w:firstLineChars="0"/>
              <w:jc w:val="center"/>
              <w:rPr>
                <w:sz w:val="21"/>
                <w:szCs w:val="21"/>
              </w:rPr>
            </w:pPr>
            <w:r>
              <w:rPr>
                <w:rFonts w:hint="eastAsia"/>
                <w:sz w:val="21"/>
                <w:szCs w:val="21"/>
              </w:rPr>
              <w:t>60</w:t>
            </w:r>
            <w:r>
              <w:rPr>
                <w:sz w:val="21"/>
                <w:szCs w:val="21"/>
              </w:rPr>
              <w:t>m</w:t>
            </w:r>
          </w:p>
        </w:tc>
        <w:tc>
          <w:tcPr>
            <w:tcW w:w="2730" w:type="dxa"/>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地貌</w:t>
            </w:r>
          </w:p>
        </w:tc>
        <w:tc>
          <w:tcPr>
            <w:tcW w:w="2839" w:type="dxa"/>
            <w:gridSpan w:val="2"/>
            <w:vAlign w:val="center"/>
          </w:tcPr>
          <w:p>
            <w:pPr>
              <w:spacing w:line="340" w:lineRule="exact"/>
              <w:ind w:firstLine="0" w:firstLineChars="0"/>
              <w:jc w:val="center"/>
              <w:rPr>
                <w:sz w:val="21"/>
                <w:szCs w:val="21"/>
              </w:rPr>
            </w:pPr>
            <w:r>
              <w:rPr>
                <w:sz w:val="21"/>
                <w:szCs w:val="21"/>
              </w:rPr>
              <w:t>低丘岗地</w:t>
            </w:r>
          </w:p>
        </w:tc>
        <w:tc>
          <w:tcPr>
            <w:tcW w:w="1119" w:type="dxa"/>
            <w:vAlign w:val="center"/>
          </w:tcPr>
          <w:p>
            <w:pPr>
              <w:spacing w:line="340" w:lineRule="exact"/>
              <w:ind w:firstLine="0" w:firstLineChars="0"/>
              <w:jc w:val="center"/>
              <w:rPr>
                <w:b/>
                <w:sz w:val="21"/>
                <w:szCs w:val="21"/>
              </w:rPr>
            </w:pPr>
            <w:r>
              <w:rPr>
                <w:b/>
                <w:sz w:val="21"/>
                <w:szCs w:val="21"/>
              </w:rPr>
              <w:t>土壤</w:t>
            </w:r>
          </w:p>
        </w:tc>
        <w:tc>
          <w:tcPr>
            <w:tcW w:w="936" w:type="dxa"/>
            <w:vAlign w:val="center"/>
          </w:tcPr>
          <w:p>
            <w:pPr>
              <w:spacing w:line="340" w:lineRule="exact"/>
              <w:ind w:firstLine="0" w:firstLineChars="0"/>
              <w:jc w:val="center"/>
              <w:rPr>
                <w:sz w:val="21"/>
                <w:szCs w:val="21"/>
              </w:rPr>
            </w:pPr>
            <w:r>
              <w:rPr>
                <w:spacing w:val="-12"/>
                <w:sz w:val="21"/>
                <w:szCs w:val="21"/>
              </w:rPr>
              <w:t>红壤</w:t>
            </w:r>
          </w:p>
        </w:tc>
        <w:tc>
          <w:tcPr>
            <w:tcW w:w="2730" w:type="dxa"/>
            <w:gridSpan w:val="2"/>
            <w:vAlign w:val="center"/>
          </w:tcPr>
          <w:p>
            <w:pPr>
              <w:spacing w:line="340" w:lineRule="exact"/>
              <w:ind w:firstLine="0" w:firstLineChars="0"/>
              <w:jc w:val="center"/>
              <w:rPr>
                <w:sz w:val="21"/>
                <w:szCs w:val="21"/>
              </w:rPr>
            </w:pPr>
            <w:r>
              <w:rPr>
                <w:sz w:val="21"/>
                <w:szCs w:val="21"/>
              </w:rPr>
              <w:t>地上生物量：78936kg/hm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pacing w:val="-20"/>
                <w:sz w:val="21"/>
                <w:szCs w:val="21"/>
              </w:rPr>
              <w:t>环境简述</w:t>
            </w:r>
          </w:p>
        </w:tc>
        <w:tc>
          <w:tcPr>
            <w:tcW w:w="7624" w:type="dxa"/>
            <w:gridSpan w:val="6"/>
            <w:vAlign w:val="center"/>
          </w:tcPr>
          <w:p>
            <w:pPr>
              <w:spacing w:line="340" w:lineRule="exact"/>
              <w:ind w:firstLine="0" w:firstLineChars="0"/>
              <w:jc w:val="center"/>
              <w:rPr>
                <w:sz w:val="21"/>
                <w:szCs w:val="21"/>
              </w:rPr>
            </w:pPr>
            <w:r>
              <w:rPr>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林层</w:t>
            </w:r>
          </w:p>
        </w:tc>
        <w:tc>
          <w:tcPr>
            <w:tcW w:w="2474" w:type="dxa"/>
            <w:vAlign w:val="center"/>
          </w:tcPr>
          <w:p>
            <w:pPr>
              <w:spacing w:line="340" w:lineRule="exact"/>
              <w:ind w:firstLine="0" w:firstLineChars="0"/>
              <w:jc w:val="center"/>
              <w:rPr>
                <w:sz w:val="21"/>
                <w:szCs w:val="21"/>
              </w:rPr>
            </w:pPr>
            <w:r>
              <w:rPr>
                <w:sz w:val="21"/>
                <w:szCs w:val="21"/>
              </w:rPr>
              <w:t>单层林</w:t>
            </w:r>
          </w:p>
        </w:tc>
        <w:tc>
          <w:tcPr>
            <w:tcW w:w="5150" w:type="dxa"/>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乔木层</w:t>
            </w:r>
          </w:p>
        </w:tc>
        <w:tc>
          <w:tcPr>
            <w:tcW w:w="2474" w:type="dxa"/>
            <w:vAlign w:val="center"/>
          </w:tcPr>
          <w:p>
            <w:pPr>
              <w:spacing w:line="340" w:lineRule="exact"/>
              <w:ind w:firstLine="0" w:firstLineChars="0"/>
              <w:jc w:val="center"/>
              <w:rPr>
                <w:sz w:val="21"/>
                <w:szCs w:val="21"/>
              </w:rPr>
            </w:pPr>
            <w:r>
              <w:rPr>
                <w:sz w:val="21"/>
                <w:szCs w:val="21"/>
              </w:rPr>
              <w:t>高5~12m，盖度65%</w:t>
            </w:r>
          </w:p>
        </w:tc>
        <w:tc>
          <w:tcPr>
            <w:tcW w:w="5150" w:type="dxa"/>
            <w:gridSpan w:val="5"/>
            <w:vAlign w:val="center"/>
          </w:tcPr>
          <w:p>
            <w:pPr>
              <w:spacing w:line="340" w:lineRule="exact"/>
              <w:ind w:firstLine="0" w:firstLineChars="0"/>
              <w:jc w:val="center"/>
              <w:rPr>
                <w:sz w:val="21"/>
                <w:szCs w:val="21"/>
              </w:rPr>
            </w:pPr>
            <w:r>
              <w:rPr>
                <w:sz w:val="21"/>
                <w:szCs w:val="21"/>
              </w:rPr>
              <w:t>樟、马尾松、枫香、台湾泡桐、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灌木层</w:t>
            </w:r>
          </w:p>
        </w:tc>
        <w:tc>
          <w:tcPr>
            <w:tcW w:w="2474" w:type="dxa"/>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.3~2.0m，盖度45%</w:t>
            </w:r>
          </w:p>
        </w:tc>
        <w:tc>
          <w:tcPr>
            <w:tcW w:w="5150" w:type="dxa"/>
            <w:gridSpan w:val="5"/>
            <w:vAlign w:val="center"/>
          </w:tcPr>
          <w:p>
            <w:pPr>
              <w:spacing w:line="340" w:lineRule="exact"/>
              <w:ind w:firstLine="0" w:firstLineChars="0"/>
              <w:jc w:val="center"/>
              <w:rPr>
                <w:sz w:val="21"/>
                <w:szCs w:val="21"/>
              </w:rPr>
            </w:pPr>
            <w:r>
              <w:rPr>
                <w:rFonts w:hint="eastAsia"/>
                <w:sz w:val="21"/>
                <w:szCs w:val="21"/>
              </w:rPr>
              <w:t>黑果菝葜、枇杷叶紫珠、乌药、楤木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草本层</w:t>
            </w:r>
          </w:p>
        </w:tc>
        <w:tc>
          <w:tcPr>
            <w:tcW w:w="2474" w:type="dxa"/>
            <w:vAlign w:val="center"/>
          </w:tcPr>
          <w:p>
            <w:pPr>
              <w:spacing w:line="340" w:lineRule="exact"/>
              <w:ind w:firstLine="0" w:firstLineChars="0"/>
              <w:jc w:val="center"/>
              <w:rPr>
                <w:sz w:val="21"/>
                <w:szCs w:val="21"/>
              </w:rPr>
            </w:pPr>
            <w:r>
              <w:rPr>
                <w:sz w:val="21"/>
                <w:szCs w:val="21"/>
              </w:rPr>
              <w:t>高0.6m，盖度</w:t>
            </w:r>
            <w:r>
              <w:rPr>
                <w:rFonts w:hint="eastAsia"/>
                <w:sz w:val="21"/>
                <w:szCs w:val="21"/>
              </w:rPr>
              <w:t>1</w:t>
            </w:r>
            <w:r>
              <w:rPr>
                <w:sz w:val="21"/>
                <w:szCs w:val="21"/>
              </w:rPr>
              <w:t>5%</w:t>
            </w:r>
          </w:p>
        </w:tc>
        <w:tc>
          <w:tcPr>
            <w:tcW w:w="5150" w:type="dxa"/>
            <w:gridSpan w:val="5"/>
            <w:vAlign w:val="center"/>
          </w:tcPr>
          <w:p>
            <w:pPr>
              <w:spacing w:line="340" w:lineRule="exact"/>
              <w:ind w:firstLine="0" w:firstLineChars="0"/>
              <w:jc w:val="center"/>
              <w:rPr>
                <w:sz w:val="21"/>
                <w:szCs w:val="21"/>
              </w:rPr>
            </w:pPr>
            <w:r>
              <w:rPr>
                <w:rFonts w:hint="eastAsia"/>
                <w:sz w:val="21"/>
                <w:szCs w:val="21"/>
              </w:rPr>
              <w:t>苎麻、三脉紫菀、紫苏</w:t>
            </w:r>
          </w:p>
        </w:tc>
      </w:tr>
    </w:tbl>
    <w:p>
      <w:pPr>
        <w:tabs>
          <w:tab w:val="left" w:pos="1815"/>
        </w:tabs>
        <w:ind w:firstLine="482"/>
      </w:pPr>
      <w:r>
        <w:rPr>
          <w:b/>
        </w:rPr>
        <w:t>天然阔叶林：</w:t>
      </w:r>
      <w:r>
        <w:rPr>
          <w:rFonts w:hint="eastAsia"/>
        </w:rPr>
        <w:t>阔叶林是指以阔叶树为建群种所组成的各类阔叶林类型的总称。江西省地带性植被是中亚热带常绿阔叶林。常绿阔叶林在评价区分布面积较大，主要是在原有的杉木林和马尾松林砍伐后天然恢复的次生林，林龄约为10～15年左右。由于人为干扰相对较少，林分郁闭度一般。</w:t>
      </w:r>
    </w:p>
    <w:p>
      <w:pPr>
        <w:pStyle w:val="74"/>
        <w:shd w:val="clear" w:color="auto" w:fill="FFFFFF"/>
        <w:spacing w:before="0" w:beforeAutospacing="0" w:after="0" w:afterAutospacing="0" w:line="360" w:lineRule="auto"/>
        <w:ind w:firstLine="420"/>
        <w:rPr>
          <w:rFonts w:ascii="Times New Roman" w:hAnsi="Times New Roman"/>
          <w:kern w:val="2"/>
        </w:rPr>
      </w:pPr>
      <w:r>
        <w:rPr>
          <w:rFonts w:hint="eastAsia"/>
          <w:b/>
        </w:rPr>
        <w:t>杨</w:t>
      </w:r>
      <w:r>
        <w:rPr>
          <w:b/>
        </w:rPr>
        <w:t>树林（Form.</w:t>
      </w:r>
      <w:r>
        <w:rPr>
          <w:rFonts w:ascii="Times New Roman" w:hAnsi="Times New Roman"/>
          <w:color w:val="333333"/>
          <w:shd w:val="clear" w:color="auto" w:fill="FFFFFF"/>
        </w:rPr>
        <w:t>Populus L</w:t>
      </w:r>
      <w:r>
        <w:rPr>
          <w:b/>
        </w:rPr>
        <w:t>）：</w:t>
      </w:r>
      <w:r>
        <w:rPr>
          <w:rFonts w:ascii="Times New Roman" w:hAnsi="Times New Roman"/>
          <w:kern w:val="2"/>
        </w:rPr>
        <w:fldChar w:fldCharType="begin"/>
      </w:r>
      <w:r>
        <w:rPr>
          <w:rFonts w:ascii="Times New Roman" w:hAnsi="Times New Roman"/>
          <w:kern w:val="2"/>
        </w:rPr>
        <w:instrText xml:space="preserve"> HYPERLINK "https://baike.sogou.com/lemma/ShowInnerLink.htm?lemmaId=223976&amp;ss_c=ssc.citiao.link" \t "https://baike.sogou.com/_blank" </w:instrText>
      </w:r>
      <w:r>
        <w:rPr>
          <w:rFonts w:ascii="Times New Roman" w:hAnsi="Times New Roman"/>
          <w:kern w:val="2"/>
        </w:rPr>
        <w:fldChar w:fldCharType="separate"/>
      </w:r>
      <w:r>
        <w:rPr>
          <w:rFonts w:ascii="Times New Roman" w:hAnsi="Times New Roman"/>
          <w:kern w:val="2"/>
        </w:rPr>
        <w:t>杨柳科</w:t>
      </w:r>
      <w:r>
        <w:rPr>
          <w:rFonts w:ascii="Times New Roman" w:hAnsi="Times New Roman"/>
          <w:kern w:val="2"/>
        </w:rPr>
        <w:fldChar w:fldCharType="end"/>
      </w:r>
      <w:r>
        <w:rPr>
          <w:rFonts w:ascii="Times New Roman" w:hAnsi="Times New Roman"/>
          <w:kern w:val="2"/>
        </w:rPr>
        <w:t>杨属植物。它主要分布于华中、华北、西北、东北等广阔地区。</w:t>
      </w:r>
    </w:p>
    <w:p>
      <w:pPr>
        <w:pStyle w:val="74"/>
        <w:shd w:val="clear" w:color="auto" w:fill="FFFFFF"/>
        <w:spacing w:before="0" w:beforeAutospacing="0" w:after="0" w:afterAutospacing="0" w:line="360" w:lineRule="auto"/>
        <w:ind w:firstLine="420"/>
      </w:pPr>
      <w:r>
        <w:rPr>
          <w:rFonts w:ascii="Times New Roman" w:hAnsi="Times New Roman"/>
          <w:kern w:val="2"/>
        </w:rPr>
        <w:t>其树干通常端直，树皮光滑或纵裂，常为灰白色，芽鳞多数，叶互生，齿状缘；叶柄长，侧扁或圆柱形；葇荑花序下垂，苞片先端尖裂或条裂，花药暗红色，花丝较短，子房花柱短；蒴果2~4(5)裂，种子小，子叶椭圆形。杨树是散生在北半球温带和寒温带的森林树种。</w:t>
      </w:r>
      <w:r>
        <w:t>樟在江西省境内分布广泛，且自然更新良好。</w:t>
      </w:r>
    </w:p>
    <w:tbl>
      <w:tblPr>
        <w:tblStyle w:val="82"/>
        <w:tblpPr w:leftFromText="180" w:rightFromText="180" w:vertAnchor="text" w:horzAnchor="margin" w:tblpY="257"/>
        <w:tblOverlap w:val="never"/>
        <w:tblW w:w="0" w:type="auto"/>
        <w:tblInd w:w="0" w:type="dxa"/>
        <w:tblLayout w:type="autofit"/>
        <w:tblCellMar>
          <w:top w:w="0" w:type="dxa"/>
          <w:left w:w="108" w:type="dxa"/>
          <w:bottom w:w="0" w:type="dxa"/>
          <w:right w:w="108" w:type="dxa"/>
        </w:tblCellMar>
      </w:tblPr>
      <w:tblGrid>
        <w:gridCol w:w="4560"/>
      </w:tblGrid>
      <w:tr>
        <w:tblPrEx>
          <w:tblCellMar>
            <w:top w:w="0" w:type="dxa"/>
            <w:left w:w="108" w:type="dxa"/>
            <w:bottom w:w="0" w:type="dxa"/>
            <w:right w:w="108" w:type="dxa"/>
          </w:tblCellMar>
        </w:tblPrEx>
        <w:trPr>
          <w:trHeight w:val="3112" w:hRule="atLeast"/>
        </w:trPr>
        <w:tc>
          <w:tcPr>
            <w:tcW w:w="4560" w:type="dxa"/>
            <w:vAlign w:val="center"/>
          </w:tcPr>
          <w:p>
            <w:pPr>
              <w:tabs>
                <w:tab w:val="left" w:pos="5670"/>
              </w:tabs>
              <w:spacing w:line="240" w:lineRule="auto"/>
              <w:ind w:firstLine="0" w:firstLineChars="0"/>
              <w:jc w:val="center"/>
            </w:pPr>
            <w:r>
              <w:rPr>
                <w:rFonts w:hint="eastAsia"/>
              </w:rPr>
              <w:drawing>
                <wp:inline distT="0" distB="0" distL="114300" distR="114300">
                  <wp:extent cx="2495550" cy="2105025"/>
                  <wp:effectExtent l="0" t="0" r="0" b="0"/>
                  <wp:docPr id="84" name="图片 84" descr="df9273c4a5a4a7418efd120d32171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f9273c4a5a4a7418efd120d32171c2"/>
                          <pic:cNvPicPr>
                            <a:picLocks noChangeAspect="1"/>
                          </pic:cNvPicPr>
                        </pic:nvPicPr>
                        <pic:blipFill>
                          <a:blip r:embed="rId62"/>
                          <a:srcRect r="23609" b="14066"/>
                          <a:stretch>
                            <a:fillRect/>
                          </a:stretch>
                        </pic:blipFill>
                        <pic:spPr>
                          <a:xfrm>
                            <a:off x="0" y="0"/>
                            <a:ext cx="2503635" cy="2111653"/>
                          </a:xfrm>
                          <a:prstGeom prst="rect">
                            <a:avLst/>
                          </a:prstGeom>
                          <a:ln>
                            <a:noFill/>
                          </a:ln>
                        </pic:spPr>
                      </pic:pic>
                    </a:graphicData>
                  </a:graphic>
                </wp:inline>
              </w:drawing>
            </w:r>
          </w:p>
          <w:p>
            <w:pPr>
              <w:tabs>
                <w:tab w:val="left" w:pos="5670"/>
              </w:tabs>
              <w:spacing w:line="240" w:lineRule="auto"/>
              <w:ind w:firstLine="0" w:firstLineChars="0"/>
              <w:jc w:val="center"/>
              <w:rPr>
                <w:spacing w:val="-16"/>
              </w:rPr>
            </w:pPr>
            <w:r>
              <w:rPr>
                <w:rFonts w:eastAsia="黑体"/>
              </w:rPr>
              <w:t>图4.</w:t>
            </w:r>
            <w:r>
              <w:rPr>
                <w:rFonts w:hint="eastAsia" w:eastAsia="黑体"/>
              </w:rPr>
              <w:t>5</w:t>
            </w:r>
            <w:r>
              <w:rPr>
                <w:rFonts w:eastAsia="黑体"/>
              </w:rPr>
              <w:t>-</w:t>
            </w:r>
            <w:r>
              <w:rPr>
                <w:rFonts w:hint="eastAsia" w:eastAsia="黑体"/>
              </w:rPr>
              <w:t>4</w:t>
            </w:r>
            <w:r>
              <w:rPr>
                <w:rFonts w:eastAsia="黑体"/>
              </w:rPr>
              <w:t xml:space="preserve">  </w:t>
            </w:r>
            <w:r>
              <w:rPr>
                <w:rFonts w:hint="eastAsia" w:eastAsia="黑体"/>
              </w:rPr>
              <w:t>杨</w:t>
            </w:r>
            <w:r>
              <w:rPr>
                <w:rFonts w:eastAsia="黑体"/>
              </w:rPr>
              <w:t>树林</w:t>
            </w:r>
            <w:r>
              <w:rPr>
                <w:rFonts w:hint="eastAsia" w:ascii="黑体" w:hAnsi="黑体" w:eastAsia="黑体"/>
                <w:szCs w:val="21"/>
              </w:rPr>
              <w:t>样方现场调查照片</w:t>
            </w:r>
          </w:p>
        </w:tc>
      </w:tr>
    </w:tbl>
    <w:p>
      <w:pPr>
        <w:tabs>
          <w:tab w:val="left" w:pos="5670"/>
        </w:tabs>
        <w:ind w:firstLine="480"/>
      </w:pPr>
      <w:r>
        <w:t>评价范围可见自然更新的</w:t>
      </w:r>
      <w:r>
        <w:rPr>
          <w:rFonts w:hint="eastAsia"/>
        </w:rPr>
        <w:t>杨</w:t>
      </w:r>
      <w:r>
        <w:t>树林。如</w:t>
      </w:r>
      <w:r>
        <w:rPr>
          <w:rFonts w:hint="eastAsia"/>
        </w:rPr>
        <w:t>庙前</w:t>
      </w:r>
      <w:r>
        <w:t>附近的天然次生</w:t>
      </w:r>
      <w:r>
        <w:rPr>
          <w:rFonts w:hint="eastAsia"/>
        </w:rPr>
        <w:t>杨</w:t>
      </w:r>
      <w:r>
        <w:t>树林，</w:t>
      </w:r>
      <w:r>
        <w:rPr>
          <w:bCs/>
        </w:rPr>
        <w:t>胸径多在10~30cm之间。</w:t>
      </w:r>
      <w:r>
        <w:t>乔木树种以</w:t>
      </w:r>
      <w:r>
        <w:rPr>
          <w:rFonts w:hint="eastAsia"/>
        </w:rPr>
        <w:t>杨</w:t>
      </w:r>
      <w:r>
        <w:t>为主，伴生有少量的枫香、马尾松、</w:t>
      </w:r>
      <w:r>
        <w:rPr>
          <w:rFonts w:hint="eastAsia"/>
        </w:rPr>
        <w:t>毛竹</w:t>
      </w:r>
      <w:r>
        <w:t>等。林分郁闭度在0.45～0.65之间。林下灌木有檵木、白栎、栀子、盐肤木、野茉莉、赤楠等为主；层间植物有紫藤等；草本层有狗脊、中华苔草、芒萁等。灌草层盖度在15%～35%之间。</w:t>
      </w:r>
    </w:p>
    <w:p>
      <w:pPr>
        <w:pStyle w:val="1022"/>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12</w:t>
      </w:r>
      <w:r>
        <w:rPr>
          <w:rFonts w:hint="eastAsia" w:ascii="黑体" w:hAnsi="黑体" w:eastAsia="黑体" w:cs="黑体"/>
        </w:rPr>
        <w:t xml:space="preserve">  杨树林样方调查表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3104"/>
        <w:gridCol w:w="364"/>
        <w:gridCol w:w="1110"/>
        <w:gridCol w:w="931"/>
        <w:gridCol w:w="939"/>
        <w:gridCol w:w="17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00" w:type="dxa"/>
            <w:gridSpan w:val="3"/>
            <w:vAlign w:val="center"/>
          </w:tcPr>
          <w:p>
            <w:pPr>
              <w:spacing w:line="340" w:lineRule="exact"/>
              <w:ind w:firstLine="0" w:firstLineChars="0"/>
              <w:jc w:val="center"/>
              <w:rPr>
                <w:sz w:val="21"/>
                <w:szCs w:val="21"/>
              </w:rPr>
            </w:pPr>
            <w:r>
              <w:rPr>
                <w:b/>
                <w:sz w:val="21"/>
                <w:szCs w:val="21"/>
              </w:rPr>
              <w:t>植被类型/群落名称：</w:t>
            </w:r>
            <w:r>
              <w:rPr>
                <w:rFonts w:hint="eastAsia"/>
                <w:b/>
                <w:sz w:val="21"/>
                <w:szCs w:val="21"/>
              </w:rPr>
              <w:t>杨</w:t>
            </w:r>
            <w:r>
              <w:rPr>
                <w:b/>
                <w:sz w:val="21"/>
                <w:szCs w:val="21"/>
              </w:rPr>
              <w:t>树林</w:t>
            </w:r>
          </w:p>
        </w:tc>
        <w:tc>
          <w:tcPr>
            <w:tcW w:w="3004" w:type="dxa"/>
            <w:gridSpan w:val="3"/>
            <w:vAlign w:val="center"/>
          </w:tcPr>
          <w:p>
            <w:pPr>
              <w:spacing w:line="340" w:lineRule="exact"/>
              <w:ind w:firstLine="0" w:firstLineChars="0"/>
              <w:jc w:val="center"/>
              <w:rPr>
                <w:spacing w:val="-12"/>
                <w:sz w:val="21"/>
                <w:szCs w:val="21"/>
              </w:rPr>
            </w:pPr>
            <w:r>
              <w:rPr>
                <w:b/>
                <w:sz w:val="21"/>
                <w:szCs w:val="21"/>
              </w:rPr>
              <w:t>点位：</w:t>
            </w:r>
            <w:r>
              <w:rPr>
                <w:rFonts w:hint="eastAsia"/>
                <w:sz w:val="21"/>
                <w:szCs w:val="21"/>
              </w:rPr>
              <w:t>坝址左岸</w:t>
            </w:r>
            <w:r>
              <w:rPr>
                <w:sz w:val="21"/>
                <w:szCs w:val="21"/>
              </w:rPr>
              <w:t>附近</w:t>
            </w:r>
          </w:p>
        </w:tc>
        <w:tc>
          <w:tcPr>
            <w:tcW w:w="1781" w:type="dxa"/>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经纬度</w:t>
            </w:r>
          </w:p>
        </w:tc>
        <w:tc>
          <w:tcPr>
            <w:tcW w:w="2839" w:type="dxa"/>
            <w:gridSpan w:val="2"/>
            <w:vAlign w:val="center"/>
          </w:tcPr>
          <w:p>
            <w:pPr>
              <w:spacing w:line="340" w:lineRule="exact"/>
              <w:ind w:firstLine="0" w:firstLineChars="0"/>
              <w:rPr>
                <w:sz w:val="21"/>
                <w:szCs w:val="21"/>
              </w:rPr>
            </w:pPr>
            <w:r>
              <w:rPr>
                <w:rFonts w:hint="eastAsia"/>
                <w:sz w:val="21"/>
                <w:szCs w:val="21"/>
              </w:rPr>
              <w:t>114°57′47.86″,28°14′35.24″</w:t>
            </w:r>
          </w:p>
        </w:tc>
        <w:tc>
          <w:tcPr>
            <w:tcW w:w="1119" w:type="dxa"/>
            <w:vAlign w:val="center"/>
          </w:tcPr>
          <w:p>
            <w:pPr>
              <w:spacing w:line="340" w:lineRule="exact"/>
              <w:ind w:firstLine="0" w:firstLineChars="0"/>
              <w:jc w:val="center"/>
              <w:rPr>
                <w:b/>
                <w:sz w:val="21"/>
                <w:szCs w:val="21"/>
              </w:rPr>
            </w:pPr>
            <w:r>
              <w:rPr>
                <w:b/>
                <w:sz w:val="21"/>
                <w:szCs w:val="21"/>
              </w:rPr>
              <w:t>海拔</w:t>
            </w:r>
          </w:p>
        </w:tc>
        <w:tc>
          <w:tcPr>
            <w:tcW w:w="936" w:type="dxa"/>
            <w:vAlign w:val="center"/>
          </w:tcPr>
          <w:p>
            <w:pPr>
              <w:spacing w:line="340" w:lineRule="exact"/>
              <w:ind w:firstLine="0" w:firstLineChars="0"/>
              <w:jc w:val="center"/>
              <w:rPr>
                <w:sz w:val="21"/>
                <w:szCs w:val="21"/>
              </w:rPr>
            </w:pPr>
            <w:r>
              <w:rPr>
                <w:rFonts w:hint="eastAsia"/>
                <w:sz w:val="21"/>
                <w:szCs w:val="21"/>
              </w:rPr>
              <w:t>65</w:t>
            </w:r>
            <w:r>
              <w:rPr>
                <w:sz w:val="21"/>
                <w:szCs w:val="21"/>
              </w:rPr>
              <w:t>m</w:t>
            </w:r>
          </w:p>
        </w:tc>
        <w:tc>
          <w:tcPr>
            <w:tcW w:w="2730" w:type="dxa"/>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地貌</w:t>
            </w:r>
          </w:p>
        </w:tc>
        <w:tc>
          <w:tcPr>
            <w:tcW w:w="2839" w:type="dxa"/>
            <w:gridSpan w:val="2"/>
            <w:vAlign w:val="center"/>
          </w:tcPr>
          <w:p>
            <w:pPr>
              <w:spacing w:line="340" w:lineRule="exact"/>
              <w:ind w:firstLine="0" w:firstLineChars="0"/>
              <w:jc w:val="center"/>
              <w:rPr>
                <w:sz w:val="21"/>
                <w:szCs w:val="21"/>
              </w:rPr>
            </w:pPr>
            <w:r>
              <w:rPr>
                <w:sz w:val="21"/>
                <w:szCs w:val="21"/>
              </w:rPr>
              <w:t>低丘岗地</w:t>
            </w:r>
          </w:p>
        </w:tc>
        <w:tc>
          <w:tcPr>
            <w:tcW w:w="1119" w:type="dxa"/>
            <w:vAlign w:val="center"/>
          </w:tcPr>
          <w:p>
            <w:pPr>
              <w:spacing w:line="340" w:lineRule="exact"/>
              <w:ind w:firstLine="0" w:firstLineChars="0"/>
              <w:jc w:val="center"/>
              <w:rPr>
                <w:b/>
                <w:sz w:val="21"/>
                <w:szCs w:val="21"/>
              </w:rPr>
            </w:pPr>
            <w:r>
              <w:rPr>
                <w:b/>
                <w:sz w:val="21"/>
                <w:szCs w:val="21"/>
              </w:rPr>
              <w:t>土壤</w:t>
            </w:r>
          </w:p>
        </w:tc>
        <w:tc>
          <w:tcPr>
            <w:tcW w:w="936" w:type="dxa"/>
            <w:vAlign w:val="center"/>
          </w:tcPr>
          <w:p>
            <w:pPr>
              <w:spacing w:line="340" w:lineRule="exact"/>
              <w:ind w:firstLine="0" w:firstLineChars="0"/>
              <w:jc w:val="center"/>
              <w:rPr>
                <w:sz w:val="21"/>
                <w:szCs w:val="21"/>
              </w:rPr>
            </w:pPr>
            <w:r>
              <w:rPr>
                <w:spacing w:val="-12"/>
                <w:sz w:val="21"/>
                <w:szCs w:val="21"/>
              </w:rPr>
              <w:t>红壤</w:t>
            </w:r>
          </w:p>
        </w:tc>
        <w:tc>
          <w:tcPr>
            <w:tcW w:w="2730" w:type="dxa"/>
            <w:gridSpan w:val="2"/>
            <w:vAlign w:val="center"/>
          </w:tcPr>
          <w:p>
            <w:pPr>
              <w:spacing w:line="340" w:lineRule="exact"/>
              <w:ind w:firstLine="0" w:firstLineChars="0"/>
              <w:jc w:val="center"/>
              <w:rPr>
                <w:sz w:val="21"/>
                <w:szCs w:val="21"/>
              </w:rPr>
            </w:pPr>
            <w:r>
              <w:rPr>
                <w:sz w:val="21"/>
                <w:szCs w:val="21"/>
              </w:rPr>
              <w:t>地上生物量：68936kg/hm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pacing w:val="-20"/>
                <w:sz w:val="21"/>
                <w:szCs w:val="21"/>
              </w:rPr>
              <w:t>环境简述</w:t>
            </w:r>
          </w:p>
        </w:tc>
        <w:tc>
          <w:tcPr>
            <w:tcW w:w="7624" w:type="dxa"/>
            <w:gridSpan w:val="6"/>
            <w:vAlign w:val="center"/>
          </w:tcPr>
          <w:p>
            <w:pPr>
              <w:spacing w:line="340" w:lineRule="exact"/>
              <w:ind w:firstLine="0" w:firstLineChars="0"/>
              <w:jc w:val="center"/>
              <w:rPr>
                <w:sz w:val="21"/>
                <w:szCs w:val="21"/>
              </w:rPr>
            </w:pPr>
            <w:r>
              <w:rPr>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林层</w:t>
            </w:r>
          </w:p>
        </w:tc>
        <w:tc>
          <w:tcPr>
            <w:tcW w:w="2474" w:type="dxa"/>
            <w:vAlign w:val="center"/>
          </w:tcPr>
          <w:p>
            <w:pPr>
              <w:spacing w:line="340" w:lineRule="exact"/>
              <w:ind w:firstLine="0" w:firstLineChars="0"/>
              <w:jc w:val="center"/>
              <w:rPr>
                <w:sz w:val="21"/>
                <w:szCs w:val="21"/>
              </w:rPr>
            </w:pPr>
            <w:r>
              <w:rPr>
                <w:sz w:val="21"/>
                <w:szCs w:val="21"/>
              </w:rPr>
              <w:t>单层林</w:t>
            </w:r>
          </w:p>
        </w:tc>
        <w:tc>
          <w:tcPr>
            <w:tcW w:w="5150" w:type="dxa"/>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乔木层</w:t>
            </w:r>
          </w:p>
        </w:tc>
        <w:tc>
          <w:tcPr>
            <w:tcW w:w="2474" w:type="dxa"/>
            <w:vAlign w:val="center"/>
          </w:tcPr>
          <w:p>
            <w:pPr>
              <w:spacing w:line="340" w:lineRule="exact"/>
              <w:ind w:firstLine="0" w:firstLineChars="0"/>
              <w:jc w:val="center"/>
              <w:rPr>
                <w:sz w:val="21"/>
                <w:szCs w:val="21"/>
              </w:rPr>
            </w:pPr>
            <w:r>
              <w:rPr>
                <w:sz w:val="21"/>
                <w:szCs w:val="21"/>
              </w:rPr>
              <w:t>高</w:t>
            </w:r>
            <w:r>
              <w:rPr>
                <w:rFonts w:hint="eastAsia"/>
                <w:sz w:val="21"/>
                <w:szCs w:val="21"/>
              </w:rPr>
              <w:t>4</w:t>
            </w:r>
            <w:r>
              <w:rPr>
                <w:sz w:val="21"/>
                <w:szCs w:val="21"/>
              </w:rPr>
              <w:t>~10.5m，盖度75%</w:t>
            </w:r>
          </w:p>
        </w:tc>
        <w:tc>
          <w:tcPr>
            <w:tcW w:w="5150" w:type="dxa"/>
            <w:gridSpan w:val="5"/>
            <w:vAlign w:val="center"/>
          </w:tcPr>
          <w:p>
            <w:pPr>
              <w:spacing w:line="340" w:lineRule="exact"/>
              <w:ind w:firstLine="0" w:firstLineChars="0"/>
              <w:jc w:val="center"/>
              <w:rPr>
                <w:sz w:val="21"/>
                <w:szCs w:val="21"/>
              </w:rPr>
            </w:pPr>
            <w:r>
              <w:rPr>
                <w:rFonts w:hint="eastAsia"/>
                <w:sz w:val="21"/>
                <w:szCs w:val="21"/>
              </w:rPr>
              <w:t>杨树</w:t>
            </w:r>
            <w:r>
              <w:rPr>
                <w:sz w:val="21"/>
                <w:szCs w:val="21"/>
              </w:rPr>
              <w:t>、马尾松、枫香、</w:t>
            </w:r>
            <w:r>
              <w:rPr>
                <w:rFonts w:hint="eastAsia"/>
                <w:sz w:val="21"/>
                <w:szCs w:val="21"/>
              </w:rPr>
              <w:t>毛竹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灌木层</w:t>
            </w:r>
          </w:p>
        </w:tc>
        <w:tc>
          <w:tcPr>
            <w:tcW w:w="2474" w:type="dxa"/>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.5~2.8m，盖度25%</w:t>
            </w:r>
          </w:p>
        </w:tc>
        <w:tc>
          <w:tcPr>
            <w:tcW w:w="5150" w:type="dxa"/>
            <w:gridSpan w:val="5"/>
            <w:vAlign w:val="center"/>
          </w:tcPr>
          <w:p>
            <w:pPr>
              <w:spacing w:line="340" w:lineRule="exact"/>
              <w:ind w:firstLine="0" w:firstLineChars="0"/>
              <w:jc w:val="center"/>
              <w:rPr>
                <w:sz w:val="21"/>
                <w:szCs w:val="21"/>
              </w:rPr>
            </w:pPr>
            <w:r>
              <w:rPr>
                <w:sz w:val="21"/>
                <w:szCs w:val="21"/>
              </w:rPr>
              <w:t>檵木、白栎、栀子、盐肤木、野茉莉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sz w:val="21"/>
                <w:szCs w:val="21"/>
              </w:rPr>
            </w:pPr>
            <w:r>
              <w:rPr>
                <w:b/>
                <w:sz w:val="21"/>
                <w:szCs w:val="21"/>
              </w:rPr>
              <w:t>草本层</w:t>
            </w:r>
          </w:p>
        </w:tc>
        <w:tc>
          <w:tcPr>
            <w:tcW w:w="2474" w:type="dxa"/>
            <w:vAlign w:val="center"/>
          </w:tcPr>
          <w:p>
            <w:pPr>
              <w:spacing w:line="340" w:lineRule="exact"/>
              <w:ind w:firstLine="0" w:firstLineChars="0"/>
              <w:jc w:val="center"/>
              <w:rPr>
                <w:sz w:val="21"/>
                <w:szCs w:val="21"/>
              </w:rPr>
            </w:pPr>
            <w:r>
              <w:rPr>
                <w:sz w:val="21"/>
                <w:szCs w:val="21"/>
              </w:rPr>
              <w:t>高0.6m，盖度5%</w:t>
            </w:r>
          </w:p>
        </w:tc>
        <w:tc>
          <w:tcPr>
            <w:tcW w:w="5150" w:type="dxa"/>
            <w:gridSpan w:val="5"/>
            <w:vAlign w:val="center"/>
          </w:tcPr>
          <w:p>
            <w:pPr>
              <w:spacing w:line="340" w:lineRule="exact"/>
              <w:ind w:firstLine="0" w:firstLineChars="0"/>
              <w:jc w:val="center"/>
              <w:rPr>
                <w:sz w:val="21"/>
                <w:szCs w:val="21"/>
              </w:rPr>
            </w:pPr>
            <w:r>
              <w:rPr>
                <w:sz w:val="21"/>
                <w:szCs w:val="21"/>
              </w:rPr>
              <w:t>狗脊、中华苔草、芒萁</w:t>
            </w:r>
          </w:p>
        </w:tc>
      </w:tr>
    </w:tbl>
    <w:p>
      <w:pPr>
        <w:ind w:firstLine="480"/>
        <w:rPr>
          <w:vanish/>
          <w:color w:val="0000FF"/>
        </w:rPr>
      </w:pPr>
    </w:p>
    <w:p>
      <w:pPr>
        <w:pStyle w:val="2"/>
        <w:ind w:left="480" w:firstLine="480"/>
        <w:rPr>
          <w:vanish/>
          <w:color w:val="0000FF"/>
        </w:rPr>
      </w:pPr>
    </w:p>
    <w:p>
      <w:pPr>
        <w:ind w:firstLine="480"/>
        <w:rPr>
          <w:vanish/>
          <w:color w:val="0000FF"/>
        </w:rPr>
      </w:pPr>
    </w:p>
    <w:p>
      <w:pPr>
        <w:pStyle w:val="2"/>
        <w:ind w:left="480" w:firstLine="480"/>
        <w:rPr>
          <w:vanish/>
          <w:color w:val="0000FF"/>
        </w:rPr>
      </w:pPr>
    </w:p>
    <w:p>
      <w:pPr>
        <w:ind w:firstLine="480"/>
        <w:rPr>
          <w:vanish/>
          <w:color w:val="0000FF"/>
        </w:rPr>
      </w:pPr>
    </w:p>
    <w:p>
      <w:pPr>
        <w:pStyle w:val="2"/>
        <w:ind w:left="480" w:firstLine="480"/>
        <w:rPr>
          <w:vanish/>
          <w:color w:val="0000FF"/>
        </w:rPr>
      </w:pPr>
    </w:p>
    <w:p>
      <w:pPr>
        <w:ind w:firstLine="480"/>
        <w:rPr>
          <w:vanish/>
          <w:color w:val="0000FF"/>
        </w:rPr>
      </w:pPr>
    </w:p>
    <w:p>
      <w:pPr>
        <w:pStyle w:val="2"/>
        <w:ind w:left="480" w:firstLine="480"/>
        <w:rPr>
          <w:vanish/>
          <w:color w:val="0000FF"/>
        </w:rPr>
      </w:pPr>
    </w:p>
    <w:p>
      <w:pPr>
        <w:ind w:firstLine="480"/>
        <w:rPr>
          <w:vanish/>
          <w:color w:val="0000FF"/>
        </w:rPr>
      </w:pPr>
    </w:p>
    <w:p>
      <w:pPr>
        <w:pStyle w:val="2"/>
        <w:ind w:left="480" w:firstLine="480"/>
        <w:rPr>
          <w:vanish/>
          <w:color w:val="0000FF"/>
        </w:rPr>
      </w:pPr>
    </w:p>
    <w:p>
      <w:pPr>
        <w:spacing w:line="500" w:lineRule="exact"/>
        <w:ind w:firstLine="480"/>
        <w:rPr>
          <w:color w:val="0000FF"/>
          <w:szCs w:val="24"/>
        </w:rPr>
      </w:pPr>
      <w:r>
        <w:rPr>
          <w:color w:val="0000FF"/>
          <w:kern w:val="0"/>
          <w:szCs w:val="24"/>
        </w:rPr>
        <w:t>石栎林</w:t>
      </w:r>
      <w:r>
        <w:rPr>
          <w:color w:val="0000FF"/>
          <w:szCs w:val="24"/>
        </w:rPr>
        <w:t>（</w:t>
      </w:r>
      <w:r>
        <w:rPr>
          <w:i/>
          <w:iCs/>
          <w:color w:val="0000FF"/>
          <w:szCs w:val="24"/>
        </w:rPr>
        <w:t>Form.Lithocarpus glaber</w:t>
      </w:r>
      <w:r>
        <w:rPr>
          <w:color w:val="0000FF"/>
          <w:szCs w:val="24"/>
        </w:rPr>
        <w:t>）：常绿乔木，树皮青灰色，嫩枝被黄褐色柔毛，后渐光滑，分布于</w:t>
      </w:r>
      <w:r>
        <w:rPr>
          <w:rFonts w:hint="eastAsia"/>
          <w:color w:val="0000FF"/>
          <w:szCs w:val="24"/>
        </w:rPr>
        <w:t>敖山</w:t>
      </w:r>
      <w:r>
        <w:rPr>
          <w:color w:val="0000FF"/>
          <w:szCs w:val="24"/>
        </w:rPr>
        <w:t>镇</w:t>
      </w:r>
      <w:r>
        <w:rPr>
          <w:rFonts w:hint="eastAsia"/>
          <w:color w:val="0000FF"/>
          <w:szCs w:val="24"/>
        </w:rPr>
        <w:t>庙前</w:t>
      </w:r>
      <w:r>
        <w:rPr>
          <w:color w:val="0000FF"/>
          <w:szCs w:val="24"/>
        </w:rPr>
        <w:t>村附近。</w:t>
      </w:r>
    </w:p>
    <w:p>
      <w:pPr>
        <w:spacing w:line="500" w:lineRule="exact"/>
        <w:ind w:firstLine="480"/>
        <w:rPr>
          <w:color w:val="0000FF"/>
        </w:rPr>
      </w:pPr>
      <w:r>
        <w:rPr>
          <w:color w:val="0000FF"/>
        </w:rPr>
        <w:t>乔木层以石栎为主，林间还有苦槠、杉木、枫香等乔木树种，乔木层总盖度为20%~60%。林下灌木有刚竹、野蔷薇等，灌木层总盖度为30%~55%；林下草本以五节芒、金星蕨主</w:t>
      </w:r>
      <w:r>
        <w:rPr>
          <w:rFonts w:hint="eastAsia"/>
          <w:color w:val="0000FF"/>
        </w:rPr>
        <w:t>等</w:t>
      </w:r>
      <w:r>
        <w:rPr>
          <w:color w:val="0000FF"/>
        </w:rPr>
        <w:t>草本总盖度在</w:t>
      </w:r>
      <w:r>
        <w:rPr>
          <w:rFonts w:hint="eastAsia"/>
          <w:color w:val="0000FF"/>
        </w:rPr>
        <w:t>2</w:t>
      </w:r>
      <w:r>
        <w:rPr>
          <w:color w:val="0000FF"/>
        </w:rPr>
        <w:t>5%~40%</w:t>
      </w:r>
      <w:r>
        <w:rPr>
          <w:rFonts w:hint="eastAsia"/>
          <w:color w:val="0000FF"/>
        </w:rPr>
        <w:t>。</w:t>
      </w:r>
    </w:p>
    <w:tbl>
      <w:tblPr>
        <w:tblStyle w:val="83"/>
        <w:tblpPr w:leftFromText="180" w:rightFromText="180" w:vertAnchor="text" w:horzAnchor="page" w:tblpX="1581" w:tblpY="15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6"/>
        <w:gridCol w:w="4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7" w:hRule="atLeast"/>
        </w:trPr>
        <w:tc>
          <w:tcPr>
            <w:tcW w:w="4785" w:type="dxa"/>
            <w:vAlign w:val="center"/>
          </w:tcPr>
          <w:p>
            <w:pPr>
              <w:ind w:firstLine="0" w:firstLineChars="0"/>
              <w:jc w:val="center"/>
              <w:rPr>
                <w:color w:val="0000FF"/>
              </w:rPr>
            </w:pPr>
            <w:r>
              <w:rPr>
                <w:rFonts w:hint="eastAsia"/>
                <w:color w:val="0000FF"/>
              </w:rPr>
              <w:drawing>
                <wp:inline distT="0" distB="0" distL="114300" distR="114300">
                  <wp:extent cx="2910840" cy="2183765"/>
                  <wp:effectExtent l="0" t="0" r="3810" b="6985"/>
                  <wp:docPr id="15" name="图片 15" descr="518933892eef7f1684d8cee567c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18933892eef7f1684d8cee567ce206"/>
                          <pic:cNvPicPr>
                            <a:picLocks noChangeAspect="1"/>
                          </pic:cNvPicPr>
                        </pic:nvPicPr>
                        <pic:blipFill>
                          <a:blip r:embed="rId63"/>
                          <a:stretch>
                            <a:fillRect/>
                          </a:stretch>
                        </pic:blipFill>
                        <pic:spPr>
                          <a:xfrm>
                            <a:off x="0" y="0"/>
                            <a:ext cx="2910840" cy="2183765"/>
                          </a:xfrm>
                          <a:prstGeom prst="rect">
                            <a:avLst/>
                          </a:prstGeom>
                        </pic:spPr>
                      </pic:pic>
                    </a:graphicData>
                  </a:graphic>
                </wp:inline>
              </w:drawing>
            </w:r>
          </w:p>
          <w:p>
            <w:pPr>
              <w:pStyle w:val="2"/>
              <w:ind w:left="0" w:leftChars="0" w:firstLine="0" w:firstLineChars="0"/>
              <w:jc w:val="center"/>
              <w:rPr>
                <w:color w:val="0000FF"/>
              </w:rPr>
            </w:pPr>
            <w:r>
              <w:rPr>
                <w:rFonts w:eastAsia="黑体"/>
                <w:color w:val="0000FF"/>
              </w:rPr>
              <w:t>图4.</w:t>
            </w:r>
            <w:r>
              <w:rPr>
                <w:rFonts w:hint="eastAsia" w:eastAsia="黑体"/>
                <w:color w:val="0000FF"/>
              </w:rPr>
              <w:t>5</w:t>
            </w:r>
            <w:r>
              <w:rPr>
                <w:rFonts w:eastAsia="黑体"/>
                <w:color w:val="0000FF"/>
              </w:rPr>
              <w:t>-</w:t>
            </w:r>
            <w:r>
              <w:rPr>
                <w:rFonts w:hint="eastAsia" w:eastAsia="黑体"/>
                <w:color w:val="0000FF"/>
              </w:rPr>
              <w:t>5</w:t>
            </w:r>
            <w:r>
              <w:rPr>
                <w:rFonts w:eastAsia="黑体"/>
                <w:color w:val="0000FF"/>
              </w:rPr>
              <w:t xml:space="preserve">  </w:t>
            </w:r>
            <w:r>
              <w:rPr>
                <w:rFonts w:hint="eastAsia" w:ascii="黑体" w:hAnsi="黑体" w:eastAsia="黑体"/>
                <w:color w:val="0000FF"/>
                <w:szCs w:val="21"/>
              </w:rPr>
              <w:t>石栎林样方现场调查照片</w:t>
            </w:r>
          </w:p>
        </w:tc>
        <w:tc>
          <w:tcPr>
            <w:tcW w:w="4785" w:type="dxa"/>
            <w:vAlign w:val="center"/>
          </w:tcPr>
          <w:p>
            <w:pPr>
              <w:pStyle w:val="2"/>
              <w:ind w:left="0" w:leftChars="0" w:firstLine="0" w:firstLineChars="0"/>
              <w:jc w:val="center"/>
              <w:rPr>
                <w:color w:val="0000FF"/>
              </w:rPr>
            </w:pPr>
            <w:r>
              <w:rPr>
                <w:color w:val="0000FF"/>
              </w:rPr>
              <w:drawing>
                <wp:inline distT="0" distB="0" distL="0" distR="0">
                  <wp:extent cx="2853055" cy="2188210"/>
                  <wp:effectExtent l="0" t="0" r="4445" b="2540"/>
                  <wp:docPr id="12" name="图片 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rrowheads="1"/>
                          </pic:cNvPicPr>
                        </pic:nvPicPr>
                        <pic:blipFill>
                          <a:blip r:embed="rId64"/>
                          <a:srcRect/>
                          <a:stretch>
                            <a:fillRect/>
                          </a:stretch>
                        </pic:blipFill>
                        <pic:spPr>
                          <a:xfrm>
                            <a:off x="0" y="0"/>
                            <a:ext cx="2853055" cy="2188210"/>
                          </a:xfrm>
                          <a:prstGeom prst="rect">
                            <a:avLst/>
                          </a:prstGeom>
                          <a:noFill/>
                          <a:ln>
                            <a:noFill/>
                          </a:ln>
                        </pic:spPr>
                      </pic:pic>
                    </a:graphicData>
                  </a:graphic>
                </wp:inline>
              </w:drawing>
            </w:r>
          </w:p>
          <w:p>
            <w:pPr>
              <w:ind w:firstLine="480"/>
              <w:jc w:val="center"/>
              <w:rPr>
                <w:color w:val="0000FF"/>
              </w:rPr>
            </w:pPr>
            <w:r>
              <w:rPr>
                <w:rFonts w:eastAsia="黑体"/>
                <w:color w:val="0000FF"/>
              </w:rPr>
              <w:t>图4.</w:t>
            </w:r>
            <w:r>
              <w:rPr>
                <w:rFonts w:hint="eastAsia" w:eastAsia="黑体"/>
                <w:color w:val="0000FF"/>
              </w:rPr>
              <w:t>5</w:t>
            </w:r>
            <w:r>
              <w:rPr>
                <w:rFonts w:eastAsia="黑体"/>
                <w:color w:val="0000FF"/>
              </w:rPr>
              <w:t>-</w:t>
            </w:r>
            <w:r>
              <w:rPr>
                <w:rFonts w:hint="eastAsia" w:eastAsia="黑体"/>
                <w:color w:val="0000FF"/>
              </w:rPr>
              <w:t>6</w:t>
            </w:r>
            <w:r>
              <w:rPr>
                <w:rFonts w:eastAsia="黑体"/>
                <w:color w:val="0000FF"/>
              </w:rPr>
              <w:t xml:space="preserve">  </w:t>
            </w:r>
            <w:r>
              <w:rPr>
                <w:rFonts w:hint="eastAsia" w:ascii="黑体" w:hAnsi="黑体" w:eastAsia="黑体"/>
                <w:color w:val="0000FF"/>
                <w:szCs w:val="21"/>
              </w:rPr>
              <w:t>枫香林样方现场调查照片</w:t>
            </w:r>
          </w:p>
        </w:tc>
      </w:tr>
    </w:tbl>
    <w:p>
      <w:pPr>
        <w:pStyle w:val="1022"/>
        <w:spacing w:before="120" w:beforeLines="50" w:line="240" w:lineRule="auto"/>
        <w:ind w:firstLine="0" w:firstLineChars="0"/>
        <w:jc w:val="center"/>
        <w:rPr>
          <w:rFonts w:ascii="黑体" w:hAnsi="黑体" w:eastAsia="黑体" w:cs="黑体"/>
          <w:color w:val="0000FF"/>
        </w:rPr>
      </w:pPr>
      <w:r>
        <w:rPr>
          <w:rFonts w:hint="eastAsia" w:ascii="黑体" w:hAnsi="黑体" w:eastAsia="黑体" w:cs="黑体"/>
          <w:color w:val="0000FF"/>
        </w:rPr>
        <w:t>表4.5-</w:t>
      </w:r>
      <w:r>
        <w:rPr>
          <w:rFonts w:ascii="黑体" w:hAnsi="黑体" w:eastAsia="黑体" w:cs="黑体"/>
          <w:color w:val="0000FF"/>
        </w:rPr>
        <w:t>13</w:t>
      </w:r>
      <w:r>
        <w:rPr>
          <w:rFonts w:hint="eastAsia" w:ascii="黑体" w:hAnsi="黑体" w:eastAsia="黑体" w:cs="黑体"/>
          <w:color w:val="0000FF"/>
        </w:rPr>
        <w:t xml:space="preserve">  </w:t>
      </w:r>
      <w:r>
        <w:rPr>
          <w:rFonts w:hint="eastAsia" w:ascii="黑体" w:hAnsi="黑体" w:eastAsia="黑体" w:cs="黑体"/>
          <w:color w:val="0000FF"/>
          <w:szCs w:val="24"/>
        </w:rPr>
        <w:t>石栎林</w:t>
      </w:r>
      <w:r>
        <w:rPr>
          <w:rFonts w:hint="eastAsia" w:ascii="黑体" w:hAnsi="黑体" w:eastAsia="黑体" w:cs="黑体"/>
          <w:color w:val="0000FF"/>
        </w:rPr>
        <w:t>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2772"/>
        <w:gridCol w:w="365"/>
        <w:gridCol w:w="1119"/>
        <w:gridCol w:w="936"/>
        <w:gridCol w:w="949"/>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00" w:type="dxa"/>
            <w:gridSpan w:val="3"/>
            <w:vAlign w:val="center"/>
          </w:tcPr>
          <w:p>
            <w:pPr>
              <w:spacing w:line="340" w:lineRule="exact"/>
              <w:ind w:firstLine="0" w:firstLineChars="0"/>
              <w:jc w:val="center"/>
              <w:rPr>
                <w:color w:val="0000FF"/>
                <w:sz w:val="21"/>
                <w:szCs w:val="21"/>
              </w:rPr>
            </w:pPr>
            <w:r>
              <w:rPr>
                <w:b/>
                <w:color w:val="0000FF"/>
                <w:sz w:val="21"/>
                <w:szCs w:val="21"/>
              </w:rPr>
              <w:t>植被类型/群落名称：</w:t>
            </w:r>
            <w:r>
              <w:rPr>
                <w:rFonts w:hint="eastAsia" w:ascii="宋体" w:hAnsi="宋体" w:cs="宋体"/>
                <w:color w:val="0000FF"/>
                <w:kern w:val="0"/>
                <w:sz w:val="21"/>
                <w:szCs w:val="21"/>
              </w:rPr>
              <w:t>石栎林</w:t>
            </w:r>
          </w:p>
        </w:tc>
        <w:tc>
          <w:tcPr>
            <w:tcW w:w="3004" w:type="dxa"/>
            <w:gridSpan w:val="3"/>
            <w:vAlign w:val="center"/>
          </w:tcPr>
          <w:p>
            <w:pPr>
              <w:spacing w:line="340" w:lineRule="exact"/>
              <w:ind w:firstLine="0" w:firstLineChars="0"/>
              <w:jc w:val="center"/>
              <w:rPr>
                <w:color w:val="0000FF"/>
                <w:spacing w:val="-12"/>
                <w:sz w:val="21"/>
                <w:szCs w:val="21"/>
              </w:rPr>
            </w:pPr>
            <w:r>
              <w:rPr>
                <w:b/>
                <w:color w:val="0000FF"/>
                <w:sz w:val="21"/>
                <w:szCs w:val="21"/>
              </w:rPr>
              <w:t>点位：</w:t>
            </w:r>
            <w:r>
              <w:rPr>
                <w:rFonts w:hint="eastAsia"/>
                <w:color w:val="0000FF"/>
                <w:sz w:val="21"/>
                <w:szCs w:val="21"/>
              </w:rPr>
              <w:t>镜山森林公园</w:t>
            </w:r>
            <w:r>
              <w:rPr>
                <w:color w:val="0000FF"/>
                <w:sz w:val="21"/>
                <w:szCs w:val="21"/>
              </w:rPr>
              <w:t>附近</w:t>
            </w:r>
          </w:p>
        </w:tc>
        <w:tc>
          <w:tcPr>
            <w:tcW w:w="1781" w:type="dxa"/>
            <w:vAlign w:val="center"/>
          </w:tcPr>
          <w:p>
            <w:pPr>
              <w:spacing w:line="340" w:lineRule="exact"/>
              <w:ind w:firstLine="0" w:firstLineChars="0"/>
              <w:jc w:val="center"/>
              <w:rPr>
                <w:color w:val="0000FF"/>
                <w:sz w:val="21"/>
                <w:szCs w:val="21"/>
              </w:rPr>
            </w:pPr>
            <w:r>
              <w:rPr>
                <w:b/>
                <w:color w:val="0000FF"/>
                <w:spacing w:val="-20"/>
                <w:sz w:val="21"/>
                <w:szCs w:val="21"/>
              </w:rPr>
              <w:t>调查时间：</w:t>
            </w:r>
            <w:r>
              <w:rPr>
                <w:color w:val="0000FF"/>
                <w:spacing w:val="-12"/>
                <w:sz w:val="21"/>
                <w:szCs w:val="21"/>
              </w:rPr>
              <w:t>202</w:t>
            </w:r>
            <w:r>
              <w:rPr>
                <w:rFonts w:hint="eastAsia"/>
                <w:color w:val="0000FF"/>
                <w:spacing w:val="-12"/>
                <w:sz w:val="21"/>
                <w:szCs w:val="21"/>
              </w:rPr>
              <w:t>2</w:t>
            </w:r>
            <w:r>
              <w:rPr>
                <w:color w:val="0000FF"/>
                <w:spacing w:val="-12"/>
                <w:sz w:val="21"/>
                <w:szCs w:val="21"/>
              </w:rPr>
              <w:t>-</w:t>
            </w:r>
            <w:r>
              <w:rPr>
                <w:rFonts w:hint="eastAsia"/>
                <w:color w:val="0000FF"/>
                <w:spacing w:val="-12"/>
                <w:sz w:val="21"/>
                <w:szCs w:val="21"/>
              </w:rPr>
              <w:t>6</w:t>
            </w:r>
            <w:r>
              <w:rPr>
                <w:color w:val="0000FF"/>
                <w:spacing w:val="-12"/>
                <w:sz w:val="21"/>
                <w:szCs w:val="21"/>
              </w:rPr>
              <w:t>-</w:t>
            </w:r>
            <w:r>
              <w:rPr>
                <w:rFonts w:hint="eastAsia"/>
                <w:color w:val="0000FF"/>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经纬度</w:t>
            </w:r>
          </w:p>
        </w:tc>
        <w:tc>
          <w:tcPr>
            <w:tcW w:w="2839" w:type="dxa"/>
            <w:gridSpan w:val="2"/>
            <w:vAlign w:val="center"/>
          </w:tcPr>
          <w:p>
            <w:pPr>
              <w:widowControl/>
              <w:spacing w:line="240" w:lineRule="auto"/>
              <w:ind w:firstLine="0" w:firstLineChars="0"/>
              <w:rPr>
                <w:color w:val="0000FF"/>
                <w:sz w:val="21"/>
                <w:szCs w:val="21"/>
              </w:rPr>
            </w:pPr>
            <w:r>
              <w:rPr>
                <w:rFonts w:eastAsia="等线"/>
                <w:color w:val="0000FF"/>
                <w:sz w:val="21"/>
                <w:szCs w:val="21"/>
              </w:rPr>
              <w:t>114°57</w:t>
            </w:r>
            <w:r>
              <w:rPr>
                <w:rFonts w:hint="eastAsia"/>
                <w:color w:val="0000FF"/>
                <w:sz w:val="21"/>
                <w:szCs w:val="21"/>
              </w:rPr>
              <w:t>′</w:t>
            </w:r>
            <w:r>
              <w:rPr>
                <w:rFonts w:eastAsia="等线"/>
                <w:color w:val="0000FF"/>
                <w:sz w:val="21"/>
                <w:szCs w:val="21"/>
              </w:rPr>
              <w:t>23.11</w:t>
            </w:r>
            <w:r>
              <w:rPr>
                <w:rFonts w:hint="eastAsia"/>
                <w:color w:val="0000FF"/>
                <w:sz w:val="21"/>
                <w:szCs w:val="21"/>
              </w:rPr>
              <w:t>″</w:t>
            </w:r>
            <w:r>
              <w:rPr>
                <w:rFonts w:eastAsia="等线"/>
                <w:color w:val="0000FF"/>
                <w:sz w:val="21"/>
                <w:szCs w:val="21"/>
              </w:rPr>
              <w:t>,28°14</w:t>
            </w:r>
            <w:r>
              <w:rPr>
                <w:rFonts w:hint="eastAsia"/>
                <w:color w:val="0000FF"/>
                <w:sz w:val="21"/>
                <w:szCs w:val="21"/>
              </w:rPr>
              <w:t>′</w:t>
            </w:r>
            <w:r>
              <w:rPr>
                <w:rFonts w:eastAsia="等线"/>
                <w:color w:val="0000FF"/>
                <w:sz w:val="21"/>
                <w:szCs w:val="21"/>
              </w:rPr>
              <w:t>2.84</w:t>
            </w:r>
            <w:r>
              <w:rPr>
                <w:rFonts w:hint="eastAsia"/>
                <w:color w:val="0000FF"/>
                <w:sz w:val="21"/>
                <w:szCs w:val="21"/>
              </w:rPr>
              <w:t>″</w:t>
            </w:r>
          </w:p>
        </w:tc>
        <w:tc>
          <w:tcPr>
            <w:tcW w:w="1119" w:type="dxa"/>
            <w:vAlign w:val="center"/>
          </w:tcPr>
          <w:p>
            <w:pPr>
              <w:spacing w:line="340" w:lineRule="exact"/>
              <w:ind w:firstLine="0" w:firstLineChars="0"/>
              <w:jc w:val="center"/>
              <w:rPr>
                <w:b/>
                <w:color w:val="0000FF"/>
                <w:sz w:val="21"/>
                <w:szCs w:val="21"/>
              </w:rPr>
            </w:pPr>
            <w:r>
              <w:rPr>
                <w:b/>
                <w:color w:val="0000FF"/>
                <w:sz w:val="21"/>
                <w:szCs w:val="21"/>
              </w:rPr>
              <w:t>海拔</w:t>
            </w:r>
          </w:p>
        </w:tc>
        <w:tc>
          <w:tcPr>
            <w:tcW w:w="936" w:type="dxa"/>
            <w:vAlign w:val="center"/>
          </w:tcPr>
          <w:p>
            <w:pPr>
              <w:spacing w:line="340" w:lineRule="exact"/>
              <w:ind w:firstLine="0" w:firstLineChars="0"/>
              <w:jc w:val="center"/>
              <w:rPr>
                <w:color w:val="0000FF"/>
                <w:sz w:val="21"/>
                <w:szCs w:val="21"/>
              </w:rPr>
            </w:pPr>
            <w:r>
              <w:rPr>
                <w:rFonts w:hint="eastAsia"/>
                <w:color w:val="0000FF"/>
                <w:sz w:val="21"/>
                <w:szCs w:val="21"/>
              </w:rPr>
              <w:t>65</w:t>
            </w:r>
            <w:r>
              <w:rPr>
                <w:color w:val="0000FF"/>
                <w:sz w:val="21"/>
                <w:szCs w:val="21"/>
              </w:rPr>
              <w:t>m</w:t>
            </w:r>
          </w:p>
        </w:tc>
        <w:tc>
          <w:tcPr>
            <w:tcW w:w="2730" w:type="dxa"/>
            <w:gridSpan w:val="2"/>
            <w:vAlign w:val="center"/>
          </w:tcPr>
          <w:p>
            <w:pPr>
              <w:spacing w:line="340" w:lineRule="exact"/>
              <w:ind w:firstLine="0" w:firstLineChars="0"/>
              <w:jc w:val="center"/>
              <w:rPr>
                <w:color w:val="0000FF"/>
                <w:sz w:val="21"/>
                <w:szCs w:val="21"/>
              </w:rPr>
            </w:pPr>
            <w:r>
              <w:rPr>
                <w:color w:val="0000FF"/>
                <w:sz w:val="21"/>
                <w:szCs w:val="21"/>
              </w:rPr>
              <w:t>样方面积：20×20m</w:t>
            </w:r>
            <w:r>
              <w:rPr>
                <w:color w:val="0000FF"/>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地貌</w:t>
            </w:r>
          </w:p>
        </w:tc>
        <w:tc>
          <w:tcPr>
            <w:tcW w:w="2839" w:type="dxa"/>
            <w:gridSpan w:val="2"/>
            <w:vAlign w:val="center"/>
          </w:tcPr>
          <w:p>
            <w:pPr>
              <w:spacing w:line="340" w:lineRule="exact"/>
              <w:ind w:firstLine="0" w:firstLineChars="0"/>
              <w:jc w:val="center"/>
              <w:rPr>
                <w:color w:val="0000FF"/>
                <w:sz w:val="21"/>
                <w:szCs w:val="21"/>
              </w:rPr>
            </w:pPr>
            <w:r>
              <w:rPr>
                <w:color w:val="0000FF"/>
                <w:sz w:val="21"/>
                <w:szCs w:val="21"/>
              </w:rPr>
              <w:t>低丘岗地</w:t>
            </w:r>
          </w:p>
        </w:tc>
        <w:tc>
          <w:tcPr>
            <w:tcW w:w="1119" w:type="dxa"/>
            <w:vAlign w:val="center"/>
          </w:tcPr>
          <w:p>
            <w:pPr>
              <w:spacing w:line="340" w:lineRule="exact"/>
              <w:ind w:firstLine="0" w:firstLineChars="0"/>
              <w:jc w:val="center"/>
              <w:rPr>
                <w:b/>
                <w:color w:val="0000FF"/>
                <w:sz w:val="21"/>
                <w:szCs w:val="21"/>
              </w:rPr>
            </w:pPr>
            <w:r>
              <w:rPr>
                <w:b/>
                <w:color w:val="0000FF"/>
                <w:sz w:val="21"/>
                <w:szCs w:val="21"/>
              </w:rPr>
              <w:t>土壤</w:t>
            </w:r>
          </w:p>
        </w:tc>
        <w:tc>
          <w:tcPr>
            <w:tcW w:w="936" w:type="dxa"/>
            <w:vAlign w:val="center"/>
          </w:tcPr>
          <w:p>
            <w:pPr>
              <w:spacing w:line="340" w:lineRule="exact"/>
              <w:ind w:firstLine="0" w:firstLineChars="0"/>
              <w:jc w:val="center"/>
              <w:rPr>
                <w:color w:val="0000FF"/>
                <w:sz w:val="21"/>
                <w:szCs w:val="21"/>
              </w:rPr>
            </w:pPr>
            <w:r>
              <w:rPr>
                <w:color w:val="0000FF"/>
                <w:spacing w:val="-12"/>
                <w:sz w:val="21"/>
                <w:szCs w:val="21"/>
              </w:rPr>
              <w:t>红壤</w:t>
            </w:r>
          </w:p>
        </w:tc>
        <w:tc>
          <w:tcPr>
            <w:tcW w:w="2730" w:type="dxa"/>
            <w:gridSpan w:val="2"/>
            <w:vAlign w:val="center"/>
          </w:tcPr>
          <w:p>
            <w:pPr>
              <w:spacing w:line="340" w:lineRule="exact"/>
              <w:ind w:firstLine="0" w:firstLineChars="0"/>
              <w:jc w:val="center"/>
              <w:rPr>
                <w:color w:val="0000FF"/>
                <w:sz w:val="21"/>
                <w:szCs w:val="21"/>
              </w:rPr>
            </w:pPr>
            <w:r>
              <w:rPr>
                <w:color w:val="0000FF"/>
                <w:sz w:val="21"/>
                <w:szCs w:val="21"/>
              </w:rPr>
              <w:t>地上生物量：72936kg/hm</w:t>
            </w:r>
            <w:r>
              <w:rPr>
                <w:color w:val="0000FF"/>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pacing w:val="-20"/>
                <w:sz w:val="21"/>
                <w:szCs w:val="21"/>
              </w:rPr>
              <w:t>环境简述</w:t>
            </w:r>
          </w:p>
        </w:tc>
        <w:tc>
          <w:tcPr>
            <w:tcW w:w="7624" w:type="dxa"/>
            <w:gridSpan w:val="6"/>
            <w:vAlign w:val="center"/>
          </w:tcPr>
          <w:p>
            <w:pPr>
              <w:spacing w:line="340" w:lineRule="exact"/>
              <w:ind w:firstLine="0" w:firstLineChars="0"/>
              <w:jc w:val="center"/>
              <w:rPr>
                <w:color w:val="0000FF"/>
                <w:sz w:val="21"/>
                <w:szCs w:val="21"/>
              </w:rPr>
            </w:pPr>
            <w:r>
              <w:rPr>
                <w:color w:val="0000FF"/>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林层</w:t>
            </w:r>
          </w:p>
        </w:tc>
        <w:tc>
          <w:tcPr>
            <w:tcW w:w="2474" w:type="dxa"/>
            <w:vAlign w:val="center"/>
          </w:tcPr>
          <w:p>
            <w:pPr>
              <w:spacing w:line="340" w:lineRule="exact"/>
              <w:ind w:firstLine="0" w:firstLineChars="0"/>
              <w:jc w:val="center"/>
              <w:rPr>
                <w:color w:val="0000FF"/>
                <w:sz w:val="21"/>
                <w:szCs w:val="21"/>
              </w:rPr>
            </w:pPr>
            <w:r>
              <w:rPr>
                <w:color w:val="0000FF"/>
                <w:sz w:val="21"/>
                <w:szCs w:val="21"/>
              </w:rPr>
              <w:t>单层林</w:t>
            </w:r>
          </w:p>
        </w:tc>
        <w:tc>
          <w:tcPr>
            <w:tcW w:w="5150" w:type="dxa"/>
            <w:gridSpan w:val="5"/>
            <w:vAlign w:val="center"/>
          </w:tcPr>
          <w:p>
            <w:pPr>
              <w:spacing w:line="340" w:lineRule="exact"/>
              <w:ind w:firstLine="0" w:firstLineChars="0"/>
              <w:jc w:val="center"/>
              <w:rPr>
                <w:b/>
                <w:color w:val="0000FF"/>
                <w:sz w:val="21"/>
                <w:szCs w:val="21"/>
              </w:rPr>
            </w:pPr>
            <w:r>
              <w:rPr>
                <w:b/>
                <w:color w:val="0000FF"/>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乔木层</w:t>
            </w:r>
          </w:p>
        </w:tc>
        <w:tc>
          <w:tcPr>
            <w:tcW w:w="2474" w:type="dxa"/>
            <w:vAlign w:val="center"/>
          </w:tcPr>
          <w:p>
            <w:pPr>
              <w:spacing w:line="340" w:lineRule="exact"/>
              <w:ind w:firstLine="0" w:firstLineChars="0"/>
              <w:jc w:val="center"/>
              <w:rPr>
                <w:color w:val="0000FF"/>
                <w:sz w:val="21"/>
                <w:szCs w:val="21"/>
              </w:rPr>
            </w:pPr>
            <w:r>
              <w:rPr>
                <w:color w:val="0000FF"/>
                <w:sz w:val="21"/>
                <w:szCs w:val="21"/>
              </w:rPr>
              <w:t>高</w:t>
            </w:r>
            <w:r>
              <w:rPr>
                <w:rFonts w:hint="eastAsia"/>
                <w:color w:val="0000FF"/>
                <w:sz w:val="21"/>
                <w:szCs w:val="21"/>
              </w:rPr>
              <w:t>5</w:t>
            </w:r>
            <w:r>
              <w:rPr>
                <w:color w:val="0000FF"/>
                <w:sz w:val="21"/>
                <w:szCs w:val="21"/>
              </w:rPr>
              <w:t>~16.5m，盖度70%</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苦槠、杉木、枫香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灌木层</w:t>
            </w:r>
          </w:p>
        </w:tc>
        <w:tc>
          <w:tcPr>
            <w:tcW w:w="2474" w:type="dxa"/>
            <w:vAlign w:val="center"/>
          </w:tcPr>
          <w:p>
            <w:pPr>
              <w:spacing w:line="340" w:lineRule="exact"/>
              <w:ind w:firstLine="0" w:firstLineChars="0"/>
              <w:jc w:val="center"/>
              <w:rPr>
                <w:color w:val="0000FF"/>
                <w:sz w:val="21"/>
                <w:szCs w:val="21"/>
              </w:rPr>
            </w:pPr>
            <w:r>
              <w:rPr>
                <w:color w:val="0000FF"/>
                <w:sz w:val="21"/>
                <w:szCs w:val="21"/>
              </w:rPr>
              <w:t>高</w:t>
            </w:r>
            <w:r>
              <w:rPr>
                <w:rFonts w:hint="eastAsia"/>
                <w:color w:val="0000FF"/>
                <w:sz w:val="21"/>
                <w:szCs w:val="21"/>
              </w:rPr>
              <w:t>0</w:t>
            </w:r>
            <w:r>
              <w:rPr>
                <w:color w:val="0000FF"/>
                <w:sz w:val="21"/>
                <w:szCs w:val="21"/>
              </w:rPr>
              <w:t>.5~2.0m，盖度40%</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檵木、白栎、盐肤木、野茉莉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草本层</w:t>
            </w:r>
          </w:p>
        </w:tc>
        <w:tc>
          <w:tcPr>
            <w:tcW w:w="2474" w:type="dxa"/>
            <w:vAlign w:val="center"/>
          </w:tcPr>
          <w:p>
            <w:pPr>
              <w:spacing w:line="340" w:lineRule="exact"/>
              <w:ind w:firstLine="0" w:firstLineChars="0"/>
              <w:jc w:val="center"/>
              <w:rPr>
                <w:color w:val="0000FF"/>
                <w:sz w:val="21"/>
                <w:szCs w:val="21"/>
              </w:rPr>
            </w:pPr>
            <w:r>
              <w:rPr>
                <w:color w:val="0000FF"/>
                <w:sz w:val="21"/>
                <w:szCs w:val="21"/>
              </w:rPr>
              <w:t>高0.6m，盖度</w:t>
            </w:r>
            <w:r>
              <w:rPr>
                <w:rFonts w:hint="eastAsia"/>
                <w:color w:val="0000FF"/>
                <w:sz w:val="21"/>
                <w:szCs w:val="21"/>
              </w:rPr>
              <w:t>2</w:t>
            </w:r>
            <w:r>
              <w:rPr>
                <w:color w:val="0000FF"/>
                <w:sz w:val="21"/>
                <w:szCs w:val="21"/>
              </w:rPr>
              <w:t>5%</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五节芒、金星蕨主</w:t>
            </w:r>
          </w:p>
        </w:tc>
      </w:tr>
    </w:tbl>
    <w:p>
      <w:pPr>
        <w:tabs>
          <w:tab w:val="left" w:pos="1815"/>
        </w:tabs>
        <w:ind w:firstLine="482"/>
        <w:rPr>
          <w:color w:val="0000FF"/>
        </w:rPr>
      </w:pPr>
      <w:r>
        <w:rPr>
          <w:b/>
          <w:color w:val="0000FF"/>
        </w:rPr>
        <w:t>枫香林（</w:t>
      </w:r>
      <w:r>
        <w:rPr>
          <w:b/>
          <w:i/>
          <w:iCs/>
          <w:color w:val="0000FF"/>
        </w:rPr>
        <w:t>Form.</w:t>
      </w:r>
      <w:r>
        <w:rPr>
          <w:i/>
          <w:iCs/>
          <w:color w:val="0000FF"/>
        </w:rPr>
        <w:t xml:space="preserve"> </w:t>
      </w:r>
      <w:r>
        <w:rPr>
          <w:i/>
          <w:color w:val="0000FF"/>
        </w:rPr>
        <w:t>Liquidambar formosana</w:t>
      </w:r>
      <w:r>
        <w:rPr>
          <w:b/>
          <w:color w:val="0000FF"/>
        </w:rPr>
        <w:t>）：</w:t>
      </w:r>
      <w:r>
        <w:rPr>
          <w:color w:val="0000FF"/>
        </w:rPr>
        <w:t>枫香为落叶乔木，树皮灰褐色。叶薄革质，阔卵形，掌状3裂，两侧裂片平展；基部心形，边缘有锯齿，齿尖有腺状突。托叶线形，早落。头状果序圆球形木质，直径3-4厘米；蒴果下半部藏于花序轴内，有宿存花柱及针刺状萼齿。产我国秦岭及淮河以南各省。性喜阳光，耐火且萌生力极强，常成低山丘陵区次生林的优势种。</w:t>
      </w:r>
    </w:p>
    <w:p>
      <w:pPr>
        <w:pStyle w:val="1022"/>
        <w:spacing w:before="120" w:beforeLines="50" w:line="240" w:lineRule="auto"/>
        <w:ind w:firstLine="0" w:firstLineChars="0"/>
        <w:jc w:val="center"/>
        <w:rPr>
          <w:rFonts w:ascii="黑体" w:hAnsi="黑体" w:eastAsia="黑体" w:cs="黑体"/>
          <w:color w:val="0000FF"/>
        </w:rPr>
      </w:pPr>
      <w:r>
        <w:rPr>
          <w:rFonts w:hint="eastAsia" w:ascii="黑体" w:hAnsi="黑体" w:eastAsia="黑体" w:cs="黑体"/>
          <w:color w:val="0000FF"/>
        </w:rPr>
        <w:t>表4.5-1</w:t>
      </w:r>
      <w:r>
        <w:rPr>
          <w:rFonts w:ascii="黑体" w:hAnsi="黑体" w:eastAsia="黑体" w:cs="黑体"/>
          <w:color w:val="0000FF"/>
        </w:rPr>
        <w:t>4</w:t>
      </w:r>
      <w:r>
        <w:rPr>
          <w:rFonts w:hint="eastAsia" w:ascii="黑体" w:hAnsi="黑体" w:eastAsia="黑体" w:cs="黑体"/>
          <w:color w:val="0000FF"/>
        </w:rPr>
        <w:t xml:space="preserve">  枫香林样方调查表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1"/>
        <w:gridCol w:w="2474"/>
        <w:gridCol w:w="365"/>
        <w:gridCol w:w="1119"/>
        <w:gridCol w:w="936"/>
        <w:gridCol w:w="949"/>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00" w:type="dxa"/>
            <w:gridSpan w:val="3"/>
            <w:vAlign w:val="center"/>
          </w:tcPr>
          <w:p>
            <w:pPr>
              <w:spacing w:line="340" w:lineRule="exact"/>
              <w:ind w:firstLine="0" w:firstLineChars="0"/>
              <w:jc w:val="center"/>
              <w:rPr>
                <w:color w:val="0000FF"/>
                <w:sz w:val="21"/>
                <w:szCs w:val="21"/>
              </w:rPr>
            </w:pPr>
            <w:r>
              <w:rPr>
                <w:b/>
                <w:color w:val="0000FF"/>
                <w:sz w:val="21"/>
                <w:szCs w:val="21"/>
              </w:rPr>
              <w:t>植被类型/群落名称：</w:t>
            </w:r>
            <w:r>
              <w:rPr>
                <w:rFonts w:hint="eastAsia"/>
                <w:b/>
                <w:color w:val="0000FF"/>
                <w:sz w:val="21"/>
                <w:szCs w:val="21"/>
              </w:rPr>
              <w:t>枫香</w:t>
            </w:r>
            <w:r>
              <w:rPr>
                <w:b/>
                <w:color w:val="0000FF"/>
                <w:sz w:val="21"/>
                <w:szCs w:val="21"/>
              </w:rPr>
              <w:t>林</w:t>
            </w:r>
          </w:p>
        </w:tc>
        <w:tc>
          <w:tcPr>
            <w:tcW w:w="3004" w:type="dxa"/>
            <w:gridSpan w:val="3"/>
            <w:vAlign w:val="center"/>
          </w:tcPr>
          <w:p>
            <w:pPr>
              <w:spacing w:line="340" w:lineRule="exact"/>
              <w:ind w:firstLine="0" w:firstLineChars="0"/>
              <w:jc w:val="center"/>
              <w:rPr>
                <w:color w:val="0000FF"/>
                <w:spacing w:val="-12"/>
                <w:sz w:val="21"/>
                <w:szCs w:val="21"/>
              </w:rPr>
            </w:pPr>
            <w:r>
              <w:rPr>
                <w:b/>
                <w:color w:val="0000FF"/>
                <w:sz w:val="21"/>
                <w:szCs w:val="21"/>
              </w:rPr>
              <w:t>点位：</w:t>
            </w:r>
            <w:r>
              <w:rPr>
                <w:rFonts w:hint="eastAsia"/>
                <w:color w:val="0000FF"/>
                <w:sz w:val="21"/>
                <w:szCs w:val="21"/>
              </w:rPr>
              <w:t>镜山森林公园</w:t>
            </w:r>
          </w:p>
        </w:tc>
        <w:tc>
          <w:tcPr>
            <w:tcW w:w="1781" w:type="dxa"/>
            <w:vAlign w:val="center"/>
          </w:tcPr>
          <w:p>
            <w:pPr>
              <w:spacing w:line="340" w:lineRule="exact"/>
              <w:ind w:firstLine="0" w:firstLineChars="0"/>
              <w:jc w:val="center"/>
              <w:rPr>
                <w:color w:val="0000FF"/>
                <w:sz w:val="21"/>
                <w:szCs w:val="21"/>
              </w:rPr>
            </w:pPr>
            <w:r>
              <w:rPr>
                <w:b/>
                <w:color w:val="0000FF"/>
                <w:spacing w:val="-20"/>
                <w:sz w:val="21"/>
                <w:szCs w:val="21"/>
              </w:rPr>
              <w:t>调查时间：</w:t>
            </w:r>
            <w:r>
              <w:rPr>
                <w:color w:val="0000FF"/>
                <w:spacing w:val="-12"/>
                <w:sz w:val="21"/>
                <w:szCs w:val="21"/>
              </w:rPr>
              <w:t>202</w:t>
            </w:r>
            <w:r>
              <w:rPr>
                <w:rFonts w:hint="eastAsia"/>
                <w:color w:val="0000FF"/>
                <w:spacing w:val="-12"/>
                <w:sz w:val="21"/>
                <w:szCs w:val="21"/>
              </w:rPr>
              <w:t>2</w:t>
            </w:r>
            <w:r>
              <w:rPr>
                <w:color w:val="0000FF"/>
                <w:spacing w:val="-12"/>
                <w:sz w:val="21"/>
                <w:szCs w:val="21"/>
              </w:rPr>
              <w:t>-</w:t>
            </w:r>
            <w:r>
              <w:rPr>
                <w:rFonts w:hint="eastAsia"/>
                <w:color w:val="0000FF"/>
                <w:spacing w:val="-12"/>
                <w:sz w:val="21"/>
                <w:szCs w:val="21"/>
              </w:rPr>
              <w:t>6</w:t>
            </w:r>
            <w:r>
              <w:rPr>
                <w:color w:val="0000FF"/>
                <w:spacing w:val="-12"/>
                <w:sz w:val="21"/>
                <w:szCs w:val="21"/>
              </w:rPr>
              <w:t>-</w:t>
            </w:r>
            <w:r>
              <w:rPr>
                <w:rFonts w:hint="eastAsia"/>
                <w:color w:val="0000FF"/>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经纬度</w:t>
            </w:r>
          </w:p>
        </w:tc>
        <w:tc>
          <w:tcPr>
            <w:tcW w:w="2839" w:type="dxa"/>
            <w:gridSpan w:val="2"/>
            <w:vAlign w:val="center"/>
          </w:tcPr>
          <w:p>
            <w:pPr>
              <w:spacing w:line="340" w:lineRule="exact"/>
              <w:ind w:firstLine="0" w:firstLineChars="0"/>
              <w:rPr>
                <w:color w:val="0000FF"/>
                <w:sz w:val="21"/>
                <w:szCs w:val="21"/>
              </w:rPr>
            </w:pPr>
            <w:r>
              <w:rPr>
                <w:rFonts w:hint="eastAsia"/>
                <w:color w:val="0000FF"/>
                <w:sz w:val="21"/>
                <w:szCs w:val="21"/>
              </w:rPr>
              <w:t>114°57′40.878″,</w:t>
            </w:r>
          </w:p>
          <w:p>
            <w:pPr>
              <w:spacing w:line="340" w:lineRule="exact"/>
              <w:ind w:firstLine="0" w:firstLineChars="0"/>
              <w:rPr>
                <w:color w:val="0000FF"/>
                <w:sz w:val="21"/>
                <w:szCs w:val="21"/>
              </w:rPr>
            </w:pPr>
            <w:r>
              <w:rPr>
                <w:rFonts w:hint="eastAsia"/>
                <w:color w:val="0000FF"/>
                <w:sz w:val="21"/>
                <w:szCs w:val="21"/>
              </w:rPr>
              <w:t>28°14′22.774″</w:t>
            </w:r>
          </w:p>
        </w:tc>
        <w:tc>
          <w:tcPr>
            <w:tcW w:w="1119" w:type="dxa"/>
            <w:vAlign w:val="center"/>
          </w:tcPr>
          <w:p>
            <w:pPr>
              <w:spacing w:line="340" w:lineRule="exact"/>
              <w:ind w:firstLine="0" w:firstLineChars="0"/>
              <w:jc w:val="center"/>
              <w:rPr>
                <w:b/>
                <w:color w:val="0000FF"/>
                <w:sz w:val="21"/>
                <w:szCs w:val="21"/>
              </w:rPr>
            </w:pPr>
            <w:r>
              <w:rPr>
                <w:b/>
                <w:color w:val="0000FF"/>
                <w:sz w:val="21"/>
                <w:szCs w:val="21"/>
              </w:rPr>
              <w:t>海拔</w:t>
            </w:r>
          </w:p>
        </w:tc>
        <w:tc>
          <w:tcPr>
            <w:tcW w:w="936" w:type="dxa"/>
            <w:vAlign w:val="center"/>
          </w:tcPr>
          <w:p>
            <w:pPr>
              <w:spacing w:line="340" w:lineRule="exact"/>
              <w:ind w:firstLine="0" w:firstLineChars="0"/>
              <w:jc w:val="center"/>
              <w:rPr>
                <w:color w:val="0000FF"/>
                <w:sz w:val="21"/>
                <w:szCs w:val="21"/>
              </w:rPr>
            </w:pPr>
            <w:r>
              <w:rPr>
                <w:rFonts w:hint="eastAsia"/>
                <w:color w:val="0000FF"/>
                <w:sz w:val="21"/>
                <w:szCs w:val="21"/>
              </w:rPr>
              <w:t>60</w:t>
            </w:r>
            <w:r>
              <w:rPr>
                <w:color w:val="0000FF"/>
                <w:sz w:val="21"/>
                <w:szCs w:val="21"/>
              </w:rPr>
              <w:t>m</w:t>
            </w:r>
          </w:p>
        </w:tc>
        <w:tc>
          <w:tcPr>
            <w:tcW w:w="2730" w:type="dxa"/>
            <w:gridSpan w:val="2"/>
            <w:vAlign w:val="center"/>
          </w:tcPr>
          <w:p>
            <w:pPr>
              <w:spacing w:line="340" w:lineRule="exact"/>
              <w:ind w:firstLine="0" w:firstLineChars="0"/>
              <w:jc w:val="center"/>
              <w:rPr>
                <w:color w:val="0000FF"/>
                <w:sz w:val="21"/>
                <w:szCs w:val="21"/>
              </w:rPr>
            </w:pPr>
            <w:r>
              <w:rPr>
                <w:color w:val="0000FF"/>
                <w:sz w:val="21"/>
                <w:szCs w:val="21"/>
              </w:rPr>
              <w:t>样方面积：20×20m</w:t>
            </w:r>
            <w:r>
              <w:rPr>
                <w:color w:val="0000FF"/>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地貌</w:t>
            </w:r>
          </w:p>
        </w:tc>
        <w:tc>
          <w:tcPr>
            <w:tcW w:w="2839" w:type="dxa"/>
            <w:gridSpan w:val="2"/>
            <w:vAlign w:val="center"/>
          </w:tcPr>
          <w:p>
            <w:pPr>
              <w:spacing w:line="340" w:lineRule="exact"/>
              <w:ind w:firstLine="0" w:firstLineChars="0"/>
              <w:jc w:val="center"/>
              <w:rPr>
                <w:color w:val="0000FF"/>
                <w:sz w:val="21"/>
                <w:szCs w:val="21"/>
              </w:rPr>
            </w:pPr>
            <w:r>
              <w:rPr>
                <w:color w:val="0000FF"/>
                <w:sz w:val="21"/>
                <w:szCs w:val="21"/>
              </w:rPr>
              <w:t>低丘岗地</w:t>
            </w:r>
          </w:p>
        </w:tc>
        <w:tc>
          <w:tcPr>
            <w:tcW w:w="1119" w:type="dxa"/>
            <w:vAlign w:val="center"/>
          </w:tcPr>
          <w:p>
            <w:pPr>
              <w:spacing w:line="340" w:lineRule="exact"/>
              <w:ind w:firstLine="0" w:firstLineChars="0"/>
              <w:jc w:val="center"/>
              <w:rPr>
                <w:b/>
                <w:color w:val="0000FF"/>
                <w:sz w:val="21"/>
                <w:szCs w:val="21"/>
              </w:rPr>
            </w:pPr>
            <w:r>
              <w:rPr>
                <w:b/>
                <w:color w:val="0000FF"/>
                <w:sz w:val="21"/>
                <w:szCs w:val="21"/>
              </w:rPr>
              <w:t>土壤</w:t>
            </w:r>
          </w:p>
        </w:tc>
        <w:tc>
          <w:tcPr>
            <w:tcW w:w="936" w:type="dxa"/>
            <w:vAlign w:val="center"/>
          </w:tcPr>
          <w:p>
            <w:pPr>
              <w:spacing w:line="340" w:lineRule="exact"/>
              <w:ind w:firstLine="0" w:firstLineChars="0"/>
              <w:jc w:val="center"/>
              <w:rPr>
                <w:color w:val="0000FF"/>
                <w:sz w:val="21"/>
                <w:szCs w:val="21"/>
              </w:rPr>
            </w:pPr>
            <w:r>
              <w:rPr>
                <w:color w:val="0000FF"/>
                <w:spacing w:val="-12"/>
                <w:sz w:val="21"/>
                <w:szCs w:val="21"/>
              </w:rPr>
              <w:t>红壤</w:t>
            </w:r>
          </w:p>
        </w:tc>
        <w:tc>
          <w:tcPr>
            <w:tcW w:w="2730" w:type="dxa"/>
            <w:gridSpan w:val="2"/>
            <w:vAlign w:val="center"/>
          </w:tcPr>
          <w:p>
            <w:pPr>
              <w:spacing w:line="340" w:lineRule="exact"/>
              <w:ind w:firstLine="0" w:firstLineChars="0"/>
              <w:jc w:val="center"/>
              <w:rPr>
                <w:color w:val="0000FF"/>
                <w:sz w:val="21"/>
                <w:szCs w:val="21"/>
              </w:rPr>
            </w:pPr>
            <w:r>
              <w:rPr>
                <w:color w:val="0000FF"/>
                <w:sz w:val="21"/>
                <w:szCs w:val="21"/>
              </w:rPr>
              <w:t>地上生物量：7</w:t>
            </w:r>
            <w:r>
              <w:rPr>
                <w:rFonts w:hint="eastAsia"/>
                <w:color w:val="0000FF"/>
                <w:sz w:val="21"/>
                <w:szCs w:val="21"/>
              </w:rPr>
              <w:t>4</w:t>
            </w:r>
            <w:r>
              <w:rPr>
                <w:color w:val="0000FF"/>
                <w:sz w:val="21"/>
                <w:szCs w:val="21"/>
              </w:rPr>
              <w:t>936kg/hm</w:t>
            </w:r>
            <w:r>
              <w:rPr>
                <w:color w:val="0000FF"/>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pacing w:val="-20"/>
                <w:sz w:val="21"/>
                <w:szCs w:val="21"/>
              </w:rPr>
              <w:t>环境简述</w:t>
            </w:r>
          </w:p>
        </w:tc>
        <w:tc>
          <w:tcPr>
            <w:tcW w:w="7624" w:type="dxa"/>
            <w:gridSpan w:val="6"/>
            <w:vAlign w:val="center"/>
          </w:tcPr>
          <w:p>
            <w:pPr>
              <w:spacing w:line="340" w:lineRule="exact"/>
              <w:ind w:firstLine="0" w:firstLineChars="0"/>
              <w:jc w:val="center"/>
              <w:rPr>
                <w:color w:val="0000FF"/>
                <w:sz w:val="21"/>
                <w:szCs w:val="21"/>
              </w:rPr>
            </w:pPr>
            <w:r>
              <w:rPr>
                <w:color w:val="0000FF"/>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林层</w:t>
            </w:r>
          </w:p>
        </w:tc>
        <w:tc>
          <w:tcPr>
            <w:tcW w:w="2474" w:type="dxa"/>
            <w:vAlign w:val="center"/>
          </w:tcPr>
          <w:p>
            <w:pPr>
              <w:spacing w:line="340" w:lineRule="exact"/>
              <w:ind w:firstLine="0" w:firstLineChars="0"/>
              <w:jc w:val="center"/>
              <w:rPr>
                <w:color w:val="0000FF"/>
                <w:sz w:val="21"/>
                <w:szCs w:val="21"/>
              </w:rPr>
            </w:pPr>
            <w:r>
              <w:rPr>
                <w:color w:val="0000FF"/>
                <w:sz w:val="21"/>
                <w:szCs w:val="21"/>
              </w:rPr>
              <w:t>单层林</w:t>
            </w:r>
          </w:p>
        </w:tc>
        <w:tc>
          <w:tcPr>
            <w:tcW w:w="5150" w:type="dxa"/>
            <w:gridSpan w:val="5"/>
            <w:vAlign w:val="center"/>
          </w:tcPr>
          <w:p>
            <w:pPr>
              <w:spacing w:line="340" w:lineRule="exact"/>
              <w:ind w:firstLine="0" w:firstLineChars="0"/>
              <w:jc w:val="center"/>
              <w:rPr>
                <w:b/>
                <w:color w:val="0000FF"/>
                <w:sz w:val="21"/>
                <w:szCs w:val="21"/>
              </w:rPr>
            </w:pPr>
            <w:r>
              <w:rPr>
                <w:b/>
                <w:color w:val="0000FF"/>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乔木层</w:t>
            </w:r>
          </w:p>
        </w:tc>
        <w:tc>
          <w:tcPr>
            <w:tcW w:w="2474" w:type="dxa"/>
            <w:vAlign w:val="center"/>
          </w:tcPr>
          <w:p>
            <w:pPr>
              <w:spacing w:line="340" w:lineRule="exact"/>
              <w:ind w:firstLine="0" w:firstLineChars="0"/>
              <w:jc w:val="center"/>
              <w:rPr>
                <w:color w:val="0000FF"/>
                <w:sz w:val="21"/>
                <w:szCs w:val="21"/>
              </w:rPr>
            </w:pPr>
            <w:r>
              <w:rPr>
                <w:color w:val="0000FF"/>
                <w:sz w:val="21"/>
                <w:szCs w:val="21"/>
              </w:rPr>
              <w:t>高6.5~15m，盖度65%</w:t>
            </w:r>
          </w:p>
        </w:tc>
        <w:tc>
          <w:tcPr>
            <w:tcW w:w="5150" w:type="dxa"/>
            <w:gridSpan w:val="5"/>
            <w:vAlign w:val="center"/>
          </w:tcPr>
          <w:p>
            <w:pPr>
              <w:spacing w:line="340" w:lineRule="exact"/>
              <w:ind w:firstLine="0" w:firstLineChars="0"/>
              <w:jc w:val="center"/>
              <w:rPr>
                <w:color w:val="0000FF"/>
                <w:sz w:val="21"/>
                <w:szCs w:val="21"/>
              </w:rPr>
            </w:pPr>
            <w:r>
              <w:rPr>
                <w:rFonts w:hint="eastAsia"/>
                <w:color w:val="0000FF"/>
                <w:sz w:val="21"/>
                <w:szCs w:val="21"/>
              </w:rPr>
              <w:t>杨树</w:t>
            </w:r>
            <w:r>
              <w:rPr>
                <w:color w:val="0000FF"/>
                <w:sz w:val="21"/>
                <w:szCs w:val="21"/>
              </w:rPr>
              <w:t>、马尾松、枫香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灌木层</w:t>
            </w:r>
          </w:p>
        </w:tc>
        <w:tc>
          <w:tcPr>
            <w:tcW w:w="2474" w:type="dxa"/>
            <w:vAlign w:val="center"/>
          </w:tcPr>
          <w:p>
            <w:pPr>
              <w:spacing w:line="340" w:lineRule="exact"/>
              <w:ind w:firstLine="0" w:firstLineChars="0"/>
              <w:jc w:val="center"/>
              <w:rPr>
                <w:color w:val="0000FF"/>
                <w:sz w:val="21"/>
                <w:szCs w:val="21"/>
              </w:rPr>
            </w:pPr>
            <w:r>
              <w:rPr>
                <w:color w:val="0000FF"/>
                <w:sz w:val="21"/>
                <w:szCs w:val="21"/>
              </w:rPr>
              <w:t>高</w:t>
            </w:r>
            <w:r>
              <w:rPr>
                <w:rFonts w:hint="eastAsia"/>
                <w:color w:val="0000FF"/>
                <w:sz w:val="21"/>
                <w:szCs w:val="21"/>
              </w:rPr>
              <w:t>0</w:t>
            </w:r>
            <w:r>
              <w:rPr>
                <w:color w:val="0000FF"/>
                <w:sz w:val="21"/>
                <w:szCs w:val="21"/>
              </w:rPr>
              <w:t>.5~2.0m，盖度35%</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檵木、栀子、盐肤木、</w:t>
            </w:r>
            <w:r>
              <w:rPr>
                <w:rFonts w:hint="eastAsia"/>
                <w:color w:val="0000FF"/>
                <w:sz w:val="21"/>
                <w:szCs w:val="21"/>
              </w:rPr>
              <w:t>峨眉鼠刺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pacing w:val="-20"/>
                <w:sz w:val="21"/>
                <w:szCs w:val="21"/>
              </w:rPr>
              <w:t>层间植</w:t>
            </w:r>
            <w:r>
              <w:rPr>
                <w:b/>
                <w:color w:val="0000FF"/>
                <w:sz w:val="21"/>
                <w:szCs w:val="21"/>
              </w:rPr>
              <w:t>物</w:t>
            </w:r>
          </w:p>
        </w:tc>
        <w:tc>
          <w:tcPr>
            <w:tcW w:w="2474" w:type="dxa"/>
            <w:vAlign w:val="center"/>
          </w:tcPr>
          <w:p>
            <w:pPr>
              <w:spacing w:line="340" w:lineRule="exact"/>
              <w:ind w:firstLine="0" w:firstLineChars="0"/>
              <w:jc w:val="center"/>
              <w:rPr>
                <w:color w:val="0000FF"/>
                <w:sz w:val="21"/>
                <w:szCs w:val="21"/>
              </w:rPr>
            </w:pPr>
            <w:r>
              <w:rPr>
                <w:color w:val="0000FF"/>
                <w:sz w:val="21"/>
                <w:szCs w:val="21"/>
              </w:rPr>
              <w:t>长1.5～6.5m</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紫藤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1" w:type="dxa"/>
            <w:vAlign w:val="center"/>
          </w:tcPr>
          <w:p>
            <w:pPr>
              <w:spacing w:line="340" w:lineRule="exact"/>
              <w:ind w:firstLine="0" w:firstLineChars="0"/>
              <w:jc w:val="center"/>
              <w:rPr>
                <w:b/>
                <w:color w:val="0000FF"/>
                <w:sz w:val="21"/>
                <w:szCs w:val="21"/>
              </w:rPr>
            </w:pPr>
            <w:r>
              <w:rPr>
                <w:b/>
                <w:color w:val="0000FF"/>
                <w:sz w:val="21"/>
                <w:szCs w:val="21"/>
              </w:rPr>
              <w:t>草本层</w:t>
            </w:r>
          </w:p>
        </w:tc>
        <w:tc>
          <w:tcPr>
            <w:tcW w:w="2474" w:type="dxa"/>
            <w:vAlign w:val="center"/>
          </w:tcPr>
          <w:p>
            <w:pPr>
              <w:spacing w:line="340" w:lineRule="exact"/>
              <w:ind w:firstLine="0" w:firstLineChars="0"/>
              <w:jc w:val="center"/>
              <w:rPr>
                <w:color w:val="0000FF"/>
                <w:sz w:val="21"/>
                <w:szCs w:val="21"/>
              </w:rPr>
            </w:pPr>
            <w:r>
              <w:rPr>
                <w:color w:val="0000FF"/>
                <w:sz w:val="21"/>
                <w:szCs w:val="21"/>
              </w:rPr>
              <w:t>高0.6m，盖度</w:t>
            </w:r>
            <w:r>
              <w:rPr>
                <w:rFonts w:hint="eastAsia"/>
                <w:color w:val="0000FF"/>
                <w:sz w:val="21"/>
                <w:szCs w:val="21"/>
              </w:rPr>
              <w:t>1</w:t>
            </w:r>
            <w:r>
              <w:rPr>
                <w:color w:val="0000FF"/>
                <w:sz w:val="21"/>
                <w:szCs w:val="21"/>
              </w:rPr>
              <w:t>5%</w:t>
            </w:r>
          </w:p>
        </w:tc>
        <w:tc>
          <w:tcPr>
            <w:tcW w:w="5150" w:type="dxa"/>
            <w:gridSpan w:val="5"/>
            <w:vAlign w:val="center"/>
          </w:tcPr>
          <w:p>
            <w:pPr>
              <w:spacing w:line="340" w:lineRule="exact"/>
              <w:ind w:firstLine="0" w:firstLineChars="0"/>
              <w:jc w:val="center"/>
              <w:rPr>
                <w:color w:val="0000FF"/>
                <w:sz w:val="21"/>
                <w:szCs w:val="21"/>
              </w:rPr>
            </w:pPr>
            <w:r>
              <w:rPr>
                <w:color w:val="0000FF"/>
                <w:sz w:val="21"/>
                <w:szCs w:val="21"/>
              </w:rPr>
              <w:t>狗脊、中华苔草、芒萁</w:t>
            </w:r>
          </w:p>
        </w:tc>
      </w:tr>
    </w:tbl>
    <w:tbl>
      <w:tblPr>
        <w:tblStyle w:val="82"/>
        <w:tblpPr w:leftFromText="180" w:rightFromText="180" w:vertAnchor="text" w:horzAnchor="margin" w:tblpXSpec="right" w:tblpY="39"/>
        <w:tblOverlap w:val="never"/>
        <w:tblW w:w="0" w:type="auto"/>
        <w:tblInd w:w="0" w:type="dxa"/>
        <w:tblLayout w:type="autofit"/>
        <w:tblCellMar>
          <w:top w:w="0" w:type="dxa"/>
          <w:left w:w="108" w:type="dxa"/>
          <w:bottom w:w="0" w:type="dxa"/>
          <w:right w:w="108" w:type="dxa"/>
        </w:tblCellMar>
      </w:tblPr>
      <w:tblGrid>
        <w:gridCol w:w="5286"/>
      </w:tblGrid>
      <w:tr>
        <w:tblPrEx>
          <w:tblCellMar>
            <w:top w:w="0" w:type="dxa"/>
            <w:left w:w="108" w:type="dxa"/>
            <w:bottom w:w="0" w:type="dxa"/>
            <w:right w:w="108" w:type="dxa"/>
          </w:tblCellMar>
        </w:tblPrEx>
        <w:trPr>
          <w:trHeight w:val="3112" w:hRule="atLeast"/>
        </w:trPr>
        <w:tc>
          <w:tcPr>
            <w:tcW w:w="5041" w:type="dxa"/>
            <w:vAlign w:val="center"/>
          </w:tcPr>
          <w:p>
            <w:pPr>
              <w:tabs>
                <w:tab w:val="left" w:pos="5670"/>
              </w:tabs>
              <w:spacing w:line="240" w:lineRule="auto"/>
              <w:ind w:firstLine="0" w:firstLineChars="0"/>
              <w:jc w:val="center"/>
            </w:pPr>
            <w:r>
              <w:drawing>
                <wp:inline distT="0" distB="0" distL="0" distR="0">
                  <wp:extent cx="3211195" cy="4277995"/>
                  <wp:effectExtent l="0" t="0" r="8255"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211195" cy="4277995"/>
                          </a:xfrm>
                          <a:prstGeom prst="rect">
                            <a:avLst/>
                          </a:prstGeom>
                          <a:noFill/>
                          <a:ln>
                            <a:noFill/>
                          </a:ln>
                        </pic:spPr>
                      </pic:pic>
                    </a:graphicData>
                  </a:graphic>
                </wp:inline>
              </w:drawing>
            </w:r>
          </w:p>
          <w:p>
            <w:pPr>
              <w:tabs>
                <w:tab w:val="left" w:pos="5670"/>
              </w:tabs>
              <w:spacing w:line="240" w:lineRule="auto"/>
              <w:ind w:firstLine="0" w:firstLineChars="0"/>
              <w:jc w:val="center"/>
              <w:rPr>
                <w:spacing w:val="-16"/>
              </w:rPr>
            </w:pPr>
            <w:r>
              <w:rPr>
                <w:rFonts w:eastAsia="黑体"/>
              </w:rPr>
              <w:t>图4.</w:t>
            </w:r>
            <w:r>
              <w:rPr>
                <w:rFonts w:hint="eastAsia" w:eastAsia="黑体"/>
              </w:rPr>
              <w:t>5</w:t>
            </w:r>
            <w:r>
              <w:rPr>
                <w:rFonts w:eastAsia="黑体"/>
              </w:rPr>
              <w:t>-</w:t>
            </w:r>
            <w:r>
              <w:rPr>
                <w:rFonts w:hint="eastAsia" w:eastAsia="黑体"/>
              </w:rPr>
              <w:t>7</w:t>
            </w:r>
            <w:r>
              <w:rPr>
                <w:rFonts w:eastAsia="黑体"/>
              </w:rPr>
              <w:t xml:space="preserve">  </w:t>
            </w:r>
            <w:r>
              <w:rPr>
                <w:rFonts w:hint="eastAsia" w:hAnsi="宋体" w:eastAsia="黑体"/>
              </w:rPr>
              <w:t>毛竹</w:t>
            </w:r>
            <w:r>
              <w:rPr>
                <w:rFonts w:eastAsia="黑体"/>
              </w:rPr>
              <w:t>林</w:t>
            </w:r>
            <w:r>
              <w:rPr>
                <w:rFonts w:hint="eastAsia" w:eastAsia="黑体"/>
              </w:rPr>
              <w:t>样方现场调查照片</w:t>
            </w:r>
          </w:p>
        </w:tc>
      </w:tr>
    </w:tbl>
    <w:p>
      <w:pPr>
        <w:tabs>
          <w:tab w:val="left" w:pos="5670"/>
        </w:tabs>
        <w:ind w:firstLine="480"/>
      </w:pPr>
      <w:r>
        <w:rPr>
          <w:rFonts w:hint="eastAsia"/>
        </w:rPr>
        <w:t>毛竹林</w:t>
      </w:r>
      <w:r>
        <w:t>（</w:t>
      </w:r>
      <w:r>
        <w:rPr>
          <w:rFonts w:hint="eastAsia"/>
        </w:rPr>
        <w:t>Maozhu forest</w:t>
      </w:r>
      <w:r>
        <w:t>）：毛竹林常为纯林，林分立竹株数在1500～4200株/ha，平均300株左右，平均胸径11.6cm，最粗20cm，平均高18m，最高22.5m。平均生物产量50850～233460kg/ha，竹材产量37545～215925kg/ha，平均单株材积35.1kg，平均叶面积指数2.23～7.40；林冠郁闭度在0.5～0.9。林分随着平均直径的增大，接近林分平均直径的株数就愈多，最大直径和最小直径差的百分率愈小，显然群体结构愈合理，林分生长就愈好。毛竹林的林下植被有油茶（</w:t>
      </w:r>
      <w:r>
        <w:rPr>
          <w:rFonts w:hint="eastAsia"/>
        </w:rPr>
        <w:t>C</w:t>
      </w:r>
      <w:r>
        <w:t>amelliade oleifera）、拎本（</w:t>
      </w:r>
      <w:r>
        <w:rPr>
          <w:rFonts w:hint="eastAsia"/>
        </w:rPr>
        <w:t>E</w:t>
      </w:r>
      <w:r>
        <w:t>nrya japonica）、姜子（</w:t>
      </w:r>
      <w:r>
        <w:rPr>
          <w:rFonts w:hint="eastAsia"/>
        </w:rPr>
        <w:t>N</w:t>
      </w:r>
      <w:r>
        <w:t>eolitsea sp.）、鹅掌楸（</w:t>
      </w:r>
      <w:r>
        <w:rPr>
          <w:rFonts w:hint="eastAsia"/>
        </w:rPr>
        <w:t>S</w:t>
      </w:r>
      <w:r>
        <w:t>eheffler octophylle）、山矾、悬钩子、</w:t>
      </w:r>
      <w:r>
        <w:fldChar w:fldCharType="begin"/>
      </w:r>
      <w:r>
        <w:instrText xml:space="preserve"> HYPERLINK "https://baike.sogou.com/lemma/ShowInnerLink.htm?lemmaId=223771&amp;ss_c=ssc.citiao.link" \t "https://baike.sogou.com/_blank" </w:instrText>
      </w:r>
      <w:r>
        <w:fldChar w:fldCharType="separate"/>
      </w:r>
      <w:r>
        <w:t>紫金牛</w:t>
      </w:r>
      <w:r>
        <w:fldChar w:fldCharType="end"/>
      </w:r>
      <w:r>
        <w:t>（</w:t>
      </w:r>
      <w:r>
        <w:rPr>
          <w:rFonts w:hint="eastAsia"/>
        </w:rPr>
        <w:t>A</w:t>
      </w:r>
      <w:r>
        <w:t>rdisia japonica）、</w:t>
      </w:r>
      <w:r>
        <w:fldChar w:fldCharType="begin"/>
      </w:r>
      <w:r>
        <w:instrText xml:space="preserve"> HYPERLINK "https://baike.sogou.com/lemma/ShowInnerLink.htm?lemmaId=70894633&amp;ss_c=ssc.citiao.link" \t "https://baike.sogou.com/_blank" </w:instrText>
      </w:r>
      <w:r>
        <w:fldChar w:fldCharType="separate"/>
      </w:r>
      <w:r>
        <w:t>柔毛绣球</w:t>
      </w:r>
      <w:r>
        <w:fldChar w:fldCharType="end"/>
      </w:r>
      <w:r>
        <w:t>（</w:t>
      </w:r>
      <w:r>
        <w:rPr>
          <w:rFonts w:hint="eastAsia"/>
        </w:rPr>
        <w:t>H</w:t>
      </w:r>
      <w:r>
        <w:t>ydrangeavillo sp．），还有木荷，丝栗拷等，草本植物主要为禾本科、</w:t>
      </w:r>
      <w:r>
        <w:fldChar w:fldCharType="begin"/>
      </w:r>
      <w:r>
        <w:instrText xml:space="preserve"> HYPERLINK "https://baike.sogou.com/lemma/ShowInnerLink.htm?lemmaId=131135&amp;ss_c=ssc.citiao.link" \t "https://baike.sogou.com/_blank" </w:instrText>
      </w:r>
      <w:r>
        <w:fldChar w:fldCharType="separate"/>
      </w:r>
      <w:r>
        <w:t>莎草科</w:t>
      </w:r>
      <w:r>
        <w:fldChar w:fldCharType="end"/>
      </w:r>
      <w:r>
        <w:t>和藏类植物如里白（</w:t>
      </w:r>
      <w:r>
        <w:rPr>
          <w:rFonts w:hint="eastAsia"/>
        </w:rPr>
        <w:t>H</w:t>
      </w:r>
      <w:r>
        <w:t>icriopteris glauca）、</w:t>
      </w:r>
      <w:r>
        <w:fldChar w:fldCharType="begin"/>
      </w:r>
      <w:r>
        <w:instrText xml:space="preserve"> HYPERLINK "https://baike.sogou.com/lemma/ShowInnerLink.htm?lemmaId=70864880&amp;ss_c=ssc.citiao.link" \t "https://baike.sogou.com/_blank" </w:instrText>
      </w:r>
      <w:r>
        <w:fldChar w:fldCharType="separate"/>
      </w:r>
      <w:r>
        <w:t>铁芒箕</w:t>
      </w:r>
      <w:r>
        <w:fldChar w:fldCharType="end"/>
      </w:r>
      <w:r>
        <w:t>（</w:t>
      </w:r>
      <w:r>
        <w:rPr>
          <w:rFonts w:hint="eastAsia"/>
        </w:rPr>
        <w:t>D</w:t>
      </w:r>
      <w:r>
        <w:t>iranopteris dichotoma）等。有时，毛竹亦与杉木。马尾松、长柄水青冈、头状四照花等组成各种类型的混交林。在这些混交林中，毛竹一般居于第二层，Ｌ层为形体较高大的马尾松等。</w:t>
      </w:r>
    </w:p>
    <w:p>
      <w:pPr>
        <w:pStyle w:val="1022"/>
        <w:spacing w:before="120" w:beforeLines="50" w:line="240" w:lineRule="auto"/>
        <w:ind w:firstLine="0" w:firstLineChars="0"/>
        <w:jc w:val="center"/>
        <w:rPr>
          <w:rFonts w:ascii="黑体" w:hAnsi="黑体" w:eastAsia="黑体" w:cs="黑体"/>
        </w:rPr>
      </w:pPr>
      <w:r>
        <w:rPr>
          <w:rFonts w:hint="eastAsia" w:ascii="黑体" w:hAnsi="黑体" w:eastAsia="黑体" w:cs="黑体"/>
        </w:rPr>
        <w:t>表4.5-1</w:t>
      </w:r>
      <w:r>
        <w:rPr>
          <w:rFonts w:ascii="黑体" w:hAnsi="黑体" w:eastAsia="黑体" w:cs="黑体"/>
        </w:rPr>
        <w:t>5</w:t>
      </w:r>
      <w:r>
        <w:rPr>
          <w:rFonts w:hint="eastAsia" w:ascii="黑体" w:hAnsi="黑体" w:eastAsia="黑体" w:cs="黑体"/>
        </w:rPr>
        <w:t xml:space="preserve">  毛竹林样方调查表（样方1）</w:t>
      </w:r>
    </w:p>
    <w:tbl>
      <w:tblPr>
        <w:tblStyle w:val="8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0"/>
        <w:gridCol w:w="2573"/>
        <w:gridCol w:w="586"/>
        <w:gridCol w:w="1020"/>
        <w:gridCol w:w="1148"/>
        <w:gridCol w:w="865"/>
        <w:gridCol w:w="19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8" w:type="pct"/>
            <w:gridSpan w:val="3"/>
            <w:vAlign w:val="center"/>
          </w:tcPr>
          <w:p>
            <w:pPr>
              <w:spacing w:line="340" w:lineRule="exact"/>
              <w:ind w:firstLine="0" w:firstLineChars="0"/>
              <w:jc w:val="center"/>
              <w:rPr>
                <w:sz w:val="21"/>
                <w:szCs w:val="21"/>
              </w:rPr>
            </w:pPr>
            <w:r>
              <w:rPr>
                <w:b/>
                <w:sz w:val="21"/>
                <w:szCs w:val="21"/>
              </w:rPr>
              <w:t>植被类型/群落名称：</w:t>
            </w:r>
            <w:r>
              <w:rPr>
                <w:rFonts w:hint="eastAsia" w:hAnsi="宋体"/>
                <w:sz w:val="21"/>
                <w:szCs w:val="21"/>
              </w:rPr>
              <w:t>毛竹</w:t>
            </w:r>
            <w:r>
              <w:rPr>
                <w:rFonts w:hAnsi="宋体"/>
                <w:sz w:val="21"/>
                <w:szCs w:val="21"/>
              </w:rPr>
              <w:t>林</w:t>
            </w:r>
          </w:p>
        </w:tc>
        <w:tc>
          <w:tcPr>
            <w:tcW w:w="1606" w:type="pct"/>
            <w:gridSpan w:val="3"/>
            <w:vAlign w:val="center"/>
          </w:tcPr>
          <w:p>
            <w:pPr>
              <w:spacing w:line="340" w:lineRule="exact"/>
              <w:ind w:firstLine="0" w:firstLineChars="0"/>
              <w:jc w:val="center"/>
              <w:rPr>
                <w:spacing w:val="-12"/>
                <w:sz w:val="21"/>
                <w:szCs w:val="21"/>
              </w:rPr>
            </w:pPr>
            <w:r>
              <w:rPr>
                <w:b/>
                <w:sz w:val="21"/>
                <w:szCs w:val="21"/>
              </w:rPr>
              <w:t>点位：</w:t>
            </w:r>
            <w:r>
              <w:rPr>
                <w:rFonts w:hint="eastAsia"/>
                <w:sz w:val="21"/>
                <w:szCs w:val="21"/>
              </w:rPr>
              <w:t>坝址右岸</w:t>
            </w:r>
            <w:r>
              <w:rPr>
                <w:sz w:val="21"/>
                <w:szCs w:val="21"/>
              </w:rPr>
              <w:t>附近</w:t>
            </w:r>
          </w:p>
        </w:tc>
        <w:tc>
          <w:tcPr>
            <w:tcW w:w="1006" w:type="pct"/>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经纬度</w:t>
            </w:r>
          </w:p>
        </w:tc>
        <w:tc>
          <w:tcPr>
            <w:tcW w:w="1618" w:type="pct"/>
            <w:gridSpan w:val="2"/>
            <w:vAlign w:val="center"/>
          </w:tcPr>
          <w:p>
            <w:pPr>
              <w:widowControl/>
              <w:spacing w:line="240" w:lineRule="auto"/>
              <w:ind w:firstLine="0" w:firstLineChars="0"/>
              <w:jc w:val="center"/>
              <w:rPr>
                <w:sz w:val="21"/>
                <w:szCs w:val="21"/>
              </w:rPr>
            </w:pPr>
            <w:r>
              <w:rPr>
                <w:rFonts w:eastAsia="等线"/>
                <w:color w:val="000000"/>
                <w:sz w:val="21"/>
                <w:szCs w:val="21"/>
              </w:rPr>
              <w:t>114°57</w:t>
            </w:r>
            <w:r>
              <w:rPr>
                <w:rFonts w:hint="eastAsia"/>
                <w:color w:val="000000"/>
                <w:sz w:val="21"/>
                <w:szCs w:val="21"/>
              </w:rPr>
              <w:t>′</w:t>
            </w:r>
            <w:r>
              <w:rPr>
                <w:rFonts w:eastAsia="等线"/>
                <w:color w:val="000000"/>
                <w:sz w:val="21"/>
                <w:szCs w:val="21"/>
              </w:rPr>
              <w:t>59.72</w:t>
            </w:r>
            <w:r>
              <w:rPr>
                <w:rFonts w:hint="eastAsia"/>
                <w:color w:val="000000"/>
                <w:sz w:val="21"/>
                <w:szCs w:val="21"/>
              </w:rPr>
              <w:t>″</w:t>
            </w:r>
            <w:r>
              <w:rPr>
                <w:rFonts w:eastAsia="等线"/>
                <w:color w:val="000000"/>
                <w:sz w:val="21"/>
                <w:szCs w:val="21"/>
              </w:rPr>
              <w:t>,28°14</w:t>
            </w:r>
            <w:r>
              <w:rPr>
                <w:rFonts w:hint="eastAsia"/>
                <w:color w:val="000000"/>
                <w:sz w:val="21"/>
                <w:szCs w:val="21"/>
              </w:rPr>
              <w:t>′</w:t>
            </w:r>
            <w:r>
              <w:rPr>
                <w:rFonts w:eastAsia="等线"/>
                <w:color w:val="000000"/>
                <w:sz w:val="21"/>
                <w:szCs w:val="21"/>
              </w:rPr>
              <w:t>29.88</w:t>
            </w:r>
            <w:r>
              <w:rPr>
                <w:rFonts w:hint="eastAsia"/>
                <w:color w:val="000000"/>
                <w:sz w:val="21"/>
                <w:szCs w:val="21"/>
              </w:rPr>
              <w:t>″</w:t>
            </w:r>
          </w:p>
        </w:tc>
        <w:tc>
          <w:tcPr>
            <w:tcW w:w="540" w:type="pct"/>
            <w:vAlign w:val="center"/>
          </w:tcPr>
          <w:p>
            <w:pPr>
              <w:spacing w:line="340" w:lineRule="exact"/>
              <w:ind w:firstLine="0" w:firstLineChars="0"/>
              <w:jc w:val="center"/>
              <w:rPr>
                <w:b/>
                <w:sz w:val="21"/>
                <w:szCs w:val="21"/>
              </w:rPr>
            </w:pPr>
            <w:r>
              <w:rPr>
                <w:b/>
                <w:sz w:val="21"/>
                <w:szCs w:val="21"/>
              </w:rPr>
              <w:t>海拔</w:t>
            </w:r>
          </w:p>
        </w:tc>
        <w:tc>
          <w:tcPr>
            <w:tcW w:w="607" w:type="pct"/>
            <w:vAlign w:val="center"/>
          </w:tcPr>
          <w:p>
            <w:pPr>
              <w:spacing w:line="340" w:lineRule="exact"/>
              <w:ind w:firstLine="0" w:firstLineChars="0"/>
              <w:jc w:val="center"/>
              <w:rPr>
                <w:sz w:val="21"/>
                <w:szCs w:val="21"/>
              </w:rPr>
            </w:pPr>
            <w:r>
              <w:rPr>
                <w:rFonts w:hint="eastAsia"/>
                <w:sz w:val="21"/>
                <w:szCs w:val="21"/>
              </w:rPr>
              <w:t>50</w:t>
            </w:r>
            <w:r>
              <w:rPr>
                <w:sz w:val="21"/>
                <w:szCs w:val="21"/>
              </w:rPr>
              <w:t>m</w:t>
            </w:r>
          </w:p>
        </w:tc>
        <w:tc>
          <w:tcPr>
            <w:tcW w:w="1465" w:type="pct"/>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地貌</w:t>
            </w:r>
          </w:p>
        </w:tc>
        <w:tc>
          <w:tcPr>
            <w:tcW w:w="1618" w:type="pct"/>
            <w:gridSpan w:val="2"/>
            <w:vAlign w:val="center"/>
          </w:tcPr>
          <w:p>
            <w:pPr>
              <w:spacing w:line="340" w:lineRule="exact"/>
              <w:ind w:firstLine="0" w:firstLineChars="0"/>
              <w:jc w:val="center"/>
              <w:rPr>
                <w:sz w:val="21"/>
                <w:szCs w:val="21"/>
              </w:rPr>
            </w:pPr>
            <w:r>
              <w:rPr>
                <w:sz w:val="21"/>
                <w:szCs w:val="21"/>
              </w:rPr>
              <w:t>低丘岗地</w:t>
            </w:r>
          </w:p>
        </w:tc>
        <w:tc>
          <w:tcPr>
            <w:tcW w:w="540" w:type="pct"/>
            <w:vAlign w:val="center"/>
          </w:tcPr>
          <w:p>
            <w:pPr>
              <w:spacing w:line="340" w:lineRule="exact"/>
              <w:ind w:firstLine="0" w:firstLineChars="0"/>
              <w:jc w:val="center"/>
              <w:rPr>
                <w:b/>
                <w:sz w:val="21"/>
                <w:szCs w:val="21"/>
              </w:rPr>
            </w:pPr>
            <w:r>
              <w:rPr>
                <w:b/>
                <w:sz w:val="21"/>
                <w:szCs w:val="21"/>
              </w:rPr>
              <w:t>土壤</w:t>
            </w:r>
          </w:p>
        </w:tc>
        <w:tc>
          <w:tcPr>
            <w:tcW w:w="607" w:type="pct"/>
            <w:vAlign w:val="center"/>
          </w:tcPr>
          <w:p>
            <w:pPr>
              <w:spacing w:line="340" w:lineRule="exact"/>
              <w:ind w:firstLine="0" w:firstLineChars="0"/>
              <w:jc w:val="center"/>
              <w:rPr>
                <w:sz w:val="21"/>
                <w:szCs w:val="21"/>
              </w:rPr>
            </w:pPr>
            <w:r>
              <w:rPr>
                <w:spacing w:val="-12"/>
                <w:sz w:val="21"/>
                <w:szCs w:val="21"/>
              </w:rPr>
              <w:t>红壤</w:t>
            </w:r>
          </w:p>
        </w:tc>
        <w:tc>
          <w:tcPr>
            <w:tcW w:w="1465" w:type="pct"/>
            <w:gridSpan w:val="2"/>
            <w:vAlign w:val="center"/>
          </w:tcPr>
          <w:p>
            <w:pPr>
              <w:spacing w:line="340" w:lineRule="exact"/>
              <w:ind w:firstLine="0" w:firstLineChars="0"/>
              <w:jc w:val="center"/>
              <w:rPr>
                <w:sz w:val="21"/>
                <w:szCs w:val="21"/>
              </w:rPr>
            </w:pPr>
            <w:r>
              <w:rPr>
                <w:sz w:val="21"/>
                <w:szCs w:val="21"/>
              </w:rPr>
              <w:t>地上生物量：6</w:t>
            </w:r>
            <w:r>
              <w:rPr>
                <w:rFonts w:hint="eastAsia"/>
                <w:sz w:val="21"/>
                <w:szCs w:val="21"/>
              </w:rPr>
              <w:t>7824</w:t>
            </w:r>
            <w:r>
              <w:rPr>
                <w:sz w:val="21"/>
                <w:szCs w:val="21"/>
              </w:rPr>
              <w:t>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pacing w:val="-20"/>
                <w:sz w:val="21"/>
                <w:szCs w:val="21"/>
              </w:rPr>
              <w:t>环境简述</w:t>
            </w:r>
          </w:p>
        </w:tc>
        <w:tc>
          <w:tcPr>
            <w:tcW w:w="4230" w:type="pct"/>
            <w:gridSpan w:val="6"/>
            <w:vAlign w:val="center"/>
          </w:tcPr>
          <w:p>
            <w:pPr>
              <w:spacing w:line="340" w:lineRule="exact"/>
              <w:ind w:firstLine="0" w:firstLineChars="0"/>
              <w:jc w:val="center"/>
              <w:rPr>
                <w:sz w:val="21"/>
                <w:szCs w:val="21"/>
              </w:rPr>
            </w:pPr>
            <w:r>
              <w:rPr>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林层</w:t>
            </w:r>
          </w:p>
        </w:tc>
        <w:tc>
          <w:tcPr>
            <w:tcW w:w="1318" w:type="pct"/>
            <w:vAlign w:val="center"/>
          </w:tcPr>
          <w:p>
            <w:pPr>
              <w:spacing w:line="340" w:lineRule="exact"/>
              <w:ind w:firstLine="0" w:firstLineChars="0"/>
              <w:jc w:val="center"/>
              <w:rPr>
                <w:sz w:val="21"/>
                <w:szCs w:val="21"/>
              </w:rPr>
            </w:pPr>
            <w:r>
              <w:rPr>
                <w:sz w:val="21"/>
                <w:szCs w:val="21"/>
              </w:rPr>
              <w:t>单层林</w:t>
            </w:r>
          </w:p>
        </w:tc>
        <w:tc>
          <w:tcPr>
            <w:tcW w:w="2912" w:type="pct"/>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乔木层</w:t>
            </w:r>
          </w:p>
        </w:tc>
        <w:tc>
          <w:tcPr>
            <w:tcW w:w="1318" w:type="pct"/>
            <w:vAlign w:val="center"/>
          </w:tcPr>
          <w:p>
            <w:pPr>
              <w:spacing w:line="340" w:lineRule="exact"/>
              <w:ind w:firstLine="0" w:firstLineChars="0"/>
              <w:jc w:val="center"/>
              <w:rPr>
                <w:sz w:val="21"/>
                <w:szCs w:val="21"/>
              </w:rPr>
            </w:pPr>
            <w:r>
              <w:rPr>
                <w:sz w:val="21"/>
                <w:szCs w:val="21"/>
              </w:rPr>
              <w:t>高6.5~14m，盖度65%</w:t>
            </w:r>
          </w:p>
        </w:tc>
        <w:tc>
          <w:tcPr>
            <w:tcW w:w="2912" w:type="pct"/>
            <w:gridSpan w:val="5"/>
            <w:vAlign w:val="center"/>
          </w:tcPr>
          <w:p>
            <w:pPr>
              <w:spacing w:line="340" w:lineRule="exact"/>
              <w:ind w:firstLine="0" w:firstLineChars="0"/>
              <w:jc w:val="center"/>
              <w:rPr>
                <w:sz w:val="21"/>
                <w:szCs w:val="21"/>
              </w:rPr>
            </w:pPr>
            <w:r>
              <w:rPr>
                <w:rFonts w:hint="eastAsia"/>
                <w:sz w:val="21"/>
                <w:szCs w:val="21"/>
              </w:rPr>
              <w:t>毛竹</w:t>
            </w:r>
            <w:r>
              <w:rPr>
                <w:sz w:val="21"/>
                <w:szCs w:val="21"/>
              </w:rPr>
              <w:t>、枫香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灌木层</w:t>
            </w:r>
          </w:p>
        </w:tc>
        <w:tc>
          <w:tcPr>
            <w:tcW w:w="1318" w:type="pct"/>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.5~2.0m，盖度25%</w:t>
            </w:r>
          </w:p>
        </w:tc>
        <w:tc>
          <w:tcPr>
            <w:tcW w:w="2912" w:type="pct"/>
            <w:gridSpan w:val="5"/>
            <w:vAlign w:val="center"/>
          </w:tcPr>
          <w:p>
            <w:pPr>
              <w:spacing w:line="340" w:lineRule="exact"/>
              <w:ind w:firstLine="0" w:firstLineChars="0"/>
              <w:jc w:val="center"/>
              <w:rPr>
                <w:sz w:val="21"/>
                <w:szCs w:val="21"/>
              </w:rPr>
            </w:pPr>
            <w:r>
              <w:rPr>
                <w:rFonts w:hint="eastAsia"/>
                <w:sz w:val="21"/>
                <w:szCs w:val="21"/>
              </w:rPr>
              <w:t>乌药、盐麸木、细枝柃、乌桕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草本层</w:t>
            </w:r>
          </w:p>
        </w:tc>
        <w:tc>
          <w:tcPr>
            <w:tcW w:w="1318" w:type="pct"/>
            <w:vAlign w:val="center"/>
          </w:tcPr>
          <w:p>
            <w:pPr>
              <w:spacing w:line="340" w:lineRule="exact"/>
              <w:ind w:firstLine="0" w:firstLineChars="0"/>
              <w:jc w:val="center"/>
              <w:rPr>
                <w:sz w:val="21"/>
                <w:szCs w:val="21"/>
              </w:rPr>
            </w:pPr>
            <w:r>
              <w:rPr>
                <w:sz w:val="21"/>
                <w:szCs w:val="21"/>
              </w:rPr>
              <w:t>高0.6m，盖度</w:t>
            </w:r>
            <w:r>
              <w:rPr>
                <w:rFonts w:hint="eastAsia"/>
                <w:sz w:val="21"/>
                <w:szCs w:val="21"/>
              </w:rPr>
              <w:t>1</w:t>
            </w:r>
            <w:r>
              <w:rPr>
                <w:sz w:val="21"/>
                <w:szCs w:val="21"/>
              </w:rPr>
              <w:t>5%</w:t>
            </w:r>
          </w:p>
        </w:tc>
        <w:tc>
          <w:tcPr>
            <w:tcW w:w="2912" w:type="pct"/>
            <w:gridSpan w:val="5"/>
            <w:vAlign w:val="center"/>
          </w:tcPr>
          <w:p>
            <w:pPr>
              <w:spacing w:line="340" w:lineRule="exact"/>
              <w:ind w:firstLine="0" w:firstLineChars="0"/>
              <w:jc w:val="center"/>
              <w:rPr>
                <w:sz w:val="21"/>
                <w:szCs w:val="21"/>
              </w:rPr>
            </w:pPr>
            <w:r>
              <w:rPr>
                <w:sz w:val="21"/>
                <w:szCs w:val="21"/>
              </w:rPr>
              <w:t>白茅、野艾蒿、紫萁、荩草、大车前、过路黄</w:t>
            </w:r>
          </w:p>
        </w:tc>
      </w:tr>
    </w:tbl>
    <w:p>
      <w:pPr>
        <w:pStyle w:val="1022"/>
        <w:spacing w:before="120" w:beforeLines="50" w:line="240" w:lineRule="auto"/>
        <w:ind w:firstLine="0" w:firstLineChars="0"/>
        <w:jc w:val="center"/>
        <w:rPr>
          <w:rFonts w:ascii="黑体" w:hAnsi="黑体" w:eastAsia="黑体" w:cs="黑体"/>
        </w:rPr>
      </w:pPr>
      <w:r>
        <w:rPr>
          <w:rFonts w:hint="eastAsia" w:ascii="黑体" w:hAnsi="黑体" w:eastAsia="黑体" w:cs="黑体"/>
        </w:rPr>
        <w:t>表4.5-1</w:t>
      </w:r>
      <w:r>
        <w:rPr>
          <w:rFonts w:ascii="黑体" w:hAnsi="黑体" w:eastAsia="黑体" w:cs="黑体"/>
        </w:rPr>
        <w:t>6</w:t>
      </w:r>
      <w:r>
        <w:rPr>
          <w:rFonts w:hint="eastAsia" w:ascii="黑体" w:hAnsi="黑体" w:eastAsia="黑体" w:cs="黑体"/>
        </w:rPr>
        <w:t xml:space="preserve">  毛竹林样方调查表（样方</w:t>
      </w:r>
      <w:r>
        <w:rPr>
          <w:rFonts w:ascii="黑体" w:hAnsi="黑体" w:eastAsia="黑体" w:cs="黑体"/>
        </w:rPr>
        <w:t>2</w:t>
      </w:r>
      <w:r>
        <w:rPr>
          <w:rFonts w:hint="eastAsia" w:ascii="黑体" w:hAnsi="黑体" w:eastAsia="黑体" w:cs="黑体"/>
        </w:rPr>
        <w:t>）</w:t>
      </w:r>
    </w:p>
    <w:tbl>
      <w:tblPr>
        <w:tblStyle w:val="8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2521"/>
        <w:gridCol w:w="574"/>
        <w:gridCol w:w="1033"/>
        <w:gridCol w:w="1161"/>
        <w:gridCol w:w="878"/>
        <w:gridCol w:w="19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8" w:type="pct"/>
            <w:gridSpan w:val="3"/>
            <w:vAlign w:val="center"/>
          </w:tcPr>
          <w:p>
            <w:pPr>
              <w:spacing w:line="340" w:lineRule="exact"/>
              <w:ind w:firstLine="0" w:firstLineChars="0"/>
              <w:jc w:val="center"/>
              <w:rPr>
                <w:sz w:val="21"/>
                <w:szCs w:val="21"/>
              </w:rPr>
            </w:pPr>
            <w:r>
              <w:rPr>
                <w:b/>
                <w:sz w:val="21"/>
                <w:szCs w:val="21"/>
              </w:rPr>
              <w:t>植被类型/群落名称：</w:t>
            </w:r>
            <w:r>
              <w:rPr>
                <w:rFonts w:hint="eastAsia" w:hAnsi="宋体"/>
                <w:sz w:val="21"/>
                <w:szCs w:val="21"/>
              </w:rPr>
              <w:t>毛竹</w:t>
            </w:r>
            <w:r>
              <w:rPr>
                <w:rFonts w:hAnsi="宋体"/>
                <w:sz w:val="21"/>
                <w:szCs w:val="21"/>
              </w:rPr>
              <w:t>林</w:t>
            </w:r>
          </w:p>
        </w:tc>
        <w:tc>
          <w:tcPr>
            <w:tcW w:w="1606" w:type="pct"/>
            <w:gridSpan w:val="3"/>
            <w:vAlign w:val="center"/>
          </w:tcPr>
          <w:p>
            <w:pPr>
              <w:spacing w:line="340" w:lineRule="exact"/>
              <w:ind w:firstLine="0" w:firstLineChars="0"/>
              <w:jc w:val="center"/>
              <w:rPr>
                <w:spacing w:val="-12"/>
                <w:sz w:val="21"/>
                <w:szCs w:val="21"/>
              </w:rPr>
            </w:pPr>
            <w:r>
              <w:rPr>
                <w:b/>
                <w:sz w:val="21"/>
                <w:szCs w:val="21"/>
              </w:rPr>
              <w:t>点位：</w:t>
            </w:r>
            <w:r>
              <w:rPr>
                <w:rFonts w:hint="eastAsia"/>
                <w:color w:val="000000" w:themeColor="text1"/>
                <w:sz w:val="21"/>
                <w:szCs w:val="21"/>
                <w14:textFill>
                  <w14:solidFill>
                    <w14:schemeClr w14:val="tx1"/>
                  </w14:solidFill>
                </w14:textFill>
              </w:rPr>
              <w:t>白溪村南面附近</w:t>
            </w:r>
          </w:p>
        </w:tc>
        <w:tc>
          <w:tcPr>
            <w:tcW w:w="1006" w:type="pct"/>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经纬度</w:t>
            </w:r>
          </w:p>
        </w:tc>
        <w:tc>
          <w:tcPr>
            <w:tcW w:w="1618" w:type="pct"/>
            <w:gridSpan w:val="2"/>
            <w:vAlign w:val="center"/>
          </w:tcPr>
          <w:p>
            <w:pPr>
              <w:widowControl/>
              <w:spacing w:line="240" w:lineRule="auto"/>
              <w:ind w:firstLine="0" w:firstLineChars="0"/>
              <w:jc w:val="center"/>
              <w:rPr>
                <w:sz w:val="21"/>
                <w:szCs w:val="21"/>
              </w:rPr>
            </w:pPr>
            <w:r>
              <w:rPr>
                <w:rFonts w:hint="eastAsia" w:eastAsia="等线"/>
                <w:color w:val="000000"/>
                <w:sz w:val="21"/>
                <w:szCs w:val="21"/>
              </w:rPr>
              <w:t>114°58′12.01″,28°14′26.71″</w:t>
            </w:r>
          </w:p>
        </w:tc>
        <w:tc>
          <w:tcPr>
            <w:tcW w:w="540" w:type="pct"/>
            <w:vAlign w:val="center"/>
          </w:tcPr>
          <w:p>
            <w:pPr>
              <w:spacing w:line="340" w:lineRule="exact"/>
              <w:ind w:firstLine="0" w:firstLineChars="0"/>
              <w:jc w:val="center"/>
              <w:rPr>
                <w:b/>
                <w:sz w:val="21"/>
                <w:szCs w:val="21"/>
              </w:rPr>
            </w:pPr>
            <w:r>
              <w:rPr>
                <w:b/>
                <w:sz w:val="21"/>
                <w:szCs w:val="21"/>
              </w:rPr>
              <w:t>海拔</w:t>
            </w:r>
          </w:p>
        </w:tc>
        <w:tc>
          <w:tcPr>
            <w:tcW w:w="607" w:type="pct"/>
            <w:vAlign w:val="center"/>
          </w:tcPr>
          <w:p>
            <w:pPr>
              <w:spacing w:line="340" w:lineRule="exact"/>
              <w:ind w:firstLine="0" w:firstLineChars="0"/>
              <w:jc w:val="center"/>
              <w:rPr>
                <w:sz w:val="21"/>
                <w:szCs w:val="21"/>
              </w:rPr>
            </w:pPr>
            <w:r>
              <w:rPr>
                <w:sz w:val="21"/>
                <w:szCs w:val="21"/>
              </w:rPr>
              <w:t>59m</w:t>
            </w:r>
          </w:p>
        </w:tc>
        <w:tc>
          <w:tcPr>
            <w:tcW w:w="1465" w:type="pct"/>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地貌</w:t>
            </w:r>
          </w:p>
        </w:tc>
        <w:tc>
          <w:tcPr>
            <w:tcW w:w="1618" w:type="pct"/>
            <w:gridSpan w:val="2"/>
            <w:vAlign w:val="center"/>
          </w:tcPr>
          <w:p>
            <w:pPr>
              <w:spacing w:line="340" w:lineRule="exact"/>
              <w:ind w:firstLine="0" w:firstLineChars="0"/>
              <w:jc w:val="center"/>
              <w:rPr>
                <w:sz w:val="21"/>
                <w:szCs w:val="21"/>
              </w:rPr>
            </w:pPr>
            <w:r>
              <w:rPr>
                <w:sz w:val="21"/>
                <w:szCs w:val="21"/>
              </w:rPr>
              <w:t>低丘岗地</w:t>
            </w:r>
          </w:p>
        </w:tc>
        <w:tc>
          <w:tcPr>
            <w:tcW w:w="540" w:type="pct"/>
            <w:vAlign w:val="center"/>
          </w:tcPr>
          <w:p>
            <w:pPr>
              <w:spacing w:line="340" w:lineRule="exact"/>
              <w:ind w:firstLine="0" w:firstLineChars="0"/>
              <w:jc w:val="center"/>
              <w:rPr>
                <w:b/>
                <w:sz w:val="21"/>
                <w:szCs w:val="21"/>
              </w:rPr>
            </w:pPr>
            <w:r>
              <w:rPr>
                <w:b/>
                <w:sz w:val="21"/>
                <w:szCs w:val="21"/>
              </w:rPr>
              <w:t>土壤</w:t>
            </w:r>
          </w:p>
        </w:tc>
        <w:tc>
          <w:tcPr>
            <w:tcW w:w="607" w:type="pct"/>
            <w:vAlign w:val="center"/>
          </w:tcPr>
          <w:p>
            <w:pPr>
              <w:spacing w:line="340" w:lineRule="exact"/>
              <w:ind w:firstLine="0" w:firstLineChars="0"/>
              <w:jc w:val="center"/>
              <w:rPr>
                <w:sz w:val="21"/>
                <w:szCs w:val="21"/>
              </w:rPr>
            </w:pPr>
            <w:r>
              <w:rPr>
                <w:spacing w:val="-12"/>
                <w:sz w:val="21"/>
                <w:szCs w:val="21"/>
              </w:rPr>
              <w:t>红壤</w:t>
            </w:r>
          </w:p>
        </w:tc>
        <w:tc>
          <w:tcPr>
            <w:tcW w:w="1465" w:type="pct"/>
            <w:gridSpan w:val="2"/>
            <w:vAlign w:val="center"/>
          </w:tcPr>
          <w:p>
            <w:pPr>
              <w:spacing w:line="340" w:lineRule="exact"/>
              <w:ind w:firstLine="0" w:firstLineChars="0"/>
              <w:jc w:val="center"/>
              <w:rPr>
                <w:sz w:val="21"/>
                <w:szCs w:val="21"/>
              </w:rPr>
            </w:pPr>
            <w:r>
              <w:rPr>
                <w:sz w:val="21"/>
                <w:szCs w:val="21"/>
              </w:rPr>
              <w:t>地上生物量：71253kg/hm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pacing w:val="-20"/>
                <w:sz w:val="21"/>
                <w:szCs w:val="21"/>
              </w:rPr>
              <w:t>环境简述</w:t>
            </w:r>
          </w:p>
        </w:tc>
        <w:tc>
          <w:tcPr>
            <w:tcW w:w="4230" w:type="pct"/>
            <w:gridSpan w:val="6"/>
            <w:vAlign w:val="center"/>
          </w:tcPr>
          <w:p>
            <w:pPr>
              <w:spacing w:line="340" w:lineRule="exact"/>
              <w:ind w:firstLine="0" w:firstLineChars="0"/>
              <w:jc w:val="center"/>
              <w:rPr>
                <w:sz w:val="21"/>
                <w:szCs w:val="21"/>
              </w:rPr>
            </w:pPr>
            <w:r>
              <w:rPr>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林层</w:t>
            </w:r>
          </w:p>
        </w:tc>
        <w:tc>
          <w:tcPr>
            <w:tcW w:w="1318" w:type="pct"/>
            <w:vAlign w:val="center"/>
          </w:tcPr>
          <w:p>
            <w:pPr>
              <w:spacing w:line="340" w:lineRule="exact"/>
              <w:ind w:firstLine="0" w:firstLineChars="0"/>
              <w:jc w:val="center"/>
              <w:rPr>
                <w:sz w:val="21"/>
                <w:szCs w:val="21"/>
              </w:rPr>
            </w:pPr>
            <w:r>
              <w:rPr>
                <w:sz w:val="21"/>
                <w:szCs w:val="21"/>
              </w:rPr>
              <w:t>单层林</w:t>
            </w:r>
          </w:p>
        </w:tc>
        <w:tc>
          <w:tcPr>
            <w:tcW w:w="2912" w:type="pct"/>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乔木层</w:t>
            </w:r>
          </w:p>
        </w:tc>
        <w:tc>
          <w:tcPr>
            <w:tcW w:w="1318" w:type="pct"/>
            <w:vAlign w:val="center"/>
          </w:tcPr>
          <w:p>
            <w:pPr>
              <w:spacing w:line="340" w:lineRule="exact"/>
              <w:ind w:firstLine="0" w:firstLineChars="0"/>
              <w:jc w:val="center"/>
              <w:rPr>
                <w:sz w:val="21"/>
                <w:szCs w:val="21"/>
              </w:rPr>
            </w:pPr>
            <w:r>
              <w:rPr>
                <w:sz w:val="21"/>
                <w:szCs w:val="21"/>
              </w:rPr>
              <w:t>高6.5~16m，盖度85%</w:t>
            </w:r>
          </w:p>
        </w:tc>
        <w:tc>
          <w:tcPr>
            <w:tcW w:w="2912" w:type="pct"/>
            <w:gridSpan w:val="5"/>
            <w:vAlign w:val="center"/>
          </w:tcPr>
          <w:p>
            <w:pPr>
              <w:spacing w:line="340" w:lineRule="exact"/>
              <w:ind w:firstLine="0" w:firstLineChars="0"/>
              <w:jc w:val="center"/>
              <w:rPr>
                <w:sz w:val="21"/>
                <w:szCs w:val="21"/>
              </w:rPr>
            </w:pPr>
            <w:r>
              <w:rPr>
                <w:rFonts w:hint="eastAsia"/>
                <w:sz w:val="21"/>
                <w:szCs w:val="21"/>
              </w:rPr>
              <w:t>毛竹</w:t>
            </w:r>
            <w:r>
              <w:rPr>
                <w:sz w:val="21"/>
                <w:szCs w:val="21"/>
              </w:rPr>
              <w:t>、</w:t>
            </w:r>
            <w:r>
              <w:rPr>
                <w:rFonts w:hint="eastAsia"/>
                <w:sz w:val="21"/>
                <w:szCs w:val="21"/>
              </w:rPr>
              <w:t>樟树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灌木层</w:t>
            </w:r>
          </w:p>
        </w:tc>
        <w:tc>
          <w:tcPr>
            <w:tcW w:w="1318" w:type="pct"/>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.5~1.8m，盖度30%</w:t>
            </w:r>
          </w:p>
        </w:tc>
        <w:tc>
          <w:tcPr>
            <w:tcW w:w="2912" w:type="pct"/>
            <w:gridSpan w:val="5"/>
            <w:vAlign w:val="center"/>
          </w:tcPr>
          <w:p>
            <w:pPr>
              <w:spacing w:line="340" w:lineRule="exact"/>
              <w:ind w:firstLine="0" w:firstLineChars="0"/>
              <w:jc w:val="center"/>
              <w:rPr>
                <w:sz w:val="21"/>
                <w:szCs w:val="21"/>
              </w:rPr>
            </w:pPr>
            <w:r>
              <w:rPr>
                <w:rFonts w:hint="eastAsia"/>
                <w:sz w:val="21"/>
                <w:szCs w:val="21"/>
              </w:rPr>
              <w:t>乌药、盐麸木、乌桕</w:t>
            </w:r>
            <w:r>
              <w:rPr>
                <w:sz w:val="21"/>
                <w:szCs w:val="21"/>
              </w:rPr>
              <w:t>檵</w:t>
            </w:r>
            <w:r>
              <w:rPr>
                <w:rFonts w:hint="eastAsia"/>
                <w:sz w:val="21"/>
                <w:szCs w:val="21"/>
              </w:rPr>
              <w:t>、</w:t>
            </w:r>
            <w:r>
              <w:rPr>
                <w:sz w:val="21"/>
                <w:szCs w:val="21"/>
              </w:rPr>
              <w:t>赤楠、黄瑞木、细齿叶柃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草本层</w:t>
            </w:r>
          </w:p>
        </w:tc>
        <w:tc>
          <w:tcPr>
            <w:tcW w:w="1318" w:type="pct"/>
            <w:vAlign w:val="center"/>
          </w:tcPr>
          <w:p>
            <w:pPr>
              <w:spacing w:line="340" w:lineRule="exact"/>
              <w:ind w:firstLine="0" w:firstLineChars="0"/>
              <w:jc w:val="center"/>
              <w:rPr>
                <w:sz w:val="21"/>
                <w:szCs w:val="21"/>
              </w:rPr>
            </w:pPr>
            <w:r>
              <w:rPr>
                <w:sz w:val="21"/>
                <w:szCs w:val="21"/>
              </w:rPr>
              <w:t>高1.3m，盖度20%</w:t>
            </w:r>
          </w:p>
        </w:tc>
        <w:tc>
          <w:tcPr>
            <w:tcW w:w="2912" w:type="pct"/>
            <w:gridSpan w:val="5"/>
            <w:vAlign w:val="center"/>
          </w:tcPr>
          <w:p>
            <w:pPr>
              <w:spacing w:line="340" w:lineRule="exact"/>
              <w:ind w:firstLine="0" w:firstLineChars="0"/>
              <w:jc w:val="center"/>
              <w:rPr>
                <w:sz w:val="21"/>
                <w:szCs w:val="21"/>
              </w:rPr>
            </w:pPr>
            <w:r>
              <w:rPr>
                <w:rFonts w:hint="eastAsia" w:ascii="瀹嬩綋" w:eastAsia="瀹嬩綋" w:cs="瀹嬩綋"/>
                <w:kern w:val="0"/>
                <w:szCs w:val="24"/>
              </w:rPr>
              <w:t>五节芒</w:t>
            </w:r>
            <w:r>
              <w:rPr>
                <w:sz w:val="21"/>
                <w:szCs w:val="21"/>
              </w:rPr>
              <w:t>、</w:t>
            </w:r>
            <w:r>
              <w:rPr>
                <w:rFonts w:hint="eastAsia"/>
                <w:sz w:val="21"/>
                <w:szCs w:val="21"/>
              </w:rPr>
              <w:t>博落回、玉簪</w:t>
            </w:r>
          </w:p>
        </w:tc>
      </w:tr>
    </w:tbl>
    <w:p>
      <w:pPr>
        <w:pStyle w:val="1022"/>
        <w:spacing w:before="120" w:beforeLines="50" w:line="240" w:lineRule="auto"/>
        <w:ind w:firstLine="0" w:firstLineChars="0"/>
        <w:jc w:val="center"/>
        <w:rPr>
          <w:rFonts w:ascii="黑体" w:hAnsi="黑体" w:eastAsia="黑体" w:cs="黑体"/>
        </w:rPr>
      </w:pPr>
      <w:r>
        <w:rPr>
          <w:rFonts w:hint="eastAsia" w:ascii="黑体" w:hAnsi="黑体" w:eastAsia="黑体" w:cs="黑体"/>
        </w:rPr>
        <w:t>表4.5-1</w:t>
      </w:r>
      <w:r>
        <w:rPr>
          <w:rFonts w:ascii="黑体" w:hAnsi="黑体" w:eastAsia="黑体" w:cs="黑体"/>
        </w:rPr>
        <w:t>7</w:t>
      </w:r>
      <w:r>
        <w:rPr>
          <w:rFonts w:hint="eastAsia" w:ascii="黑体" w:hAnsi="黑体" w:eastAsia="黑体" w:cs="黑体"/>
        </w:rPr>
        <w:t xml:space="preserve">  毛竹林样方调查表（样方</w:t>
      </w:r>
      <w:r>
        <w:rPr>
          <w:rFonts w:ascii="黑体" w:hAnsi="黑体" w:eastAsia="黑体" w:cs="黑体"/>
        </w:rPr>
        <w:t>3</w:t>
      </w:r>
      <w:r>
        <w:rPr>
          <w:rFonts w:hint="eastAsia" w:ascii="黑体" w:hAnsi="黑体" w:eastAsia="黑体" w:cs="黑体"/>
        </w:rPr>
        <w:t>）</w:t>
      </w:r>
    </w:p>
    <w:tbl>
      <w:tblPr>
        <w:tblStyle w:val="8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2521"/>
        <w:gridCol w:w="574"/>
        <w:gridCol w:w="1033"/>
        <w:gridCol w:w="1161"/>
        <w:gridCol w:w="878"/>
        <w:gridCol w:w="19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87" w:type="pct"/>
            <w:gridSpan w:val="3"/>
            <w:vAlign w:val="center"/>
          </w:tcPr>
          <w:p>
            <w:pPr>
              <w:spacing w:line="340" w:lineRule="exact"/>
              <w:ind w:firstLine="0" w:firstLineChars="0"/>
              <w:jc w:val="center"/>
              <w:rPr>
                <w:sz w:val="21"/>
                <w:szCs w:val="21"/>
              </w:rPr>
            </w:pPr>
            <w:r>
              <w:rPr>
                <w:b/>
                <w:sz w:val="21"/>
                <w:szCs w:val="21"/>
              </w:rPr>
              <w:t>植被类型/群落名称：</w:t>
            </w:r>
            <w:r>
              <w:rPr>
                <w:rFonts w:hint="eastAsia" w:hAnsi="宋体"/>
                <w:sz w:val="21"/>
                <w:szCs w:val="21"/>
              </w:rPr>
              <w:t>毛竹</w:t>
            </w:r>
            <w:r>
              <w:rPr>
                <w:rFonts w:hAnsi="宋体"/>
                <w:sz w:val="21"/>
                <w:szCs w:val="21"/>
              </w:rPr>
              <w:t>林</w:t>
            </w:r>
          </w:p>
        </w:tc>
        <w:tc>
          <w:tcPr>
            <w:tcW w:w="1606" w:type="pct"/>
            <w:gridSpan w:val="3"/>
            <w:vAlign w:val="center"/>
          </w:tcPr>
          <w:p>
            <w:pPr>
              <w:spacing w:line="340" w:lineRule="exact"/>
              <w:ind w:firstLine="0" w:firstLineChars="0"/>
              <w:jc w:val="center"/>
              <w:rPr>
                <w:spacing w:val="-12"/>
                <w:sz w:val="21"/>
                <w:szCs w:val="21"/>
              </w:rPr>
            </w:pPr>
            <w:r>
              <w:rPr>
                <w:b/>
                <w:sz w:val="21"/>
                <w:szCs w:val="21"/>
              </w:rPr>
              <w:t>点位：</w:t>
            </w:r>
            <w:r>
              <w:rPr>
                <w:rFonts w:hint="eastAsia"/>
                <w:color w:val="000000" w:themeColor="text1"/>
                <w:sz w:val="21"/>
                <w:szCs w:val="21"/>
                <w14:textFill>
                  <w14:solidFill>
                    <w14:schemeClr w14:val="tx1"/>
                  </w14:solidFill>
                </w14:textFill>
              </w:rPr>
              <w:t>白溪村南面附近</w:t>
            </w:r>
          </w:p>
        </w:tc>
        <w:tc>
          <w:tcPr>
            <w:tcW w:w="1007" w:type="pct"/>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经纬度</w:t>
            </w:r>
          </w:p>
        </w:tc>
        <w:tc>
          <w:tcPr>
            <w:tcW w:w="1618" w:type="pct"/>
            <w:gridSpan w:val="2"/>
            <w:vAlign w:val="center"/>
          </w:tcPr>
          <w:p>
            <w:pPr>
              <w:widowControl/>
              <w:spacing w:line="240" w:lineRule="auto"/>
              <w:ind w:firstLine="0" w:firstLineChars="0"/>
              <w:jc w:val="center"/>
              <w:rPr>
                <w:sz w:val="21"/>
                <w:szCs w:val="21"/>
              </w:rPr>
            </w:pPr>
            <w:r>
              <w:rPr>
                <w:rFonts w:hint="eastAsia" w:eastAsia="等线"/>
                <w:color w:val="000000"/>
                <w:sz w:val="21"/>
                <w:szCs w:val="21"/>
              </w:rPr>
              <w:t>114°58′33.94″,28°14′21.07″</w:t>
            </w:r>
          </w:p>
        </w:tc>
        <w:tc>
          <w:tcPr>
            <w:tcW w:w="540" w:type="pct"/>
            <w:vAlign w:val="center"/>
          </w:tcPr>
          <w:p>
            <w:pPr>
              <w:spacing w:line="340" w:lineRule="exact"/>
              <w:ind w:firstLine="0" w:firstLineChars="0"/>
              <w:jc w:val="center"/>
              <w:rPr>
                <w:b/>
                <w:sz w:val="21"/>
                <w:szCs w:val="21"/>
              </w:rPr>
            </w:pPr>
            <w:r>
              <w:rPr>
                <w:b/>
                <w:sz w:val="21"/>
                <w:szCs w:val="21"/>
              </w:rPr>
              <w:t>海拔</w:t>
            </w:r>
          </w:p>
        </w:tc>
        <w:tc>
          <w:tcPr>
            <w:tcW w:w="607" w:type="pct"/>
            <w:vAlign w:val="center"/>
          </w:tcPr>
          <w:p>
            <w:pPr>
              <w:spacing w:line="340" w:lineRule="exact"/>
              <w:ind w:firstLine="0" w:firstLineChars="0"/>
              <w:jc w:val="center"/>
              <w:rPr>
                <w:sz w:val="21"/>
                <w:szCs w:val="21"/>
              </w:rPr>
            </w:pPr>
            <w:r>
              <w:rPr>
                <w:sz w:val="21"/>
                <w:szCs w:val="21"/>
              </w:rPr>
              <w:t>55m</w:t>
            </w:r>
          </w:p>
        </w:tc>
        <w:tc>
          <w:tcPr>
            <w:tcW w:w="1466" w:type="pct"/>
            <w:gridSpan w:val="2"/>
            <w:vAlign w:val="center"/>
          </w:tcPr>
          <w:p>
            <w:pPr>
              <w:spacing w:line="340" w:lineRule="exact"/>
              <w:ind w:firstLine="0" w:firstLineChars="0"/>
              <w:jc w:val="center"/>
              <w:rPr>
                <w:sz w:val="21"/>
                <w:szCs w:val="21"/>
              </w:rPr>
            </w:pPr>
            <w:r>
              <w:rPr>
                <w:sz w:val="21"/>
                <w:szCs w:val="21"/>
              </w:rPr>
              <w:t>样方面积：20×20m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地貌</w:t>
            </w:r>
          </w:p>
        </w:tc>
        <w:tc>
          <w:tcPr>
            <w:tcW w:w="1618" w:type="pct"/>
            <w:gridSpan w:val="2"/>
            <w:vAlign w:val="center"/>
          </w:tcPr>
          <w:p>
            <w:pPr>
              <w:spacing w:line="340" w:lineRule="exact"/>
              <w:ind w:firstLine="0" w:firstLineChars="0"/>
              <w:jc w:val="center"/>
              <w:rPr>
                <w:sz w:val="21"/>
                <w:szCs w:val="21"/>
              </w:rPr>
            </w:pPr>
            <w:r>
              <w:rPr>
                <w:sz w:val="21"/>
                <w:szCs w:val="21"/>
              </w:rPr>
              <w:t>低丘岗地</w:t>
            </w:r>
          </w:p>
        </w:tc>
        <w:tc>
          <w:tcPr>
            <w:tcW w:w="540" w:type="pct"/>
            <w:vAlign w:val="center"/>
          </w:tcPr>
          <w:p>
            <w:pPr>
              <w:spacing w:line="340" w:lineRule="exact"/>
              <w:ind w:firstLine="0" w:firstLineChars="0"/>
              <w:jc w:val="center"/>
              <w:rPr>
                <w:b/>
                <w:sz w:val="21"/>
                <w:szCs w:val="21"/>
              </w:rPr>
            </w:pPr>
            <w:r>
              <w:rPr>
                <w:b/>
                <w:sz w:val="21"/>
                <w:szCs w:val="21"/>
              </w:rPr>
              <w:t>土壤</w:t>
            </w:r>
          </w:p>
        </w:tc>
        <w:tc>
          <w:tcPr>
            <w:tcW w:w="607" w:type="pct"/>
            <w:vAlign w:val="center"/>
          </w:tcPr>
          <w:p>
            <w:pPr>
              <w:spacing w:line="340" w:lineRule="exact"/>
              <w:ind w:firstLine="0" w:firstLineChars="0"/>
              <w:jc w:val="center"/>
              <w:rPr>
                <w:sz w:val="21"/>
                <w:szCs w:val="21"/>
              </w:rPr>
            </w:pPr>
            <w:r>
              <w:rPr>
                <w:spacing w:val="-12"/>
                <w:sz w:val="21"/>
                <w:szCs w:val="21"/>
              </w:rPr>
              <w:t>红壤</w:t>
            </w:r>
          </w:p>
        </w:tc>
        <w:tc>
          <w:tcPr>
            <w:tcW w:w="1466" w:type="pct"/>
            <w:gridSpan w:val="2"/>
            <w:vAlign w:val="center"/>
          </w:tcPr>
          <w:p>
            <w:pPr>
              <w:spacing w:line="340" w:lineRule="exact"/>
              <w:ind w:firstLine="0" w:firstLineChars="0"/>
              <w:jc w:val="center"/>
              <w:rPr>
                <w:sz w:val="21"/>
                <w:szCs w:val="21"/>
              </w:rPr>
            </w:pPr>
            <w:r>
              <w:rPr>
                <w:sz w:val="21"/>
                <w:szCs w:val="21"/>
              </w:rPr>
              <w:t>地上生物量：68573kg/hm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pacing w:val="-20"/>
                <w:sz w:val="21"/>
                <w:szCs w:val="21"/>
              </w:rPr>
              <w:t>环境简述</w:t>
            </w:r>
          </w:p>
        </w:tc>
        <w:tc>
          <w:tcPr>
            <w:tcW w:w="4230" w:type="pct"/>
            <w:gridSpan w:val="6"/>
            <w:vAlign w:val="center"/>
          </w:tcPr>
          <w:p>
            <w:pPr>
              <w:spacing w:line="340" w:lineRule="exact"/>
              <w:ind w:firstLine="0" w:firstLineChars="0"/>
              <w:jc w:val="center"/>
              <w:rPr>
                <w:sz w:val="21"/>
                <w:szCs w:val="21"/>
              </w:rPr>
            </w:pPr>
            <w:r>
              <w:rPr>
                <w:sz w:val="21"/>
                <w:szCs w:val="21"/>
              </w:rPr>
              <w:t>天然更新加封育而形成的次生天然常绿阔叶林。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林层</w:t>
            </w:r>
          </w:p>
        </w:tc>
        <w:tc>
          <w:tcPr>
            <w:tcW w:w="1318" w:type="pct"/>
            <w:vAlign w:val="center"/>
          </w:tcPr>
          <w:p>
            <w:pPr>
              <w:spacing w:line="340" w:lineRule="exact"/>
              <w:ind w:firstLine="0" w:firstLineChars="0"/>
              <w:jc w:val="center"/>
              <w:rPr>
                <w:sz w:val="21"/>
                <w:szCs w:val="21"/>
              </w:rPr>
            </w:pPr>
            <w:r>
              <w:rPr>
                <w:sz w:val="21"/>
                <w:szCs w:val="21"/>
              </w:rPr>
              <w:t>单层林</w:t>
            </w:r>
          </w:p>
        </w:tc>
        <w:tc>
          <w:tcPr>
            <w:tcW w:w="2912" w:type="pct"/>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乔木层</w:t>
            </w:r>
          </w:p>
        </w:tc>
        <w:tc>
          <w:tcPr>
            <w:tcW w:w="1318" w:type="pct"/>
            <w:vAlign w:val="center"/>
          </w:tcPr>
          <w:p>
            <w:pPr>
              <w:spacing w:line="340" w:lineRule="exact"/>
              <w:ind w:firstLine="0" w:firstLineChars="0"/>
              <w:jc w:val="center"/>
              <w:rPr>
                <w:sz w:val="21"/>
                <w:szCs w:val="21"/>
              </w:rPr>
            </w:pPr>
            <w:r>
              <w:rPr>
                <w:sz w:val="21"/>
                <w:szCs w:val="21"/>
              </w:rPr>
              <w:t>高7~14m，盖度80%</w:t>
            </w:r>
          </w:p>
        </w:tc>
        <w:tc>
          <w:tcPr>
            <w:tcW w:w="2912" w:type="pct"/>
            <w:gridSpan w:val="5"/>
            <w:vAlign w:val="center"/>
          </w:tcPr>
          <w:p>
            <w:pPr>
              <w:spacing w:line="340" w:lineRule="exact"/>
              <w:ind w:firstLine="0" w:firstLineChars="0"/>
              <w:jc w:val="center"/>
              <w:rPr>
                <w:sz w:val="21"/>
                <w:szCs w:val="21"/>
              </w:rPr>
            </w:pPr>
            <w:r>
              <w:rPr>
                <w:rFonts w:hint="eastAsia"/>
                <w:sz w:val="21"/>
                <w:szCs w:val="21"/>
              </w:rPr>
              <w:t>毛竹</w:t>
            </w:r>
            <w:r>
              <w:rPr>
                <w:sz w:val="21"/>
                <w:szCs w:val="21"/>
              </w:rPr>
              <w:t>、</w:t>
            </w:r>
            <w:r>
              <w:rPr>
                <w:rFonts w:hint="eastAsia"/>
                <w:sz w:val="21"/>
                <w:szCs w:val="21"/>
              </w:rPr>
              <w:t>木油桐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灌木层</w:t>
            </w:r>
          </w:p>
        </w:tc>
        <w:tc>
          <w:tcPr>
            <w:tcW w:w="1318" w:type="pct"/>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.6~2.0m，盖度25%</w:t>
            </w:r>
          </w:p>
        </w:tc>
        <w:tc>
          <w:tcPr>
            <w:tcW w:w="2912" w:type="pct"/>
            <w:gridSpan w:val="5"/>
            <w:vAlign w:val="center"/>
          </w:tcPr>
          <w:p>
            <w:pPr>
              <w:spacing w:line="340" w:lineRule="exact"/>
              <w:ind w:firstLine="0" w:firstLineChars="0"/>
              <w:jc w:val="center"/>
              <w:rPr>
                <w:sz w:val="21"/>
                <w:szCs w:val="21"/>
              </w:rPr>
            </w:pPr>
            <w:r>
              <w:rPr>
                <w:rFonts w:hint="eastAsia"/>
                <w:sz w:val="21"/>
                <w:szCs w:val="21"/>
              </w:rPr>
              <w:t>檵木、盐麸木、乌桕、寒莓、赤楠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pPr>
              <w:spacing w:line="340" w:lineRule="exact"/>
              <w:ind w:firstLine="0" w:firstLineChars="0"/>
              <w:jc w:val="center"/>
              <w:rPr>
                <w:b/>
                <w:sz w:val="21"/>
                <w:szCs w:val="21"/>
              </w:rPr>
            </w:pPr>
            <w:r>
              <w:rPr>
                <w:b/>
                <w:sz w:val="21"/>
                <w:szCs w:val="21"/>
              </w:rPr>
              <w:t>草本层</w:t>
            </w:r>
          </w:p>
        </w:tc>
        <w:tc>
          <w:tcPr>
            <w:tcW w:w="1318" w:type="pct"/>
            <w:vAlign w:val="center"/>
          </w:tcPr>
          <w:p>
            <w:pPr>
              <w:spacing w:line="340" w:lineRule="exact"/>
              <w:ind w:firstLine="0" w:firstLineChars="0"/>
              <w:jc w:val="center"/>
              <w:rPr>
                <w:sz w:val="21"/>
                <w:szCs w:val="21"/>
              </w:rPr>
            </w:pPr>
            <w:r>
              <w:rPr>
                <w:sz w:val="21"/>
                <w:szCs w:val="21"/>
              </w:rPr>
              <w:t>高0.6m，盖度40%</w:t>
            </w:r>
          </w:p>
        </w:tc>
        <w:tc>
          <w:tcPr>
            <w:tcW w:w="2912" w:type="pct"/>
            <w:gridSpan w:val="5"/>
            <w:vAlign w:val="center"/>
          </w:tcPr>
          <w:p>
            <w:pPr>
              <w:spacing w:line="340" w:lineRule="exact"/>
              <w:ind w:firstLine="0" w:firstLineChars="0"/>
              <w:jc w:val="center"/>
              <w:rPr>
                <w:sz w:val="21"/>
                <w:szCs w:val="21"/>
              </w:rPr>
            </w:pPr>
            <w:r>
              <w:rPr>
                <w:rFonts w:hint="eastAsia" w:ascii="瀹嬩綋" w:eastAsia="瀹嬩綋" w:cs="瀹嬩綋"/>
                <w:kern w:val="0"/>
                <w:szCs w:val="24"/>
              </w:rPr>
              <w:t>荩草、淡竹叶、巴东过路黄、红紫珠、天南星、庐山香科科、五节芒</w:t>
            </w:r>
          </w:p>
        </w:tc>
      </w:tr>
    </w:tbl>
    <w:p>
      <w:pPr>
        <w:spacing w:before="120" w:beforeLines="50"/>
        <w:ind w:firstLine="482"/>
        <w:rPr>
          <w:b/>
        </w:rPr>
      </w:pPr>
    </w:p>
    <w:p>
      <w:pPr>
        <w:spacing w:before="120" w:beforeLines="50"/>
        <w:ind w:firstLine="482"/>
      </w:pPr>
      <w:r>
        <w:rPr>
          <w:b/>
        </w:rPr>
        <w:t>灌丛</w:t>
      </w:r>
      <w:r>
        <w:t>：</w:t>
      </w:r>
      <w:r>
        <w:rPr>
          <w:rFonts w:hint="eastAsia"/>
        </w:rPr>
        <w:t>评价区内多分布于低山的采伐后未及时更新的林地、林缘地带、抛荒地等处。 主要有五节芒、山鸡椒、芒萁、山莓、拟赤杨、木荷、映山红等。</w:t>
      </w:r>
    </w:p>
    <w:p>
      <w:pPr>
        <w:spacing w:before="120" w:beforeLines="50"/>
        <w:ind w:firstLine="480"/>
      </w:pPr>
      <w:r>
        <w:rPr>
          <w:rFonts w:hint="eastAsia"/>
        </w:rPr>
        <w:t>评价区域内不分布生态公益林，未发现国家重点保护植物。</w:t>
      </w:r>
    </w:p>
    <w:tbl>
      <w:tblPr>
        <w:tblStyle w:val="82"/>
        <w:tblpPr w:leftFromText="180" w:rightFromText="180" w:vertAnchor="text" w:horzAnchor="margin" w:tblpXSpec="right" w:tblpY="591"/>
        <w:tblOverlap w:val="never"/>
        <w:tblW w:w="0" w:type="auto"/>
        <w:tblInd w:w="0" w:type="dxa"/>
        <w:tblLayout w:type="autofit"/>
        <w:tblCellMar>
          <w:top w:w="0" w:type="dxa"/>
          <w:left w:w="108" w:type="dxa"/>
          <w:bottom w:w="0" w:type="dxa"/>
          <w:right w:w="108" w:type="dxa"/>
        </w:tblCellMar>
      </w:tblPr>
      <w:tblGrid>
        <w:gridCol w:w="5834"/>
      </w:tblGrid>
      <w:tr>
        <w:tblPrEx>
          <w:tblCellMar>
            <w:top w:w="0" w:type="dxa"/>
            <w:left w:w="108" w:type="dxa"/>
            <w:bottom w:w="0" w:type="dxa"/>
            <w:right w:w="108" w:type="dxa"/>
          </w:tblCellMar>
        </w:tblPrEx>
        <w:trPr>
          <w:trHeight w:val="2344" w:hRule="atLeast"/>
        </w:trPr>
        <w:tc>
          <w:tcPr>
            <w:tcW w:w="4005" w:type="dxa"/>
            <w:vAlign w:val="center"/>
          </w:tcPr>
          <w:p>
            <w:pPr>
              <w:widowControl/>
              <w:ind w:firstLine="480"/>
              <w:jc w:val="left"/>
            </w:pPr>
            <w:r>
              <w:drawing>
                <wp:inline distT="0" distB="0" distL="0" distR="0">
                  <wp:extent cx="3262630" cy="244538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275874" cy="2455583"/>
                          </a:xfrm>
                          <a:prstGeom prst="rect">
                            <a:avLst/>
                          </a:prstGeom>
                          <a:noFill/>
                          <a:ln>
                            <a:noFill/>
                          </a:ln>
                        </pic:spPr>
                      </pic:pic>
                    </a:graphicData>
                  </a:graphic>
                </wp:inline>
              </w:drawing>
            </w:r>
          </w:p>
          <w:p>
            <w:pPr>
              <w:tabs>
                <w:tab w:val="left" w:pos="5670"/>
              </w:tabs>
              <w:spacing w:line="240" w:lineRule="auto"/>
              <w:ind w:firstLine="0" w:firstLineChars="0"/>
              <w:jc w:val="center"/>
              <w:rPr>
                <w:rFonts w:eastAsia="仿宋"/>
                <w:spacing w:val="-20"/>
              </w:rPr>
            </w:pPr>
            <w:r>
              <w:rPr>
                <w:rFonts w:eastAsia="黑体"/>
                <w:spacing w:val="-20"/>
              </w:rPr>
              <w:t>图4</w:t>
            </w:r>
            <w:r>
              <w:rPr>
                <w:rFonts w:hint="eastAsia" w:eastAsia="黑体"/>
                <w:spacing w:val="-20"/>
              </w:rPr>
              <w:t>.5</w:t>
            </w:r>
            <w:r>
              <w:rPr>
                <w:rFonts w:eastAsia="黑体"/>
                <w:spacing w:val="-20"/>
              </w:rPr>
              <w:t>-</w:t>
            </w:r>
            <w:r>
              <w:rPr>
                <w:rFonts w:hint="eastAsia" w:eastAsia="黑体"/>
                <w:spacing w:val="-20"/>
              </w:rPr>
              <w:t xml:space="preserve">8  </w:t>
            </w:r>
            <w:r>
              <w:rPr>
                <w:rFonts w:hint="eastAsia" w:eastAsia="黑体"/>
              </w:rPr>
              <w:t>芒萁样方现场调查照片</w:t>
            </w:r>
          </w:p>
        </w:tc>
      </w:tr>
    </w:tbl>
    <w:p>
      <w:pPr>
        <w:tabs>
          <w:tab w:val="left" w:pos="1815"/>
        </w:tabs>
        <w:ind w:firstLine="482"/>
      </w:pPr>
      <w:r>
        <w:rPr>
          <w:rFonts w:hint="eastAsia"/>
          <w:b/>
        </w:rPr>
        <w:t>芒萁</w:t>
      </w:r>
      <w:r>
        <w:rPr>
          <w:b/>
        </w:rPr>
        <w:t>灌丛（Form.Gleichenia linearis Clarke.）：</w:t>
      </w:r>
      <w:r>
        <w:t>芒萁是里白科、芒萁属下的多年生常绿蕨类植物 ，可供观赏。芒萁是一种普遍生长于热带、亚热带红壤丘陵、荒坡林缘的蕨类植物。芒萁植物耐旱、耐瘠薄，地下茎纵横交错，深入土层3 m以上，可栽培治理水土流失。</w:t>
      </w:r>
    </w:p>
    <w:p>
      <w:pPr>
        <w:tabs>
          <w:tab w:val="left" w:pos="1815"/>
        </w:tabs>
        <w:ind w:firstLine="480"/>
      </w:pPr>
      <w:r>
        <w:t>如</w:t>
      </w:r>
      <w:r>
        <w:rPr>
          <w:rFonts w:hint="eastAsia"/>
        </w:rPr>
        <w:t>坝址右岸</w:t>
      </w:r>
      <w:r>
        <w:t>附近的芒萁灌丛，以芒萁为建群种，还有山莓、</w:t>
      </w:r>
      <w:r>
        <w:rPr>
          <w:rFonts w:hint="eastAsia"/>
        </w:rPr>
        <w:t>拟赤杨、五节芒、山鸡椒</w:t>
      </w:r>
      <w:r>
        <w:t>等灌木。群落总盖度55%～75%。项目区芒萁灌丛群落结构及组成见图4.</w:t>
      </w:r>
      <w:r>
        <w:rPr>
          <w:rFonts w:hint="eastAsia"/>
        </w:rPr>
        <w:t>5</w:t>
      </w:r>
      <w:r>
        <w:t>-</w:t>
      </w:r>
      <w:r>
        <w:rPr>
          <w:rFonts w:hint="eastAsia"/>
        </w:rPr>
        <w:t>8</w:t>
      </w:r>
      <w:r>
        <w:t>与的表4.</w:t>
      </w:r>
      <w:r>
        <w:rPr>
          <w:rFonts w:hint="eastAsia"/>
        </w:rPr>
        <w:t>5</w:t>
      </w:r>
      <w:r>
        <w:t>-</w:t>
      </w:r>
      <w:r>
        <w:rPr>
          <w:rFonts w:hint="eastAsia"/>
        </w:rPr>
        <w:t>12</w:t>
      </w:r>
      <w:r>
        <w:t>。</w:t>
      </w:r>
    </w:p>
    <w:p>
      <w:pPr>
        <w:pStyle w:val="1022"/>
        <w:adjustRightInd/>
        <w:snapToGrid/>
        <w:spacing w:before="120" w:beforeLines="50" w:line="240" w:lineRule="auto"/>
        <w:ind w:firstLine="0" w:firstLineChars="0"/>
        <w:jc w:val="center"/>
        <w:rPr>
          <w:rFonts w:ascii="黑体" w:hAnsi="黑体" w:eastAsia="黑体" w:cs="黑体"/>
        </w:rPr>
      </w:pPr>
    </w:p>
    <w:p>
      <w:pPr>
        <w:pStyle w:val="1022"/>
        <w:adjustRightInd/>
        <w:snapToGrid/>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18</w:t>
      </w:r>
      <w:r>
        <w:rPr>
          <w:rFonts w:hint="eastAsia" w:ascii="黑体" w:hAnsi="黑体" w:eastAsia="黑体" w:cs="黑体"/>
        </w:rPr>
        <w:t xml:space="preserve">  芒萁灌丛样方调查表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2489"/>
        <w:gridCol w:w="481"/>
        <w:gridCol w:w="1107"/>
        <w:gridCol w:w="1147"/>
        <w:gridCol w:w="869"/>
        <w:gridCol w:w="2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0" w:type="pct"/>
            <w:gridSpan w:val="3"/>
            <w:vAlign w:val="center"/>
          </w:tcPr>
          <w:p>
            <w:pPr>
              <w:spacing w:line="340" w:lineRule="exact"/>
              <w:ind w:firstLine="0" w:firstLineChars="0"/>
              <w:jc w:val="center"/>
              <w:rPr>
                <w:sz w:val="21"/>
                <w:szCs w:val="21"/>
              </w:rPr>
            </w:pPr>
            <w:r>
              <w:rPr>
                <w:b/>
                <w:sz w:val="21"/>
                <w:szCs w:val="21"/>
              </w:rPr>
              <w:t>植被类型/群落名称：芒萁灌丛</w:t>
            </w:r>
          </w:p>
        </w:tc>
        <w:tc>
          <w:tcPr>
            <w:tcW w:w="1631" w:type="pct"/>
            <w:gridSpan w:val="3"/>
            <w:vAlign w:val="center"/>
          </w:tcPr>
          <w:p>
            <w:pPr>
              <w:spacing w:line="340" w:lineRule="exact"/>
              <w:ind w:firstLine="0" w:firstLineChars="0"/>
              <w:jc w:val="center"/>
              <w:rPr>
                <w:spacing w:val="-12"/>
                <w:sz w:val="21"/>
                <w:szCs w:val="21"/>
              </w:rPr>
            </w:pPr>
            <w:r>
              <w:rPr>
                <w:b/>
                <w:sz w:val="21"/>
                <w:szCs w:val="21"/>
              </w:rPr>
              <w:t>点位：</w:t>
            </w:r>
            <w:r>
              <w:rPr>
                <w:rFonts w:hint="eastAsia"/>
                <w:sz w:val="21"/>
                <w:szCs w:val="21"/>
              </w:rPr>
              <w:t>先峰村</w:t>
            </w:r>
          </w:p>
        </w:tc>
        <w:tc>
          <w:tcPr>
            <w:tcW w:w="1057" w:type="pct"/>
            <w:vAlign w:val="center"/>
          </w:tcPr>
          <w:p>
            <w:pPr>
              <w:spacing w:line="340" w:lineRule="exact"/>
              <w:ind w:firstLine="0" w:firstLineChars="0"/>
              <w:jc w:val="center"/>
              <w:rPr>
                <w:sz w:val="21"/>
                <w:szCs w:val="21"/>
              </w:rPr>
            </w:pPr>
            <w:r>
              <w:rPr>
                <w:b/>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z w:val="21"/>
                <w:szCs w:val="21"/>
              </w:rPr>
              <w:t>经纬度</w:t>
            </w:r>
          </w:p>
        </w:tc>
        <w:tc>
          <w:tcPr>
            <w:tcW w:w="1550" w:type="pct"/>
            <w:gridSpan w:val="2"/>
            <w:vAlign w:val="center"/>
          </w:tcPr>
          <w:p>
            <w:pPr>
              <w:spacing w:line="340" w:lineRule="exact"/>
              <w:ind w:firstLine="0" w:firstLineChars="0"/>
              <w:jc w:val="center"/>
              <w:rPr>
                <w:sz w:val="21"/>
                <w:szCs w:val="21"/>
              </w:rPr>
            </w:pPr>
            <w:r>
              <w:rPr>
                <w:rFonts w:hint="eastAsia"/>
                <w:sz w:val="21"/>
                <w:szCs w:val="21"/>
              </w:rPr>
              <w:t>114°57′47.45″,</w:t>
            </w:r>
          </w:p>
          <w:p>
            <w:pPr>
              <w:spacing w:line="340" w:lineRule="exact"/>
              <w:ind w:firstLine="0" w:firstLineChars="0"/>
              <w:jc w:val="center"/>
              <w:rPr>
                <w:sz w:val="21"/>
                <w:szCs w:val="21"/>
              </w:rPr>
            </w:pPr>
            <w:r>
              <w:rPr>
                <w:rFonts w:hint="eastAsia"/>
                <w:sz w:val="21"/>
                <w:szCs w:val="21"/>
              </w:rPr>
              <w:t>28°14′24.24″</w:t>
            </w:r>
          </w:p>
        </w:tc>
        <w:tc>
          <w:tcPr>
            <w:tcW w:w="578" w:type="pct"/>
            <w:vAlign w:val="center"/>
          </w:tcPr>
          <w:p>
            <w:pPr>
              <w:spacing w:line="340" w:lineRule="exact"/>
              <w:ind w:firstLine="0" w:firstLineChars="0"/>
              <w:jc w:val="center"/>
              <w:rPr>
                <w:b/>
                <w:sz w:val="21"/>
                <w:szCs w:val="21"/>
              </w:rPr>
            </w:pPr>
            <w:r>
              <w:rPr>
                <w:b/>
                <w:sz w:val="21"/>
                <w:szCs w:val="21"/>
              </w:rPr>
              <w:t>海拔</w:t>
            </w:r>
          </w:p>
        </w:tc>
        <w:tc>
          <w:tcPr>
            <w:tcW w:w="599" w:type="pct"/>
            <w:vAlign w:val="center"/>
          </w:tcPr>
          <w:p>
            <w:pPr>
              <w:spacing w:line="340" w:lineRule="exact"/>
              <w:ind w:firstLine="0" w:firstLineChars="0"/>
              <w:jc w:val="center"/>
              <w:rPr>
                <w:sz w:val="21"/>
                <w:szCs w:val="21"/>
              </w:rPr>
            </w:pPr>
            <w:r>
              <w:rPr>
                <w:rFonts w:hint="eastAsia"/>
                <w:sz w:val="21"/>
                <w:szCs w:val="21"/>
              </w:rPr>
              <w:t>57</w:t>
            </w:r>
            <w:r>
              <w:rPr>
                <w:sz w:val="21"/>
                <w:szCs w:val="21"/>
              </w:rPr>
              <w:t>米</w:t>
            </w:r>
          </w:p>
        </w:tc>
        <w:tc>
          <w:tcPr>
            <w:tcW w:w="1510" w:type="pct"/>
            <w:gridSpan w:val="2"/>
            <w:vAlign w:val="center"/>
          </w:tcPr>
          <w:p>
            <w:pPr>
              <w:spacing w:line="340" w:lineRule="exact"/>
              <w:ind w:firstLine="0" w:firstLineChars="0"/>
              <w:jc w:val="center"/>
              <w:rPr>
                <w:sz w:val="21"/>
                <w:szCs w:val="21"/>
              </w:rPr>
            </w:pPr>
            <w:r>
              <w:rPr>
                <w:sz w:val="21"/>
                <w:szCs w:val="21"/>
              </w:rPr>
              <w:t>样方面积：</w:t>
            </w:r>
            <w:r>
              <w:rPr>
                <w:rFonts w:hint="eastAsia"/>
                <w:sz w:val="21"/>
                <w:szCs w:val="21"/>
              </w:rPr>
              <w:t>10</w:t>
            </w:r>
            <w:r>
              <w:rPr>
                <w:sz w:val="21"/>
                <w:szCs w:val="21"/>
              </w:rPr>
              <w:t>×</w:t>
            </w:r>
            <w:r>
              <w:rPr>
                <w:rFonts w:hint="eastAsia"/>
                <w:sz w:val="21"/>
                <w:szCs w:val="21"/>
              </w:rPr>
              <w:t>10</w:t>
            </w:r>
            <w:r>
              <w:rPr>
                <w:sz w:val="21"/>
                <w:szCs w:val="21"/>
              </w:rPr>
              <w:t>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z w:val="21"/>
                <w:szCs w:val="21"/>
              </w:rPr>
              <w:t>地貌</w:t>
            </w:r>
          </w:p>
        </w:tc>
        <w:tc>
          <w:tcPr>
            <w:tcW w:w="1550" w:type="pct"/>
            <w:gridSpan w:val="2"/>
            <w:vAlign w:val="center"/>
          </w:tcPr>
          <w:p>
            <w:pPr>
              <w:spacing w:line="340" w:lineRule="exact"/>
              <w:ind w:firstLine="0" w:firstLineChars="0"/>
              <w:jc w:val="center"/>
              <w:rPr>
                <w:sz w:val="21"/>
                <w:szCs w:val="21"/>
              </w:rPr>
            </w:pPr>
            <w:r>
              <w:rPr>
                <w:rFonts w:hint="eastAsia"/>
                <w:sz w:val="21"/>
                <w:szCs w:val="21"/>
              </w:rPr>
              <w:t>河滩地</w:t>
            </w:r>
          </w:p>
        </w:tc>
        <w:tc>
          <w:tcPr>
            <w:tcW w:w="578" w:type="pct"/>
            <w:vAlign w:val="center"/>
          </w:tcPr>
          <w:p>
            <w:pPr>
              <w:spacing w:line="340" w:lineRule="exact"/>
              <w:ind w:firstLine="0" w:firstLineChars="0"/>
              <w:jc w:val="center"/>
              <w:rPr>
                <w:b/>
                <w:sz w:val="21"/>
                <w:szCs w:val="21"/>
              </w:rPr>
            </w:pPr>
            <w:r>
              <w:rPr>
                <w:b/>
                <w:sz w:val="21"/>
                <w:szCs w:val="21"/>
              </w:rPr>
              <w:t>土壤</w:t>
            </w:r>
          </w:p>
        </w:tc>
        <w:tc>
          <w:tcPr>
            <w:tcW w:w="599" w:type="pct"/>
            <w:vAlign w:val="center"/>
          </w:tcPr>
          <w:p>
            <w:pPr>
              <w:spacing w:line="340" w:lineRule="exact"/>
              <w:ind w:firstLine="0" w:firstLineChars="0"/>
              <w:jc w:val="center"/>
              <w:rPr>
                <w:sz w:val="21"/>
                <w:szCs w:val="21"/>
              </w:rPr>
            </w:pPr>
            <w:r>
              <w:rPr>
                <w:spacing w:val="-12"/>
                <w:sz w:val="21"/>
                <w:szCs w:val="21"/>
              </w:rPr>
              <w:t>红壤</w:t>
            </w:r>
          </w:p>
        </w:tc>
        <w:tc>
          <w:tcPr>
            <w:tcW w:w="1510" w:type="pct"/>
            <w:gridSpan w:val="2"/>
            <w:vAlign w:val="center"/>
          </w:tcPr>
          <w:p>
            <w:pPr>
              <w:spacing w:line="340" w:lineRule="exact"/>
              <w:ind w:firstLine="0" w:firstLineChars="0"/>
              <w:jc w:val="center"/>
              <w:rPr>
                <w:sz w:val="21"/>
                <w:szCs w:val="21"/>
              </w:rPr>
            </w:pPr>
            <w:r>
              <w:rPr>
                <w:sz w:val="21"/>
                <w:szCs w:val="21"/>
              </w:rPr>
              <w:t>地上生物量：3537kg/hm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pacing w:val="-20"/>
                <w:sz w:val="21"/>
                <w:szCs w:val="21"/>
              </w:rPr>
              <w:t>环境简述</w:t>
            </w:r>
          </w:p>
        </w:tc>
        <w:tc>
          <w:tcPr>
            <w:tcW w:w="4240" w:type="pct"/>
            <w:gridSpan w:val="6"/>
            <w:vAlign w:val="center"/>
          </w:tcPr>
          <w:p>
            <w:pPr>
              <w:spacing w:line="340" w:lineRule="exact"/>
              <w:ind w:firstLine="0" w:firstLineChars="0"/>
              <w:jc w:val="center"/>
              <w:rPr>
                <w:sz w:val="21"/>
                <w:szCs w:val="21"/>
              </w:rPr>
            </w:pPr>
            <w:r>
              <w:rPr>
                <w:sz w:val="21"/>
                <w:szCs w:val="21"/>
              </w:rPr>
              <w:t>旱地边的次生灌丛。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z w:val="21"/>
                <w:szCs w:val="21"/>
              </w:rPr>
              <w:t>林层</w:t>
            </w:r>
          </w:p>
        </w:tc>
        <w:tc>
          <w:tcPr>
            <w:tcW w:w="1300" w:type="pct"/>
            <w:vAlign w:val="center"/>
          </w:tcPr>
          <w:p>
            <w:pPr>
              <w:spacing w:line="340" w:lineRule="exact"/>
              <w:ind w:firstLine="0" w:firstLineChars="0"/>
              <w:jc w:val="center"/>
              <w:rPr>
                <w:sz w:val="21"/>
                <w:szCs w:val="21"/>
              </w:rPr>
            </w:pPr>
          </w:p>
        </w:tc>
        <w:tc>
          <w:tcPr>
            <w:tcW w:w="2939" w:type="pct"/>
            <w:gridSpan w:val="5"/>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z w:val="21"/>
                <w:szCs w:val="21"/>
              </w:rPr>
              <w:t>灌木</w:t>
            </w:r>
          </w:p>
        </w:tc>
        <w:tc>
          <w:tcPr>
            <w:tcW w:w="1300" w:type="pct"/>
            <w:vAlign w:val="center"/>
          </w:tcPr>
          <w:p>
            <w:pPr>
              <w:spacing w:line="340" w:lineRule="exact"/>
              <w:ind w:firstLine="0" w:firstLineChars="0"/>
              <w:jc w:val="center"/>
              <w:rPr>
                <w:sz w:val="21"/>
                <w:szCs w:val="21"/>
              </w:rPr>
            </w:pPr>
            <w:r>
              <w:rPr>
                <w:sz w:val="21"/>
                <w:szCs w:val="21"/>
              </w:rPr>
              <w:t>高1.8m，盖度50%</w:t>
            </w:r>
          </w:p>
        </w:tc>
        <w:tc>
          <w:tcPr>
            <w:tcW w:w="2939" w:type="pct"/>
            <w:gridSpan w:val="5"/>
            <w:vAlign w:val="center"/>
          </w:tcPr>
          <w:p>
            <w:pPr>
              <w:spacing w:line="340" w:lineRule="exact"/>
              <w:ind w:firstLine="0" w:firstLineChars="0"/>
              <w:jc w:val="center"/>
              <w:rPr>
                <w:sz w:val="21"/>
                <w:szCs w:val="21"/>
              </w:rPr>
            </w:pPr>
            <w:r>
              <w:rPr>
                <w:sz w:val="21"/>
                <w:szCs w:val="21"/>
              </w:rPr>
              <w:t>黄荆、山莓、小果蔷薇、短尾越桔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pct"/>
            <w:vAlign w:val="center"/>
          </w:tcPr>
          <w:p>
            <w:pPr>
              <w:spacing w:line="340" w:lineRule="exact"/>
              <w:ind w:firstLine="0" w:firstLineChars="0"/>
              <w:jc w:val="center"/>
              <w:rPr>
                <w:b/>
                <w:sz w:val="21"/>
                <w:szCs w:val="21"/>
              </w:rPr>
            </w:pPr>
            <w:r>
              <w:rPr>
                <w:b/>
                <w:sz w:val="21"/>
                <w:szCs w:val="21"/>
              </w:rPr>
              <w:t>草本</w:t>
            </w:r>
          </w:p>
        </w:tc>
        <w:tc>
          <w:tcPr>
            <w:tcW w:w="1300" w:type="pct"/>
            <w:vAlign w:val="center"/>
          </w:tcPr>
          <w:p>
            <w:pPr>
              <w:spacing w:line="340" w:lineRule="exact"/>
              <w:ind w:firstLine="0" w:firstLineChars="0"/>
              <w:jc w:val="center"/>
              <w:rPr>
                <w:sz w:val="21"/>
                <w:szCs w:val="21"/>
              </w:rPr>
            </w:pPr>
            <w:r>
              <w:rPr>
                <w:sz w:val="21"/>
                <w:szCs w:val="21"/>
              </w:rPr>
              <w:t>高0.8m，盖度25%</w:t>
            </w:r>
          </w:p>
        </w:tc>
        <w:tc>
          <w:tcPr>
            <w:tcW w:w="2939" w:type="pct"/>
            <w:gridSpan w:val="5"/>
            <w:vAlign w:val="center"/>
          </w:tcPr>
          <w:p>
            <w:pPr>
              <w:spacing w:line="340" w:lineRule="exact"/>
              <w:ind w:firstLine="0" w:firstLineChars="0"/>
              <w:jc w:val="center"/>
              <w:rPr>
                <w:sz w:val="21"/>
                <w:szCs w:val="21"/>
              </w:rPr>
            </w:pPr>
            <w:r>
              <w:rPr>
                <w:sz w:val="21"/>
                <w:szCs w:val="21"/>
              </w:rPr>
              <w:t>海金沙、斑茅</w:t>
            </w:r>
          </w:p>
        </w:tc>
      </w:tr>
    </w:tbl>
    <w:p>
      <w:pPr>
        <w:ind w:firstLine="480"/>
        <w:rPr>
          <w:vanish/>
        </w:rPr>
      </w:pPr>
    </w:p>
    <w:p>
      <w:pPr>
        <w:ind w:firstLine="480"/>
        <w:rPr>
          <w:vanish/>
        </w:rPr>
      </w:pPr>
    </w:p>
    <w:p>
      <w:pPr>
        <w:ind w:firstLine="482"/>
        <w:rPr>
          <w:b/>
        </w:rPr>
        <w:sectPr>
          <w:type w:val="continuous"/>
          <w:pgSz w:w="11906" w:h="16838"/>
          <w:pgMar w:top="1814" w:right="1134" w:bottom="1701" w:left="1418" w:header="1077" w:footer="992" w:gutter="0"/>
          <w:cols w:space="720" w:num="1"/>
          <w:docGrid w:linePitch="326" w:charSpace="0"/>
        </w:sectPr>
      </w:pPr>
    </w:p>
    <w:p>
      <w:pPr>
        <w:ind w:firstLine="482"/>
      </w:pPr>
      <w:r>
        <w:rPr>
          <w:rFonts w:hint="eastAsia" w:hAnsi="Calibri"/>
          <w:b/>
          <w:szCs w:val="24"/>
        </w:rPr>
        <w:t>五节芒</w:t>
      </w:r>
      <w:r>
        <w:rPr>
          <w:rFonts w:hAnsi="Calibri"/>
          <w:b/>
          <w:szCs w:val="24"/>
        </w:rPr>
        <w:t>（</w:t>
      </w:r>
      <w:r>
        <w:rPr>
          <w:rFonts w:ascii="Arial Narrow" w:hAnsi="Arial Narrow"/>
          <w:b/>
          <w:szCs w:val="24"/>
        </w:rPr>
        <w:t xml:space="preserve">Form. </w:t>
      </w:r>
      <w:r>
        <w:rPr>
          <w:rFonts w:ascii="Arial Narrow" w:hAnsi="Arial Narrow"/>
          <w:i/>
          <w:szCs w:val="24"/>
        </w:rPr>
        <w:t>Miscanthus floridulus</w:t>
      </w:r>
      <w:r>
        <w:rPr>
          <w:rFonts w:hAnsi="Calibri"/>
          <w:b/>
          <w:szCs w:val="24"/>
        </w:rPr>
        <w:t>）：</w:t>
      </w:r>
      <w:r>
        <w:rPr>
          <w:rFonts w:hAnsi="Calibri"/>
          <w:szCs w:val="24"/>
        </w:rPr>
        <w:t>五节芒是多年生草本，具发达根状茎。秆无毛，节下具白粉，叶鞘无毛，鞘节微毛，长于或上部者稍短于其节间。常见于荒山、道路边坡。</w:t>
      </w:r>
      <w:r>
        <w:t>如</w:t>
      </w:r>
      <w:r>
        <w:rPr>
          <w:rFonts w:hint="eastAsia"/>
        </w:rPr>
        <w:t>锦河</w:t>
      </w:r>
      <w:r>
        <w:t>附近河边</w:t>
      </w:r>
      <w:r>
        <w:rPr>
          <w:rFonts w:hAnsi="Calibri"/>
          <w:bCs/>
          <w:szCs w:val="24"/>
        </w:rPr>
        <w:t>五节芒</w:t>
      </w:r>
      <w:r>
        <w:t>灌草丛，建群种以</w:t>
      </w:r>
      <w:r>
        <w:rPr>
          <w:rFonts w:hAnsi="Calibri"/>
          <w:bCs/>
          <w:szCs w:val="24"/>
        </w:rPr>
        <w:t>五节芒</w:t>
      </w:r>
      <w:r>
        <w:t>为主，</w:t>
      </w:r>
      <w:r>
        <w:rPr>
          <w:rFonts w:hAnsi="Calibri"/>
          <w:szCs w:val="24"/>
        </w:rPr>
        <w:t>其间有少量的水竹、山莓、</w:t>
      </w:r>
      <w:r>
        <w:rPr>
          <w:rFonts w:hint="eastAsia" w:hAnsi="Calibri"/>
          <w:szCs w:val="24"/>
        </w:rPr>
        <w:t>南五味子、狗脊、</w:t>
      </w:r>
      <w:r>
        <w:rPr>
          <w:rFonts w:hint="eastAsia"/>
          <w:szCs w:val="24"/>
        </w:rPr>
        <w:t>合鳞薹草</w:t>
      </w:r>
      <w:r>
        <w:rPr>
          <w:rFonts w:hAnsi="Calibri"/>
          <w:szCs w:val="24"/>
        </w:rPr>
        <w:t>等，植被盖度在45%～65%之间，有轻度</w:t>
      </w:r>
      <w:r>
        <w:rPr>
          <w:rFonts w:hint="eastAsia" w:hAnsi="Calibri"/>
          <w:szCs w:val="24"/>
        </w:rPr>
        <w:t>水土流失</w:t>
      </w:r>
      <w:r>
        <w:rPr>
          <w:rFonts w:hAnsi="Calibri"/>
          <w:szCs w:val="24"/>
        </w:rPr>
        <w:t>。</w:t>
      </w:r>
    </w:p>
    <w:p>
      <w:pPr>
        <w:widowControl/>
        <w:ind w:firstLine="0" w:firstLineChars="0"/>
        <w:jc w:val="left"/>
      </w:pPr>
      <w:r>
        <w:rPr>
          <w:rFonts w:ascii="宋体" w:hAnsi="宋体" w:cs="宋体"/>
          <w:kern w:val="0"/>
          <w:szCs w:val="24"/>
          <w:lang w:bidi="ar"/>
        </w:rPr>
        <w:drawing>
          <wp:inline distT="0" distB="0" distL="114300" distR="114300">
            <wp:extent cx="2310130" cy="2112010"/>
            <wp:effectExtent l="0" t="0" r="13970" b="2540"/>
            <wp:docPr id="78"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56"/>
                    <pic:cNvPicPr>
                      <a:picLocks noChangeAspect="1"/>
                    </pic:cNvPicPr>
                  </pic:nvPicPr>
                  <pic:blipFill>
                    <a:blip r:embed="rId67"/>
                    <a:stretch>
                      <a:fillRect/>
                    </a:stretch>
                  </pic:blipFill>
                  <pic:spPr>
                    <a:xfrm>
                      <a:off x="0" y="0"/>
                      <a:ext cx="2310130" cy="2112010"/>
                    </a:xfrm>
                    <a:prstGeom prst="rect">
                      <a:avLst/>
                    </a:prstGeom>
                    <a:noFill/>
                    <a:ln w="9525">
                      <a:noFill/>
                    </a:ln>
                  </pic:spPr>
                </pic:pic>
              </a:graphicData>
            </a:graphic>
          </wp:inline>
        </w:drawing>
      </w:r>
    </w:p>
    <w:p>
      <w:pPr>
        <w:tabs>
          <w:tab w:val="left" w:pos="1815"/>
        </w:tabs>
        <w:ind w:firstLine="400"/>
        <w:sectPr>
          <w:type w:val="continuous"/>
          <w:pgSz w:w="11906" w:h="16838"/>
          <w:pgMar w:top="1814" w:right="1134" w:bottom="1701" w:left="1418" w:header="1077" w:footer="992" w:gutter="0"/>
          <w:cols w:equalWidth="0" w:num="2">
            <w:col w:w="4464" w:space="425"/>
            <w:col w:w="4464"/>
          </w:cols>
          <w:docGrid w:linePitch="326" w:charSpace="0"/>
        </w:sectPr>
      </w:pPr>
      <w:r>
        <w:rPr>
          <w:rFonts w:eastAsia="黑体"/>
          <w:spacing w:val="-20"/>
        </w:rPr>
        <w:t>图4</w:t>
      </w:r>
      <w:r>
        <w:rPr>
          <w:rFonts w:hint="eastAsia" w:eastAsia="黑体"/>
          <w:spacing w:val="-20"/>
        </w:rPr>
        <w:t>.5</w:t>
      </w:r>
      <w:r>
        <w:rPr>
          <w:rFonts w:eastAsia="黑体"/>
          <w:spacing w:val="-20"/>
        </w:rPr>
        <w:t>-</w:t>
      </w:r>
      <w:r>
        <w:rPr>
          <w:rFonts w:hint="eastAsia" w:eastAsia="黑体"/>
          <w:spacing w:val="-20"/>
        </w:rPr>
        <w:t>9</w:t>
      </w:r>
      <w:r>
        <w:rPr>
          <w:rFonts w:hint="eastAsia" w:ascii="黑体" w:hAnsi="黑体" w:eastAsia="黑体" w:cs="黑体"/>
          <w:spacing w:val="-20"/>
          <w:szCs w:val="24"/>
        </w:rPr>
        <w:t>五节芒</w:t>
      </w:r>
      <w:r>
        <w:rPr>
          <w:rFonts w:hint="eastAsia" w:eastAsia="黑体"/>
        </w:rPr>
        <w:t>样方现场调查照片</w:t>
      </w:r>
    </w:p>
    <w:p>
      <w:pPr>
        <w:pStyle w:val="1022"/>
        <w:adjustRightInd/>
        <w:snapToGrid/>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19</w:t>
      </w:r>
      <w:r>
        <w:rPr>
          <w:rFonts w:hint="eastAsia" w:ascii="黑体" w:hAnsi="黑体" w:eastAsia="黑体" w:cs="黑体"/>
        </w:rPr>
        <w:t xml:space="preserve">  </w:t>
      </w:r>
      <w:r>
        <w:rPr>
          <w:rFonts w:hint="eastAsia" w:ascii="黑体" w:hAnsi="黑体" w:eastAsia="黑体" w:cs="黑体"/>
          <w:bCs/>
          <w:szCs w:val="24"/>
        </w:rPr>
        <w:t>五节芒</w:t>
      </w:r>
      <w:r>
        <w:rPr>
          <w:rFonts w:hint="eastAsia" w:ascii="黑体" w:hAnsi="黑体" w:eastAsia="黑体" w:cs="黑体"/>
        </w:rPr>
        <w:t>灌草丛样方调查表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7"/>
        <w:gridCol w:w="2360"/>
        <w:gridCol w:w="1014"/>
        <w:gridCol w:w="1095"/>
        <w:gridCol w:w="25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vAlign w:val="center"/>
          </w:tcPr>
          <w:p>
            <w:pPr>
              <w:spacing w:line="340" w:lineRule="exact"/>
              <w:ind w:firstLine="0" w:firstLineChars="0"/>
              <w:jc w:val="center"/>
              <w:rPr>
                <w:sz w:val="21"/>
                <w:szCs w:val="21"/>
              </w:rPr>
            </w:pPr>
            <w:r>
              <w:rPr>
                <w:b/>
                <w:sz w:val="21"/>
                <w:szCs w:val="21"/>
              </w:rPr>
              <w:t>植被类型/群落名称：</w:t>
            </w:r>
            <w:r>
              <w:rPr>
                <w:rFonts w:hint="eastAsia"/>
                <w:b/>
                <w:sz w:val="21"/>
                <w:szCs w:val="21"/>
              </w:rPr>
              <w:t>五节芒</w:t>
            </w:r>
            <w:r>
              <w:rPr>
                <w:b/>
                <w:sz w:val="21"/>
                <w:szCs w:val="21"/>
              </w:rPr>
              <w:t>灌草丛</w:t>
            </w:r>
          </w:p>
        </w:tc>
        <w:tc>
          <w:tcPr>
            <w:tcW w:w="0" w:type="auto"/>
            <w:gridSpan w:val="2"/>
            <w:vAlign w:val="center"/>
          </w:tcPr>
          <w:p>
            <w:pPr>
              <w:spacing w:line="340" w:lineRule="exact"/>
              <w:ind w:firstLine="0" w:firstLineChars="0"/>
              <w:jc w:val="center"/>
              <w:rPr>
                <w:spacing w:val="-12"/>
                <w:sz w:val="21"/>
                <w:szCs w:val="21"/>
              </w:rPr>
            </w:pPr>
            <w:r>
              <w:rPr>
                <w:b/>
                <w:sz w:val="21"/>
                <w:szCs w:val="21"/>
              </w:rPr>
              <w:t>点位：</w:t>
            </w:r>
            <w:r>
              <w:rPr>
                <w:rFonts w:hint="eastAsia"/>
                <w:sz w:val="21"/>
                <w:szCs w:val="21"/>
              </w:rPr>
              <w:t>锦</w:t>
            </w:r>
            <w:r>
              <w:rPr>
                <w:sz w:val="21"/>
                <w:szCs w:val="21"/>
              </w:rPr>
              <w:t>河附近河边</w:t>
            </w:r>
          </w:p>
        </w:tc>
        <w:tc>
          <w:tcPr>
            <w:tcW w:w="0" w:type="auto"/>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经纬度</w:t>
            </w:r>
          </w:p>
        </w:tc>
        <w:tc>
          <w:tcPr>
            <w:tcW w:w="0" w:type="auto"/>
            <w:vAlign w:val="center"/>
          </w:tcPr>
          <w:p>
            <w:pPr>
              <w:spacing w:line="340" w:lineRule="exact"/>
              <w:ind w:firstLine="0" w:firstLineChars="0"/>
              <w:jc w:val="center"/>
              <w:rPr>
                <w:sz w:val="21"/>
                <w:szCs w:val="21"/>
              </w:rPr>
            </w:pPr>
            <w:r>
              <w:rPr>
                <w:rFonts w:hint="eastAsia"/>
                <w:sz w:val="21"/>
                <w:szCs w:val="21"/>
              </w:rPr>
              <w:t>114°57′56.35″,</w:t>
            </w:r>
          </w:p>
          <w:p>
            <w:pPr>
              <w:spacing w:line="340" w:lineRule="exact"/>
              <w:ind w:firstLine="0" w:firstLineChars="0"/>
              <w:jc w:val="center"/>
              <w:rPr>
                <w:sz w:val="21"/>
                <w:szCs w:val="21"/>
              </w:rPr>
            </w:pPr>
            <w:r>
              <w:rPr>
                <w:rFonts w:hint="eastAsia"/>
                <w:sz w:val="21"/>
                <w:szCs w:val="21"/>
              </w:rPr>
              <w:t>28°14′13.12″</w:t>
            </w:r>
          </w:p>
        </w:tc>
        <w:tc>
          <w:tcPr>
            <w:tcW w:w="0" w:type="auto"/>
            <w:vAlign w:val="center"/>
          </w:tcPr>
          <w:p>
            <w:pPr>
              <w:spacing w:line="340" w:lineRule="exact"/>
              <w:ind w:firstLine="0" w:firstLineChars="0"/>
              <w:jc w:val="center"/>
              <w:rPr>
                <w:b/>
                <w:sz w:val="21"/>
                <w:szCs w:val="21"/>
              </w:rPr>
            </w:pPr>
            <w:r>
              <w:rPr>
                <w:b/>
                <w:sz w:val="21"/>
                <w:szCs w:val="21"/>
              </w:rPr>
              <w:t>海拔</w:t>
            </w:r>
          </w:p>
        </w:tc>
        <w:tc>
          <w:tcPr>
            <w:tcW w:w="0" w:type="auto"/>
            <w:vAlign w:val="center"/>
          </w:tcPr>
          <w:p>
            <w:pPr>
              <w:spacing w:line="340" w:lineRule="exact"/>
              <w:ind w:firstLine="0" w:firstLineChars="0"/>
              <w:jc w:val="center"/>
              <w:rPr>
                <w:sz w:val="21"/>
                <w:szCs w:val="21"/>
              </w:rPr>
            </w:pPr>
            <w:r>
              <w:rPr>
                <w:rFonts w:hint="eastAsia"/>
                <w:sz w:val="21"/>
                <w:szCs w:val="21"/>
              </w:rPr>
              <w:t>4</w:t>
            </w:r>
            <w:r>
              <w:rPr>
                <w:sz w:val="21"/>
                <w:szCs w:val="21"/>
              </w:rPr>
              <w:t>6米</w:t>
            </w:r>
          </w:p>
        </w:tc>
        <w:tc>
          <w:tcPr>
            <w:tcW w:w="0" w:type="auto"/>
            <w:vAlign w:val="center"/>
          </w:tcPr>
          <w:p>
            <w:pPr>
              <w:spacing w:line="340" w:lineRule="exact"/>
              <w:ind w:firstLine="0" w:firstLineChars="0"/>
              <w:jc w:val="center"/>
              <w:rPr>
                <w:sz w:val="21"/>
                <w:szCs w:val="21"/>
              </w:rPr>
            </w:pPr>
            <w:r>
              <w:rPr>
                <w:sz w:val="21"/>
                <w:szCs w:val="21"/>
              </w:rPr>
              <w:t>样方面积：</w:t>
            </w:r>
            <w:r>
              <w:rPr>
                <w:rFonts w:hint="eastAsia"/>
                <w:sz w:val="21"/>
                <w:szCs w:val="21"/>
              </w:rPr>
              <w:t>1</w:t>
            </w:r>
            <w:r>
              <w:rPr>
                <w:sz w:val="21"/>
                <w:szCs w:val="21"/>
              </w:rPr>
              <w:t>×</w:t>
            </w:r>
            <w:r>
              <w:rPr>
                <w:rFonts w:hint="eastAsia"/>
                <w:sz w:val="21"/>
                <w:szCs w:val="21"/>
              </w:rPr>
              <w:t>1</w:t>
            </w:r>
            <w:r>
              <w:rPr>
                <w:sz w:val="21"/>
                <w:szCs w:val="21"/>
              </w:rPr>
              <w:t>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地貌</w:t>
            </w:r>
          </w:p>
        </w:tc>
        <w:tc>
          <w:tcPr>
            <w:tcW w:w="0" w:type="auto"/>
            <w:vAlign w:val="center"/>
          </w:tcPr>
          <w:p>
            <w:pPr>
              <w:spacing w:line="340" w:lineRule="exact"/>
              <w:ind w:firstLine="0" w:firstLineChars="0"/>
              <w:jc w:val="center"/>
              <w:rPr>
                <w:sz w:val="21"/>
                <w:szCs w:val="21"/>
              </w:rPr>
            </w:pPr>
            <w:r>
              <w:rPr>
                <w:rFonts w:hint="eastAsia"/>
                <w:sz w:val="21"/>
                <w:szCs w:val="21"/>
              </w:rPr>
              <w:t>河滩地</w:t>
            </w:r>
          </w:p>
        </w:tc>
        <w:tc>
          <w:tcPr>
            <w:tcW w:w="0" w:type="auto"/>
            <w:vAlign w:val="center"/>
          </w:tcPr>
          <w:p>
            <w:pPr>
              <w:spacing w:line="340" w:lineRule="exact"/>
              <w:ind w:firstLine="0" w:firstLineChars="0"/>
              <w:jc w:val="center"/>
              <w:rPr>
                <w:b/>
                <w:sz w:val="21"/>
                <w:szCs w:val="21"/>
              </w:rPr>
            </w:pPr>
            <w:r>
              <w:rPr>
                <w:b/>
                <w:sz w:val="21"/>
                <w:szCs w:val="21"/>
              </w:rPr>
              <w:t>土壤</w:t>
            </w:r>
          </w:p>
        </w:tc>
        <w:tc>
          <w:tcPr>
            <w:tcW w:w="0" w:type="auto"/>
            <w:vAlign w:val="center"/>
          </w:tcPr>
          <w:p>
            <w:pPr>
              <w:spacing w:line="340" w:lineRule="exact"/>
              <w:ind w:firstLine="0" w:firstLineChars="0"/>
              <w:jc w:val="center"/>
              <w:rPr>
                <w:sz w:val="21"/>
                <w:szCs w:val="21"/>
              </w:rPr>
            </w:pPr>
            <w:r>
              <w:rPr>
                <w:spacing w:val="-12"/>
                <w:sz w:val="21"/>
                <w:szCs w:val="21"/>
              </w:rPr>
              <w:t>砂土</w:t>
            </w:r>
          </w:p>
        </w:tc>
        <w:tc>
          <w:tcPr>
            <w:tcW w:w="0" w:type="auto"/>
            <w:vAlign w:val="center"/>
          </w:tcPr>
          <w:p>
            <w:pPr>
              <w:spacing w:line="340" w:lineRule="exact"/>
              <w:ind w:firstLine="0" w:firstLineChars="0"/>
              <w:jc w:val="center"/>
              <w:rPr>
                <w:sz w:val="21"/>
                <w:szCs w:val="21"/>
              </w:rPr>
            </w:pPr>
            <w:r>
              <w:rPr>
                <w:sz w:val="21"/>
                <w:szCs w:val="21"/>
              </w:rPr>
              <w:t>地上生物量：2043kg/hm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pacing w:val="-20"/>
                <w:sz w:val="21"/>
                <w:szCs w:val="21"/>
              </w:rPr>
              <w:t>环境简述</w:t>
            </w:r>
          </w:p>
        </w:tc>
        <w:tc>
          <w:tcPr>
            <w:tcW w:w="0" w:type="auto"/>
            <w:gridSpan w:val="4"/>
            <w:vAlign w:val="center"/>
          </w:tcPr>
          <w:p>
            <w:pPr>
              <w:spacing w:line="340" w:lineRule="exact"/>
              <w:ind w:firstLine="0" w:firstLineChars="0"/>
              <w:jc w:val="center"/>
              <w:rPr>
                <w:sz w:val="21"/>
                <w:szCs w:val="21"/>
              </w:rPr>
            </w:pPr>
            <w:r>
              <w:rPr>
                <w:sz w:val="21"/>
                <w:szCs w:val="21"/>
              </w:rPr>
              <w:t>河滩地上自然更新形成的灌草丛。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植被层</w:t>
            </w:r>
          </w:p>
        </w:tc>
        <w:tc>
          <w:tcPr>
            <w:tcW w:w="0" w:type="auto"/>
            <w:vAlign w:val="center"/>
          </w:tcPr>
          <w:p>
            <w:pPr>
              <w:spacing w:line="340" w:lineRule="exact"/>
              <w:ind w:firstLine="0" w:firstLineChars="0"/>
              <w:jc w:val="center"/>
              <w:rPr>
                <w:sz w:val="21"/>
                <w:szCs w:val="21"/>
              </w:rPr>
            </w:pPr>
          </w:p>
        </w:tc>
        <w:tc>
          <w:tcPr>
            <w:tcW w:w="0" w:type="auto"/>
            <w:gridSpan w:val="3"/>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灌木</w:t>
            </w:r>
          </w:p>
        </w:tc>
        <w:tc>
          <w:tcPr>
            <w:tcW w:w="0" w:type="auto"/>
            <w:vAlign w:val="center"/>
          </w:tcPr>
          <w:p>
            <w:pPr>
              <w:spacing w:line="340" w:lineRule="exact"/>
              <w:ind w:firstLine="0" w:firstLineChars="0"/>
              <w:jc w:val="center"/>
              <w:rPr>
                <w:sz w:val="21"/>
                <w:szCs w:val="21"/>
              </w:rPr>
            </w:pPr>
            <w:r>
              <w:rPr>
                <w:sz w:val="21"/>
                <w:szCs w:val="21"/>
              </w:rPr>
              <w:t>高1.5m，盖度3%</w:t>
            </w:r>
          </w:p>
        </w:tc>
        <w:tc>
          <w:tcPr>
            <w:tcW w:w="0" w:type="auto"/>
            <w:gridSpan w:val="3"/>
            <w:vAlign w:val="center"/>
          </w:tcPr>
          <w:p>
            <w:pPr>
              <w:spacing w:line="340" w:lineRule="exact"/>
              <w:ind w:firstLine="0" w:firstLineChars="0"/>
              <w:jc w:val="center"/>
              <w:rPr>
                <w:sz w:val="21"/>
                <w:szCs w:val="21"/>
              </w:rPr>
            </w:pPr>
            <w:r>
              <w:rPr>
                <w:rFonts w:hint="eastAsia"/>
                <w:sz w:val="21"/>
                <w:szCs w:val="21"/>
              </w:rPr>
              <w:t>水竹</w:t>
            </w:r>
            <w:r>
              <w:rPr>
                <w:sz w:val="21"/>
                <w:szCs w:val="21"/>
              </w:rPr>
              <w:t>、</w:t>
            </w:r>
            <w:r>
              <w:rPr>
                <w:rFonts w:hAnsi="Calibri"/>
                <w:sz w:val="21"/>
                <w:szCs w:val="21"/>
              </w:rPr>
              <w:t>山莓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草本</w:t>
            </w:r>
          </w:p>
        </w:tc>
        <w:tc>
          <w:tcPr>
            <w:tcW w:w="0" w:type="auto"/>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.8m，盖度</w:t>
            </w:r>
            <w:r>
              <w:rPr>
                <w:rFonts w:hint="eastAsia"/>
                <w:sz w:val="21"/>
                <w:szCs w:val="21"/>
              </w:rPr>
              <w:t>65</w:t>
            </w:r>
            <w:r>
              <w:rPr>
                <w:sz w:val="21"/>
                <w:szCs w:val="21"/>
              </w:rPr>
              <w:t>%</w:t>
            </w:r>
          </w:p>
        </w:tc>
        <w:tc>
          <w:tcPr>
            <w:tcW w:w="0" w:type="auto"/>
            <w:gridSpan w:val="3"/>
            <w:vAlign w:val="center"/>
          </w:tcPr>
          <w:p>
            <w:pPr>
              <w:spacing w:line="340" w:lineRule="exact"/>
              <w:ind w:firstLine="0" w:firstLineChars="0"/>
              <w:jc w:val="center"/>
              <w:rPr>
                <w:sz w:val="21"/>
                <w:szCs w:val="21"/>
              </w:rPr>
            </w:pPr>
            <w:r>
              <w:rPr>
                <w:rFonts w:hint="eastAsia" w:hAnsi="Calibri"/>
                <w:sz w:val="21"/>
                <w:szCs w:val="21"/>
              </w:rPr>
              <w:t>南五味子、狗脊、</w:t>
            </w:r>
            <w:r>
              <w:rPr>
                <w:rFonts w:hint="eastAsia"/>
                <w:sz w:val="21"/>
                <w:szCs w:val="21"/>
              </w:rPr>
              <w:t>合鳞薹草</w:t>
            </w:r>
          </w:p>
        </w:tc>
      </w:tr>
    </w:tbl>
    <w:p>
      <w:pPr>
        <w:spacing w:before="120" w:beforeLines="50"/>
        <w:ind w:firstLine="482"/>
        <w:rPr>
          <w:b/>
          <w:szCs w:val="24"/>
        </w:rPr>
        <w:sectPr>
          <w:type w:val="continuous"/>
          <w:pgSz w:w="11906" w:h="16838"/>
          <w:pgMar w:top="1814" w:right="1134" w:bottom="1701" w:left="1418" w:header="1077" w:footer="992" w:gutter="0"/>
          <w:cols w:space="720" w:num="1"/>
          <w:docGrid w:linePitch="326" w:charSpace="0"/>
        </w:sectPr>
      </w:pPr>
    </w:p>
    <w:p>
      <w:pPr>
        <w:widowControl/>
        <w:ind w:firstLine="482"/>
        <w:jc w:val="left"/>
      </w:pPr>
      <w:r>
        <w:rPr>
          <w:rFonts w:hint="eastAsia"/>
          <w:b/>
          <w:szCs w:val="24"/>
        </w:rPr>
        <w:t>蓼草：</w:t>
      </w:r>
      <w:r>
        <w:fldChar w:fldCharType="begin"/>
      </w:r>
      <w:r>
        <w:instrText xml:space="preserve"> HYPERLINK "https://baike.sogou.com/lemma/ShowInnerLink.htm?lemmaId=345605&amp;ss_c=ssc.citiao.link" \t "https://baike.sogou.com/_blank" </w:instrText>
      </w:r>
      <w:r>
        <w:fldChar w:fldCharType="separate"/>
      </w:r>
      <w:r>
        <w:rPr>
          <w:szCs w:val="24"/>
        </w:rPr>
        <w:t>一年生草本</w:t>
      </w:r>
      <w:r>
        <w:rPr>
          <w:szCs w:val="24"/>
        </w:rPr>
        <w:fldChar w:fldCharType="end"/>
      </w:r>
      <w:r>
        <w:rPr>
          <w:szCs w:val="24"/>
        </w:rPr>
        <w:t>，高40-60cm。须根多数；幼苗平卧地上，或作倾卧状，后抽茎直立或下部斜升，多分枝，有纵棱，略红紫色，无毛或微被短毛。叶互生；叶柄长3-8mm；叶片披针形或长圆状披针形，长2-8cm，宽1-2cm，全缘，近无毛，上面有紫红色斑点。花两性，单生于叶腋，黄以，无柄，基部有小苞片2；萼筒与子房合生，萼片4，卵状披针形，长2.5-3mm，外略被短柔毛；花瓣4，稍短于花萼裂片；雄蕊4；子房下位，花柱短，柱头单一，头状。蒴果线状四方形，略具4棱，长1-4cm，宽约1.5mm，稍带紫色，成熟后室背不规则开裂；种子细小，光滑，棕黄色。花期7-8月，果期9-10月。</w:t>
      </w:r>
    </w:p>
    <w:p>
      <w:pPr>
        <w:tabs>
          <w:tab w:val="left" w:pos="1815"/>
        </w:tabs>
        <w:ind w:firstLine="0" w:firstLineChars="0"/>
        <w:rPr>
          <w:rFonts w:eastAsia="黑体"/>
          <w:spacing w:val="-20"/>
        </w:rPr>
      </w:pPr>
      <w:r>
        <w:drawing>
          <wp:inline distT="0" distB="0" distL="0" distR="0">
            <wp:extent cx="2741295" cy="2038350"/>
            <wp:effectExtent l="0" t="0" r="190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741295" cy="2038350"/>
                    </a:xfrm>
                    <a:prstGeom prst="rect">
                      <a:avLst/>
                    </a:prstGeom>
                    <a:noFill/>
                    <a:ln>
                      <a:noFill/>
                    </a:ln>
                  </pic:spPr>
                </pic:pic>
              </a:graphicData>
            </a:graphic>
          </wp:inline>
        </w:drawing>
      </w:r>
    </w:p>
    <w:p>
      <w:pPr>
        <w:tabs>
          <w:tab w:val="left" w:pos="1815"/>
        </w:tabs>
        <w:ind w:firstLine="400"/>
        <w:sectPr>
          <w:type w:val="continuous"/>
          <w:pgSz w:w="11906" w:h="16838"/>
          <w:pgMar w:top="1814" w:right="1134" w:bottom="1701" w:left="1418" w:header="1077" w:footer="992" w:gutter="0"/>
          <w:cols w:equalWidth="0" w:num="2">
            <w:col w:w="4464" w:space="425"/>
            <w:col w:w="4464"/>
          </w:cols>
          <w:docGrid w:linePitch="326" w:charSpace="0"/>
        </w:sectPr>
      </w:pPr>
      <w:r>
        <w:rPr>
          <w:rFonts w:eastAsia="黑体"/>
          <w:spacing w:val="-20"/>
        </w:rPr>
        <w:t>图4</w:t>
      </w:r>
      <w:r>
        <w:rPr>
          <w:rFonts w:hint="eastAsia" w:eastAsia="黑体"/>
          <w:spacing w:val="-20"/>
        </w:rPr>
        <w:t>.5</w:t>
      </w:r>
      <w:r>
        <w:rPr>
          <w:rFonts w:eastAsia="黑体"/>
          <w:spacing w:val="-20"/>
        </w:rPr>
        <w:t>-</w:t>
      </w:r>
      <w:r>
        <w:rPr>
          <w:rFonts w:hint="eastAsia" w:eastAsia="黑体"/>
          <w:spacing w:val="-20"/>
        </w:rPr>
        <w:t>10</w:t>
      </w:r>
      <w:r>
        <w:rPr>
          <w:rFonts w:eastAsia="黑体"/>
          <w:spacing w:val="-20"/>
        </w:rPr>
        <w:t xml:space="preserve">  </w:t>
      </w:r>
      <w:r>
        <w:rPr>
          <w:rFonts w:hint="eastAsia" w:ascii="黑体" w:hAnsi="黑体" w:eastAsia="黑体" w:cs="黑体"/>
          <w:spacing w:val="-20"/>
          <w:szCs w:val="24"/>
        </w:rPr>
        <w:t>蓼草</w:t>
      </w:r>
      <w:r>
        <w:rPr>
          <w:rFonts w:hint="eastAsia" w:eastAsia="黑体"/>
        </w:rPr>
        <w:t>样方现场调查照片</w:t>
      </w:r>
    </w:p>
    <w:p>
      <w:pPr>
        <w:pStyle w:val="1022"/>
        <w:adjustRightInd/>
        <w:snapToGrid/>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20</w:t>
      </w:r>
      <w:r>
        <w:rPr>
          <w:rFonts w:hint="eastAsia" w:ascii="黑体" w:hAnsi="黑体" w:eastAsia="黑体" w:cs="黑体"/>
        </w:rPr>
        <w:t xml:space="preserve">  </w:t>
      </w:r>
      <w:r>
        <w:rPr>
          <w:rFonts w:hint="eastAsia" w:ascii="黑体" w:hAnsi="黑体" w:eastAsia="黑体" w:cs="黑体"/>
          <w:bCs/>
          <w:szCs w:val="24"/>
        </w:rPr>
        <w:t>蓼草</w:t>
      </w:r>
      <w:r>
        <w:rPr>
          <w:rFonts w:hint="eastAsia" w:ascii="黑体" w:hAnsi="黑体" w:eastAsia="黑体" w:cs="黑体"/>
        </w:rPr>
        <w:t>灌草丛样方调查表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3621"/>
        <w:gridCol w:w="1014"/>
        <w:gridCol w:w="1095"/>
        <w:gridCol w:w="25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vAlign w:val="center"/>
          </w:tcPr>
          <w:p>
            <w:pPr>
              <w:spacing w:line="340" w:lineRule="exact"/>
              <w:ind w:firstLine="0" w:firstLineChars="0"/>
              <w:jc w:val="center"/>
              <w:rPr>
                <w:sz w:val="21"/>
                <w:szCs w:val="21"/>
              </w:rPr>
            </w:pPr>
            <w:r>
              <w:rPr>
                <w:b/>
                <w:sz w:val="21"/>
                <w:szCs w:val="21"/>
              </w:rPr>
              <w:t>植被类型/群落名称：</w:t>
            </w:r>
            <w:r>
              <w:rPr>
                <w:rFonts w:hint="eastAsia"/>
                <w:b/>
                <w:sz w:val="21"/>
                <w:szCs w:val="21"/>
              </w:rPr>
              <w:t>蓼草</w:t>
            </w:r>
            <w:r>
              <w:rPr>
                <w:b/>
                <w:sz w:val="21"/>
                <w:szCs w:val="21"/>
              </w:rPr>
              <w:t>灌草丛</w:t>
            </w:r>
          </w:p>
        </w:tc>
        <w:tc>
          <w:tcPr>
            <w:tcW w:w="0" w:type="auto"/>
            <w:gridSpan w:val="2"/>
            <w:vAlign w:val="center"/>
          </w:tcPr>
          <w:p>
            <w:pPr>
              <w:spacing w:line="340" w:lineRule="exact"/>
              <w:ind w:firstLine="0" w:firstLineChars="0"/>
              <w:jc w:val="center"/>
              <w:rPr>
                <w:spacing w:val="-12"/>
                <w:sz w:val="21"/>
                <w:szCs w:val="21"/>
              </w:rPr>
            </w:pPr>
            <w:r>
              <w:rPr>
                <w:b/>
                <w:sz w:val="21"/>
                <w:szCs w:val="21"/>
              </w:rPr>
              <w:t>点位：</w:t>
            </w:r>
            <w:r>
              <w:rPr>
                <w:rFonts w:hint="eastAsia"/>
                <w:sz w:val="21"/>
                <w:szCs w:val="21"/>
              </w:rPr>
              <w:t>锦</w:t>
            </w:r>
            <w:r>
              <w:rPr>
                <w:sz w:val="21"/>
                <w:szCs w:val="21"/>
              </w:rPr>
              <w:t>河附近河边</w:t>
            </w:r>
          </w:p>
        </w:tc>
        <w:tc>
          <w:tcPr>
            <w:tcW w:w="0" w:type="auto"/>
            <w:vAlign w:val="center"/>
          </w:tcPr>
          <w:p>
            <w:pPr>
              <w:spacing w:line="340" w:lineRule="exact"/>
              <w:ind w:firstLine="0" w:firstLineChars="0"/>
              <w:jc w:val="center"/>
              <w:rPr>
                <w:sz w:val="21"/>
                <w:szCs w:val="21"/>
              </w:rPr>
            </w:pPr>
            <w:r>
              <w:rPr>
                <w:b/>
                <w:spacing w:val="-20"/>
                <w:sz w:val="21"/>
                <w:szCs w:val="21"/>
              </w:rPr>
              <w:t>调查时间：</w:t>
            </w:r>
            <w:r>
              <w:rPr>
                <w:spacing w:val="-12"/>
                <w:sz w:val="21"/>
                <w:szCs w:val="21"/>
              </w:rPr>
              <w:t>202</w:t>
            </w:r>
            <w:r>
              <w:rPr>
                <w:rFonts w:hint="eastAsia"/>
                <w:spacing w:val="-12"/>
                <w:sz w:val="21"/>
                <w:szCs w:val="21"/>
              </w:rPr>
              <w:t>2</w:t>
            </w:r>
            <w:r>
              <w:rPr>
                <w:spacing w:val="-12"/>
                <w:sz w:val="21"/>
                <w:szCs w:val="21"/>
              </w:rPr>
              <w:t>-</w:t>
            </w:r>
            <w:r>
              <w:rPr>
                <w:rFonts w:hint="eastAsia"/>
                <w:spacing w:val="-12"/>
                <w:sz w:val="21"/>
                <w:szCs w:val="21"/>
              </w:rPr>
              <w:t>6</w:t>
            </w:r>
            <w:r>
              <w:rPr>
                <w:spacing w:val="-12"/>
                <w:sz w:val="21"/>
                <w:szCs w:val="21"/>
              </w:rPr>
              <w:t>-</w:t>
            </w:r>
            <w:r>
              <w:rPr>
                <w:rFonts w:hint="eastAsia"/>
                <w:spacing w:val="-12"/>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经纬度</w:t>
            </w:r>
          </w:p>
        </w:tc>
        <w:tc>
          <w:tcPr>
            <w:tcW w:w="0" w:type="auto"/>
            <w:vAlign w:val="center"/>
          </w:tcPr>
          <w:p>
            <w:pPr>
              <w:spacing w:line="340" w:lineRule="exact"/>
              <w:ind w:firstLine="0" w:firstLineChars="0"/>
              <w:jc w:val="center"/>
              <w:rPr>
                <w:sz w:val="21"/>
                <w:szCs w:val="21"/>
              </w:rPr>
            </w:pPr>
            <w:r>
              <w:rPr>
                <w:rFonts w:hint="eastAsia"/>
                <w:sz w:val="21"/>
                <w:szCs w:val="21"/>
              </w:rPr>
              <w:t>114°57′55.186″,28°14′32.746″</w:t>
            </w:r>
          </w:p>
        </w:tc>
        <w:tc>
          <w:tcPr>
            <w:tcW w:w="0" w:type="auto"/>
            <w:vAlign w:val="center"/>
          </w:tcPr>
          <w:p>
            <w:pPr>
              <w:spacing w:line="340" w:lineRule="exact"/>
              <w:ind w:firstLine="0" w:firstLineChars="0"/>
              <w:jc w:val="center"/>
              <w:rPr>
                <w:b/>
                <w:sz w:val="21"/>
                <w:szCs w:val="21"/>
              </w:rPr>
            </w:pPr>
            <w:r>
              <w:rPr>
                <w:b/>
                <w:sz w:val="21"/>
                <w:szCs w:val="21"/>
              </w:rPr>
              <w:t>海拔</w:t>
            </w:r>
          </w:p>
        </w:tc>
        <w:tc>
          <w:tcPr>
            <w:tcW w:w="0" w:type="auto"/>
            <w:vAlign w:val="center"/>
          </w:tcPr>
          <w:p>
            <w:pPr>
              <w:spacing w:line="340" w:lineRule="exact"/>
              <w:ind w:firstLine="0" w:firstLineChars="0"/>
              <w:jc w:val="center"/>
              <w:rPr>
                <w:sz w:val="21"/>
                <w:szCs w:val="21"/>
              </w:rPr>
            </w:pPr>
            <w:r>
              <w:rPr>
                <w:rFonts w:hint="eastAsia"/>
                <w:sz w:val="21"/>
                <w:szCs w:val="21"/>
              </w:rPr>
              <w:t>45</w:t>
            </w:r>
            <w:r>
              <w:rPr>
                <w:sz w:val="21"/>
                <w:szCs w:val="21"/>
              </w:rPr>
              <w:t>米</w:t>
            </w:r>
          </w:p>
        </w:tc>
        <w:tc>
          <w:tcPr>
            <w:tcW w:w="0" w:type="auto"/>
            <w:vAlign w:val="center"/>
          </w:tcPr>
          <w:p>
            <w:pPr>
              <w:spacing w:line="340" w:lineRule="exact"/>
              <w:ind w:firstLine="0" w:firstLineChars="0"/>
              <w:jc w:val="center"/>
              <w:rPr>
                <w:sz w:val="21"/>
                <w:szCs w:val="21"/>
              </w:rPr>
            </w:pPr>
            <w:r>
              <w:rPr>
                <w:sz w:val="21"/>
                <w:szCs w:val="21"/>
              </w:rPr>
              <w:t>样方面积：</w:t>
            </w:r>
            <w:r>
              <w:rPr>
                <w:rFonts w:hint="eastAsia"/>
                <w:sz w:val="21"/>
                <w:szCs w:val="21"/>
              </w:rPr>
              <w:t>1</w:t>
            </w:r>
            <w:r>
              <w:rPr>
                <w:sz w:val="21"/>
                <w:szCs w:val="21"/>
              </w:rPr>
              <w:t>×</w:t>
            </w:r>
            <w:r>
              <w:rPr>
                <w:rFonts w:hint="eastAsia"/>
                <w:sz w:val="21"/>
                <w:szCs w:val="21"/>
              </w:rPr>
              <w:t>1</w:t>
            </w:r>
            <w:r>
              <w:rPr>
                <w:sz w:val="21"/>
                <w:szCs w:val="21"/>
              </w:rPr>
              <w:t>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地貌</w:t>
            </w:r>
          </w:p>
        </w:tc>
        <w:tc>
          <w:tcPr>
            <w:tcW w:w="0" w:type="auto"/>
            <w:vAlign w:val="center"/>
          </w:tcPr>
          <w:p>
            <w:pPr>
              <w:spacing w:line="340" w:lineRule="exact"/>
              <w:ind w:firstLine="0" w:firstLineChars="0"/>
              <w:jc w:val="center"/>
              <w:rPr>
                <w:sz w:val="21"/>
                <w:szCs w:val="21"/>
              </w:rPr>
            </w:pPr>
            <w:r>
              <w:rPr>
                <w:rFonts w:hint="eastAsia"/>
                <w:sz w:val="21"/>
                <w:szCs w:val="21"/>
              </w:rPr>
              <w:t>河滩地</w:t>
            </w:r>
          </w:p>
        </w:tc>
        <w:tc>
          <w:tcPr>
            <w:tcW w:w="0" w:type="auto"/>
            <w:vAlign w:val="center"/>
          </w:tcPr>
          <w:p>
            <w:pPr>
              <w:spacing w:line="340" w:lineRule="exact"/>
              <w:ind w:firstLine="0" w:firstLineChars="0"/>
              <w:jc w:val="center"/>
              <w:rPr>
                <w:b/>
                <w:sz w:val="21"/>
                <w:szCs w:val="21"/>
              </w:rPr>
            </w:pPr>
            <w:r>
              <w:rPr>
                <w:b/>
                <w:sz w:val="21"/>
                <w:szCs w:val="21"/>
              </w:rPr>
              <w:t>土壤</w:t>
            </w:r>
          </w:p>
        </w:tc>
        <w:tc>
          <w:tcPr>
            <w:tcW w:w="0" w:type="auto"/>
            <w:vAlign w:val="center"/>
          </w:tcPr>
          <w:p>
            <w:pPr>
              <w:spacing w:line="340" w:lineRule="exact"/>
              <w:ind w:firstLine="0" w:firstLineChars="0"/>
              <w:jc w:val="center"/>
              <w:rPr>
                <w:sz w:val="21"/>
                <w:szCs w:val="21"/>
              </w:rPr>
            </w:pPr>
            <w:r>
              <w:rPr>
                <w:spacing w:val="-12"/>
                <w:sz w:val="21"/>
                <w:szCs w:val="21"/>
              </w:rPr>
              <w:t>砂土</w:t>
            </w:r>
          </w:p>
        </w:tc>
        <w:tc>
          <w:tcPr>
            <w:tcW w:w="0" w:type="auto"/>
            <w:vAlign w:val="center"/>
          </w:tcPr>
          <w:p>
            <w:pPr>
              <w:spacing w:line="340" w:lineRule="exact"/>
              <w:ind w:firstLine="0" w:firstLineChars="0"/>
              <w:jc w:val="center"/>
              <w:rPr>
                <w:sz w:val="21"/>
                <w:szCs w:val="21"/>
              </w:rPr>
            </w:pPr>
            <w:r>
              <w:rPr>
                <w:sz w:val="21"/>
                <w:szCs w:val="21"/>
              </w:rPr>
              <w:t>地上生物量：20</w:t>
            </w:r>
            <w:r>
              <w:rPr>
                <w:rFonts w:hint="eastAsia"/>
                <w:sz w:val="21"/>
                <w:szCs w:val="21"/>
              </w:rPr>
              <w:t>50</w:t>
            </w:r>
            <w:r>
              <w:rPr>
                <w:sz w:val="21"/>
                <w:szCs w:val="21"/>
              </w:rPr>
              <w:t>kg/hm</w:t>
            </w:r>
            <w:r>
              <w:rPr>
                <w:sz w:val="21"/>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pacing w:val="-20"/>
                <w:sz w:val="21"/>
                <w:szCs w:val="21"/>
              </w:rPr>
              <w:t>环境简述</w:t>
            </w:r>
          </w:p>
        </w:tc>
        <w:tc>
          <w:tcPr>
            <w:tcW w:w="0" w:type="auto"/>
            <w:gridSpan w:val="4"/>
            <w:vAlign w:val="center"/>
          </w:tcPr>
          <w:p>
            <w:pPr>
              <w:spacing w:line="340" w:lineRule="exact"/>
              <w:ind w:firstLine="0" w:firstLineChars="0"/>
              <w:jc w:val="center"/>
              <w:rPr>
                <w:sz w:val="21"/>
                <w:szCs w:val="21"/>
              </w:rPr>
            </w:pPr>
            <w:r>
              <w:rPr>
                <w:sz w:val="21"/>
                <w:szCs w:val="21"/>
              </w:rPr>
              <w:t>河滩地上自然更新形成的灌草丛。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植被层</w:t>
            </w:r>
          </w:p>
        </w:tc>
        <w:tc>
          <w:tcPr>
            <w:tcW w:w="0" w:type="auto"/>
            <w:vAlign w:val="center"/>
          </w:tcPr>
          <w:p>
            <w:pPr>
              <w:spacing w:line="340" w:lineRule="exact"/>
              <w:ind w:firstLine="0" w:firstLineChars="0"/>
              <w:jc w:val="center"/>
              <w:rPr>
                <w:sz w:val="21"/>
                <w:szCs w:val="21"/>
              </w:rPr>
            </w:pPr>
          </w:p>
        </w:tc>
        <w:tc>
          <w:tcPr>
            <w:tcW w:w="0" w:type="auto"/>
            <w:gridSpan w:val="3"/>
            <w:vAlign w:val="center"/>
          </w:tcPr>
          <w:p>
            <w:pPr>
              <w:spacing w:line="340" w:lineRule="exact"/>
              <w:ind w:firstLine="0" w:firstLineChars="0"/>
              <w:jc w:val="center"/>
              <w:rPr>
                <w:b/>
                <w:sz w:val="21"/>
                <w:szCs w:val="21"/>
              </w:rPr>
            </w:pPr>
            <w:r>
              <w:rPr>
                <w:b/>
                <w:sz w:val="21"/>
                <w:szCs w:val="21"/>
              </w:rPr>
              <w:t>群系物种组成：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spacing w:line="340" w:lineRule="exact"/>
              <w:ind w:firstLine="0" w:firstLineChars="0"/>
              <w:jc w:val="center"/>
              <w:rPr>
                <w:b/>
                <w:sz w:val="21"/>
                <w:szCs w:val="21"/>
              </w:rPr>
            </w:pPr>
            <w:r>
              <w:rPr>
                <w:b/>
                <w:sz w:val="21"/>
                <w:szCs w:val="21"/>
              </w:rPr>
              <w:t>草本</w:t>
            </w:r>
          </w:p>
        </w:tc>
        <w:tc>
          <w:tcPr>
            <w:tcW w:w="0" w:type="auto"/>
            <w:vAlign w:val="center"/>
          </w:tcPr>
          <w:p>
            <w:pPr>
              <w:spacing w:line="340" w:lineRule="exact"/>
              <w:ind w:firstLine="0" w:firstLineChars="0"/>
              <w:jc w:val="center"/>
              <w:rPr>
                <w:sz w:val="21"/>
                <w:szCs w:val="21"/>
              </w:rPr>
            </w:pPr>
            <w:r>
              <w:rPr>
                <w:sz w:val="21"/>
                <w:szCs w:val="21"/>
              </w:rPr>
              <w:t>高</w:t>
            </w:r>
            <w:r>
              <w:rPr>
                <w:rFonts w:hint="eastAsia"/>
                <w:sz w:val="21"/>
                <w:szCs w:val="21"/>
              </w:rPr>
              <w:t>0</w:t>
            </w:r>
            <w:r>
              <w:rPr>
                <w:sz w:val="21"/>
                <w:szCs w:val="21"/>
              </w:rPr>
              <w:t>.</w:t>
            </w:r>
            <w:r>
              <w:rPr>
                <w:rFonts w:hint="eastAsia"/>
                <w:sz w:val="21"/>
                <w:szCs w:val="21"/>
              </w:rPr>
              <w:t>6</w:t>
            </w:r>
            <w:r>
              <w:rPr>
                <w:sz w:val="21"/>
                <w:szCs w:val="21"/>
              </w:rPr>
              <w:t>~1.5m，盖度</w:t>
            </w:r>
            <w:r>
              <w:rPr>
                <w:rFonts w:hint="eastAsia"/>
                <w:sz w:val="21"/>
                <w:szCs w:val="21"/>
              </w:rPr>
              <w:t>5</w:t>
            </w:r>
            <w:r>
              <w:rPr>
                <w:sz w:val="21"/>
                <w:szCs w:val="21"/>
              </w:rPr>
              <w:t>%</w:t>
            </w:r>
          </w:p>
        </w:tc>
        <w:tc>
          <w:tcPr>
            <w:tcW w:w="0" w:type="auto"/>
            <w:gridSpan w:val="3"/>
            <w:vAlign w:val="center"/>
          </w:tcPr>
          <w:p>
            <w:pPr>
              <w:spacing w:line="340" w:lineRule="exact"/>
              <w:ind w:firstLine="0" w:firstLineChars="0"/>
              <w:jc w:val="center"/>
              <w:rPr>
                <w:sz w:val="21"/>
                <w:szCs w:val="21"/>
              </w:rPr>
            </w:pPr>
            <w:r>
              <w:rPr>
                <w:rFonts w:hint="eastAsia" w:hAnsi="Calibri"/>
                <w:sz w:val="21"/>
                <w:szCs w:val="21"/>
              </w:rPr>
              <w:t>狗尾巴草</w:t>
            </w:r>
          </w:p>
        </w:tc>
      </w:tr>
    </w:tbl>
    <w:p>
      <w:pPr>
        <w:spacing w:before="120" w:beforeLines="50"/>
        <w:ind w:firstLine="482"/>
        <w:rPr>
          <w:b/>
          <w:szCs w:val="24"/>
        </w:rPr>
        <w:sectPr>
          <w:type w:val="continuous"/>
          <w:pgSz w:w="11906" w:h="16838"/>
          <w:pgMar w:top="1814" w:right="1134" w:bottom="1701" w:left="1418" w:header="1077" w:footer="992" w:gutter="0"/>
          <w:cols w:space="425" w:num="1"/>
          <w:docGrid w:linePitch="326" w:charSpace="0"/>
        </w:sectPr>
      </w:pPr>
    </w:p>
    <w:p>
      <w:pPr>
        <w:spacing w:before="120" w:beforeLines="50"/>
        <w:ind w:firstLine="482"/>
        <w:rPr>
          <w:spacing w:val="-2"/>
        </w:rPr>
      </w:pPr>
      <w:r>
        <w:rPr>
          <w:b/>
          <w:szCs w:val="24"/>
        </w:rPr>
        <w:t>农业植被：</w:t>
      </w:r>
      <w:r>
        <w:rPr>
          <w:szCs w:val="24"/>
        </w:rPr>
        <w:t>指在稻田、旱地人工种植水稻、油菜、红薯、豆类、蔬菜等。评价范围主要耕地植被是</w:t>
      </w:r>
      <w:r>
        <w:rPr>
          <w:rFonts w:hint="eastAsia"/>
          <w:szCs w:val="24"/>
        </w:rPr>
        <w:t>稻田，及</w:t>
      </w:r>
      <w:r>
        <w:rPr>
          <w:spacing w:val="-2"/>
        </w:rPr>
        <w:t>农田旱地面积小且分散，拟建项目不涉及区域内的基本农田。</w:t>
      </w:r>
    </w:p>
    <w:tbl>
      <w:tblPr>
        <w:tblStyle w:val="82"/>
        <w:tblW w:w="4926" w:type="pct"/>
        <w:tblInd w:w="0" w:type="dxa"/>
        <w:tblLayout w:type="autofit"/>
        <w:tblCellMar>
          <w:top w:w="0" w:type="dxa"/>
          <w:left w:w="108" w:type="dxa"/>
          <w:bottom w:w="0" w:type="dxa"/>
          <w:right w:w="108" w:type="dxa"/>
        </w:tblCellMar>
      </w:tblPr>
      <w:tblGrid>
        <w:gridCol w:w="4893"/>
        <w:gridCol w:w="4535"/>
      </w:tblGrid>
      <w:tr>
        <w:tblPrEx>
          <w:tblCellMar>
            <w:top w:w="0" w:type="dxa"/>
            <w:left w:w="108" w:type="dxa"/>
            <w:bottom w:w="0" w:type="dxa"/>
            <w:right w:w="108" w:type="dxa"/>
          </w:tblCellMar>
        </w:tblPrEx>
        <w:tc>
          <w:tcPr>
            <w:tcW w:w="2595" w:type="pct"/>
          </w:tcPr>
          <w:p>
            <w:pPr>
              <w:spacing w:before="120" w:beforeLines="50"/>
              <w:ind w:firstLine="0" w:firstLineChars="0"/>
              <w:rPr>
                <w:szCs w:val="24"/>
              </w:rPr>
            </w:pPr>
            <w:r>
              <w:rPr>
                <w:rFonts w:hint="eastAsia"/>
                <w:szCs w:val="24"/>
              </w:rPr>
              <w:drawing>
                <wp:inline distT="0" distB="0" distL="114300" distR="114300">
                  <wp:extent cx="2226945" cy="2840355"/>
                  <wp:effectExtent l="0" t="0" r="17145" b="1905"/>
                  <wp:docPr id="80" name="图片 52" descr="3eb78c8a50383abd307c15e18fdd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2" descr="3eb78c8a50383abd307c15e18fdd929"/>
                          <pic:cNvPicPr>
                            <a:picLocks noChangeAspect="1"/>
                          </pic:cNvPicPr>
                        </pic:nvPicPr>
                        <pic:blipFill>
                          <a:blip r:embed="rId69"/>
                          <a:srcRect l="19127" t="5594" b="17026"/>
                          <a:stretch>
                            <a:fillRect/>
                          </a:stretch>
                        </pic:blipFill>
                        <pic:spPr>
                          <a:xfrm rot="-5400000">
                            <a:off x="0" y="0"/>
                            <a:ext cx="2226945" cy="2840355"/>
                          </a:xfrm>
                          <a:prstGeom prst="rect">
                            <a:avLst/>
                          </a:prstGeom>
                          <a:noFill/>
                          <a:ln>
                            <a:noFill/>
                          </a:ln>
                        </pic:spPr>
                      </pic:pic>
                    </a:graphicData>
                  </a:graphic>
                </wp:inline>
              </w:drawing>
            </w:r>
          </w:p>
        </w:tc>
        <w:tc>
          <w:tcPr>
            <w:tcW w:w="2404" w:type="pct"/>
          </w:tcPr>
          <w:p>
            <w:pPr>
              <w:spacing w:before="120" w:beforeLines="50"/>
              <w:ind w:firstLine="0" w:firstLineChars="0"/>
              <w:rPr>
                <w:szCs w:val="24"/>
              </w:rPr>
            </w:pPr>
            <w:r>
              <w:rPr>
                <w:rFonts w:hint="eastAsia"/>
                <w:szCs w:val="24"/>
              </w:rPr>
              <w:drawing>
                <wp:inline distT="0" distB="0" distL="114300" distR="114300">
                  <wp:extent cx="2210435" cy="2527300"/>
                  <wp:effectExtent l="0" t="0" r="6350" b="18415"/>
                  <wp:docPr id="81" name="图片 53" descr="762987c193084c84d4c8ab41407e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3" descr="762987c193084c84d4c8ab41407e88a"/>
                          <pic:cNvPicPr>
                            <a:picLocks noChangeAspect="1"/>
                          </pic:cNvPicPr>
                        </pic:nvPicPr>
                        <pic:blipFill>
                          <a:blip r:embed="rId70"/>
                          <a:srcRect l="11363" t="23979"/>
                          <a:stretch>
                            <a:fillRect/>
                          </a:stretch>
                        </pic:blipFill>
                        <pic:spPr>
                          <a:xfrm rot="-5400000">
                            <a:off x="0" y="0"/>
                            <a:ext cx="2210435" cy="252730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5000" w:type="pct"/>
            <w:gridSpan w:val="2"/>
          </w:tcPr>
          <w:p>
            <w:pPr>
              <w:spacing w:before="120" w:beforeLines="50"/>
              <w:ind w:firstLine="0" w:firstLineChars="0"/>
              <w:jc w:val="center"/>
              <w:rPr>
                <w:rFonts w:eastAsia="黑体"/>
                <w:szCs w:val="24"/>
              </w:rPr>
            </w:pPr>
            <w:r>
              <w:rPr>
                <w:rFonts w:eastAsia="黑体"/>
                <w:spacing w:val="-20"/>
              </w:rPr>
              <w:t>图4</w:t>
            </w:r>
            <w:r>
              <w:rPr>
                <w:rFonts w:hint="eastAsia" w:eastAsia="黑体"/>
                <w:spacing w:val="-20"/>
              </w:rPr>
              <w:t>.5</w:t>
            </w:r>
            <w:r>
              <w:rPr>
                <w:rFonts w:eastAsia="黑体"/>
                <w:spacing w:val="-20"/>
              </w:rPr>
              <w:t>-</w:t>
            </w:r>
            <w:r>
              <w:rPr>
                <w:rFonts w:hint="eastAsia" w:eastAsia="黑体"/>
                <w:spacing w:val="-20"/>
              </w:rPr>
              <w:t xml:space="preserve">11 </w:t>
            </w:r>
            <w:r>
              <w:rPr>
                <w:rFonts w:eastAsia="黑体"/>
                <w:spacing w:val="-20"/>
              </w:rPr>
              <w:t xml:space="preserve"> </w:t>
            </w:r>
            <w:r>
              <w:rPr>
                <w:rFonts w:hint="eastAsia" w:eastAsia="黑体"/>
                <w:spacing w:val="-20"/>
              </w:rPr>
              <w:t>工程附近的农田和菜地</w:t>
            </w:r>
          </w:p>
        </w:tc>
      </w:tr>
    </w:tbl>
    <w:p>
      <w:pPr>
        <w:ind w:firstLine="480"/>
        <w:rPr>
          <w:bCs/>
        </w:rPr>
      </w:pPr>
      <w:r>
        <w:rPr>
          <w:szCs w:val="24"/>
        </w:rPr>
        <w:t xml:space="preserve"> (</w:t>
      </w:r>
      <w:r>
        <w:rPr>
          <w:rFonts w:hint="eastAsia"/>
          <w:szCs w:val="24"/>
        </w:rPr>
        <w:t>4</w:t>
      </w:r>
      <w:r>
        <w:rPr>
          <w:szCs w:val="24"/>
        </w:rPr>
        <w:t>)</w:t>
      </w:r>
      <w:r>
        <w:rPr>
          <w:bCs/>
        </w:rPr>
        <w:t>拟建工程生态公益林现状</w:t>
      </w:r>
    </w:p>
    <w:p>
      <w:pPr>
        <w:autoSpaceDE w:val="0"/>
        <w:autoSpaceDN w:val="0"/>
        <w:adjustRightInd w:val="0"/>
        <w:ind w:firstLine="480"/>
        <w:rPr>
          <w:kern w:val="0"/>
          <w:szCs w:val="24"/>
        </w:rPr>
      </w:pPr>
      <w:r>
        <w:rPr>
          <w:kern w:val="0"/>
          <w:szCs w:val="24"/>
        </w:rPr>
        <w:t>生态公益林是指生态区位重要、生态状况脆弱，对国土生态安全、生物多样性保护和经济社会可持续发展具有重要作用，以提供公益性、社会性产品或者服务为主要利用目的，并按照国家有关规定和标准划定的防护林和特种用途林。</w:t>
      </w:r>
    </w:p>
    <w:p>
      <w:pPr>
        <w:autoSpaceDE w:val="0"/>
        <w:autoSpaceDN w:val="0"/>
        <w:adjustRightInd w:val="0"/>
        <w:ind w:firstLine="480"/>
        <w:rPr>
          <w:szCs w:val="24"/>
        </w:rPr>
      </w:pPr>
      <w:r>
        <w:rPr>
          <w:szCs w:val="24"/>
        </w:rPr>
        <w:t>经向沿线</w:t>
      </w:r>
      <w:r>
        <w:rPr>
          <w:rFonts w:hint="eastAsia"/>
          <w:szCs w:val="24"/>
        </w:rPr>
        <w:t>上高</w:t>
      </w:r>
      <w:r>
        <w:rPr>
          <w:szCs w:val="24"/>
        </w:rPr>
        <w:t>县林业局咨询并收集有关资料，拟建工程</w:t>
      </w:r>
      <w:r>
        <w:rPr>
          <w:rFonts w:hint="eastAsia"/>
          <w:szCs w:val="24"/>
        </w:rPr>
        <w:t>不</w:t>
      </w:r>
      <w:r>
        <w:rPr>
          <w:szCs w:val="24"/>
        </w:rPr>
        <w:t>涉及生态公益林。</w:t>
      </w:r>
    </w:p>
    <w:p>
      <w:pPr>
        <w:autoSpaceDE w:val="0"/>
        <w:autoSpaceDN w:val="0"/>
        <w:adjustRightInd w:val="0"/>
        <w:ind w:firstLine="480"/>
        <w:rPr>
          <w:color w:val="0000FF"/>
          <w:szCs w:val="24"/>
        </w:rPr>
      </w:pPr>
      <w:r>
        <w:rPr>
          <w:rFonts w:hint="eastAsia"/>
          <w:color w:val="0000FF"/>
          <w:szCs w:val="24"/>
        </w:rPr>
        <w:t>（5）评价区生物量现状</w:t>
      </w:r>
    </w:p>
    <w:p>
      <w:pPr>
        <w:autoSpaceDE w:val="0"/>
        <w:autoSpaceDN w:val="0"/>
        <w:adjustRightInd w:val="0"/>
        <w:ind w:firstLine="472"/>
        <w:rPr>
          <w:color w:val="0000FF"/>
          <w:spacing w:val="-2"/>
          <w:szCs w:val="24"/>
        </w:rPr>
      </w:pPr>
      <w:r>
        <w:rPr>
          <w:rFonts w:hint="eastAsia"/>
          <w:color w:val="0000FF"/>
          <w:spacing w:val="-2"/>
          <w:szCs w:val="24"/>
        </w:rPr>
        <w:t>根据评价区各类植被的现状调查数据，以马尾松林、杉木林、毛竹林、芒萁灌丛、农作物等的生物量及耕地的近年平均粮食产量等参数来推算其实际生物量。评价区自然体系生物量现状见表4.2-</w:t>
      </w:r>
      <w:r>
        <w:rPr>
          <w:color w:val="0000FF"/>
          <w:spacing w:val="-2"/>
          <w:szCs w:val="24"/>
        </w:rPr>
        <w:t>21</w:t>
      </w:r>
      <w:r>
        <w:rPr>
          <w:rFonts w:hint="eastAsia"/>
          <w:color w:val="0000FF"/>
          <w:spacing w:val="-2"/>
          <w:szCs w:val="24"/>
        </w:rPr>
        <w:t>。</w:t>
      </w:r>
    </w:p>
    <w:p>
      <w:pPr>
        <w:spacing w:before="120" w:beforeLines="50" w:line="240" w:lineRule="auto"/>
        <w:ind w:firstLine="480"/>
        <w:jc w:val="center"/>
        <w:rPr>
          <w:rFonts w:ascii="黑体" w:hAnsi="黑体" w:eastAsia="黑体" w:cs="黑体"/>
          <w:color w:val="0000FF"/>
        </w:rPr>
      </w:pPr>
      <w:r>
        <w:rPr>
          <w:rFonts w:hint="eastAsia" w:ascii="黑体" w:hAnsi="黑体" w:eastAsia="黑体" w:cs="黑体"/>
          <w:color w:val="0000FF"/>
        </w:rPr>
        <w:t>表4.5-</w:t>
      </w:r>
      <w:r>
        <w:rPr>
          <w:rFonts w:ascii="黑体" w:hAnsi="黑体" w:eastAsia="黑体" w:cs="黑体"/>
          <w:color w:val="0000FF"/>
        </w:rPr>
        <w:t>21</w:t>
      </w:r>
      <w:r>
        <w:rPr>
          <w:rFonts w:hint="eastAsia" w:ascii="黑体" w:hAnsi="黑体" w:eastAsia="黑体" w:cs="黑体"/>
          <w:color w:val="0000FF"/>
        </w:rPr>
        <w:t>　评价区各生态类型的生物量</w:t>
      </w:r>
    </w:p>
    <w:tbl>
      <w:tblPr>
        <w:tblStyle w:val="82"/>
        <w:tblW w:w="0" w:type="auto"/>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424"/>
        <w:gridCol w:w="1195"/>
        <w:gridCol w:w="1357"/>
        <w:gridCol w:w="1523"/>
        <w:gridCol w:w="1400"/>
        <w:gridCol w:w="1531"/>
      </w:tblGrid>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69" w:hRule="atLeast"/>
          <w:jc w:val="center"/>
        </w:trPr>
        <w:tc>
          <w:tcPr>
            <w:tcW w:w="1424" w:type="dxa"/>
            <w:vAlign w:val="center"/>
          </w:tcPr>
          <w:p>
            <w:pPr>
              <w:kinsoku w:val="0"/>
              <w:overflowPunct w:val="0"/>
              <w:autoSpaceDE w:val="0"/>
              <w:autoSpaceDN w:val="0"/>
              <w:adjustRightInd w:val="0"/>
              <w:spacing w:line="240" w:lineRule="auto"/>
              <w:ind w:left="155" w:right="137"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生态类型</w:t>
            </w:r>
          </w:p>
        </w:tc>
        <w:tc>
          <w:tcPr>
            <w:tcW w:w="1195" w:type="dxa"/>
            <w:vAlign w:val="center"/>
          </w:tcPr>
          <w:p>
            <w:pPr>
              <w:kinsoku w:val="0"/>
              <w:overflowPunct w:val="0"/>
              <w:autoSpaceDE w:val="0"/>
              <w:autoSpaceDN w:val="0"/>
              <w:adjustRightInd w:val="0"/>
              <w:spacing w:before="71" w:line="240" w:lineRule="auto"/>
              <w:ind w:left="136" w:right="118" w:firstLine="0" w:firstLineChars="0"/>
              <w:jc w:val="center"/>
              <w:rPr>
                <w:rFonts w:ascii="宋体" w:cs="宋体"/>
                <w:color w:val="0000FF"/>
                <w:spacing w:val="-6"/>
                <w:kern w:val="0"/>
                <w:sz w:val="21"/>
                <w:szCs w:val="21"/>
              </w:rPr>
            </w:pPr>
            <w:r>
              <w:rPr>
                <w:rFonts w:hint="eastAsia" w:ascii="宋体" w:cs="宋体"/>
                <w:color w:val="0000FF"/>
                <w:spacing w:val="-6"/>
                <w:kern w:val="0"/>
                <w:sz w:val="21"/>
                <w:szCs w:val="21"/>
              </w:rPr>
              <w:t>面积</w:t>
            </w:r>
          </w:p>
          <w:p>
            <w:pPr>
              <w:kinsoku w:val="0"/>
              <w:overflowPunct w:val="0"/>
              <w:autoSpaceDE w:val="0"/>
              <w:autoSpaceDN w:val="0"/>
              <w:adjustRightInd w:val="0"/>
              <w:spacing w:before="2" w:line="240" w:lineRule="auto"/>
              <w:ind w:left="136" w:right="123" w:firstLine="0" w:firstLineChars="0"/>
              <w:jc w:val="center"/>
              <w:rPr>
                <w:rFonts w:ascii="宋体" w:cs="宋体"/>
                <w:color w:val="0000FF"/>
                <w:spacing w:val="-2"/>
                <w:kern w:val="0"/>
                <w:sz w:val="21"/>
                <w:szCs w:val="21"/>
              </w:rPr>
            </w:pPr>
            <w:r>
              <w:rPr>
                <w:rFonts w:hint="eastAsia" w:ascii="宋体" w:cs="宋体"/>
                <w:color w:val="0000FF"/>
                <w:spacing w:val="-2"/>
                <w:kern w:val="0"/>
                <w:sz w:val="21"/>
                <w:szCs w:val="21"/>
              </w:rPr>
              <w:t>（</w:t>
            </w:r>
            <w:r>
              <w:rPr>
                <w:color w:val="0000FF"/>
                <w:spacing w:val="-2"/>
                <w:kern w:val="0"/>
                <w:sz w:val="21"/>
                <w:szCs w:val="21"/>
              </w:rPr>
              <w:t>hm</w:t>
            </w:r>
            <w:r>
              <w:rPr>
                <w:color w:val="0000FF"/>
                <w:spacing w:val="-2"/>
                <w:kern w:val="0"/>
                <w:position w:val="7"/>
                <w:sz w:val="14"/>
                <w:szCs w:val="14"/>
              </w:rPr>
              <w:t>2</w:t>
            </w:r>
            <w:r>
              <w:rPr>
                <w:rFonts w:hint="eastAsia" w:ascii="宋体" w:cs="宋体"/>
                <w:color w:val="0000FF"/>
                <w:spacing w:val="-2"/>
                <w:kern w:val="0"/>
                <w:sz w:val="21"/>
                <w:szCs w:val="21"/>
              </w:rPr>
              <w:t>）</w:t>
            </w:r>
          </w:p>
        </w:tc>
        <w:tc>
          <w:tcPr>
            <w:tcW w:w="1357" w:type="dxa"/>
            <w:vAlign w:val="center"/>
          </w:tcPr>
          <w:p>
            <w:pPr>
              <w:kinsoku w:val="0"/>
              <w:overflowPunct w:val="0"/>
              <w:autoSpaceDE w:val="0"/>
              <w:autoSpaceDN w:val="0"/>
              <w:adjustRightInd w:val="0"/>
              <w:spacing w:before="71" w:line="240" w:lineRule="auto"/>
              <w:ind w:left="171" w:right="157"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占总面积</w:t>
            </w:r>
          </w:p>
          <w:p>
            <w:pPr>
              <w:kinsoku w:val="0"/>
              <w:overflowPunct w:val="0"/>
              <w:autoSpaceDE w:val="0"/>
              <w:autoSpaceDN w:val="0"/>
              <w:adjustRightInd w:val="0"/>
              <w:spacing w:before="2" w:line="240" w:lineRule="auto"/>
              <w:ind w:left="171" w:right="157"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w:t>
            </w:r>
            <w:r>
              <w:rPr>
                <w:color w:val="0000FF"/>
                <w:spacing w:val="-4"/>
                <w:kern w:val="0"/>
                <w:sz w:val="21"/>
                <w:szCs w:val="21"/>
              </w:rPr>
              <w:t>%</w:t>
            </w:r>
            <w:r>
              <w:rPr>
                <w:rFonts w:hint="eastAsia" w:ascii="宋体" w:cs="宋体"/>
                <w:color w:val="0000FF"/>
                <w:spacing w:val="-4"/>
                <w:kern w:val="0"/>
                <w:sz w:val="21"/>
                <w:szCs w:val="21"/>
              </w:rPr>
              <w:t>）</w:t>
            </w:r>
          </w:p>
        </w:tc>
        <w:tc>
          <w:tcPr>
            <w:tcW w:w="1523" w:type="dxa"/>
            <w:vAlign w:val="center"/>
          </w:tcPr>
          <w:p>
            <w:pPr>
              <w:kinsoku w:val="0"/>
              <w:overflowPunct w:val="0"/>
              <w:autoSpaceDE w:val="0"/>
              <w:autoSpaceDN w:val="0"/>
              <w:adjustRightInd w:val="0"/>
              <w:spacing w:before="71" w:line="240" w:lineRule="auto"/>
              <w:ind w:left="150" w:firstLine="0" w:firstLineChars="0"/>
              <w:jc w:val="left"/>
              <w:rPr>
                <w:rFonts w:ascii="宋体" w:cs="宋体"/>
                <w:color w:val="0000FF"/>
                <w:spacing w:val="-2"/>
                <w:kern w:val="0"/>
                <w:sz w:val="21"/>
                <w:szCs w:val="21"/>
              </w:rPr>
            </w:pPr>
            <w:r>
              <w:rPr>
                <w:rFonts w:hint="eastAsia" w:ascii="宋体" w:cs="宋体"/>
                <w:color w:val="0000FF"/>
                <w:spacing w:val="-2"/>
                <w:kern w:val="0"/>
                <w:sz w:val="21"/>
                <w:szCs w:val="21"/>
              </w:rPr>
              <w:t>平均生物量</w:t>
            </w:r>
          </w:p>
          <w:p>
            <w:pPr>
              <w:kinsoku w:val="0"/>
              <w:overflowPunct w:val="0"/>
              <w:autoSpaceDE w:val="0"/>
              <w:autoSpaceDN w:val="0"/>
              <w:adjustRightInd w:val="0"/>
              <w:spacing w:before="2" w:line="240" w:lineRule="auto"/>
              <w:ind w:left="239" w:firstLine="0" w:firstLineChars="0"/>
              <w:jc w:val="left"/>
              <w:rPr>
                <w:rFonts w:ascii="宋体" w:cs="宋体"/>
                <w:color w:val="0000FF"/>
                <w:spacing w:val="-2"/>
                <w:kern w:val="0"/>
                <w:sz w:val="21"/>
                <w:szCs w:val="21"/>
              </w:rPr>
            </w:pPr>
            <w:r>
              <w:rPr>
                <w:rFonts w:hint="eastAsia" w:ascii="宋体" w:cs="宋体"/>
                <w:color w:val="0000FF"/>
                <w:spacing w:val="-2"/>
                <w:kern w:val="0"/>
                <w:sz w:val="21"/>
                <w:szCs w:val="21"/>
              </w:rPr>
              <w:t>（</w:t>
            </w:r>
            <w:r>
              <w:rPr>
                <w:color w:val="0000FF"/>
                <w:spacing w:val="-2"/>
                <w:kern w:val="0"/>
                <w:sz w:val="21"/>
                <w:szCs w:val="21"/>
              </w:rPr>
              <w:t>t/hm</w:t>
            </w:r>
            <w:r>
              <w:rPr>
                <w:color w:val="0000FF"/>
                <w:spacing w:val="-2"/>
                <w:kern w:val="0"/>
                <w:position w:val="7"/>
                <w:sz w:val="14"/>
                <w:szCs w:val="14"/>
              </w:rPr>
              <w:t>2</w:t>
            </w:r>
            <w:r>
              <w:rPr>
                <w:rFonts w:hint="eastAsia" w:ascii="宋体" w:cs="宋体"/>
                <w:color w:val="0000FF"/>
                <w:spacing w:val="-2"/>
                <w:kern w:val="0"/>
                <w:sz w:val="21"/>
                <w:szCs w:val="21"/>
              </w:rPr>
              <w:t>）</w:t>
            </w:r>
          </w:p>
        </w:tc>
        <w:tc>
          <w:tcPr>
            <w:tcW w:w="1400" w:type="dxa"/>
            <w:vAlign w:val="center"/>
          </w:tcPr>
          <w:p>
            <w:pPr>
              <w:kinsoku w:val="0"/>
              <w:overflowPunct w:val="0"/>
              <w:autoSpaceDE w:val="0"/>
              <w:autoSpaceDN w:val="0"/>
              <w:adjustRightInd w:val="0"/>
              <w:spacing w:line="240" w:lineRule="auto"/>
              <w:ind w:left="54" w:right="40" w:firstLine="0" w:firstLineChars="0"/>
              <w:jc w:val="center"/>
              <w:rPr>
                <w:rFonts w:ascii="宋体" w:cs="宋体"/>
                <w:color w:val="0000FF"/>
                <w:spacing w:val="-2"/>
                <w:kern w:val="0"/>
                <w:sz w:val="21"/>
                <w:szCs w:val="21"/>
              </w:rPr>
            </w:pPr>
            <w:r>
              <w:rPr>
                <w:rFonts w:hint="eastAsia" w:ascii="宋体" w:cs="宋体"/>
                <w:color w:val="0000FF"/>
                <w:spacing w:val="-2"/>
                <w:kern w:val="0"/>
                <w:sz w:val="21"/>
                <w:szCs w:val="21"/>
              </w:rPr>
              <w:t>生物量（</w:t>
            </w:r>
            <w:r>
              <w:rPr>
                <w:color w:val="0000FF"/>
                <w:spacing w:val="-2"/>
                <w:kern w:val="0"/>
                <w:sz w:val="21"/>
                <w:szCs w:val="21"/>
              </w:rPr>
              <w:t>t</w:t>
            </w:r>
            <w:r>
              <w:rPr>
                <w:rFonts w:hint="eastAsia" w:ascii="宋体" w:cs="宋体"/>
                <w:color w:val="0000FF"/>
                <w:spacing w:val="-2"/>
                <w:kern w:val="0"/>
                <w:sz w:val="21"/>
                <w:szCs w:val="21"/>
              </w:rPr>
              <w:t>）</w:t>
            </w:r>
          </w:p>
        </w:tc>
        <w:tc>
          <w:tcPr>
            <w:tcW w:w="1531" w:type="dxa"/>
            <w:vAlign w:val="center"/>
          </w:tcPr>
          <w:p>
            <w:pPr>
              <w:kinsoku w:val="0"/>
              <w:overflowPunct w:val="0"/>
              <w:autoSpaceDE w:val="0"/>
              <w:autoSpaceDN w:val="0"/>
              <w:adjustRightInd w:val="0"/>
              <w:spacing w:before="71" w:line="240" w:lineRule="auto"/>
              <w:ind w:left="141" w:right="124" w:firstLine="0" w:firstLineChars="0"/>
              <w:jc w:val="center"/>
              <w:rPr>
                <w:rFonts w:ascii="宋体" w:cs="宋体"/>
                <w:color w:val="0000FF"/>
                <w:spacing w:val="-2"/>
                <w:kern w:val="0"/>
                <w:sz w:val="21"/>
                <w:szCs w:val="21"/>
              </w:rPr>
            </w:pPr>
            <w:r>
              <w:rPr>
                <w:rFonts w:hint="eastAsia" w:ascii="宋体" w:cs="宋体"/>
                <w:color w:val="0000FF"/>
                <w:spacing w:val="-2"/>
                <w:kern w:val="0"/>
                <w:sz w:val="21"/>
                <w:szCs w:val="21"/>
              </w:rPr>
              <w:t>占总生物量</w:t>
            </w:r>
          </w:p>
          <w:p>
            <w:pPr>
              <w:kinsoku w:val="0"/>
              <w:overflowPunct w:val="0"/>
              <w:autoSpaceDE w:val="0"/>
              <w:autoSpaceDN w:val="0"/>
              <w:adjustRightInd w:val="0"/>
              <w:spacing w:before="2" w:line="240" w:lineRule="auto"/>
              <w:ind w:left="141" w:right="124"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w:t>
            </w:r>
            <w:r>
              <w:rPr>
                <w:color w:val="0000FF"/>
                <w:spacing w:val="-4"/>
                <w:kern w:val="0"/>
                <w:sz w:val="21"/>
                <w:szCs w:val="21"/>
              </w:rPr>
              <w:t>%</w:t>
            </w:r>
            <w:r>
              <w:rPr>
                <w:rFonts w:hint="eastAsia" w:ascii="宋体" w:cs="宋体"/>
                <w:color w:val="0000FF"/>
                <w:spacing w:val="-4"/>
                <w:kern w:val="0"/>
                <w:sz w:val="21"/>
                <w:szCs w:val="21"/>
              </w:rPr>
              <w:t>）</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7" w:hRule="atLeast"/>
          <w:jc w:val="center"/>
        </w:trPr>
        <w:tc>
          <w:tcPr>
            <w:tcW w:w="1424" w:type="dxa"/>
            <w:vAlign w:val="center"/>
          </w:tcPr>
          <w:p>
            <w:pPr>
              <w:kinsoku w:val="0"/>
              <w:overflowPunct w:val="0"/>
              <w:autoSpaceDE w:val="0"/>
              <w:autoSpaceDN w:val="0"/>
              <w:adjustRightInd w:val="0"/>
              <w:spacing w:before="99" w:line="240" w:lineRule="auto"/>
              <w:ind w:left="155" w:right="134"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针叶林</w:t>
            </w:r>
          </w:p>
        </w:tc>
        <w:tc>
          <w:tcPr>
            <w:tcW w:w="1195"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right="172" w:firstLine="0" w:firstLineChars="0"/>
              <w:jc w:val="right"/>
              <w:rPr>
                <w:color w:val="0000FF"/>
                <w:spacing w:val="-2"/>
                <w:kern w:val="0"/>
                <w:sz w:val="21"/>
                <w:szCs w:val="21"/>
                <w:highlight w:val="yellow"/>
              </w:rPr>
            </w:pPr>
            <w:r>
              <w:rPr>
                <w:rFonts w:eastAsia="等线"/>
                <w:color w:val="0000FF"/>
                <w:sz w:val="21"/>
                <w:szCs w:val="21"/>
              </w:rPr>
              <w:t xml:space="preserve">188.26 </w:t>
            </w:r>
          </w:p>
        </w:tc>
        <w:tc>
          <w:tcPr>
            <w:tcW w:w="1357"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168" w:right="157" w:firstLine="0" w:firstLineChars="0"/>
              <w:jc w:val="center"/>
              <w:rPr>
                <w:color w:val="0000FF"/>
                <w:spacing w:val="-2"/>
                <w:kern w:val="0"/>
                <w:sz w:val="21"/>
                <w:szCs w:val="21"/>
                <w:highlight w:val="yellow"/>
              </w:rPr>
            </w:pPr>
            <w:r>
              <w:rPr>
                <w:rFonts w:eastAsia="等线"/>
                <w:color w:val="0000FF"/>
                <w:sz w:val="21"/>
                <w:szCs w:val="21"/>
              </w:rPr>
              <w:t xml:space="preserve">27.47 </w:t>
            </w:r>
          </w:p>
        </w:tc>
        <w:tc>
          <w:tcPr>
            <w:tcW w:w="1523" w:type="dxa"/>
            <w:vAlign w:val="center"/>
          </w:tcPr>
          <w:p>
            <w:pPr>
              <w:kinsoku w:val="0"/>
              <w:overflowPunct w:val="0"/>
              <w:autoSpaceDE w:val="0"/>
              <w:autoSpaceDN w:val="0"/>
              <w:adjustRightInd w:val="0"/>
              <w:spacing w:before="108" w:line="240" w:lineRule="auto"/>
              <w:ind w:left="375" w:right="359" w:firstLine="0" w:firstLineChars="0"/>
              <w:jc w:val="center"/>
              <w:rPr>
                <w:color w:val="0000FF"/>
                <w:spacing w:val="-2"/>
                <w:kern w:val="0"/>
                <w:sz w:val="21"/>
                <w:szCs w:val="21"/>
              </w:rPr>
            </w:pPr>
            <w:r>
              <w:rPr>
                <w:color w:val="0000FF"/>
                <w:spacing w:val="-2"/>
                <w:kern w:val="0"/>
                <w:sz w:val="21"/>
                <w:szCs w:val="21"/>
              </w:rPr>
              <w:t>81.01</w:t>
            </w:r>
          </w:p>
        </w:tc>
        <w:tc>
          <w:tcPr>
            <w:tcW w:w="1400"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53" w:right="40" w:firstLine="0" w:firstLineChars="0"/>
              <w:jc w:val="center"/>
              <w:rPr>
                <w:color w:val="0000FF"/>
                <w:spacing w:val="-2"/>
                <w:kern w:val="0"/>
                <w:sz w:val="21"/>
                <w:szCs w:val="21"/>
              </w:rPr>
            </w:pPr>
            <w:r>
              <w:rPr>
                <w:rFonts w:eastAsia="等线"/>
                <w:color w:val="0000FF"/>
                <w:sz w:val="21"/>
                <w:szCs w:val="21"/>
              </w:rPr>
              <w:t xml:space="preserve">15250.55 </w:t>
            </w:r>
          </w:p>
        </w:tc>
        <w:tc>
          <w:tcPr>
            <w:tcW w:w="1531" w:type="dxa"/>
            <w:tcBorders>
              <w:top w:val="nil"/>
              <w:left w:val="nil"/>
              <w:bottom w:val="single" w:color="000000" w:sz="8" w:space="0"/>
              <w:right w:val="nil"/>
            </w:tcBorders>
            <w:shd w:val="clear" w:color="auto" w:fill="auto"/>
            <w:vAlign w:val="center"/>
          </w:tcPr>
          <w:p>
            <w:pPr>
              <w:kinsoku w:val="0"/>
              <w:overflowPunct w:val="0"/>
              <w:autoSpaceDE w:val="0"/>
              <w:autoSpaceDN w:val="0"/>
              <w:adjustRightInd w:val="0"/>
              <w:spacing w:before="108" w:line="240" w:lineRule="auto"/>
              <w:ind w:left="141" w:right="122" w:firstLine="0" w:firstLineChars="0"/>
              <w:jc w:val="center"/>
              <w:rPr>
                <w:color w:val="0000FF"/>
                <w:spacing w:val="-2"/>
                <w:kern w:val="0"/>
                <w:sz w:val="21"/>
                <w:szCs w:val="21"/>
              </w:rPr>
            </w:pPr>
            <w:r>
              <w:rPr>
                <w:rFonts w:eastAsia="等线"/>
                <w:color w:val="0000FF"/>
                <w:sz w:val="21"/>
                <w:szCs w:val="21"/>
              </w:rPr>
              <w:t xml:space="preserve">71.59 </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7" w:hRule="atLeast"/>
          <w:jc w:val="center"/>
        </w:trPr>
        <w:tc>
          <w:tcPr>
            <w:tcW w:w="1424" w:type="dxa"/>
            <w:vAlign w:val="center"/>
          </w:tcPr>
          <w:p>
            <w:pPr>
              <w:kinsoku w:val="0"/>
              <w:overflowPunct w:val="0"/>
              <w:autoSpaceDE w:val="0"/>
              <w:autoSpaceDN w:val="0"/>
              <w:adjustRightInd w:val="0"/>
              <w:spacing w:before="99" w:line="240" w:lineRule="auto"/>
              <w:ind w:left="155" w:right="134"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阔叶林</w:t>
            </w:r>
          </w:p>
        </w:tc>
        <w:tc>
          <w:tcPr>
            <w:tcW w:w="1195"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right="222" w:firstLine="0" w:firstLineChars="0"/>
              <w:jc w:val="right"/>
              <w:rPr>
                <w:color w:val="0000FF"/>
                <w:spacing w:val="-2"/>
                <w:kern w:val="0"/>
                <w:sz w:val="21"/>
                <w:szCs w:val="21"/>
                <w:highlight w:val="yellow"/>
              </w:rPr>
            </w:pPr>
            <w:r>
              <w:rPr>
                <w:rFonts w:eastAsia="等线"/>
                <w:color w:val="0000FF"/>
                <w:sz w:val="21"/>
                <w:szCs w:val="21"/>
              </w:rPr>
              <w:t xml:space="preserve">64.28 </w:t>
            </w:r>
          </w:p>
        </w:tc>
        <w:tc>
          <w:tcPr>
            <w:tcW w:w="1357"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168" w:right="157" w:firstLine="0" w:firstLineChars="0"/>
              <w:jc w:val="center"/>
              <w:rPr>
                <w:color w:val="0000FF"/>
                <w:spacing w:val="-2"/>
                <w:kern w:val="0"/>
                <w:sz w:val="21"/>
                <w:szCs w:val="21"/>
                <w:highlight w:val="yellow"/>
              </w:rPr>
            </w:pPr>
            <w:r>
              <w:rPr>
                <w:rFonts w:eastAsia="等线"/>
                <w:color w:val="0000FF"/>
                <w:sz w:val="21"/>
                <w:szCs w:val="21"/>
              </w:rPr>
              <w:t xml:space="preserve">9.38 </w:t>
            </w:r>
          </w:p>
        </w:tc>
        <w:tc>
          <w:tcPr>
            <w:tcW w:w="1523" w:type="dxa"/>
            <w:vAlign w:val="center"/>
          </w:tcPr>
          <w:p>
            <w:pPr>
              <w:kinsoku w:val="0"/>
              <w:overflowPunct w:val="0"/>
              <w:autoSpaceDE w:val="0"/>
              <w:autoSpaceDN w:val="0"/>
              <w:adjustRightInd w:val="0"/>
              <w:spacing w:before="108" w:line="240" w:lineRule="auto"/>
              <w:ind w:left="375" w:right="359" w:firstLine="0" w:firstLineChars="0"/>
              <w:jc w:val="center"/>
              <w:rPr>
                <w:color w:val="0000FF"/>
                <w:spacing w:val="-2"/>
                <w:kern w:val="0"/>
                <w:sz w:val="21"/>
                <w:szCs w:val="21"/>
              </w:rPr>
            </w:pPr>
            <w:r>
              <w:rPr>
                <w:color w:val="0000FF"/>
                <w:spacing w:val="-2"/>
                <w:kern w:val="0"/>
                <w:sz w:val="21"/>
                <w:szCs w:val="21"/>
              </w:rPr>
              <w:t>70.23</w:t>
            </w:r>
          </w:p>
        </w:tc>
        <w:tc>
          <w:tcPr>
            <w:tcW w:w="1400"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53" w:right="40" w:firstLine="0" w:firstLineChars="0"/>
              <w:jc w:val="center"/>
              <w:rPr>
                <w:color w:val="0000FF"/>
                <w:spacing w:val="-2"/>
                <w:kern w:val="0"/>
                <w:sz w:val="21"/>
                <w:szCs w:val="21"/>
              </w:rPr>
            </w:pPr>
            <w:r>
              <w:rPr>
                <w:rFonts w:eastAsia="等线"/>
                <w:color w:val="0000FF"/>
                <w:sz w:val="21"/>
                <w:szCs w:val="21"/>
              </w:rPr>
              <w:t xml:space="preserve">4514.33 </w:t>
            </w:r>
          </w:p>
        </w:tc>
        <w:tc>
          <w:tcPr>
            <w:tcW w:w="1531" w:type="dxa"/>
            <w:tcBorders>
              <w:top w:val="nil"/>
              <w:left w:val="nil"/>
              <w:bottom w:val="single" w:color="000000" w:sz="8" w:space="0"/>
              <w:right w:val="nil"/>
            </w:tcBorders>
            <w:shd w:val="clear" w:color="auto" w:fill="auto"/>
            <w:vAlign w:val="center"/>
          </w:tcPr>
          <w:p>
            <w:pPr>
              <w:kinsoku w:val="0"/>
              <w:overflowPunct w:val="0"/>
              <w:autoSpaceDE w:val="0"/>
              <w:autoSpaceDN w:val="0"/>
              <w:adjustRightInd w:val="0"/>
              <w:spacing w:before="108" w:line="240" w:lineRule="auto"/>
              <w:ind w:left="141" w:right="122" w:firstLine="0" w:firstLineChars="0"/>
              <w:jc w:val="center"/>
              <w:rPr>
                <w:color w:val="0000FF"/>
                <w:spacing w:val="-2"/>
                <w:kern w:val="0"/>
                <w:sz w:val="21"/>
                <w:szCs w:val="21"/>
              </w:rPr>
            </w:pPr>
            <w:r>
              <w:rPr>
                <w:rFonts w:eastAsia="等线"/>
                <w:color w:val="0000FF"/>
                <w:sz w:val="21"/>
                <w:szCs w:val="21"/>
              </w:rPr>
              <w:t xml:space="preserve">21.19 </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95" w:hRule="atLeast"/>
          <w:jc w:val="center"/>
        </w:trPr>
        <w:tc>
          <w:tcPr>
            <w:tcW w:w="1424" w:type="dxa"/>
            <w:vAlign w:val="center"/>
          </w:tcPr>
          <w:p>
            <w:pPr>
              <w:kinsoku w:val="0"/>
              <w:overflowPunct w:val="0"/>
              <w:autoSpaceDE w:val="0"/>
              <w:autoSpaceDN w:val="0"/>
              <w:adjustRightInd w:val="0"/>
              <w:spacing w:before="101" w:line="244" w:lineRule="auto"/>
              <w:ind w:left="270" w:right="247" w:firstLine="0" w:firstLineChars="0"/>
              <w:jc w:val="left"/>
              <w:rPr>
                <w:rFonts w:ascii="宋体" w:cs="宋体"/>
                <w:color w:val="0000FF"/>
                <w:spacing w:val="-4"/>
                <w:kern w:val="0"/>
                <w:sz w:val="21"/>
                <w:szCs w:val="21"/>
              </w:rPr>
            </w:pPr>
            <w:r>
              <w:rPr>
                <w:rFonts w:hint="eastAsia" w:ascii="宋体" w:cs="宋体"/>
                <w:color w:val="0000FF"/>
                <w:spacing w:val="-4"/>
                <w:kern w:val="0"/>
                <w:sz w:val="21"/>
                <w:szCs w:val="21"/>
              </w:rPr>
              <w:t>灌丛及灌草丛</w:t>
            </w:r>
          </w:p>
        </w:tc>
        <w:tc>
          <w:tcPr>
            <w:tcW w:w="1195"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line="240" w:lineRule="auto"/>
              <w:ind w:right="222" w:firstLine="0" w:firstLineChars="0"/>
              <w:jc w:val="right"/>
              <w:rPr>
                <w:color w:val="0000FF"/>
                <w:spacing w:val="-2"/>
                <w:kern w:val="0"/>
                <w:sz w:val="21"/>
                <w:szCs w:val="21"/>
                <w:highlight w:val="yellow"/>
              </w:rPr>
            </w:pPr>
            <w:r>
              <w:rPr>
                <w:rFonts w:eastAsia="等线"/>
                <w:color w:val="0000FF"/>
                <w:sz w:val="21"/>
                <w:szCs w:val="21"/>
              </w:rPr>
              <w:t xml:space="preserve">27.29 </w:t>
            </w:r>
          </w:p>
        </w:tc>
        <w:tc>
          <w:tcPr>
            <w:tcW w:w="1357"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line="240" w:lineRule="auto"/>
              <w:ind w:left="168" w:right="157" w:firstLine="0" w:firstLineChars="0"/>
              <w:jc w:val="center"/>
              <w:rPr>
                <w:color w:val="0000FF"/>
                <w:spacing w:val="-2"/>
                <w:kern w:val="0"/>
                <w:sz w:val="21"/>
                <w:szCs w:val="21"/>
                <w:highlight w:val="yellow"/>
              </w:rPr>
            </w:pPr>
            <w:r>
              <w:rPr>
                <w:rFonts w:eastAsia="等线"/>
                <w:color w:val="0000FF"/>
                <w:sz w:val="21"/>
                <w:szCs w:val="21"/>
              </w:rPr>
              <w:t xml:space="preserve">3.98 </w:t>
            </w:r>
          </w:p>
        </w:tc>
        <w:tc>
          <w:tcPr>
            <w:tcW w:w="1523" w:type="dxa"/>
            <w:vAlign w:val="center"/>
          </w:tcPr>
          <w:p>
            <w:pPr>
              <w:kinsoku w:val="0"/>
              <w:overflowPunct w:val="0"/>
              <w:autoSpaceDE w:val="0"/>
              <w:autoSpaceDN w:val="0"/>
              <w:adjustRightInd w:val="0"/>
              <w:spacing w:before="3" w:line="240" w:lineRule="auto"/>
              <w:ind w:firstLine="0" w:firstLineChars="0"/>
              <w:jc w:val="left"/>
              <w:rPr>
                <w:color w:val="0000FF"/>
                <w:kern w:val="0"/>
                <w:sz w:val="21"/>
                <w:szCs w:val="21"/>
              </w:rPr>
            </w:pPr>
          </w:p>
          <w:p>
            <w:pPr>
              <w:kinsoku w:val="0"/>
              <w:overflowPunct w:val="0"/>
              <w:autoSpaceDE w:val="0"/>
              <w:autoSpaceDN w:val="0"/>
              <w:adjustRightInd w:val="0"/>
              <w:spacing w:line="240" w:lineRule="auto"/>
              <w:ind w:left="375" w:right="359" w:firstLine="0" w:firstLineChars="0"/>
              <w:jc w:val="center"/>
              <w:rPr>
                <w:color w:val="0000FF"/>
                <w:spacing w:val="-4"/>
                <w:kern w:val="0"/>
                <w:sz w:val="21"/>
                <w:szCs w:val="21"/>
              </w:rPr>
            </w:pPr>
            <w:r>
              <w:rPr>
                <w:color w:val="0000FF"/>
                <w:spacing w:val="-4"/>
                <w:kern w:val="0"/>
                <w:sz w:val="21"/>
                <w:szCs w:val="21"/>
              </w:rPr>
              <w:t>19.12</w:t>
            </w:r>
          </w:p>
        </w:tc>
        <w:tc>
          <w:tcPr>
            <w:tcW w:w="1400"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line="240" w:lineRule="auto"/>
              <w:ind w:left="53" w:right="40" w:firstLine="0" w:firstLineChars="0"/>
              <w:jc w:val="center"/>
              <w:rPr>
                <w:color w:val="0000FF"/>
                <w:spacing w:val="-2"/>
                <w:kern w:val="0"/>
                <w:sz w:val="21"/>
                <w:szCs w:val="21"/>
              </w:rPr>
            </w:pPr>
            <w:r>
              <w:rPr>
                <w:rFonts w:eastAsia="等线"/>
                <w:color w:val="0000FF"/>
                <w:sz w:val="21"/>
                <w:szCs w:val="21"/>
              </w:rPr>
              <w:t xml:space="preserve">521.79 </w:t>
            </w:r>
          </w:p>
        </w:tc>
        <w:tc>
          <w:tcPr>
            <w:tcW w:w="1531" w:type="dxa"/>
            <w:tcBorders>
              <w:top w:val="nil"/>
              <w:left w:val="nil"/>
              <w:bottom w:val="single" w:color="000000" w:sz="8" w:space="0"/>
              <w:right w:val="nil"/>
            </w:tcBorders>
            <w:shd w:val="clear" w:color="auto" w:fill="auto"/>
            <w:vAlign w:val="center"/>
          </w:tcPr>
          <w:p>
            <w:pPr>
              <w:kinsoku w:val="0"/>
              <w:overflowPunct w:val="0"/>
              <w:autoSpaceDE w:val="0"/>
              <w:autoSpaceDN w:val="0"/>
              <w:adjustRightInd w:val="0"/>
              <w:spacing w:line="240" w:lineRule="auto"/>
              <w:ind w:left="141" w:right="122" w:firstLine="0" w:firstLineChars="0"/>
              <w:jc w:val="center"/>
              <w:rPr>
                <w:color w:val="0000FF"/>
                <w:spacing w:val="-4"/>
                <w:kern w:val="0"/>
                <w:sz w:val="21"/>
                <w:szCs w:val="21"/>
              </w:rPr>
            </w:pPr>
            <w:r>
              <w:rPr>
                <w:rFonts w:eastAsia="等线"/>
                <w:color w:val="0000FF"/>
                <w:sz w:val="21"/>
                <w:szCs w:val="21"/>
              </w:rPr>
              <w:t xml:space="preserve">2.45 </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7" w:hRule="atLeast"/>
          <w:jc w:val="center"/>
        </w:trPr>
        <w:tc>
          <w:tcPr>
            <w:tcW w:w="1424" w:type="dxa"/>
            <w:vAlign w:val="center"/>
          </w:tcPr>
          <w:p>
            <w:pPr>
              <w:kinsoku w:val="0"/>
              <w:overflowPunct w:val="0"/>
              <w:autoSpaceDE w:val="0"/>
              <w:autoSpaceDN w:val="0"/>
              <w:adjustRightInd w:val="0"/>
              <w:spacing w:before="99" w:line="240" w:lineRule="auto"/>
              <w:ind w:left="155" w:right="134"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农作物</w:t>
            </w:r>
          </w:p>
        </w:tc>
        <w:tc>
          <w:tcPr>
            <w:tcW w:w="1195"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6" w:line="240" w:lineRule="auto"/>
              <w:ind w:right="275" w:firstLine="0" w:firstLineChars="0"/>
              <w:jc w:val="right"/>
              <w:rPr>
                <w:color w:val="0000FF"/>
                <w:spacing w:val="-2"/>
                <w:kern w:val="0"/>
                <w:sz w:val="21"/>
                <w:szCs w:val="21"/>
                <w:highlight w:val="yellow"/>
              </w:rPr>
            </w:pPr>
            <w:r>
              <w:rPr>
                <w:rFonts w:eastAsia="等线"/>
                <w:color w:val="0000FF"/>
                <w:sz w:val="21"/>
                <w:szCs w:val="21"/>
              </w:rPr>
              <w:t xml:space="preserve">124.84 </w:t>
            </w:r>
          </w:p>
        </w:tc>
        <w:tc>
          <w:tcPr>
            <w:tcW w:w="1357"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6" w:line="240" w:lineRule="auto"/>
              <w:ind w:left="168" w:right="157" w:firstLine="0" w:firstLineChars="0"/>
              <w:jc w:val="center"/>
              <w:rPr>
                <w:color w:val="0000FF"/>
                <w:spacing w:val="-4"/>
                <w:kern w:val="0"/>
                <w:sz w:val="21"/>
                <w:szCs w:val="21"/>
                <w:highlight w:val="yellow"/>
              </w:rPr>
            </w:pPr>
            <w:r>
              <w:rPr>
                <w:rFonts w:eastAsia="等线"/>
                <w:color w:val="0000FF"/>
                <w:sz w:val="21"/>
                <w:szCs w:val="21"/>
              </w:rPr>
              <w:t xml:space="preserve">18.21 </w:t>
            </w:r>
          </w:p>
        </w:tc>
        <w:tc>
          <w:tcPr>
            <w:tcW w:w="1523" w:type="dxa"/>
            <w:vAlign w:val="center"/>
          </w:tcPr>
          <w:p>
            <w:pPr>
              <w:kinsoku w:val="0"/>
              <w:overflowPunct w:val="0"/>
              <w:autoSpaceDE w:val="0"/>
              <w:autoSpaceDN w:val="0"/>
              <w:adjustRightInd w:val="0"/>
              <w:spacing w:before="106" w:line="240" w:lineRule="auto"/>
              <w:ind w:left="375" w:right="359" w:firstLine="0" w:firstLineChars="0"/>
              <w:jc w:val="center"/>
              <w:rPr>
                <w:color w:val="0000FF"/>
                <w:spacing w:val="-2"/>
                <w:kern w:val="0"/>
                <w:sz w:val="21"/>
                <w:szCs w:val="21"/>
              </w:rPr>
            </w:pPr>
            <w:r>
              <w:rPr>
                <w:color w:val="0000FF"/>
                <w:spacing w:val="-2"/>
                <w:kern w:val="0"/>
                <w:sz w:val="21"/>
                <w:szCs w:val="21"/>
              </w:rPr>
              <w:t>5.52</w:t>
            </w:r>
          </w:p>
        </w:tc>
        <w:tc>
          <w:tcPr>
            <w:tcW w:w="1400"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6" w:line="240" w:lineRule="auto"/>
              <w:ind w:left="54" w:right="38" w:firstLine="0" w:firstLineChars="0"/>
              <w:jc w:val="center"/>
              <w:rPr>
                <w:color w:val="0000FF"/>
                <w:spacing w:val="-2"/>
                <w:kern w:val="0"/>
                <w:sz w:val="21"/>
                <w:szCs w:val="21"/>
              </w:rPr>
            </w:pPr>
            <w:r>
              <w:rPr>
                <w:rFonts w:eastAsia="等线"/>
                <w:color w:val="0000FF"/>
                <w:sz w:val="21"/>
                <w:szCs w:val="21"/>
              </w:rPr>
              <w:t xml:space="preserve">689.10 </w:t>
            </w:r>
          </w:p>
        </w:tc>
        <w:tc>
          <w:tcPr>
            <w:tcW w:w="1531" w:type="dxa"/>
            <w:tcBorders>
              <w:top w:val="nil"/>
              <w:left w:val="nil"/>
              <w:bottom w:val="single" w:color="000000" w:sz="8" w:space="0"/>
              <w:right w:val="nil"/>
            </w:tcBorders>
            <w:shd w:val="clear" w:color="auto" w:fill="auto"/>
            <w:vAlign w:val="center"/>
          </w:tcPr>
          <w:p>
            <w:pPr>
              <w:kinsoku w:val="0"/>
              <w:overflowPunct w:val="0"/>
              <w:autoSpaceDE w:val="0"/>
              <w:autoSpaceDN w:val="0"/>
              <w:adjustRightInd w:val="0"/>
              <w:spacing w:before="106" w:line="240" w:lineRule="auto"/>
              <w:ind w:left="141" w:right="122" w:firstLine="0" w:firstLineChars="0"/>
              <w:jc w:val="center"/>
              <w:rPr>
                <w:color w:val="0000FF"/>
                <w:spacing w:val="-4"/>
                <w:kern w:val="0"/>
                <w:sz w:val="21"/>
                <w:szCs w:val="21"/>
              </w:rPr>
            </w:pPr>
            <w:r>
              <w:rPr>
                <w:rFonts w:eastAsia="等线"/>
                <w:color w:val="0000FF"/>
                <w:sz w:val="21"/>
                <w:szCs w:val="21"/>
              </w:rPr>
              <w:t xml:space="preserve">3.23 </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7" w:hRule="atLeast"/>
          <w:jc w:val="center"/>
        </w:trPr>
        <w:tc>
          <w:tcPr>
            <w:tcW w:w="1424" w:type="dxa"/>
            <w:vAlign w:val="center"/>
          </w:tcPr>
          <w:p>
            <w:pPr>
              <w:kinsoku w:val="0"/>
              <w:overflowPunct w:val="0"/>
              <w:autoSpaceDE w:val="0"/>
              <w:autoSpaceDN w:val="0"/>
              <w:adjustRightInd w:val="0"/>
              <w:spacing w:before="99" w:line="240" w:lineRule="auto"/>
              <w:ind w:left="155" w:right="137" w:firstLine="0" w:firstLineChars="0"/>
              <w:jc w:val="center"/>
              <w:rPr>
                <w:rFonts w:ascii="宋体" w:cs="宋体"/>
                <w:color w:val="0000FF"/>
                <w:spacing w:val="-4"/>
                <w:kern w:val="0"/>
                <w:sz w:val="21"/>
                <w:szCs w:val="21"/>
              </w:rPr>
            </w:pPr>
            <w:r>
              <w:rPr>
                <w:rFonts w:hint="eastAsia" w:ascii="宋体" w:cs="宋体"/>
                <w:color w:val="0000FF"/>
                <w:spacing w:val="-4"/>
                <w:kern w:val="0"/>
                <w:sz w:val="21"/>
                <w:szCs w:val="21"/>
              </w:rPr>
              <w:t>河流水域</w:t>
            </w:r>
          </w:p>
        </w:tc>
        <w:tc>
          <w:tcPr>
            <w:tcW w:w="1195"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right="222" w:firstLine="0" w:firstLineChars="0"/>
              <w:jc w:val="right"/>
              <w:rPr>
                <w:color w:val="0000FF"/>
                <w:spacing w:val="-2"/>
                <w:kern w:val="0"/>
                <w:sz w:val="21"/>
                <w:szCs w:val="21"/>
                <w:highlight w:val="yellow"/>
              </w:rPr>
            </w:pPr>
            <w:r>
              <w:rPr>
                <w:rFonts w:eastAsia="等线"/>
                <w:color w:val="0000FF"/>
                <w:sz w:val="21"/>
                <w:szCs w:val="21"/>
              </w:rPr>
              <w:t xml:space="preserve">280.74 </w:t>
            </w:r>
          </w:p>
        </w:tc>
        <w:tc>
          <w:tcPr>
            <w:tcW w:w="1357"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168" w:right="157" w:firstLine="0" w:firstLineChars="0"/>
              <w:jc w:val="center"/>
              <w:rPr>
                <w:color w:val="0000FF"/>
                <w:spacing w:val="-2"/>
                <w:kern w:val="0"/>
                <w:sz w:val="21"/>
                <w:szCs w:val="21"/>
                <w:highlight w:val="yellow"/>
              </w:rPr>
            </w:pPr>
            <w:r>
              <w:rPr>
                <w:rFonts w:eastAsia="等线"/>
                <w:color w:val="0000FF"/>
                <w:sz w:val="21"/>
                <w:szCs w:val="21"/>
              </w:rPr>
              <w:t xml:space="preserve">40.96 </w:t>
            </w:r>
          </w:p>
        </w:tc>
        <w:tc>
          <w:tcPr>
            <w:tcW w:w="1523" w:type="dxa"/>
            <w:vAlign w:val="center"/>
          </w:tcPr>
          <w:p>
            <w:pPr>
              <w:kinsoku w:val="0"/>
              <w:overflowPunct w:val="0"/>
              <w:autoSpaceDE w:val="0"/>
              <w:autoSpaceDN w:val="0"/>
              <w:adjustRightInd w:val="0"/>
              <w:spacing w:before="108" w:line="240" w:lineRule="auto"/>
              <w:ind w:left="375" w:right="359" w:firstLine="0" w:firstLineChars="0"/>
              <w:jc w:val="center"/>
              <w:rPr>
                <w:color w:val="0000FF"/>
                <w:spacing w:val="-2"/>
                <w:kern w:val="0"/>
                <w:sz w:val="21"/>
                <w:szCs w:val="21"/>
              </w:rPr>
            </w:pPr>
            <w:r>
              <w:rPr>
                <w:color w:val="0000FF"/>
                <w:spacing w:val="-2"/>
                <w:kern w:val="0"/>
                <w:sz w:val="21"/>
                <w:szCs w:val="21"/>
              </w:rPr>
              <w:t>1.16</w:t>
            </w:r>
          </w:p>
        </w:tc>
        <w:tc>
          <w:tcPr>
            <w:tcW w:w="1400" w:type="dxa"/>
            <w:tcBorders>
              <w:top w:val="nil"/>
              <w:left w:val="nil"/>
              <w:bottom w:val="single" w:color="000000"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54" w:right="38" w:firstLine="0" w:firstLineChars="0"/>
              <w:jc w:val="center"/>
              <w:rPr>
                <w:color w:val="0000FF"/>
                <w:spacing w:val="-4"/>
                <w:kern w:val="0"/>
                <w:sz w:val="21"/>
                <w:szCs w:val="21"/>
              </w:rPr>
            </w:pPr>
            <w:r>
              <w:rPr>
                <w:rFonts w:eastAsia="等线"/>
                <w:color w:val="0000FF"/>
                <w:sz w:val="21"/>
                <w:szCs w:val="21"/>
              </w:rPr>
              <w:t xml:space="preserve">325.66 </w:t>
            </w:r>
          </w:p>
        </w:tc>
        <w:tc>
          <w:tcPr>
            <w:tcW w:w="1531" w:type="dxa"/>
            <w:tcBorders>
              <w:top w:val="nil"/>
              <w:left w:val="nil"/>
              <w:bottom w:val="single" w:color="000000" w:sz="8" w:space="0"/>
              <w:right w:val="nil"/>
            </w:tcBorders>
            <w:shd w:val="clear" w:color="auto" w:fill="auto"/>
            <w:vAlign w:val="center"/>
          </w:tcPr>
          <w:p>
            <w:pPr>
              <w:kinsoku w:val="0"/>
              <w:overflowPunct w:val="0"/>
              <w:autoSpaceDE w:val="0"/>
              <w:autoSpaceDN w:val="0"/>
              <w:adjustRightInd w:val="0"/>
              <w:spacing w:before="108" w:line="240" w:lineRule="auto"/>
              <w:ind w:left="141" w:right="122" w:firstLine="0" w:firstLineChars="0"/>
              <w:jc w:val="center"/>
              <w:rPr>
                <w:color w:val="0000FF"/>
                <w:spacing w:val="-4"/>
                <w:kern w:val="0"/>
                <w:sz w:val="21"/>
                <w:szCs w:val="21"/>
              </w:rPr>
            </w:pPr>
            <w:r>
              <w:rPr>
                <w:rFonts w:eastAsia="等线"/>
                <w:color w:val="0000FF"/>
                <w:sz w:val="21"/>
                <w:szCs w:val="21"/>
              </w:rPr>
              <w:t xml:space="preserve">1.53 </w:t>
            </w:r>
          </w:p>
        </w:tc>
      </w:tr>
      <w:tr>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9" w:hRule="atLeast"/>
          <w:jc w:val="center"/>
        </w:trPr>
        <w:tc>
          <w:tcPr>
            <w:tcW w:w="1424" w:type="dxa"/>
            <w:vAlign w:val="center"/>
          </w:tcPr>
          <w:p>
            <w:pPr>
              <w:kinsoku w:val="0"/>
              <w:overflowPunct w:val="0"/>
              <w:autoSpaceDE w:val="0"/>
              <w:autoSpaceDN w:val="0"/>
              <w:adjustRightInd w:val="0"/>
              <w:spacing w:line="240" w:lineRule="auto"/>
              <w:ind w:firstLine="0" w:firstLineChars="0"/>
              <w:jc w:val="center"/>
              <w:rPr>
                <w:rFonts w:ascii="宋体" w:cs="宋体"/>
                <w:color w:val="0000FF"/>
                <w:spacing w:val="-6"/>
                <w:kern w:val="0"/>
                <w:sz w:val="21"/>
                <w:szCs w:val="21"/>
              </w:rPr>
            </w:pPr>
            <w:r>
              <w:rPr>
                <w:rFonts w:hint="eastAsia" w:ascii="宋体" w:cs="宋体"/>
                <w:color w:val="0000FF"/>
                <w:spacing w:val="-6"/>
                <w:kern w:val="0"/>
                <w:sz w:val="21"/>
                <w:szCs w:val="21"/>
              </w:rPr>
              <w:t>总计</w:t>
            </w:r>
          </w:p>
        </w:tc>
        <w:tc>
          <w:tcPr>
            <w:tcW w:w="1195" w:type="dxa"/>
            <w:tcBorders>
              <w:top w:val="nil"/>
              <w:left w:val="nil"/>
              <w:bottom w:val="single" w:color="auto"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right="172" w:firstLine="0" w:firstLineChars="0"/>
              <w:jc w:val="right"/>
              <w:rPr>
                <w:color w:val="0000FF"/>
                <w:spacing w:val="-2"/>
                <w:kern w:val="0"/>
                <w:sz w:val="21"/>
                <w:szCs w:val="21"/>
                <w:highlight w:val="yellow"/>
              </w:rPr>
            </w:pPr>
            <w:r>
              <w:rPr>
                <w:rFonts w:eastAsia="等线"/>
                <w:color w:val="0000FF"/>
                <w:sz w:val="21"/>
                <w:szCs w:val="21"/>
              </w:rPr>
              <w:t xml:space="preserve">685.40 </w:t>
            </w:r>
          </w:p>
        </w:tc>
        <w:tc>
          <w:tcPr>
            <w:tcW w:w="1357" w:type="dxa"/>
            <w:tcBorders>
              <w:top w:val="nil"/>
              <w:left w:val="nil"/>
              <w:bottom w:val="single" w:color="auto"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168" w:right="157" w:firstLine="0" w:firstLineChars="0"/>
              <w:jc w:val="center"/>
              <w:rPr>
                <w:color w:val="0000FF"/>
                <w:spacing w:val="-4"/>
                <w:kern w:val="0"/>
                <w:sz w:val="21"/>
                <w:szCs w:val="21"/>
                <w:highlight w:val="yellow"/>
              </w:rPr>
            </w:pPr>
            <w:r>
              <w:rPr>
                <w:rFonts w:eastAsia="等线"/>
                <w:color w:val="0000FF"/>
                <w:sz w:val="21"/>
                <w:szCs w:val="21"/>
              </w:rPr>
              <w:t>100</w:t>
            </w:r>
          </w:p>
        </w:tc>
        <w:tc>
          <w:tcPr>
            <w:tcW w:w="1523" w:type="dxa"/>
            <w:vAlign w:val="center"/>
          </w:tcPr>
          <w:p>
            <w:pPr>
              <w:kinsoku w:val="0"/>
              <w:overflowPunct w:val="0"/>
              <w:autoSpaceDE w:val="0"/>
              <w:autoSpaceDN w:val="0"/>
              <w:adjustRightInd w:val="0"/>
              <w:spacing w:before="108" w:line="240" w:lineRule="auto"/>
              <w:ind w:left="375" w:right="359" w:firstLine="0" w:firstLineChars="0"/>
              <w:jc w:val="center"/>
              <w:rPr>
                <w:color w:val="0000FF"/>
                <w:spacing w:val="-6"/>
                <w:kern w:val="0"/>
                <w:sz w:val="21"/>
                <w:szCs w:val="21"/>
              </w:rPr>
            </w:pPr>
            <w:r>
              <w:rPr>
                <w:color w:val="0000FF"/>
                <w:spacing w:val="-6"/>
                <w:kern w:val="0"/>
                <w:sz w:val="21"/>
                <w:szCs w:val="21"/>
              </w:rPr>
              <w:t>——</w:t>
            </w:r>
          </w:p>
        </w:tc>
        <w:tc>
          <w:tcPr>
            <w:tcW w:w="1400" w:type="dxa"/>
            <w:tcBorders>
              <w:top w:val="nil"/>
              <w:left w:val="nil"/>
              <w:bottom w:val="single" w:color="auto" w:sz="8" w:space="0"/>
              <w:right w:val="single" w:color="000000" w:sz="8" w:space="0"/>
            </w:tcBorders>
            <w:shd w:val="clear" w:color="auto" w:fill="auto"/>
            <w:vAlign w:val="center"/>
          </w:tcPr>
          <w:p>
            <w:pPr>
              <w:kinsoku w:val="0"/>
              <w:overflowPunct w:val="0"/>
              <w:autoSpaceDE w:val="0"/>
              <w:autoSpaceDN w:val="0"/>
              <w:adjustRightInd w:val="0"/>
              <w:spacing w:before="108" w:line="240" w:lineRule="auto"/>
              <w:ind w:left="53" w:right="40" w:firstLine="0" w:firstLineChars="0"/>
              <w:jc w:val="center"/>
              <w:rPr>
                <w:color w:val="0000FF"/>
                <w:spacing w:val="-2"/>
                <w:kern w:val="0"/>
                <w:sz w:val="21"/>
                <w:szCs w:val="21"/>
              </w:rPr>
            </w:pPr>
            <w:r>
              <w:rPr>
                <w:rFonts w:eastAsia="等线"/>
                <w:color w:val="0000FF"/>
                <w:sz w:val="21"/>
                <w:szCs w:val="21"/>
              </w:rPr>
              <w:t xml:space="preserve">21301.44 </w:t>
            </w:r>
          </w:p>
        </w:tc>
        <w:tc>
          <w:tcPr>
            <w:tcW w:w="1531" w:type="dxa"/>
            <w:tcBorders>
              <w:top w:val="nil"/>
              <w:left w:val="nil"/>
              <w:bottom w:val="single" w:color="auto" w:sz="8" w:space="0"/>
              <w:right w:val="nil"/>
            </w:tcBorders>
            <w:shd w:val="clear" w:color="auto" w:fill="auto"/>
            <w:vAlign w:val="center"/>
          </w:tcPr>
          <w:p>
            <w:pPr>
              <w:kinsoku w:val="0"/>
              <w:overflowPunct w:val="0"/>
              <w:autoSpaceDE w:val="0"/>
              <w:autoSpaceDN w:val="0"/>
              <w:adjustRightInd w:val="0"/>
              <w:spacing w:before="108" w:line="240" w:lineRule="auto"/>
              <w:ind w:left="141" w:right="122" w:firstLine="0" w:firstLineChars="0"/>
              <w:jc w:val="center"/>
              <w:rPr>
                <w:color w:val="0000FF"/>
                <w:spacing w:val="-4"/>
                <w:kern w:val="0"/>
                <w:sz w:val="21"/>
                <w:szCs w:val="21"/>
              </w:rPr>
            </w:pPr>
            <w:r>
              <w:rPr>
                <w:rFonts w:eastAsia="等线"/>
                <w:color w:val="0000FF"/>
                <w:sz w:val="21"/>
                <w:szCs w:val="21"/>
              </w:rPr>
              <w:t>100</w:t>
            </w:r>
          </w:p>
        </w:tc>
      </w:tr>
    </w:tbl>
    <w:p>
      <w:pPr>
        <w:autoSpaceDE w:val="0"/>
        <w:autoSpaceDN w:val="0"/>
        <w:adjustRightInd w:val="0"/>
        <w:ind w:firstLine="412"/>
        <w:rPr>
          <w:rFonts w:ascii="宋体" w:hAnsi="宋体" w:cs="宋体"/>
          <w:color w:val="0000FF"/>
          <w:spacing w:val="-2"/>
          <w:sz w:val="21"/>
          <w:szCs w:val="21"/>
        </w:rPr>
      </w:pPr>
      <w:r>
        <w:rPr>
          <w:rFonts w:hint="eastAsia" w:ascii="宋体" w:hAnsi="宋体" w:cs="宋体"/>
          <w:color w:val="0000FF"/>
          <w:spacing w:val="-2"/>
          <w:sz w:val="21"/>
          <w:szCs w:val="21"/>
        </w:rPr>
        <w:t>注：各植被类型平均生物量数据来源于：①方精云，刘国华，徐蒿龄．我国森林植被的生物量和净生产量[J]．生态学报，1996，16（5）：497~508．②冯宗炜，王效科，吴刚．中国森林生态系统的生物量和生产力[M]．北京：科学出版社，1999．③张胜.湘中丘陵区4 种森林生物量及分配特征[D].2015</w:t>
      </w:r>
    </w:p>
    <w:p>
      <w:pPr>
        <w:ind w:firstLine="480"/>
        <w:rPr>
          <w:rFonts w:ascii="宋体" w:hAnsi="宋体" w:cs="宋体"/>
          <w:color w:val="0000FF"/>
          <w:szCs w:val="24"/>
        </w:rPr>
      </w:pPr>
      <w:r>
        <w:rPr>
          <w:rFonts w:hint="eastAsia" w:ascii="宋体" w:hAnsi="宋体" w:cs="宋体"/>
          <w:color w:val="0000FF"/>
          <w:szCs w:val="24"/>
        </w:rPr>
        <w:t>拟建项目占地，将会造成区域植被生物量的损失。根据测算，项目建设将损失生物量3168.37t。在生物量损失面积方面，林地损失最大，损失量占损失总量的93.6%。随工程施工的结束，临时征地区的植被生物量在一定程度上可以恢复，同时也需要采取一定的人工抚育措施，而永久征地区的植被由枢纽工程用地所取代，造成植被生物量不可逆的降低。待项目建成后，通过护岸绿化，重建人工生态系统，如种植乔、灌木及与草本植物相结合，可弥补少部分生物量损失，可减小因工程建设对生态环境的影响，总体来讲，工程建设不会对评价范围的植物物种多样性和植被产生根本性的影响。</w:t>
      </w:r>
    </w:p>
    <w:p>
      <w:pPr>
        <w:pStyle w:val="835"/>
        <w:spacing w:before="0" w:line="360" w:lineRule="auto"/>
      </w:pPr>
      <w:bookmarkStart w:id="768" w:name="_Toc534807063"/>
      <w:bookmarkStart w:id="769" w:name="_Toc534386304"/>
      <w:bookmarkStart w:id="770" w:name="_Toc246220441"/>
      <w:bookmarkStart w:id="771" w:name="_Toc3903285"/>
      <w:bookmarkStart w:id="772" w:name="_Toc233337855"/>
      <w:bookmarkStart w:id="773" w:name="_Toc536265148"/>
      <w:bookmarkStart w:id="774" w:name="_Toc534895280"/>
      <w:r>
        <w:t>4.</w:t>
      </w:r>
      <w:r>
        <w:rPr>
          <w:rFonts w:hint="eastAsia"/>
        </w:rPr>
        <w:t>5</w:t>
      </w:r>
      <w:r>
        <w:t>.</w:t>
      </w:r>
      <w:r>
        <w:rPr>
          <w:rFonts w:hint="eastAsia"/>
        </w:rPr>
        <w:t>6</w:t>
      </w:r>
      <w:r>
        <w:t>陆生动物</w:t>
      </w:r>
      <w:bookmarkEnd w:id="768"/>
      <w:bookmarkEnd w:id="769"/>
      <w:bookmarkEnd w:id="770"/>
      <w:bookmarkEnd w:id="771"/>
      <w:bookmarkEnd w:id="772"/>
      <w:bookmarkEnd w:id="773"/>
      <w:bookmarkEnd w:id="774"/>
    </w:p>
    <w:p>
      <w:pPr>
        <w:numPr>
          <w:ilvl w:val="0"/>
          <w:numId w:val="9"/>
        </w:numPr>
        <w:ind w:firstLineChars="0"/>
        <w:rPr>
          <w:b/>
        </w:rPr>
      </w:pPr>
      <w:r>
        <w:rPr>
          <w:b/>
        </w:rPr>
        <w:t>两栖爬行类</w:t>
      </w:r>
    </w:p>
    <w:p>
      <w:pPr>
        <w:ind w:firstLine="397" w:firstLineChars="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动</w:t>
      </w:r>
      <w:r>
        <w:t>物种组成</w:t>
      </w:r>
    </w:p>
    <w:p>
      <w:pPr>
        <w:ind w:firstLine="480"/>
      </w:pPr>
      <w:r>
        <w:t>根据本次调查及历史记录，项目区内共有两栖类1目2科3种，爬行类2目4科5种。两栖类动物名录及爬行类动物名录详见表4.</w:t>
      </w:r>
      <w:r>
        <w:rPr>
          <w:rFonts w:hint="eastAsia"/>
        </w:rPr>
        <w:t>5</w:t>
      </w:r>
      <w:r>
        <w:t>-22和表4.</w:t>
      </w:r>
      <w:r>
        <w:rPr>
          <w:rFonts w:hint="eastAsia"/>
        </w:rPr>
        <w:t>5</w:t>
      </w:r>
      <w:r>
        <w:t>-23。</w:t>
      </w:r>
    </w:p>
    <w:p>
      <w:pPr>
        <w:spacing w:before="120" w:beforeLines="50" w:line="240" w:lineRule="auto"/>
        <w:ind w:firstLine="480"/>
        <w:jc w:val="center"/>
        <w:rPr>
          <w:rFonts w:ascii="黑体" w:hAnsi="黑体" w:eastAsia="黑体" w:cs="黑体"/>
        </w:rPr>
      </w:pPr>
      <w:r>
        <w:rPr>
          <w:rFonts w:hint="eastAsia" w:ascii="黑体" w:hAnsi="黑体" w:eastAsia="黑体" w:cs="黑体"/>
        </w:rPr>
        <w:t>表4.5-</w:t>
      </w:r>
      <w:r>
        <w:rPr>
          <w:rFonts w:ascii="黑体" w:hAnsi="黑体" w:eastAsia="黑体" w:cs="黑体"/>
        </w:rPr>
        <w:t>22</w:t>
      </w:r>
      <w:r>
        <w:rPr>
          <w:rFonts w:hint="eastAsia" w:ascii="黑体" w:hAnsi="黑体" w:eastAsia="黑体" w:cs="黑体"/>
        </w:rPr>
        <w:t>　评价区两栖动物名录</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27"/>
        <w:gridCol w:w="1551"/>
        <w:gridCol w:w="2240"/>
        <w:gridCol w:w="850"/>
        <w:gridCol w:w="1143"/>
        <w:gridCol w:w="1127"/>
        <w:gridCol w:w="15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678" w:type="dxa"/>
            <w:gridSpan w:val="2"/>
            <w:vAlign w:val="center"/>
          </w:tcPr>
          <w:p>
            <w:pPr>
              <w:spacing w:line="340" w:lineRule="exact"/>
              <w:ind w:firstLine="0" w:firstLineChars="0"/>
              <w:jc w:val="center"/>
              <w:rPr>
                <w:sz w:val="21"/>
                <w:szCs w:val="21"/>
              </w:rPr>
            </w:pPr>
            <w:r>
              <w:rPr>
                <w:sz w:val="21"/>
                <w:szCs w:val="21"/>
              </w:rPr>
              <w:t>中文名</w:t>
            </w:r>
          </w:p>
        </w:tc>
        <w:tc>
          <w:tcPr>
            <w:tcW w:w="2240" w:type="dxa"/>
            <w:vAlign w:val="center"/>
          </w:tcPr>
          <w:p>
            <w:pPr>
              <w:spacing w:line="340" w:lineRule="exact"/>
              <w:ind w:firstLine="0" w:firstLineChars="0"/>
              <w:jc w:val="center"/>
              <w:rPr>
                <w:sz w:val="21"/>
                <w:szCs w:val="21"/>
              </w:rPr>
            </w:pPr>
            <w:r>
              <w:rPr>
                <w:sz w:val="21"/>
                <w:szCs w:val="21"/>
              </w:rPr>
              <w:t>拉丁名</w:t>
            </w:r>
          </w:p>
        </w:tc>
        <w:tc>
          <w:tcPr>
            <w:tcW w:w="850" w:type="dxa"/>
            <w:vAlign w:val="center"/>
          </w:tcPr>
          <w:p>
            <w:pPr>
              <w:spacing w:line="340" w:lineRule="exact"/>
              <w:ind w:firstLine="0" w:firstLineChars="0"/>
              <w:jc w:val="center"/>
              <w:rPr>
                <w:sz w:val="21"/>
                <w:szCs w:val="21"/>
              </w:rPr>
            </w:pPr>
            <w:r>
              <w:rPr>
                <w:sz w:val="21"/>
                <w:szCs w:val="21"/>
              </w:rPr>
              <w:t>区系</w:t>
            </w:r>
          </w:p>
        </w:tc>
        <w:tc>
          <w:tcPr>
            <w:tcW w:w="1143" w:type="dxa"/>
            <w:vAlign w:val="center"/>
          </w:tcPr>
          <w:p>
            <w:pPr>
              <w:spacing w:line="340" w:lineRule="exact"/>
              <w:ind w:firstLine="0" w:firstLineChars="0"/>
              <w:jc w:val="center"/>
              <w:rPr>
                <w:sz w:val="21"/>
                <w:szCs w:val="21"/>
              </w:rPr>
            </w:pPr>
            <w:r>
              <w:rPr>
                <w:sz w:val="21"/>
                <w:szCs w:val="21"/>
              </w:rPr>
              <w:t>资源等级</w:t>
            </w:r>
          </w:p>
        </w:tc>
        <w:tc>
          <w:tcPr>
            <w:tcW w:w="1127" w:type="dxa"/>
            <w:vAlign w:val="center"/>
          </w:tcPr>
          <w:p>
            <w:pPr>
              <w:spacing w:line="340" w:lineRule="exact"/>
              <w:ind w:firstLine="0" w:firstLineChars="0"/>
              <w:jc w:val="center"/>
              <w:rPr>
                <w:sz w:val="21"/>
                <w:szCs w:val="21"/>
              </w:rPr>
            </w:pPr>
            <w:r>
              <w:rPr>
                <w:sz w:val="21"/>
                <w:szCs w:val="21"/>
              </w:rPr>
              <w:t>保护级别</w:t>
            </w:r>
          </w:p>
        </w:tc>
        <w:tc>
          <w:tcPr>
            <w:tcW w:w="1511" w:type="dxa"/>
            <w:vAlign w:val="center"/>
          </w:tcPr>
          <w:p>
            <w:pPr>
              <w:spacing w:line="340" w:lineRule="exact"/>
              <w:ind w:firstLine="0" w:firstLineChars="0"/>
              <w:jc w:val="center"/>
              <w:rPr>
                <w:sz w:val="21"/>
                <w:szCs w:val="21"/>
              </w:rPr>
            </w:pPr>
            <w:r>
              <w:rPr>
                <w:sz w:val="21"/>
                <w:szCs w:val="21"/>
              </w:rPr>
              <w:t>生态类型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678" w:type="dxa"/>
            <w:gridSpan w:val="2"/>
            <w:vAlign w:val="center"/>
          </w:tcPr>
          <w:p>
            <w:pPr>
              <w:spacing w:line="340" w:lineRule="exact"/>
              <w:ind w:firstLine="0" w:firstLineChars="0"/>
              <w:jc w:val="center"/>
              <w:rPr>
                <w:sz w:val="21"/>
                <w:szCs w:val="21"/>
              </w:rPr>
            </w:pPr>
            <w:r>
              <w:rPr>
                <w:sz w:val="21"/>
                <w:szCs w:val="21"/>
              </w:rPr>
              <w:t>一、无尾目</w:t>
            </w:r>
          </w:p>
        </w:tc>
        <w:tc>
          <w:tcPr>
            <w:tcW w:w="6871" w:type="dxa"/>
            <w:gridSpan w:val="5"/>
            <w:vAlign w:val="center"/>
          </w:tcPr>
          <w:p>
            <w:pPr>
              <w:spacing w:line="340" w:lineRule="exact"/>
              <w:ind w:firstLine="0" w:firstLineChars="0"/>
              <w:jc w:val="center"/>
              <w:rPr>
                <w:sz w:val="21"/>
                <w:szCs w:val="21"/>
              </w:rPr>
            </w:pPr>
            <w:r>
              <w:rPr>
                <w:sz w:val="21"/>
                <w:szCs w:val="21"/>
              </w:rPr>
              <w:t>Salientla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7" w:type="dxa"/>
            <w:vAlign w:val="center"/>
          </w:tcPr>
          <w:p>
            <w:pPr>
              <w:spacing w:line="340" w:lineRule="exact"/>
              <w:ind w:firstLine="0" w:firstLineChars="0"/>
              <w:jc w:val="center"/>
              <w:rPr>
                <w:sz w:val="21"/>
                <w:szCs w:val="21"/>
              </w:rPr>
            </w:pPr>
            <w:r>
              <w:rPr>
                <w:sz w:val="21"/>
                <w:szCs w:val="21"/>
              </w:rPr>
              <w:t>(一)</w:t>
            </w:r>
          </w:p>
        </w:tc>
        <w:tc>
          <w:tcPr>
            <w:tcW w:w="1551" w:type="dxa"/>
            <w:vAlign w:val="center"/>
          </w:tcPr>
          <w:p>
            <w:pPr>
              <w:spacing w:line="340" w:lineRule="exact"/>
              <w:ind w:firstLine="0" w:firstLineChars="0"/>
              <w:jc w:val="center"/>
              <w:rPr>
                <w:sz w:val="21"/>
                <w:szCs w:val="21"/>
              </w:rPr>
            </w:pPr>
            <w:r>
              <w:rPr>
                <w:sz w:val="21"/>
                <w:szCs w:val="21"/>
              </w:rPr>
              <w:t>蟾蜍科</w:t>
            </w:r>
          </w:p>
        </w:tc>
        <w:tc>
          <w:tcPr>
            <w:tcW w:w="6871" w:type="dxa"/>
            <w:gridSpan w:val="5"/>
            <w:vAlign w:val="center"/>
          </w:tcPr>
          <w:p>
            <w:pPr>
              <w:spacing w:line="340" w:lineRule="exact"/>
              <w:ind w:firstLine="0" w:firstLineChars="0"/>
              <w:jc w:val="center"/>
              <w:rPr>
                <w:sz w:val="21"/>
                <w:szCs w:val="21"/>
              </w:rPr>
            </w:pPr>
            <w:r>
              <w:rPr>
                <w:sz w:val="21"/>
                <w:szCs w:val="21"/>
              </w:rPr>
              <w:t>Bufonidae</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7" w:type="dxa"/>
            <w:vAlign w:val="center"/>
          </w:tcPr>
          <w:p>
            <w:pPr>
              <w:spacing w:line="340" w:lineRule="exact"/>
              <w:ind w:firstLine="0" w:firstLineChars="0"/>
              <w:jc w:val="center"/>
              <w:rPr>
                <w:sz w:val="21"/>
                <w:szCs w:val="21"/>
              </w:rPr>
            </w:pPr>
            <w:r>
              <w:rPr>
                <w:sz w:val="21"/>
                <w:szCs w:val="21"/>
              </w:rPr>
              <w:t>1</w:t>
            </w:r>
          </w:p>
        </w:tc>
        <w:tc>
          <w:tcPr>
            <w:tcW w:w="1551" w:type="dxa"/>
            <w:vAlign w:val="center"/>
          </w:tcPr>
          <w:p>
            <w:pPr>
              <w:spacing w:line="340" w:lineRule="exact"/>
              <w:ind w:firstLine="0" w:firstLineChars="0"/>
              <w:jc w:val="center"/>
              <w:rPr>
                <w:sz w:val="21"/>
                <w:szCs w:val="21"/>
              </w:rPr>
            </w:pPr>
            <w:r>
              <w:rPr>
                <w:sz w:val="21"/>
                <w:szCs w:val="21"/>
              </w:rPr>
              <w:t>中华蟾蜍</w:t>
            </w:r>
          </w:p>
        </w:tc>
        <w:tc>
          <w:tcPr>
            <w:tcW w:w="2240" w:type="dxa"/>
            <w:vAlign w:val="center"/>
          </w:tcPr>
          <w:p>
            <w:pPr>
              <w:spacing w:line="340" w:lineRule="exact"/>
              <w:ind w:firstLine="0" w:firstLineChars="0"/>
              <w:jc w:val="center"/>
              <w:rPr>
                <w:sz w:val="21"/>
                <w:szCs w:val="21"/>
              </w:rPr>
            </w:pPr>
            <w:r>
              <w:rPr>
                <w:sz w:val="21"/>
                <w:szCs w:val="21"/>
              </w:rPr>
              <w:t>Bufogargarizans</w:t>
            </w:r>
          </w:p>
        </w:tc>
        <w:tc>
          <w:tcPr>
            <w:tcW w:w="850" w:type="dxa"/>
            <w:vAlign w:val="center"/>
          </w:tcPr>
          <w:p>
            <w:pPr>
              <w:spacing w:line="340" w:lineRule="exact"/>
              <w:ind w:firstLine="0" w:firstLineChars="0"/>
              <w:jc w:val="center"/>
              <w:rPr>
                <w:sz w:val="21"/>
                <w:szCs w:val="21"/>
              </w:rPr>
            </w:pPr>
            <w:r>
              <w:rPr>
                <w:sz w:val="21"/>
                <w:szCs w:val="21"/>
              </w:rPr>
              <w:t>广</w:t>
            </w:r>
          </w:p>
        </w:tc>
        <w:tc>
          <w:tcPr>
            <w:tcW w:w="1143" w:type="dxa"/>
            <w:vAlign w:val="center"/>
          </w:tcPr>
          <w:p>
            <w:pPr>
              <w:spacing w:line="340" w:lineRule="exact"/>
              <w:ind w:firstLine="0" w:firstLineChars="0"/>
              <w:jc w:val="center"/>
              <w:rPr>
                <w:sz w:val="21"/>
                <w:szCs w:val="21"/>
              </w:rPr>
            </w:pPr>
            <w:r>
              <w:rPr>
                <w:sz w:val="21"/>
                <w:szCs w:val="21"/>
              </w:rPr>
              <w:t>+++</w:t>
            </w:r>
          </w:p>
        </w:tc>
        <w:tc>
          <w:tcPr>
            <w:tcW w:w="1127" w:type="dxa"/>
            <w:vAlign w:val="center"/>
          </w:tcPr>
          <w:p>
            <w:pPr>
              <w:spacing w:line="340" w:lineRule="exact"/>
              <w:ind w:firstLine="0" w:firstLineChars="0"/>
              <w:jc w:val="center"/>
              <w:rPr>
                <w:sz w:val="21"/>
                <w:szCs w:val="21"/>
              </w:rPr>
            </w:pPr>
            <w:r>
              <w:rPr>
                <w:rFonts w:ascii="Segoe UI Symbol" w:hAnsi="Segoe UI Symbol" w:cs="Segoe UI Symbol"/>
                <w:sz w:val="21"/>
                <w:szCs w:val="21"/>
              </w:rPr>
              <w:t>☆</w:t>
            </w:r>
            <w:r>
              <w:rPr>
                <w:sz w:val="21"/>
                <w:szCs w:val="21"/>
              </w:rPr>
              <w:t>S</w:t>
            </w:r>
          </w:p>
        </w:tc>
        <w:tc>
          <w:tcPr>
            <w:tcW w:w="1511" w:type="dxa"/>
            <w:vAlign w:val="center"/>
          </w:tcPr>
          <w:p>
            <w:pPr>
              <w:spacing w:line="340" w:lineRule="exact"/>
              <w:ind w:firstLine="0" w:firstLineChars="0"/>
              <w:jc w:val="center"/>
              <w:rPr>
                <w:sz w:val="21"/>
                <w:szCs w:val="21"/>
              </w:rPr>
            </w:pPr>
            <w:r>
              <w:rPr>
                <w:sz w:val="21"/>
                <w:szCs w:val="21"/>
              </w:rPr>
              <w:t>TQ</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7" w:type="dxa"/>
            <w:vAlign w:val="center"/>
          </w:tcPr>
          <w:p>
            <w:pPr>
              <w:spacing w:line="340" w:lineRule="exact"/>
              <w:ind w:firstLine="0" w:firstLineChars="0"/>
              <w:jc w:val="center"/>
              <w:rPr>
                <w:sz w:val="21"/>
                <w:szCs w:val="21"/>
              </w:rPr>
            </w:pPr>
            <w:r>
              <w:rPr>
                <w:sz w:val="21"/>
                <w:szCs w:val="21"/>
              </w:rPr>
              <w:t>(二)</w:t>
            </w:r>
          </w:p>
        </w:tc>
        <w:tc>
          <w:tcPr>
            <w:tcW w:w="1551" w:type="dxa"/>
            <w:vAlign w:val="center"/>
          </w:tcPr>
          <w:p>
            <w:pPr>
              <w:spacing w:line="340" w:lineRule="exact"/>
              <w:ind w:firstLine="0" w:firstLineChars="0"/>
              <w:jc w:val="center"/>
              <w:rPr>
                <w:sz w:val="21"/>
                <w:szCs w:val="21"/>
              </w:rPr>
            </w:pPr>
            <w:r>
              <w:rPr>
                <w:sz w:val="21"/>
                <w:szCs w:val="21"/>
              </w:rPr>
              <w:t>蛙科</w:t>
            </w:r>
          </w:p>
        </w:tc>
        <w:tc>
          <w:tcPr>
            <w:tcW w:w="6871" w:type="dxa"/>
            <w:gridSpan w:val="5"/>
            <w:vAlign w:val="center"/>
          </w:tcPr>
          <w:p>
            <w:pPr>
              <w:spacing w:line="340" w:lineRule="exact"/>
              <w:ind w:firstLine="0" w:firstLineChars="0"/>
              <w:jc w:val="center"/>
              <w:rPr>
                <w:sz w:val="21"/>
                <w:szCs w:val="21"/>
              </w:rPr>
            </w:pPr>
            <w:r>
              <w:rPr>
                <w:sz w:val="21"/>
                <w:szCs w:val="21"/>
              </w:rPr>
              <w:t>Ranidae</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7" w:type="dxa"/>
            <w:vAlign w:val="center"/>
          </w:tcPr>
          <w:p>
            <w:pPr>
              <w:spacing w:line="340" w:lineRule="exact"/>
              <w:ind w:firstLine="0" w:firstLineChars="0"/>
              <w:jc w:val="center"/>
              <w:rPr>
                <w:sz w:val="21"/>
                <w:szCs w:val="21"/>
              </w:rPr>
            </w:pPr>
            <w:r>
              <w:rPr>
                <w:sz w:val="21"/>
                <w:szCs w:val="21"/>
              </w:rPr>
              <w:t>2</w:t>
            </w:r>
          </w:p>
        </w:tc>
        <w:tc>
          <w:tcPr>
            <w:tcW w:w="1551" w:type="dxa"/>
            <w:vAlign w:val="center"/>
          </w:tcPr>
          <w:p>
            <w:pPr>
              <w:spacing w:line="340" w:lineRule="exact"/>
              <w:ind w:firstLine="0" w:firstLineChars="0"/>
              <w:jc w:val="center"/>
              <w:rPr>
                <w:sz w:val="21"/>
                <w:szCs w:val="21"/>
              </w:rPr>
            </w:pPr>
            <w:r>
              <w:rPr>
                <w:sz w:val="21"/>
                <w:szCs w:val="21"/>
              </w:rPr>
              <w:t>黑斑(侧褶)蛙</w:t>
            </w:r>
          </w:p>
        </w:tc>
        <w:tc>
          <w:tcPr>
            <w:tcW w:w="2240" w:type="dxa"/>
            <w:vAlign w:val="center"/>
          </w:tcPr>
          <w:p>
            <w:pPr>
              <w:spacing w:line="340" w:lineRule="exact"/>
              <w:ind w:firstLine="0" w:firstLineChars="0"/>
              <w:jc w:val="center"/>
              <w:rPr>
                <w:sz w:val="21"/>
                <w:szCs w:val="21"/>
              </w:rPr>
            </w:pPr>
            <w:r>
              <w:rPr>
                <w:sz w:val="21"/>
                <w:szCs w:val="21"/>
              </w:rPr>
              <w:t>Rananigromaculata</w:t>
            </w:r>
          </w:p>
        </w:tc>
        <w:tc>
          <w:tcPr>
            <w:tcW w:w="850" w:type="dxa"/>
            <w:vAlign w:val="center"/>
          </w:tcPr>
          <w:p>
            <w:pPr>
              <w:spacing w:line="340" w:lineRule="exact"/>
              <w:ind w:firstLine="0" w:firstLineChars="0"/>
              <w:jc w:val="center"/>
              <w:rPr>
                <w:sz w:val="21"/>
                <w:szCs w:val="21"/>
              </w:rPr>
            </w:pPr>
            <w:r>
              <w:rPr>
                <w:sz w:val="21"/>
                <w:szCs w:val="21"/>
              </w:rPr>
              <w:t>广</w:t>
            </w:r>
          </w:p>
        </w:tc>
        <w:tc>
          <w:tcPr>
            <w:tcW w:w="1143" w:type="dxa"/>
            <w:vAlign w:val="center"/>
          </w:tcPr>
          <w:p>
            <w:pPr>
              <w:spacing w:line="340" w:lineRule="exact"/>
              <w:ind w:firstLine="0" w:firstLineChars="0"/>
              <w:jc w:val="center"/>
              <w:rPr>
                <w:sz w:val="21"/>
                <w:szCs w:val="21"/>
              </w:rPr>
            </w:pPr>
            <w:r>
              <w:rPr>
                <w:sz w:val="21"/>
                <w:szCs w:val="21"/>
              </w:rPr>
              <w:t>+++</w:t>
            </w:r>
          </w:p>
        </w:tc>
        <w:tc>
          <w:tcPr>
            <w:tcW w:w="1127" w:type="dxa"/>
            <w:vAlign w:val="center"/>
          </w:tcPr>
          <w:p>
            <w:pPr>
              <w:spacing w:line="340" w:lineRule="exact"/>
              <w:ind w:firstLine="0" w:firstLineChars="0"/>
              <w:jc w:val="center"/>
              <w:rPr>
                <w:sz w:val="21"/>
                <w:szCs w:val="21"/>
              </w:rPr>
            </w:pPr>
            <w:r>
              <w:rPr>
                <w:rFonts w:ascii="Segoe UI Symbol" w:hAnsi="Segoe UI Symbol" w:cs="Segoe UI Symbol"/>
                <w:sz w:val="21"/>
                <w:szCs w:val="21"/>
              </w:rPr>
              <w:t>☆</w:t>
            </w:r>
            <w:r>
              <w:rPr>
                <w:sz w:val="21"/>
                <w:szCs w:val="21"/>
              </w:rPr>
              <w:t>S</w:t>
            </w:r>
          </w:p>
        </w:tc>
        <w:tc>
          <w:tcPr>
            <w:tcW w:w="1511" w:type="dxa"/>
            <w:vAlign w:val="center"/>
          </w:tcPr>
          <w:p>
            <w:pPr>
              <w:spacing w:line="340" w:lineRule="exact"/>
              <w:ind w:firstLine="0" w:firstLineChars="0"/>
              <w:jc w:val="center"/>
              <w:rPr>
                <w:sz w:val="21"/>
                <w:szCs w:val="21"/>
              </w:rPr>
            </w:pPr>
            <w:r>
              <w:rPr>
                <w:sz w:val="21"/>
                <w:szCs w:val="21"/>
              </w:rPr>
              <w:t>Q</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7" w:type="dxa"/>
            <w:vAlign w:val="center"/>
          </w:tcPr>
          <w:p>
            <w:pPr>
              <w:spacing w:line="340" w:lineRule="exact"/>
              <w:ind w:firstLine="0" w:firstLineChars="0"/>
              <w:jc w:val="center"/>
              <w:rPr>
                <w:sz w:val="21"/>
                <w:szCs w:val="21"/>
              </w:rPr>
            </w:pPr>
            <w:r>
              <w:rPr>
                <w:sz w:val="21"/>
                <w:szCs w:val="21"/>
              </w:rPr>
              <w:t>3</w:t>
            </w:r>
          </w:p>
        </w:tc>
        <w:tc>
          <w:tcPr>
            <w:tcW w:w="1551" w:type="dxa"/>
            <w:vAlign w:val="center"/>
          </w:tcPr>
          <w:p>
            <w:pPr>
              <w:spacing w:line="340" w:lineRule="exact"/>
              <w:ind w:firstLine="0" w:firstLineChars="0"/>
              <w:jc w:val="center"/>
              <w:rPr>
                <w:sz w:val="21"/>
                <w:szCs w:val="21"/>
              </w:rPr>
            </w:pPr>
            <w:r>
              <w:rPr>
                <w:rFonts w:hint="eastAsia"/>
                <w:sz w:val="21"/>
                <w:szCs w:val="21"/>
              </w:rPr>
              <w:t>泽蛙</w:t>
            </w:r>
          </w:p>
        </w:tc>
        <w:tc>
          <w:tcPr>
            <w:tcW w:w="2240" w:type="dxa"/>
            <w:vAlign w:val="center"/>
          </w:tcPr>
          <w:p>
            <w:pPr>
              <w:spacing w:line="340" w:lineRule="exact"/>
              <w:ind w:firstLine="0" w:firstLineChars="0"/>
              <w:jc w:val="center"/>
              <w:rPr>
                <w:sz w:val="21"/>
                <w:szCs w:val="21"/>
              </w:rPr>
            </w:pPr>
            <w:r>
              <w:rPr>
                <w:rFonts w:hint="eastAsia"/>
                <w:sz w:val="21"/>
                <w:szCs w:val="21"/>
              </w:rPr>
              <w:t>Rana limnocharis</w:t>
            </w:r>
          </w:p>
        </w:tc>
        <w:tc>
          <w:tcPr>
            <w:tcW w:w="850" w:type="dxa"/>
            <w:vAlign w:val="center"/>
          </w:tcPr>
          <w:p>
            <w:pPr>
              <w:spacing w:line="340" w:lineRule="exact"/>
              <w:ind w:firstLine="0" w:firstLineChars="0"/>
              <w:jc w:val="center"/>
              <w:rPr>
                <w:sz w:val="21"/>
                <w:szCs w:val="21"/>
              </w:rPr>
            </w:pPr>
            <w:r>
              <w:rPr>
                <w:sz w:val="21"/>
                <w:szCs w:val="21"/>
              </w:rPr>
              <w:t>东</w:t>
            </w:r>
          </w:p>
        </w:tc>
        <w:tc>
          <w:tcPr>
            <w:tcW w:w="1143" w:type="dxa"/>
            <w:vAlign w:val="center"/>
          </w:tcPr>
          <w:p>
            <w:pPr>
              <w:spacing w:line="340" w:lineRule="exact"/>
              <w:ind w:firstLine="0" w:firstLineChars="0"/>
              <w:jc w:val="center"/>
              <w:rPr>
                <w:sz w:val="21"/>
                <w:szCs w:val="21"/>
              </w:rPr>
            </w:pPr>
            <w:r>
              <w:rPr>
                <w:sz w:val="21"/>
                <w:szCs w:val="21"/>
              </w:rPr>
              <w:t>++</w:t>
            </w:r>
          </w:p>
        </w:tc>
        <w:tc>
          <w:tcPr>
            <w:tcW w:w="1127" w:type="dxa"/>
            <w:vAlign w:val="center"/>
          </w:tcPr>
          <w:p>
            <w:pPr>
              <w:spacing w:line="340" w:lineRule="exact"/>
              <w:ind w:firstLine="0" w:firstLineChars="0"/>
              <w:jc w:val="center"/>
              <w:rPr>
                <w:sz w:val="21"/>
                <w:szCs w:val="21"/>
              </w:rPr>
            </w:pPr>
            <w:r>
              <w:rPr>
                <w:rFonts w:ascii="Segoe UI Symbol" w:hAnsi="Segoe UI Symbol" w:cs="Segoe UI Symbol"/>
                <w:sz w:val="21"/>
                <w:szCs w:val="21"/>
              </w:rPr>
              <w:t>☆</w:t>
            </w:r>
          </w:p>
        </w:tc>
        <w:tc>
          <w:tcPr>
            <w:tcW w:w="1511" w:type="dxa"/>
            <w:vAlign w:val="center"/>
          </w:tcPr>
          <w:p>
            <w:pPr>
              <w:spacing w:line="340" w:lineRule="exact"/>
              <w:ind w:firstLine="0" w:firstLineChars="0"/>
              <w:jc w:val="center"/>
              <w:rPr>
                <w:sz w:val="21"/>
                <w:szCs w:val="21"/>
              </w:rPr>
            </w:pPr>
            <w:r>
              <w:rPr>
                <w:sz w:val="21"/>
                <w:szCs w:val="21"/>
              </w:rPr>
              <w:t>Q</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49" w:type="dxa"/>
            <w:gridSpan w:val="7"/>
            <w:vAlign w:val="center"/>
          </w:tcPr>
          <w:p>
            <w:pPr>
              <w:spacing w:line="340" w:lineRule="exact"/>
              <w:ind w:firstLine="360"/>
              <w:rPr>
                <w:sz w:val="21"/>
                <w:szCs w:val="21"/>
              </w:rPr>
            </w:pPr>
            <w:r>
              <w:rPr>
                <w:sz w:val="18"/>
                <w:szCs w:val="18"/>
              </w:rPr>
              <w:t>注：1.</w:t>
            </w:r>
            <w:r>
              <w:rPr>
                <w:rFonts w:ascii="Segoe UI Symbol" w:hAnsi="Segoe UI Symbol" w:cs="Segoe UI Symbol"/>
                <w:sz w:val="18"/>
                <w:szCs w:val="18"/>
              </w:rPr>
              <w:t>☆</w:t>
            </w:r>
            <w:r>
              <w:rPr>
                <w:sz w:val="18"/>
                <w:szCs w:val="18"/>
              </w:rPr>
              <w:t>表示三有名录物种；S:省级重点保护；2.Q:静水型，TQ:陆栖静水型；3.东:东洋界，广:广布种；4.资源等级：“+++”资源等级丰富；”++”资源等级一般；”+”资源等级稀少。</w:t>
            </w:r>
          </w:p>
        </w:tc>
      </w:tr>
    </w:tbl>
    <w:p>
      <w:pPr>
        <w:spacing w:before="120" w:beforeLines="50" w:line="240" w:lineRule="auto"/>
        <w:ind w:firstLine="480"/>
        <w:jc w:val="center"/>
        <w:rPr>
          <w:rFonts w:ascii="黑体" w:hAnsi="黑体" w:eastAsia="黑体" w:cs="黑体"/>
        </w:rPr>
      </w:pPr>
      <w:r>
        <w:rPr>
          <w:rFonts w:hint="eastAsia" w:ascii="黑体" w:hAnsi="黑体" w:eastAsia="黑体" w:cs="黑体"/>
        </w:rPr>
        <w:t>表4.5-</w:t>
      </w:r>
      <w:r>
        <w:rPr>
          <w:rFonts w:ascii="黑体" w:hAnsi="黑体" w:eastAsia="黑体" w:cs="黑体"/>
        </w:rPr>
        <w:t>23</w:t>
      </w:r>
      <w:r>
        <w:rPr>
          <w:rFonts w:hint="eastAsia" w:ascii="黑体" w:hAnsi="黑体" w:eastAsia="黑体" w:cs="黑体"/>
        </w:rPr>
        <w:t xml:space="preserve">  评价区爬行动物名录</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717"/>
        <w:gridCol w:w="657"/>
        <w:gridCol w:w="3421"/>
        <w:gridCol w:w="132"/>
        <w:gridCol w:w="1124"/>
        <w:gridCol w:w="13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trPr>
        <w:tc>
          <w:tcPr>
            <w:tcW w:w="2717" w:type="dxa"/>
            <w:vAlign w:val="center"/>
          </w:tcPr>
          <w:p>
            <w:pPr>
              <w:spacing w:line="340" w:lineRule="exact"/>
              <w:ind w:firstLine="0" w:firstLineChars="0"/>
              <w:jc w:val="center"/>
              <w:rPr>
                <w:sz w:val="21"/>
                <w:szCs w:val="21"/>
              </w:rPr>
            </w:pPr>
            <w:r>
              <w:rPr>
                <w:sz w:val="21"/>
                <w:szCs w:val="21"/>
              </w:rPr>
              <w:t>种名拉丁名</w:t>
            </w:r>
          </w:p>
        </w:tc>
        <w:tc>
          <w:tcPr>
            <w:tcW w:w="657" w:type="dxa"/>
            <w:vAlign w:val="center"/>
          </w:tcPr>
          <w:p>
            <w:pPr>
              <w:spacing w:line="340" w:lineRule="exact"/>
              <w:ind w:firstLine="0" w:firstLineChars="0"/>
              <w:jc w:val="center"/>
              <w:rPr>
                <w:sz w:val="21"/>
                <w:szCs w:val="21"/>
              </w:rPr>
            </w:pPr>
            <w:r>
              <w:rPr>
                <w:sz w:val="21"/>
                <w:szCs w:val="21"/>
              </w:rPr>
              <w:t>数量</w:t>
            </w:r>
          </w:p>
        </w:tc>
        <w:tc>
          <w:tcPr>
            <w:tcW w:w="3421" w:type="dxa"/>
            <w:vAlign w:val="center"/>
          </w:tcPr>
          <w:p>
            <w:pPr>
              <w:spacing w:line="340" w:lineRule="exact"/>
              <w:ind w:firstLine="0" w:firstLineChars="0"/>
              <w:jc w:val="center"/>
              <w:rPr>
                <w:sz w:val="21"/>
                <w:szCs w:val="21"/>
              </w:rPr>
            </w:pPr>
            <w:r>
              <w:rPr>
                <w:sz w:val="21"/>
                <w:szCs w:val="21"/>
              </w:rPr>
              <w:t>习性及生境</w:t>
            </w:r>
          </w:p>
        </w:tc>
        <w:tc>
          <w:tcPr>
            <w:tcW w:w="1256" w:type="dxa"/>
            <w:gridSpan w:val="2"/>
            <w:vAlign w:val="center"/>
          </w:tcPr>
          <w:p>
            <w:pPr>
              <w:spacing w:line="340" w:lineRule="exact"/>
              <w:ind w:firstLine="0" w:firstLineChars="0"/>
              <w:jc w:val="center"/>
              <w:rPr>
                <w:sz w:val="21"/>
                <w:szCs w:val="21"/>
              </w:rPr>
            </w:pPr>
            <w:r>
              <w:rPr>
                <w:sz w:val="21"/>
                <w:szCs w:val="21"/>
              </w:rPr>
              <w:t>所属区系</w:t>
            </w:r>
          </w:p>
        </w:tc>
        <w:tc>
          <w:tcPr>
            <w:tcW w:w="1359" w:type="dxa"/>
            <w:vAlign w:val="center"/>
          </w:tcPr>
          <w:p>
            <w:pPr>
              <w:spacing w:line="340" w:lineRule="exact"/>
              <w:ind w:firstLine="0" w:firstLineChars="0"/>
              <w:jc w:val="center"/>
              <w:rPr>
                <w:sz w:val="21"/>
                <w:szCs w:val="21"/>
              </w:rPr>
            </w:pPr>
            <w:r>
              <w:rPr>
                <w:sz w:val="21"/>
                <w:szCs w:val="21"/>
              </w:rPr>
              <w:t>保护等级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一、龟鳖目TESTUDINATA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(一)龟科Emydidae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17" w:type="dxa"/>
            <w:vAlign w:val="center"/>
          </w:tcPr>
          <w:p>
            <w:pPr>
              <w:spacing w:line="340" w:lineRule="exact"/>
              <w:ind w:firstLine="0" w:firstLineChars="0"/>
              <w:rPr>
                <w:sz w:val="21"/>
                <w:szCs w:val="21"/>
              </w:rPr>
            </w:pPr>
            <w:r>
              <w:rPr>
                <w:sz w:val="21"/>
                <w:szCs w:val="21"/>
              </w:rPr>
              <w:t>1、乌龟Chinemysreevesii</w:t>
            </w:r>
          </w:p>
        </w:tc>
        <w:tc>
          <w:tcPr>
            <w:tcW w:w="657" w:type="dxa"/>
            <w:vAlign w:val="center"/>
          </w:tcPr>
          <w:p>
            <w:pPr>
              <w:spacing w:line="340" w:lineRule="exact"/>
              <w:ind w:firstLine="0" w:firstLineChars="0"/>
              <w:jc w:val="center"/>
              <w:rPr>
                <w:sz w:val="21"/>
                <w:szCs w:val="21"/>
              </w:rPr>
            </w:pPr>
            <w:r>
              <w:rPr>
                <w:sz w:val="21"/>
                <w:szCs w:val="21"/>
              </w:rPr>
              <w:t>+</w:t>
            </w:r>
          </w:p>
        </w:tc>
        <w:tc>
          <w:tcPr>
            <w:tcW w:w="3553" w:type="dxa"/>
            <w:gridSpan w:val="2"/>
            <w:vAlign w:val="center"/>
          </w:tcPr>
          <w:p>
            <w:pPr>
              <w:spacing w:line="340" w:lineRule="exact"/>
              <w:ind w:firstLine="0" w:firstLineChars="0"/>
              <w:jc w:val="center"/>
              <w:rPr>
                <w:sz w:val="21"/>
                <w:szCs w:val="21"/>
              </w:rPr>
            </w:pPr>
            <w:r>
              <w:rPr>
                <w:sz w:val="21"/>
                <w:szCs w:val="21"/>
              </w:rPr>
              <w:t>栖于河川、池沼和溪流岸边草丛</w:t>
            </w:r>
          </w:p>
        </w:tc>
        <w:tc>
          <w:tcPr>
            <w:tcW w:w="1124" w:type="dxa"/>
            <w:vAlign w:val="center"/>
          </w:tcPr>
          <w:p>
            <w:pPr>
              <w:spacing w:line="340" w:lineRule="exact"/>
              <w:ind w:firstLine="0" w:firstLineChars="0"/>
              <w:jc w:val="center"/>
              <w:rPr>
                <w:sz w:val="21"/>
                <w:szCs w:val="21"/>
              </w:rPr>
            </w:pPr>
            <w:r>
              <w:rPr>
                <w:sz w:val="21"/>
                <w:szCs w:val="21"/>
              </w:rPr>
              <w:t>广布种</w:t>
            </w:r>
          </w:p>
        </w:tc>
        <w:tc>
          <w:tcPr>
            <w:tcW w:w="1359" w:type="dxa"/>
            <w:vAlign w:val="center"/>
          </w:tcPr>
          <w:p>
            <w:pPr>
              <w:spacing w:line="340" w:lineRule="exact"/>
              <w:ind w:firstLine="0" w:firstLineChars="0"/>
              <w:jc w:val="center"/>
              <w:rPr>
                <w:sz w:val="21"/>
                <w:szCs w:val="21"/>
              </w:rPr>
            </w:pPr>
            <w:r>
              <w:rPr>
                <w:sz w:val="21"/>
                <w:szCs w:val="21"/>
              </w:rPr>
              <w:t>省三有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(二)鳖科Trionychidae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17" w:type="dxa"/>
            <w:vAlign w:val="center"/>
          </w:tcPr>
          <w:p>
            <w:pPr>
              <w:spacing w:line="340" w:lineRule="exact"/>
              <w:ind w:firstLine="0" w:firstLineChars="0"/>
              <w:rPr>
                <w:sz w:val="21"/>
                <w:szCs w:val="21"/>
              </w:rPr>
            </w:pPr>
            <w:r>
              <w:rPr>
                <w:sz w:val="21"/>
                <w:szCs w:val="21"/>
              </w:rPr>
              <w:t>2、鳖Trionyxsinensis</w:t>
            </w:r>
          </w:p>
        </w:tc>
        <w:tc>
          <w:tcPr>
            <w:tcW w:w="657" w:type="dxa"/>
            <w:vAlign w:val="center"/>
          </w:tcPr>
          <w:p>
            <w:pPr>
              <w:spacing w:line="340" w:lineRule="exact"/>
              <w:ind w:firstLine="0" w:firstLineChars="0"/>
              <w:jc w:val="center"/>
              <w:rPr>
                <w:sz w:val="21"/>
                <w:szCs w:val="21"/>
              </w:rPr>
            </w:pPr>
            <w:r>
              <w:rPr>
                <w:sz w:val="21"/>
                <w:szCs w:val="21"/>
              </w:rPr>
              <w:t>+</w:t>
            </w:r>
          </w:p>
        </w:tc>
        <w:tc>
          <w:tcPr>
            <w:tcW w:w="3553" w:type="dxa"/>
            <w:gridSpan w:val="2"/>
            <w:vAlign w:val="center"/>
          </w:tcPr>
          <w:p>
            <w:pPr>
              <w:spacing w:line="340" w:lineRule="exact"/>
              <w:ind w:firstLine="0" w:firstLineChars="0"/>
              <w:jc w:val="center"/>
              <w:rPr>
                <w:sz w:val="21"/>
                <w:szCs w:val="21"/>
              </w:rPr>
            </w:pPr>
            <w:r>
              <w:rPr>
                <w:sz w:val="21"/>
                <w:szCs w:val="21"/>
              </w:rPr>
              <w:t>生活在江河、湖沼、池塘、水库等</w:t>
            </w:r>
          </w:p>
        </w:tc>
        <w:tc>
          <w:tcPr>
            <w:tcW w:w="1124" w:type="dxa"/>
            <w:vAlign w:val="center"/>
          </w:tcPr>
          <w:p>
            <w:pPr>
              <w:spacing w:line="340" w:lineRule="exact"/>
              <w:ind w:firstLine="0" w:firstLineChars="0"/>
              <w:jc w:val="center"/>
              <w:rPr>
                <w:sz w:val="21"/>
                <w:szCs w:val="21"/>
              </w:rPr>
            </w:pPr>
            <w:r>
              <w:rPr>
                <w:sz w:val="21"/>
                <w:szCs w:val="21"/>
              </w:rPr>
              <w:t>广布种</w:t>
            </w:r>
          </w:p>
        </w:tc>
        <w:tc>
          <w:tcPr>
            <w:tcW w:w="1359" w:type="dxa"/>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二、有鳞目SQUAMATA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(三)蜥蜴科Lacertidae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17" w:type="dxa"/>
            <w:vAlign w:val="center"/>
          </w:tcPr>
          <w:p>
            <w:pPr>
              <w:spacing w:line="340" w:lineRule="exact"/>
              <w:ind w:firstLine="0" w:firstLineChars="0"/>
              <w:rPr>
                <w:sz w:val="21"/>
                <w:szCs w:val="21"/>
              </w:rPr>
            </w:pPr>
            <w:r>
              <w:rPr>
                <w:sz w:val="21"/>
                <w:szCs w:val="21"/>
              </w:rPr>
              <w:t>3、北草蜥</w:t>
            </w:r>
          </w:p>
          <w:p>
            <w:pPr>
              <w:spacing w:line="340" w:lineRule="exact"/>
              <w:ind w:firstLine="0" w:firstLineChars="0"/>
              <w:rPr>
                <w:sz w:val="21"/>
                <w:szCs w:val="21"/>
              </w:rPr>
            </w:pPr>
            <w:r>
              <w:rPr>
                <w:sz w:val="21"/>
                <w:szCs w:val="21"/>
              </w:rPr>
              <w:t>Takydromusseptentrionalis</w:t>
            </w:r>
          </w:p>
        </w:tc>
        <w:tc>
          <w:tcPr>
            <w:tcW w:w="657" w:type="dxa"/>
            <w:vAlign w:val="center"/>
          </w:tcPr>
          <w:p>
            <w:pPr>
              <w:spacing w:line="340" w:lineRule="exact"/>
              <w:ind w:firstLine="0" w:firstLineChars="0"/>
              <w:jc w:val="center"/>
              <w:rPr>
                <w:sz w:val="21"/>
                <w:szCs w:val="21"/>
              </w:rPr>
            </w:pPr>
            <w:r>
              <w:rPr>
                <w:sz w:val="21"/>
                <w:szCs w:val="21"/>
              </w:rPr>
              <w:t>++</w:t>
            </w:r>
          </w:p>
        </w:tc>
        <w:tc>
          <w:tcPr>
            <w:tcW w:w="3553" w:type="dxa"/>
            <w:gridSpan w:val="2"/>
            <w:vAlign w:val="center"/>
          </w:tcPr>
          <w:p>
            <w:pPr>
              <w:spacing w:line="340" w:lineRule="exact"/>
              <w:ind w:firstLine="0" w:firstLineChars="0"/>
              <w:jc w:val="center"/>
              <w:rPr>
                <w:sz w:val="21"/>
                <w:szCs w:val="21"/>
              </w:rPr>
            </w:pPr>
            <w:r>
              <w:rPr>
                <w:sz w:val="21"/>
                <w:szCs w:val="21"/>
              </w:rPr>
              <w:t>灌草丛、耕地广布种</w:t>
            </w:r>
          </w:p>
        </w:tc>
        <w:tc>
          <w:tcPr>
            <w:tcW w:w="1124" w:type="dxa"/>
            <w:vAlign w:val="center"/>
          </w:tcPr>
          <w:p>
            <w:pPr>
              <w:spacing w:line="340" w:lineRule="exact"/>
              <w:ind w:firstLine="0" w:firstLineChars="0"/>
              <w:jc w:val="center"/>
              <w:rPr>
                <w:sz w:val="21"/>
                <w:szCs w:val="21"/>
              </w:rPr>
            </w:pPr>
            <w:r>
              <w:rPr>
                <w:sz w:val="21"/>
                <w:szCs w:val="21"/>
              </w:rPr>
              <w:t>广布种</w:t>
            </w:r>
          </w:p>
        </w:tc>
        <w:tc>
          <w:tcPr>
            <w:tcW w:w="1359" w:type="dxa"/>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9410" w:type="dxa"/>
            <w:gridSpan w:val="6"/>
            <w:vAlign w:val="center"/>
          </w:tcPr>
          <w:p>
            <w:pPr>
              <w:spacing w:line="340" w:lineRule="exact"/>
              <w:ind w:firstLine="0" w:firstLineChars="0"/>
              <w:jc w:val="center"/>
              <w:rPr>
                <w:sz w:val="21"/>
                <w:szCs w:val="21"/>
              </w:rPr>
            </w:pPr>
            <w:r>
              <w:rPr>
                <w:sz w:val="21"/>
                <w:szCs w:val="21"/>
              </w:rPr>
              <w:t>(四)游蛇科Colubridae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17" w:type="dxa"/>
            <w:vAlign w:val="center"/>
          </w:tcPr>
          <w:p>
            <w:pPr>
              <w:spacing w:line="340" w:lineRule="exact"/>
              <w:ind w:firstLine="0" w:firstLineChars="0"/>
              <w:rPr>
                <w:sz w:val="21"/>
                <w:szCs w:val="21"/>
              </w:rPr>
            </w:pPr>
            <w:r>
              <w:rPr>
                <w:sz w:val="21"/>
                <w:szCs w:val="21"/>
              </w:rPr>
              <w:t>4、赤链蛇</w:t>
            </w:r>
          </w:p>
          <w:p>
            <w:pPr>
              <w:spacing w:line="340" w:lineRule="exact"/>
              <w:ind w:firstLine="0" w:firstLineChars="0"/>
              <w:rPr>
                <w:sz w:val="21"/>
                <w:szCs w:val="21"/>
              </w:rPr>
            </w:pPr>
            <w:r>
              <w:rPr>
                <w:sz w:val="21"/>
                <w:szCs w:val="21"/>
              </w:rPr>
              <w:t>Dinodonrufozonatum</w:t>
            </w:r>
          </w:p>
        </w:tc>
        <w:tc>
          <w:tcPr>
            <w:tcW w:w="657" w:type="dxa"/>
            <w:vAlign w:val="center"/>
          </w:tcPr>
          <w:p>
            <w:pPr>
              <w:spacing w:line="340" w:lineRule="exact"/>
              <w:ind w:firstLine="0" w:firstLineChars="0"/>
              <w:jc w:val="center"/>
              <w:rPr>
                <w:sz w:val="21"/>
                <w:szCs w:val="21"/>
              </w:rPr>
            </w:pPr>
            <w:r>
              <w:rPr>
                <w:sz w:val="21"/>
                <w:szCs w:val="21"/>
              </w:rPr>
              <w:t>++</w:t>
            </w:r>
          </w:p>
        </w:tc>
        <w:tc>
          <w:tcPr>
            <w:tcW w:w="3553" w:type="dxa"/>
            <w:gridSpan w:val="2"/>
            <w:vAlign w:val="center"/>
          </w:tcPr>
          <w:p>
            <w:pPr>
              <w:spacing w:line="340" w:lineRule="exact"/>
              <w:ind w:firstLine="0" w:firstLineChars="0"/>
              <w:jc w:val="center"/>
              <w:rPr>
                <w:sz w:val="21"/>
                <w:szCs w:val="21"/>
              </w:rPr>
            </w:pPr>
            <w:r>
              <w:rPr>
                <w:sz w:val="21"/>
                <w:szCs w:val="21"/>
              </w:rPr>
              <w:t>丘陵地区平原田野，常见于住宅周围</w:t>
            </w:r>
          </w:p>
        </w:tc>
        <w:tc>
          <w:tcPr>
            <w:tcW w:w="1124" w:type="dxa"/>
            <w:vAlign w:val="center"/>
          </w:tcPr>
          <w:p>
            <w:pPr>
              <w:spacing w:line="340" w:lineRule="exact"/>
              <w:ind w:firstLine="0" w:firstLineChars="0"/>
              <w:jc w:val="center"/>
              <w:rPr>
                <w:sz w:val="21"/>
                <w:szCs w:val="21"/>
              </w:rPr>
            </w:pPr>
            <w:r>
              <w:rPr>
                <w:sz w:val="21"/>
                <w:szCs w:val="21"/>
              </w:rPr>
              <w:t>广布种</w:t>
            </w:r>
          </w:p>
        </w:tc>
        <w:tc>
          <w:tcPr>
            <w:tcW w:w="1359" w:type="dxa"/>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717" w:type="dxa"/>
            <w:vAlign w:val="center"/>
          </w:tcPr>
          <w:p>
            <w:pPr>
              <w:spacing w:line="340" w:lineRule="exact"/>
              <w:ind w:firstLine="0" w:firstLineChars="0"/>
              <w:rPr>
                <w:sz w:val="21"/>
                <w:szCs w:val="21"/>
              </w:rPr>
            </w:pPr>
            <w:r>
              <w:rPr>
                <w:sz w:val="21"/>
                <w:szCs w:val="21"/>
              </w:rPr>
              <w:t>5、中国水蛇</w:t>
            </w:r>
          </w:p>
          <w:p>
            <w:pPr>
              <w:spacing w:line="340" w:lineRule="exact"/>
              <w:ind w:firstLine="0" w:firstLineChars="0"/>
              <w:rPr>
                <w:sz w:val="21"/>
                <w:szCs w:val="21"/>
              </w:rPr>
            </w:pPr>
            <w:r>
              <w:rPr>
                <w:sz w:val="21"/>
                <w:szCs w:val="21"/>
              </w:rPr>
              <w:t>Enhydrischinensis</w:t>
            </w:r>
          </w:p>
        </w:tc>
        <w:tc>
          <w:tcPr>
            <w:tcW w:w="657" w:type="dxa"/>
            <w:vAlign w:val="center"/>
          </w:tcPr>
          <w:p>
            <w:pPr>
              <w:spacing w:line="340" w:lineRule="exact"/>
              <w:ind w:firstLine="0" w:firstLineChars="0"/>
              <w:jc w:val="center"/>
              <w:rPr>
                <w:sz w:val="21"/>
                <w:szCs w:val="21"/>
              </w:rPr>
            </w:pPr>
            <w:r>
              <w:rPr>
                <w:sz w:val="21"/>
                <w:szCs w:val="21"/>
              </w:rPr>
              <w:t>++</w:t>
            </w:r>
          </w:p>
        </w:tc>
        <w:tc>
          <w:tcPr>
            <w:tcW w:w="3553" w:type="dxa"/>
            <w:gridSpan w:val="2"/>
            <w:vAlign w:val="center"/>
          </w:tcPr>
          <w:p>
            <w:pPr>
              <w:spacing w:line="340" w:lineRule="exact"/>
              <w:ind w:firstLine="0" w:firstLineChars="0"/>
              <w:jc w:val="center"/>
              <w:rPr>
                <w:sz w:val="21"/>
                <w:szCs w:val="21"/>
              </w:rPr>
            </w:pPr>
            <w:r>
              <w:rPr>
                <w:sz w:val="21"/>
                <w:szCs w:val="21"/>
              </w:rPr>
              <w:t>溪流、池塘、水田、沟渠</w:t>
            </w:r>
          </w:p>
        </w:tc>
        <w:tc>
          <w:tcPr>
            <w:tcW w:w="1124" w:type="dxa"/>
            <w:vAlign w:val="center"/>
          </w:tcPr>
          <w:p>
            <w:pPr>
              <w:spacing w:line="340" w:lineRule="exact"/>
              <w:ind w:firstLine="0" w:firstLineChars="0"/>
              <w:jc w:val="center"/>
              <w:rPr>
                <w:sz w:val="21"/>
                <w:szCs w:val="21"/>
              </w:rPr>
            </w:pPr>
            <w:r>
              <w:rPr>
                <w:sz w:val="21"/>
                <w:szCs w:val="21"/>
              </w:rPr>
              <w:t>东洋种</w:t>
            </w:r>
          </w:p>
        </w:tc>
        <w:tc>
          <w:tcPr>
            <w:tcW w:w="1359" w:type="dxa"/>
            <w:vAlign w:val="center"/>
          </w:tcPr>
          <w:p>
            <w:pPr>
              <w:spacing w:line="340" w:lineRule="exact"/>
              <w:ind w:firstLine="0" w:firstLineChars="0"/>
              <w:jc w:val="center"/>
              <w:rPr>
                <w:sz w:val="21"/>
                <w:szCs w:val="21"/>
              </w:rPr>
            </w:pPr>
            <w:r>
              <w:rPr>
                <w:sz w:val="21"/>
                <w:szCs w:val="21"/>
              </w:rPr>
              <w:t>未列入</w:t>
            </w:r>
          </w:p>
        </w:tc>
      </w:tr>
    </w:tbl>
    <w:p>
      <w:pPr>
        <w:ind w:firstLine="480"/>
      </w:pPr>
      <w:r>
        <w:rPr>
          <w:rFonts w:hint="eastAsia" w:ascii="宋体" w:hAnsi="宋体" w:cs="宋体"/>
        </w:rPr>
        <w:t>②</w:t>
      </w:r>
      <w:r>
        <w:t>两栖类的区系特征</w:t>
      </w:r>
    </w:p>
    <w:p>
      <w:pPr>
        <w:ind w:firstLine="480"/>
      </w:pPr>
      <w:r>
        <w:t>由于两栖动物扩散能力较差，活动范围狭窄，多分布于潮湿温暖的地带。另外，两栖类动物的繁育也要在水中进行，皮肤因渗透性而不耐干燥。故其区系组成相对稳定，最能反映出一个地区的动物地理特征。</w:t>
      </w:r>
    </w:p>
    <w:p>
      <w:pPr>
        <w:ind w:firstLine="480"/>
      </w:pPr>
      <w:r>
        <w:t>评价范围两栖类属于《国家保护的有益的或者有重要经济、科学研究价值的陆生野生动物名录》物种有中华蟾蜍、沼蛙等，其中中华蟾蜍、黑斑(侧褶)蛙属江西省级重点保护野生动物。</w:t>
      </w:r>
    </w:p>
    <w:p>
      <w:pPr>
        <w:ind w:firstLine="480"/>
      </w:pPr>
      <w:r>
        <w:t>根据中国动物地理区划，本区属东洋界华中区之东部丘陵平原亚区，在省级动物地理区划上位于赣西北丘陵山地省。本区现记录的3种两栖类中，中华蟾蜍指名亚种、黑斑(侧褶)蛙为广布种，</w:t>
      </w:r>
      <w:r>
        <w:rPr>
          <w:szCs w:val="24"/>
        </w:rPr>
        <w:t>沼蛙</w:t>
      </w:r>
      <w:r>
        <w:t>为东洋界成分，无古北界成分。</w:t>
      </w:r>
    </w:p>
    <w:p>
      <w:pPr>
        <w:ind w:firstLine="480"/>
      </w:pPr>
      <w:r>
        <w:rPr>
          <w:rFonts w:hint="eastAsia" w:ascii="宋体" w:hAnsi="宋体" w:cs="宋体"/>
        </w:rPr>
        <w:t>③</w:t>
      </w:r>
      <w:r>
        <w:t>爬行类种类及分布</w:t>
      </w:r>
    </w:p>
    <w:p>
      <w:pPr>
        <w:ind w:firstLine="480"/>
      </w:pPr>
      <w:r>
        <w:t>本区爬行动物在本区内分布较广，遇见率较高的物种有中华石龙子、北草蜥、</w:t>
      </w:r>
      <w:r>
        <w:rPr>
          <w:szCs w:val="24"/>
        </w:rPr>
        <w:t>赤链蛇</w:t>
      </w:r>
      <w:r>
        <w:t>等。省级级重点保护动物有1种，为鳖。</w:t>
      </w:r>
    </w:p>
    <w:p>
      <w:pPr>
        <w:ind w:firstLine="482"/>
        <w:rPr>
          <w:b/>
        </w:rPr>
      </w:pPr>
      <w:r>
        <w:rPr>
          <w:rFonts w:hint="eastAsia" w:ascii="宋体" w:hAnsi="宋体" w:cs="宋体"/>
          <w:b/>
          <w:szCs w:val="24"/>
        </w:rPr>
        <w:t>⑵</w:t>
      </w:r>
      <w:r>
        <w:rPr>
          <w:b/>
        </w:rPr>
        <w:t>鸟类</w:t>
      </w:r>
    </w:p>
    <w:p>
      <w:pPr>
        <w:ind w:firstLine="480"/>
      </w:pPr>
      <w:r>
        <w:t>本次鸟类调查在项目区内共统计到鸟类13种，隶属6目12科，见表4.</w:t>
      </w:r>
      <w:r>
        <w:rPr>
          <w:rFonts w:hint="eastAsia"/>
        </w:rPr>
        <w:t>5</w:t>
      </w:r>
      <w:r>
        <w:t>-24。</w:t>
      </w:r>
    </w:p>
    <w:p>
      <w:pPr>
        <w:ind w:firstLine="456"/>
        <w:rPr>
          <w:spacing w:val="-6"/>
        </w:rPr>
      </w:pPr>
      <w:r>
        <w:rPr>
          <w:spacing w:val="-6"/>
        </w:rPr>
        <w:t>根据调查结果统计，在评价区鸟类中收入《国家保护的有益的或者有重要经济、科学研究价值的陆生野生动物名录》的有：灰胸竹鸡、画眉。省级重点保护动物有：白鹭、灰胸竹鸡、画眉等5种。</w:t>
      </w:r>
    </w:p>
    <w:p>
      <w:pPr>
        <w:spacing w:before="120" w:beforeLines="50" w:line="240" w:lineRule="auto"/>
        <w:ind w:firstLine="0" w:firstLineChars="0"/>
        <w:jc w:val="center"/>
        <w:rPr>
          <w:rFonts w:ascii="黑体" w:hAnsi="黑体" w:eastAsia="黑体" w:cs="黑体"/>
        </w:rPr>
      </w:pPr>
      <w:r>
        <w:rPr>
          <w:rFonts w:hint="eastAsia" w:ascii="黑体" w:hAnsi="黑体" w:eastAsia="黑体" w:cs="黑体"/>
        </w:rPr>
        <w:t>表4.5-</w:t>
      </w:r>
      <w:r>
        <w:rPr>
          <w:rFonts w:ascii="黑体" w:hAnsi="黑体" w:eastAsia="黑体" w:cs="黑体"/>
        </w:rPr>
        <w:t>24</w:t>
      </w:r>
      <w:r>
        <w:rPr>
          <w:rFonts w:hint="eastAsia" w:ascii="黑体" w:hAnsi="黑体" w:eastAsia="黑体" w:cs="黑体"/>
        </w:rPr>
        <w:t xml:space="preserve">  评价区鸟类名录</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234"/>
        <w:gridCol w:w="708"/>
        <w:gridCol w:w="779"/>
        <w:gridCol w:w="920"/>
        <w:gridCol w:w="3747"/>
        <w:gridCol w:w="10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trPr>
        <w:tc>
          <w:tcPr>
            <w:tcW w:w="1187" w:type="pct"/>
            <w:vAlign w:val="center"/>
          </w:tcPr>
          <w:p>
            <w:pPr>
              <w:spacing w:line="340" w:lineRule="exact"/>
              <w:ind w:firstLine="0" w:firstLineChars="0"/>
              <w:jc w:val="center"/>
              <w:rPr>
                <w:sz w:val="21"/>
                <w:szCs w:val="21"/>
              </w:rPr>
            </w:pPr>
            <w:r>
              <w:rPr>
                <w:sz w:val="21"/>
                <w:szCs w:val="21"/>
              </w:rPr>
              <w:t>中文名学名</w:t>
            </w:r>
          </w:p>
        </w:tc>
        <w:tc>
          <w:tcPr>
            <w:tcW w:w="376" w:type="pct"/>
            <w:vAlign w:val="center"/>
          </w:tcPr>
          <w:p>
            <w:pPr>
              <w:spacing w:line="340" w:lineRule="exact"/>
              <w:ind w:firstLine="0" w:firstLineChars="0"/>
              <w:jc w:val="center"/>
              <w:rPr>
                <w:sz w:val="21"/>
                <w:szCs w:val="21"/>
              </w:rPr>
            </w:pPr>
            <w:r>
              <w:rPr>
                <w:sz w:val="21"/>
                <w:szCs w:val="21"/>
              </w:rPr>
              <w:t>居留型</w:t>
            </w:r>
          </w:p>
        </w:tc>
        <w:tc>
          <w:tcPr>
            <w:tcW w:w="414" w:type="pct"/>
            <w:vAlign w:val="center"/>
          </w:tcPr>
          <w:p>
            <w:pPr>
              <w:spacing w:line="340" w:lineRule="exact"/>
              <w:ind w:firstLine="0" w:firstLineChars="0"/>
              <w:jc w:val="center"/>
              <w:rPr>
                <w:sz w:val="21"/>
                <w:szCs w:val="21"/>
              </w:rPr>
            </w:pPr>
            <w:r>
              <w:rPr>
                <w:sz w:val="21"/>
                <w:szCs w:val="21"/>
              </w:rPr>
              <w:t>区系</w:t>
            </w:r>
          </w:p>
        </w:tc>
        <w:tc>
          <w:tcPr>
            <w:tcW w:w="489" w:type="pct"/>
            <w:vAlign w:val="center"/>
          </w:tcPr>
          <w:p>
            <w:pPr>
              <w:spacing w:line="340" w:lineRule="exact"/>
              <w:ind w:firstLine="0" w:firstLineChars="0"/>
              <w:jc w:val="center"/>
              <w:rPr>
                <w:sz w:val="21"/>
                <w:szCs w:val="21"/>
              </w:rPr>
            </w:pPr>
            <w:r>
              <w:rPr>
                <w:sz w:val="21"/>
                <w:szCs w:val="21"/>
              </w:rPr>
              <w:t>种群状况</w:t>
            </w:r>
          </w:p>
        </w:tc>
        <w:tc>
          <w:tcPr>
            <w:tcW w:w="1991" w:type="pct"/>
            <w:vAlign w:val="center"/>
          </w:tcPr>
          <w:p>
            <w:pPr>
              <w:spacing w:line="340" w:lineRule="exact"/>
              <w:ind w:firstLine="0" w:firstLineChars="0"/>
              <w:jc w:val="center"/>
              <w:rPr>
                <w:sz w:val="21"/>
                <w:szCs w:val="21"/>
              </w:rPr>
            </w:pPr>
            <w:r>
              <w:rPr>
                <w:sz w:val="21"/>
                <w:szCs w:val="21"/>
              </w:rPr>
              <w:t>习性及生境</w:t>
            </w:r>
          </w:p>
        </w:tc>
        <w:tc>
          <w:tcPr>
            <w:tcW w:w="540" w:type="pct"/>
            <w:vAlign w:val="center"/>
          </w:tcPr>
          <w:p>
            <w:pPr>
              <w:spacing w:line="340" w:lineRule="exact"/>
              <w:ind w:firstLine="0" w:firstLineChars="0"/>
              <w:jc w:val="center"/>
              <w:rPr>
                <w:sz w:val="21"/>
                <w:szCs w:val="21"/>
              </w:rPr>
            </w:pPr>
            <w:r>
              <w:rPr>
                <w:sz w:val="21"/>
                <w:szCs w:val="21"/>
              </w:rPr>
              <w:t>保护等级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一、鹳形目CICONIIFORMES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（一）鹭科Ardeidae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1、白鹭</w:t>
            </w:r>
          </w:p>
          <w:p>
            <w:pPr>
              <w:spacing w:line="340" w:lineRule="exact"/>
              <w:ind w:firstLine="0" w:firstLineChars="0"/>
              <w:jc w:val="center"/>
              <w:rPr>
                <w:sz w:val="21"/>
                <w:szCs w:val="21"/>
              </w:rPr>
            </w:pPr>
            <w:r>
              <w:rPr>
                <w:sz w:val="21"/>
                <w:szCs w:val="21"/>
              </w:rPr>
              <w:t>Egrettagarzetta</w:t>
            </w:r>
          </w:p>
        </w:tc>
        <w:tc>
          <w:tcPr>
            <w:tcW w:w="376" w:type="pct"/>
            <w:vAlign w:val="center"/>
          </w:tcPr>
          <w:p>
            <w:pPr>
              <w:spacing w:line="340" w:lineRule="exact"/>
              <w:ind w:firstLine="0" w:firstLineChars="0"/>
              <w:jc w:val="center"/>
              <w:rPr>
                <w:sz w:val="21"/>
                <w:szCs w:val="21"/>
              </w:rPr>
            </w:pPr>
            <w:r>
              <w:rPr>
                <w:sz w:val="21"/>
                <w:szCs w:val="21"/>
              </w:rPr>
              <w:t>夏</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栖于稻田、河岸、泥滩地。常与池鹭、夜鹭混群营巢于杉林树冠层。</w:t>
            </w:r>
          </w:p>
        </w:tc>
        <w:tc>
          <w:tcPr>
            <w:tcW w:w="540" w:type="pct"/>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2、夜鹭</w:t>
            </w:r>
          </w:p>
          <w:p>
            <w:pPr>
              <w:spacing w:line="340" w:lineRule="exact"/>
              <w:ind w:firstLine="0" w:firstLineChars="0"/>
              <w:jc w:val="center"/>
              <w:rPr>
                <w:sz w:val="21"/>
                <w:szCs w:val="21"/>
              </w:rPr>
            </w:pPr>
            <w:r>
              <w:rPr>
                <w:sz w:val="21"/>
                <w:szCs w:val="21"/>
              </w:rPr>
              <w:t>Nycticoraxnycticorax</w:t>
            </w:r>
          </w:p>
        </w:tc>
        <w:tc>
          <w:tcPr>
            <w:tcW w:w="376" w:type="pct"/>
            <w:vAlign w:val="center"/>
          </w:tcPr>
          <w:p>
            <w:pPr>
              <w:spacing w:line="340" w:lineRule="exact"/>
              <w:ind w:firstLine="0" w:firstLineChars="0"/>
              <w:jc w:val="center"/>
              <w:rPr>
                <w:sz w:val="21"/>
                <w:szCs w:val="21"/>
              </w:rPr>
            </w:pPr>
            <w:r>
              <w:rPr>
                <w:sz w:val="21"/>
                <w:szCs w:val="21"/>
              </w:rPr>
              <w:t>夏</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白天多群栖树上休息，黄昏时分散于稻田、草地及水渠旁觅食。</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二、鸡形目GALLIFORMES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（二）雉科Phasianidae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rPr>
                <w:sz w:val="21"/>
                <w:szCs w:val="21"/>
              </w:rPr>
            </w:pPr>
            <w:r>
              <w:rPr>
                <w:sz w:val="21"/>
                <w:szCs w:val="21"/>
              </w:rPr>
              <w:t>3、灰胸竹鸡</w:t>
            </w:r>
          </w:p>
          <w:p>
            <w:pPr>
              <w:spacing w:line="340" w:lineRule="exact"/>
              <w:ind w:firstLine="0" w:firstLineChars="0"/>
              <w:jc w:val="center"/>
              <w:rPr>
                <w:sz w:val="21"/>
                <w:szCs w:val="21"/>
              </w:rPr>
            </w:pPr>
            <w:r>
              <w:rPr>
                <w:sz w:val="21"/>
                <w:szCs w:val="21"/>
              </w:rPr>
              <w:t>Bambusicolathoracica</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东</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活动于矮树丛、竹林灌丛或林缘灌草丛，群栖。</w:t>
            </w:r>
          </w:p>
        </w:tc>
        <w:tc>
          <w:tcPr>
            <w:tcW w:w="540" w:type="pct"/>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三、雨燕目APODIFORMES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（三）雨燕科Apodidae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4、小白腰雨燕</w:t>
            </w:r>
          </w:p>
          <w:p>
            <w:pPr>
              <w:spacing w:line="340" w:lineRule="exact"/>
              <w:ind w:firstLine="0" w:firstLineChars="0"/>
              <w:jc w:val="center"/>
              <w:rPr>
                <w:sz w:val="21"/>
                <w:szCs w:val="21"/>
              </w:rPr>
            </w:pPr>
            <w:r>
              <w:rPr>
                <w:sz w:val="21"/>
                <w:szCs w:val="21"/>
              </w:rPr>
              <w:t>Apusaffinis</w:t>
            </w:r>
          </w:p>
        </w:tc>
        <w:tc>
          <w:tcPr>
            <w:tcW w:w="376" w:type="pct"/>
            <w:vAlign w:val="center"/>
          </w:tcPr>
          <w:p>
            <w:pPr>
              <w:spacing w:line="340" w:lineRule="exact"/>
              <w:ind w:firstLine="0" w:firstLineChars="0"/>
              <w:jc w:val="center"/>
              <w:rPr>
                <w:sz w:val="21"/>
                <w:szCs w:val="21"/>
              </w:rPr>
            </w:pPr>
            <w:r>
              <w:rPr>
                <w:sz w:val="21"/>
                <w:szCs w:val="21"/>
              </w:rPr>
              <w:t>夏</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成群于空中捕食，营巢于城镇高楼屋檐下。</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四、佛法僧目CORACIIFORMES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（四）翠鸟科Alcedinidae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5、普通翠鸟</w:t>
            </w:r>
          </w:p>
          <w:p>
            <w:pPr>
              <w:spacing w:line="340" w:lineRule="exact"/>
              <w:ind w:firstLine="0" w:firstLineChars="0"/>
              <w:jc w:val="center"/>
              <w:rPr>
                <w:sz w:val="21"/>
                <w:szCs w:val="21"/>
              </w:rPr>
            </w:pPr>
            <w:r>
              <w:rPr>
                <w:sz w:val="21"/>
                <w:szCs w:val="21"/>
              </w:rPr>
              <w:t>Alcedoatthis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出沿于湖泊、溪流、鱼塘。栖于突兀的岩石或枝头，俯冲入水捕鱼。</w:t>
            </w:r>
          </w:p>
        </w:tc>
        <w:tc>
          <w:tcPr>
            <w:tcW w:w="540" w:type="pct"/>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五、䴕形目PICIFORMES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（五）啄木鸟科Picidae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rPr>
                <w:sz w:val="21"/>
                <w:szCs w:val="21"/>
              </w:rPr>
            </w:pPr>
            <w:r>
              <w:rPr>
                <w:sz w:val="21"/>
                <w:szCs w:val="21"/>
              </w:rPr>
              <w:t>6、黑枕绿啄木鸟</w:t>
            </w:r>
          </w:p>
          <w:p>
            <w:pPr>
              <w:spacing w:line="340" w:lineRule="exact"/>
              <w:ind w:firstLine="0" w:firstLineChars="0"/>
              <w:jc w:val="center"/>
              <w:rPr>
                <w:sz w:val="21"/>
                <w:szCs w:val="21"/>
              </w:rPr>
            </w:pPr>
            <w:r>
              <w:rPr>
                <w:sz w:val="21"/>
                <w:szCs w:val="21"/>
              </w:rPr>
              <w:t>Picuscanus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常于林地及林缘活动，村落附近树林常见。</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六、雀形目PASSERIFORMES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（六）燕科Hirundinidae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7、家燕</w:t>
            </w:r>
          </w:p>
          <w:p>
            <w:pPr>
              <w:spacing w:line="340" w:lineRule="exact"/>
              <w:ind w:firstLine="0" w:firstLineChars="0"/>
              <w:jc w:val="center"/>
              <w:rPr>
                <w:sz w:val="21"/>
                <w:szCs w:val="21"/>
              </w:rPr>
            </w:pPr>
            <w:r>
              <w:rPr>
                <w:sz w:val="21"/>
                <w:szCs w:val="21"/>
              </w:rPr>
              <w:t>Hirundorustica</w:t>
            </w:r>
          </w:p>
        </w:tc>
        <w:tc>
          <w:tcPr>
            <w:tcW w:w="376" w:type="pct"/>
            <w:vAlign w:val="center"/>
          </w:tcPr>
          <w:p>
            <w:pPr>
              <w:spacing w:line="340" w:lineRule="exact"/>
              <w:ind w:firstLine="0" w:firstLineChars="0"/>
              <w:jc w:val="center"/>
              <w:rPr>
                <w:sz w:val="21"/>
                <w:szCs w:val="21"/>
              </w:rPr>
            </w:pPr>
            <w:r>
              <w:rPr>
                <w:sz w:val="21"/>
                <w:szCs w:val="21"/>
              </w:rPr>
              <w:t>夏</w:t>
            </w:r>
          </w:p>
        </w:tc>
        <w:tc>
          <w:tcPr>
            <w:tcW w:w="414" w:type="pct"/>
            <w:vAlign w:val="center"/>
          </w:tcPr>
          <w:p>
            <w:pPr>
              <w:spacing w:line="340" w:lineRule="exact"/>
              <w:ind w:firstLine="0" w:firstLineChars="0"/>
              <w:jc w:val="center"/>
              <w:rPr>
                <w:sz w:val="21"/>
                <w:szCs w:val="21"/>
              </w:rPr>
            </w:pPr>
            <w:r>
              <w:rPr>
                <w:sz w:val="21"/>
                <w:szCs w:val="21"/>
              </w:rPr>
              <w:t>北</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成群在空中觅食，常停于电线.枯枝.营巢于房檐下。</w:t>
            </w:r>
          </w:p>
        </w:tc>
        <w:tc>
          <w:tcPr>
            <w:tcW w:w="540" w:type="pct"/>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（七）鹎科Pycnonotidae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8、白头鹎</w:t>
            </w:r>
          </w:p>
          <w:p>
            <w:pPr>
              <w:spacing w:line="340" w:lineRule="exact"/>
              <w:ind w:firstLine="0" w:firstLineChars="0"/>
              <w:jc w:val="center"/>
              <w:rPr>
                <w:sz w:val="21"/>
                <w:szCs w:val="21"/>
              </w:rPr>
            </w:pPr>
            <w:r>
              <w:rPr>
                <w:sz w:val="21"/>
                <w:szCs w:val="21"/>
              </w:rPr>
              <w:t>Pycnonotussinensis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东</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center"/>
              <w:rPr>
                <w:sz w:val="21"/>
                <w:szCs w:val="21"/>
              </w:rPr>
            </w:pPr>
            <w:r>
              <w:rPr>
                <w:sz w:val="21"/>
                <w:szCs w:val="21"/>
              </w:rPr>
              <w:t>栖于各类型树林、灌丛、果园及庭院树上。</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（八）椋鸟科Sturnidae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9、八哥</w:t>
            </w:r>
          </w:p>
          <w:p>
            <w:pPr>
              <w:spacing w:line="340" w:lineRule="exact"/>
              <w:ind w:firstLine="0" w:firstLineChars="0"/>
              <w:jc w:val="center"/>
              <w:rPr>
                <w:sz w:val="21"/>
                <w:szCs w:val="21"/>
              </w:rPr>
            </w:pPr>
            <w:r>
              <w:rPr>
                <w:sz w:val="21"/>
                <w:szCs w:val="21"/>
              </w:rPr>
              <w:t>Acridotherescristatellus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东</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结小群活动于旷野、田园，在耕作区觅食，喜在牛旁觅食昆虫。</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（九）鸦科Corvidae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10、松鸦</w:t>
            </w:r>
          </w:p>
          <w:p>
            <w:pPr>
              <w:spacing w:line="340" w:lineRule="exact"/>
              <w:ind w:firstLine="0" w:firstLineChars="0"/>
              <w:jc w:val="center"/>
              <w:rPr>
                <w:sz w:val="21"/>
                <w:szCs w:val="21"/>
              </w:rPr>
            </w:pPr>
            <w:r>
              <w:rPr>
                <w:sz w:val="21"/>
                <w:szCs w:val="21"/>
              </w:rPr>
              <w:t>Garrulusglandarius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北</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left"/>
              <w:rPr>
                <w:sz w:val="21"/>
                <w:szCs w:val="21"/>
              </w:rPr>
            </w:pPr>
            <w:r>
              <w:rPr>
                <w:sz w:val="21"/>
                <w:szCs w:val="21"/>
              </w:rPr>
              <w:t>栖于森林，以果实、鸟卵、橡树子为食，也食腐肉。</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（十）画眉科Timaliidae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11、画眉Garrulaxcanorus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东</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center"/>
              <w:rPr>
                <w:sz w:val="21"/>
                <w:szCs w:val="21"/>
              </w:rPr>
            </w:pPr>
            <w:r>
              <w:rPr>
                <w:sz w:val="21"/>
                <w:szCs w:val="21"/>
              </w:rPr>
              <w:t>成对栖于次生林及灌丛间。</w:t>
            </w:r>
          </w:p>
        </w:tc>
        <w:tc>
          <w:tcPr>
            <w:tcW w:w="540" w:type="pct"/>
            <w:vAlign w:val="center"/>
          </w:tcPr>
          <w:p>
            <w:pPr>
              <w:spacing w:line="340" w:lineRule="exact"/>
              <w:ind w:firstLine="0" w:firstLineChars="0"/>
              <w:jc w:val="center"/>
              <w:rPr>
                <w:sz w:val="21"/>
                <w:szCs w:val="21"/>
              </w:rPr>
            </w:pPr>
            <w:r>
              <w:rPr>
                <w:sz w:val="21"/>
                <w:szCs w:val="21"/>
              </w:rPr>
              <w:t>省重点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（十一）文鸟科Ploceidae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12、(树)麻雀</w:t>
            </w:r>
          </w:p>
          <w:p>
            <w:pPr>
              <w:spacing w:line="340" w:lineRule="exact"/>
              <w:ind w:firstLine="0" w:firstLineChars="0"/>
              <w:jc w:val="center"/>
              <w:rPr>
                <w:sz w:val="21"/>
                <w:szCs w:val="21"/>
              </w:rPr>
            </w:pPr>
            <w:r>
              <w:rPr>
                <w:sz w:val="21"/>
                <w:szCs w:val="21"/>
              </w:rPr>
              <w:t>Passermontanus</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广</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center"/>
              <w:rPr>
                <w:sz w:val="21"/>
                <w:szCs w:val="21"/>
              </w:rPr>
            </w:pPr>
            <w:r>
              <w:rPr>
                <w:sz w:val="21"/>
                <w:szCs w:val="21"/>
              </w:rPr>
              <w:t>栖于稀疏林地、村庄、农田，以及城镇中。</w:t>
            </w:r>
          </w:p>
        </w:tc>
        <w:tc>
          <w:tcPr>
            <w:tcW w:w="540" w:type="pct"/>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000" w:type="pct"/>
            <w:gridSpan w:val="6"/>
            <w:vAlign w:val="center"/>
          </w:tcPr>
          <w:p>
            <w:pPr>
              <w:spacing w:line="340" w:lineRule="exact"/>
              <w:ind w:firstLine="0" w:firstLineChars="0"/>
              <w:jc w:val="center"/>
              <w:rPr>
                <w:sz w:val="21"/>
                <w:szCs w:val="21"/>
              </w:rPr>
            </w:pPr>
            <w:r>
              <w:rPr>
                <w:sz w:val="21"/>
                <w:szCs w:val="21"/>
              </w:rPr>
              <w:t>（十二）雀科Fringillidae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187" w:type="pct"/>
            <w:vAlign w:val="center"/>
          </w:tcPr>
          <w:p>
            <w:pPr>
              <w:spacing w:line="340" w:lineRule="exact"/>
              <w:ind w:firstLine="0" w:firstLineChars="0"/>
              <w:jc w:val="center"/>
              <w:rPr>
                <w:sz w:val="21"/>
                <w:szCs w:val="21"/>
              </w:rPr>
            </w:pPr>
            <w:r>
              <w:rPr>
                <w:sz w:val="21"/>
                <w:szCs w:val="21"/>
              </w:rPr>
              <w:t>13、黑尾蜡嘴雀</w:t>
            </w:r>
          </w:p>
          <w:p>
            <w:pPr>
              <w:spacing w:line="340" w:lineRule="exact"/>
              <w:ind w:firstLine="0" w:firstLineChars="0"/>
              <w:jc w:val="center"/>
              <w:rPr>
                <w:sz w:val="21"/>
                <w:szCs w:val="21"/>
              </w:rPr>
            </w:pPr>
            <w:r>
              <w:rPr>
                <w:sz w:val="21"/>
                <w:szCs w:val="21"/>
              </w:rPr>
              <w:t>Eophonamigratoria</w:t>
            </w:r>
          </w:p>
        </w:tc>
        <w:tc>
          <w:tcPr>
            <w:tcW w:w="376" w:type="pct"/>
            <w:vAlign w:val="center"/>
          </w:tcPr>
          <w:p>
            <w:pPr>
              <w:spacing w:line="340" w:lineRule="exact"/>
              <w:ind w:firstLine="0" w:firstLineChars="0"/>
              <w:jc w:val="center"/>
              <w:rPr>
                <w:sz w:val="21"/>
                <w:szCs w:val="21"/>
              </w:rPr>
            </w:pPr>
            <w:r>
              <w:rPr>
                <w:sz w:val="21"/>
                <w:szCs w:val="21"/>
              </w:rPr>
              <w:t>留</w:t>
            </w:r>
          </w:p>
        </w:tc>
        <w:tc>
          <w:tcPr>
            <w:tcW w:w="414" w:type="pct"/>
            <w:vAlign w:val="center"/>
          </w:tcPr>
          <w:p>
            <w:pPr>
              <w:spacing w:line="340" w:lineRule="exact"/>
              <w:ind w:firstLine="0" w:firstLineChars="0"/>
              <w:jc w:val="center"/>
              <w:rPr>
                <w:sz w:val="21"/>
                <w:szCs w:val="21"/>
              </w:rPr>
            </w:pPr>
            <w:r>
              <w:rPr>
                <w:sz w:val="21"/>
                <w:szCs w:val="21"/>
              </w:rPr>
              <w:t>北</w:t>
            </w:r>
          </w:p>
        </w:tc>
        <w:tc>
          <w:tcPr>
            <w:tcW w:w="489" w:type="pct"/>
            <w:vAlign w:val="center"/>
          </w:tcPr>
          <w:p>
            <w:pPr>
              <w:spacing w:line="340" w:lineRule="exact"/>
              <w:ind w:firstLine="0" w:firstLineChars="0"/>
              <w:jc w:val="center"/>
              <w:rPr>
                <w:sz w:val="21"/>
                <w:szCs w:val="21"/>
              </w:rPr>
            </w:pPr>
            <w:r>
              <w:rPr>
                <w:sz w:val="21"/>
                <w:szCs w:val="21"/>
              </w:rPr>
              <w:t>++</w:t>
            </w:r>
          </w:p>
        </w:tc>
        <w:tc>
          <w:tcPr>
            <w:tcW w:w="1991" w:type="pct"/>
            <w:vAlign w:val="center"/>
          </w:tcPr>
          <w:p>
            <w:pPr>
              <w:spacing w:line="340" w:lineRule="exact"/>
              <w:ind w:firstLine="0" w:firstLineChars="0"/>
              <w:jc w:val="center"/>
              <w:rPr>
                <w:sz w:val="21"/>
                <w:szCs w:val="21"/>
              </w:rPr>
            </w:pPr>
            <w:r>
              <w:rPr>
                <w:sz w:val="21"/>
                <w:szCs w:val="21"/>
              </w:rPr>
              <w:t>栖息于耕地附近的树林、果园间，从不见于密林。</w:t>
            </w:r>
          </w:p>
        </w:tc>
        <w:tc>
          <w:tcPr>
            <w:tcW w:w="540" w:type="pct"/>
            <w:vAlign w:val="center"/>
          </w:tcPr>
          <w:p>
            <w:pPr>
              <w:spacing w:line="340" w:lineRule="exact"/>
              <w:ind w:firstLine="0" w:firstLineChars="0"/>
              <w:jc w:val="center"/>
              <w:rPr>
                <w:sz w:val="21"/>
                <w:szCs w:val="21"/>
              </w:rPr>
            </w:pPr>
            <w:r>
              <w:rPr>
                <w:sz w:val="21"/>
                <w:szCs w:val="21"/>
              </w:rPr>
              <w:t>未列入</w:t>
            </w:r>
          </w:p>
        </w:tc>
      </w:tr>
    </w:tbl>
    <w:p>
      <w:pPr>
        <w:spacing w:line="0" w:lineRule="atLeast"/>
        <w:ind w:firstLine="344"/>
        <w:rPr>
          <w:spacing w:val="-4"/>
          <w:kern w:val="0"/>
          <w:sz w:val="18"/>
          <w:szCs w:val="18"/>
        </w:rPr>
      </w:pPr>
      <w:r>
        <w:rPr>
          <w:spacing w:val="-4"/>
          <w:kern w:val="0"/>
          <w:sz w:val="18"/>
          <w:szCs w:val="18"/>
        </w:rPr>
        <w:t>注:“留”指留鸟，“夏”指夏候鸟，“冬”指冬候鸟；“东”指东洋种，“广”指广布种，“北”指古北种。</w:t>
      </w:r>
    </w:p>
    <w:p>
      <w:pPr>
        <w:spacing w:before="120" w:beforeLines="50"/>
        <w:ind w:firstLine="482"/>
        <w:rPr>
          <w:b/>
        </w:rPr>
      </w:pPr>
      <w:r>
        <w:rPr>
          <w:rFonts w:hint="eastAsia" w:ascii="宋体" w:hAnsi="宋体" w:cs="宋体"/>
          <w:b/>
          <w:szCs w:val="24"/>
        </w:rPr>
        <w:t>⑶</w:t>
      </w:r>
      <w:r>
        <w:rPr>
          <w:b/>
        </w:rPr>
        <w:t>兽类</w:t>
      </w:r>
    </w:p>
    <w:p>
      <w:pPr>
        <w:ind w:firstLine="480"/>
      </w:pPr>
      <w:r>
        <w:t>经调查访问，项目区共有2目3科4种，详见表4.</w:t>
      </w:r>
      <w:r>
        <w:rPr>
          <w:rFonts w:hint="eastAsia"/>
        </w:rPr>
        <w:t>5</w:t>
      </w:r>
      <w:r>
        <w:t>-25。评价范围没有其种群的集中分布地或阶段性重要栖息地。</w:t>
      </w:r>
    </w:p>
    <w:p>
      <w:pPr>
        <w:spacing w:before="120" w:beforeLines="50" w:line="240" w:lineRule="auto"/>
        <w:ind w:firstLine="480"/>
        <w:jc w:val="center"/>
        <w:rPr>
          <w:rFonts w:ascii="黑体" w:hAnsi="黑体" w:eastAsia="黑体" w:cs="黑体"/>
        </w:rPr>
      </w:pPr>
      <w:r>
        <w:rPr>
          <w:rFonts w:hint="eastAsia" w:ascii="黑体" w:hAnsi="黑体" w:eastAsia="黑体" w:cs="黑体"/>
        </w:rPr>
        <w:t>表4.5-</w:t>
      </w:r>
      <w:r>
        <w:rPr>
          <w:rFonts w:ascii="黑体" w:hAnsi="黑体" w:eastAsia="黑体" w:cs="黑体"/>
        </w:rPr>
        <w:t>25</w:t>
      </w:r>
      <w:r>
        <w:rPr>
          <w:rFonts w:hint="eastAsia" w:ascii="黑体" w:hAnsi="黑体" w:eastAsia="黑体" w:cs="黑体"/>
        </w:rPr>
        <w:t xml:space="preserve">  评价区兽类名录</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183"/>
        <w:gridCol w:w="649"/>
        <w:gridCol w:w="1106"/>
        <w:gridCol w:w="3196"/>
        <w:gridCol w:w="1213"/>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tblHeader/>
          <w:jc w:val="center"/>
        </w:trPr>
        <w:tc>
          <w:tcPr>
            <w:tcW w:w="2183" w:type="dxa"/>
            <w:vAlign w:val="center"/>
          </w:tcPr>
          <w:p>
            <w:pPr>
              <w:spacing w:line="340" w:lineRule="exact"/>
              <w:ind w:firstLine="0" w:firstLineChars="0"/>
              <w:jc w:val="center"/>
              <w:rPr>
                <w:sz w:val="21"/>
                <w:szCs w:val="21"/>
              </w:rPr>
            </w:pPr>
            <w:r>
              <w:rPr>
                <w:sz w:val="21"/>
                <w:szCs w:val="21"/>
              </w:rPr>
              <w:t>中文种名学名</w:t>
            </w:r>
          </w:p>
        </w:tc>
        <w:tc>
          <w:tcPr>
            <w:tcW w:w="649" w:type="dxa"/>
            <w:vAlign w:val="center"/>
          </w:tcPr>
          <w:p>
            <w:pPr>
              <w:spacing w:line="340" w:lineRule="exact"/>
              <w:ind w:firstLine="0" w:firstLineChars="0"/>
              <w:jc w:val="center"/>
              <w:rPr>
                <w:sz w:val="21"/>
                <w:szCs w:val="21"/>
              </w:rPr>
            </w:pPr>
            <w:r>
              <w:rPr>
                <w:sz w:val="21"/>
                <w:szCs w:val="21"/>
              </w:rPr>
              <w:t>区系</w:t>
            </w:r>
          </w:p>
        </w:tc>
        <w:tc>
          <w:tcPr>
            <w:tcW w:w="1106" w:type="dxa"/>
            <w:vAlign w:val="center"/>
          </w:tcPr>
          <w:p>
            <w:pPr>
              <w:spacing w:line="340" w:lineRule="exact"/>
              <w:ind w:firstLine="0" w:firstLineChars="0"/>
              <w:jc w:val="center"/>
              <w:rPr>
                <w:sz w:val="21"/>
                <w:szCs w:val="21"/>
              </w:rPr>
            </w:pPr>
            <w:r>
              <w:rPr>
                <w:sz w:val="21"/>
                <w:szCs w:val="21"/>
              </w:rPr>
              <w:t>种群现状</w:t>
            </w:r>
          </w:p>
        </w:tc>
        <w:tc>
          <w:tcPr>
            <w:tcW w:w="3196" w:type="dxa"/>
            <w:vAlign w:val="center"/>
          </w:tcPr>
          <w:p>
            <w:pPr>
              <w:spacing w:line="340" w:lineRule="exact"/>
              <w:ind w:firstLine="0" w:firstLineChars="0"/>
              <w:jc w:val="center"/>
              <w:rPr>
                <w:sz w:val="21"/>
                <w:szCs w:val="21"/>
              </w:rPr>
            </w:pPr>
            <w:r>
              <w:rPr>
                <w:sz w:val="21"/>
                <w:szCs w:val="21"/>
              </w:rPr>
              <w:t>习性及生境</w:t>
            </w:r>
          </w:p>
        </w:tc>
        <w:tc>
          <w:tcPr>
            <w:tcW w:w="1213" w:type="dxa"/>
            <w:vAlign w:val="center"/>
          </w:tcPr>
          <w:p>
            <w:pPr>
              <w:spacing w:line="340" w:lineRule="exact"/>
              <w:ind w:firstLine="0" w:firstLineChars="0"/>
              <w:jc w:val="center"/>
              <w:rPr>
                <w:sz w:val="21"/>
                <w:szCs w:val="21"/>
              </w:rPr>
            </w:pPr>
            <w:r>
              <w:rPr>
                <w:sz w:val="21"/>
                <w:szCs w:val="21"/>
              </w:rPr>
              <w:t>分布</w:t>
            </w:r>
          </w:p>
        </w:tc>
        <w:tc>
          <w:tcPr>
            <w:tcW w:w="1063" w:type="dxa"/>
            <w:vAlign w:val="center"/>
          </w:tcPr>
          <w:p>
            <w:pPr>
              <w:spacing w:line="340" w:lineRule="exact"/>
              <w:ind w:firstLine="0" w:firstLineChars="0"/>
              <w:jc w:val="center"/>
              <w:rPr>
                <w:sz w:val="21"/>
                <w:szCs w:val="21"/>
              </w:rPr>
            </w:pPr>
            <w:r>
              <w:rPr>
                <w:sz w:val="21"/>
                <w:szCs w:val="21"/>
              </w:rPr>
              <w:t>保护等级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9410" w:type="dxa"/>
            <w:gridSpan w:val="6"/>
            <w:vAlign w:val="center"/>
          </w:tcPr>
          <w:p>
            <w:pPr>
              <w:spacing w:line="340" w:lineRule="exact"/>
              <w:ind w:firstLine="0" w:firstLineChars="0"/>
              <w:jc w:val="center"/>
              <w:rPr>
                <w:sz w:val="21"/>
                <w:szCs w:val="21"/>
              </w:rPr>
            </w:pPr>
            <w:r>
              <w:rPr>
                <w:sz w:val="21"/>
                <w:szCs w:val="21"/>
              </w:rPr>
              <w:t>一、翼手目CHIROPTERA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9410" w:type="dxa"/>
            <w:gridSpan w:val="6"/>
            <w:vAlign w:val="center"/>
          </w:tcPr>
          <w:p>
            <w:pPr>
              <w:spacing w:line="340" w:lineRule="exact"/>
              <w:ind w:firstLine="0" w:firstLineChars="0"/>
              <w:jc w:val="center"/>
              <w:rPr>
                <w:sz w:val="21"/>
                <w:szCs w:val="21"/>
              </w:rPr>
            </w:pPr>
            <w:r>
              <w:rPr>
                <w:sz w:val="21"/>
                <w:szCs w:val="21"/>
              </w:rPr>
              <w:t>(一)蹄蝠科Hipposideridae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2183" w:type="dxa"/>
            <w:vAlign w:val="center"/>
          </w:tcPr>
          <w:p>
            <w:pPr>
              <w:spacing w:line="340" w:lineRule="exact"/>
              <w:ind w:firstLine="0" w:firstLineChars="0"/>
              <w:rPr>
                <w:sz w:val="21"/>
                <w:szCs w:val="21"/>
              </w:rPr>
            </w:pPr>
            <w:r>
              <w:rPr>
                <w:sz w:val="21"/>
                <w:szCs w:val="21"/>
              </w:rPr>
              <w:t>1、大蹄蝠</w:t>
            </w:r>
          </w:p>
          <w:p>
            <w:pPr>
              <w:spacing w:line="340" w:lineRule="exact"/>
              <w:ind w:firstLine="0" w:firstLineChars="0"/>
              <w:rPr>
                <w:sz w:val="21"/>
                <w:szCs w:val="21"/>
              </w:rPr>
            </w:pPr>
            <w:r>
              <w:rPr>
                <w:sz w:val="21"/>
                <w:szCs w:val="21"/>
              </w:rPr>
              <w:t>Hipposiderosarmiger</w:t>
            </w:r>
          </w:p>
        </w:tc>
        <w:tc>
          <w:tcPr>
            <w:tcW w:w="649" w:type="dxa"/>
            <w:vAlign w:val="center"/>
          </w:tcPr>
          <w:p>
            <w:pPr>
              <w:spacing w:line="340" w:lineRule="exact"/>
              <w:ind w:firstLine="0" w:firstLineChars="0"/>
              <w:jc w:val="center"/>
              <w:rPr>
                <w:sz w:val="21"/>
                <w:szCs w:val="21"/>
              </w:rPr>
            </w:pPr>
            <w:r>
              <w:rPr>
                <w:sz w:val="21"/>
                <w:szCs w:val="21"/>
              </w:rPr>
              <w:t>东</w:t>
            </w:r>
          </w:p>
        </w:tc>
        <w:tc>
          <w:tcPr>
            <w:tcW w:w="1106" w:type="dxa"/>
            <w:vAlign w:val="center"/>
          </w:tcPr>
          <w:p>
            <w:pPr>
              <w:spacing w:line="340" w:lineRule="exact"/>
              <w:ind w:firstLine="0" w:firstLineChars="0"/>
              <w:jc w:val="center"/>
              <w:rPr>
                <w:sz w:val="21"/>
                <w:szCs w:val="21"/>
              </w:rPr>
            </w:pPr>
            <w:r>
              <w:rPr>
                <w:sz w:val="21"/>
                <w:szCs w:val="21"/>
              </w:rPr>
              <w:t>+</w:t>
            </w:r>
          </w:p>
        </w:tc>
        <w:tc>
          <w:tcPr>
            <w:tcW w:w="3196" w:type="dxa"/>
            <w:vAlign w:val="center"/>
          </w:tcPr>
          <w:p>
            <w:pPr>
              <w:spacing w:line="340" w:lineRule="exact"/>
              <w:ind w:firstLine="0" w:firstLineChars="0"/>
              <w:jc w:val="left"/>
              <w:rPr>
                <w:sz w:val="21"/>
                <w:szCs w:val="21"/>
              </w:rPr>
            </w:pPr>
            <w:r>
              <w:rPr>
                <w:sz w:val="21"/>
                <w:szCs w:val="21"/>
              </w:rPr>
              <w:t>栖于岩洞或高大庙房，常集群与其他蝠类共居。</w:t>
            </w:r>
          </w:p>
        </w:tc>
        <w:tc>
          <w:tcPr>
            <w:tcW w:w="1213" w:type="dxa"/>
            <w:vAlign w:val="center"/>
          </w:tcPr>
          <w:p>
            <w:pPr>
              <w:spacing w:line="340" w:lineRule="exact"/>
              <w:ind w:firstLine="0" w:firstLineChars="0"/>
              <w:jc w:val="center"/>
              <w:rPr>
                <w:sz w:val="21"/>
                <w:szCs w:val="21"/>
              </w:rPr>
            </w:pPr>
            <w:r>
              <w:rPr>
                <w:sz w:val="21"/>
                <w:szCs w:val="21"/>
              </w:rPr>
              <w:t>评价区山岩洞穴</w:t>
            </w:r>
          </w:p>
        </w:tc>
        <w:tc>
          <w:tcPr>
            <w:tcW w:w="1063" w:type="dxa"/>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9410" w:type="dxa"/>
            <w:gridSpan w:val="6"/>
            <w:vAlign w:val="center"/>
          </w:tcPr>
          <w:p>
            <w:pPr>
              <w:spacing w:line="340" w:lineRule="exact"/>
              <w:ind w:firstLine="0" w:firstLineChars="0"/>
              <w:jc w:val="center"/>
              <w:rPr>
                <w:sz w:val="21"/>
                <w:szCs w:val="21"/>
              </w:rPr>
            </w:pPr>
            <w:r>
              <w:rPr>
                <w:sz w:val="21"/>
                <w:szCs w:val="21"/>
              </w:rPr>
              <w:t>(二)蝙幅科Vespertilionidae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2183" w:type="dxa"/>
            <w:vAlign w:val="center"/>
          </w:tcPr>
          <w:p>
            <w:pPr>
              <w:spacing w:line="340" w:lineRule="exact"/>
              <w:ind w:firstLine="0" w:firstLineChars="0"/>
              <w:rPr>
                <w:sz w:val="21"/>
                <w:szCs w:val="21"/>
              </w:rPr>
            </w:pPr>
            <w:r>
              <w:rPr>
                <w:sz w:val="21"/>
                <w:szCs w:val="21"/>
              </w:rPr>
              <w:t>2、褐山蝠</w:t>
            </w:r>
          </w:p>
          <w:p>
            <w:pPr>
              <w:spacing w:line="340" w:lineRule="exact"/>
              <w:ind w:firstLine="0" w:firstLineChars="0"/>
              <w:rPr>
                <w:sz w:val="21"/>
                <w:szCs w:val="21"/>
              </w:rPr>
            </w:pPr>
            <w:r>
              <w:rPr>
                <w:sz w:val="21"/>
                <w:szCs w:val="21"/>
              </w:rPr>
              <w:t>Nyctalusnotula</w:t>
            </w:r>
          </w:p>
        </w:tc>
        <w:tc>
          <w:tcPr>
            <w:tcW w:w="649" w:type="dxa"/>
            <w:vAlign w:val="center"/>
          </w:tcPr>
          <w:p>
            <w:pPr>
              <w:spacing w:line="340" w:lineRule="exact"/>
              <w:ind w:firstLine="0" w:firstLineChars="0"/>
              <w:jc w:val="center"/>
              <w:rPr>
                <w:sz w:val="21"/>
                <w:szCs w:val="21"/>
              </w:rPr>
            </w:pPr>
            <w:r>
              <w:rPr>
                <w:sz w:val="21"/>
                <w:szCs w:val="21"/>
              </w:rPr>
              <w:t>广</w:t>
            </w:r>
          </w:p>
        </w:tc>
        <w:tc>
          <w:tcPr>
            <w:tcW w:w="1106" w:type="dxa"/>
            <w:vAlign w:val="center"/>
          </w:tcPr>
          <w:p>
            <w:pPr>
              <w:spacing w:line="340" w:lineRule="exact"/>
              <w:ind w:firstLine="0" w:firstLineChars="0"/>
              <w:jc w:val="center"/>
              <w:rPr>
                <w:sz w:val="21"/>
                <w:szCs w:val="21"/>
              </w:rPr>
            </w:pPr>
            <w:r>
              <w:rPr>
                <w:sz w:val="21"/>
                <w:szCs w:val="21"/>
              </w:rPr>
              <w:t>++</w:t>
            </w:r>
          </w:p>
        </w:tc>
        <w:tc>
          <w:tcPr>
            <w:tcW w:w="3196" w:type="dxa"/>
            <w:vAlign w:val="center"/>
          </w:tcPr>
          <w:p>
            <w:pPr>
              <w:spacing w:line="340" w:lineRule="exact"/>
              <w:ind w:firstLine="0" w:firstLineChars="0"/>
              <w:jc w:val="left"/>
              <w:rPr>
                <w:sz w:val="21"/>
                <w:szCs w:val="21"/>
              </w:rPr>
            </w:pPr>
            <w:r>
              <w:rPr>
                <w:sz w:val="21"/>
                <w:szCs w:val="21"/>
              </w:rPr>
              <w:t>多栖于老式建筑物内，如天花板、墙缝，也栖于树洞。</w:t>
            </w:r>
          </w:p>
        </w:tc>
        <w:tc>
          <w:tcPr>
            <w:tcW w:w="1213" w:type="dxa"/>
            <w:vAlign w:val="center"/>
          </w:tcPr>
          <w:p>
            <w:pPr>
              <w:spacing w:line="340" w:lineRule="exact"/>
              <w:ind w:firstLine="0" w:firstLineChars="0"/>
              <w:jc w:val="center"/>
              <w:rPr>
                <w:sz w:val="21"/>
                <w:szCs w:val="21"/>
              </w:rPr>
            </w:pPr>
            <w:r>
              <w:rPr>
                <w:sz w:val="21"/>
                <w:szCs w:val="21"/>
              </w:rPr>
              <w:t>评价区村落附近</w:t>
            </w:r>
          </w:p>
        </w:tc>
        <w:tc>
          <w:tcPr>
            <w:tcW w:w="1063" w:type="dxa"/>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9410" w:type="dxa"/>
            <w:gridSpan w:val="6"/>
            <w:vAlign w:val="center"/>
          </w:tcPr>
          <w:p>
            <w:pPr>
              <w:spacing w:line="340" w:lineRule="exact"/>
              <w:ind w:firstLine="0" w:firstLineChars="0"/>
              <w:jc w:val="center"/>
              <w:rPr>
                <w:sz w:val="21"/>
                <w:szCs w:val="21"/>
              </w:rPr>
            </w:pPr>
            <w:r>
              <w:rPr>
                <w:sz w:val="21"/>
                <w:szCs w:val="21"/>
              </w:rPr>
              <w:t>二、啮齿目RODENTIA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9410" w:type="dxa"/>
            <w:gridSpan w:val="6"/>
            <w:vAlign w:val="center"/>
          </w:tcPr>
          <w:p>
            <w:pPr>
              <w:spacing w:line="340" w:lineRule="exact"/>
              <w:ind w:firstLine="0" w:firstLineChars="0"/>
              <w:jc w:val="center"/>
              <w:rPr>
                <w:sz w:val="21"/>
                <w:szCs w:val="21"/>
              </w:rPr>
            </w:pPr>
            <w:r>
              <w:rPr>
                <w:sz w:val="21"/>
                <w:szCs w:val="21"/>
              </w:rPr>
              <w:t>(三)鼠科Muridae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2183" w:type="dxa"/>
            <w:vAlign w:val="center"/>
          </w:tcPr>
          <w:p>
            <w:pPr>
              <w:spacing w:line="340" w:lineRule="exact"/>
              <w:ind w:firstLine="0" w:firstLineChars="0"/>
              <w:jc w:val="center"/>
              <w:rPr>
                <w:sz w:val="21"/>
                <w:szCs w:val="21"/>
              </w:rPr>
            </w:pPr>
            <w:r>
              <w:rPr>
                <w:sz w:val="21"/>
                <w:szCs w:val="21"/>
              </w:rPr>
              <w:t>3、小家鼠Musmusculus</w:t>
            </w:r>
          </w:p>
        </w:tc>
        <w:tc>
          <w:tcPr>
            <w:tcW w:w="649" w:type="dxa"/>
            <w:vAlign w:val="center"/>
          </w:tcPr>
          <w:p>
            <w:pPr>
              <w:spacing w:line="340" w:lineRule="exact"/>
              <w:ind w:firstLine="0" w:firstLineChars="0"/>
              <w:jc w:val="center"/>
              <w:rPr>
                <w:sz w:val="21"/>
                <w:szCs w:val="21"/>
              </w:rPr>
            </w:pPr>
            <w:r>
              <w:rPr>
                <w:sz w:val="21"/>
                <w:szCs w:val="21"/>
              </w:rPr>
              <w:t>广</w:t>
            </w:r>
          </w:p>
        </w:tc>
        <w:tc>
          <w:tcPr>
            <w:tcW w:w="1106" w:type="dxa"/>
            <w:vAlign w:val="center"/>
          </w:tcPr>
          <w:p>
            <w:pPr>
              <w:spacing w:line="340" w:lineRule="exact"/>
              <w:ind w:firstLine="0" w:firstLineChars="0"/>
              <w:jc w:val="center"/>
              <w:rPr>
                <w:sz w:val="21"/>
                <w:szCs w:val="21"/>
              </w:rPr>
            </w:pPr>
            <w:r>
              <w:rPr>
                <w:sz w:val="21"/>
                <w:szCs w:val="21"/>
              </w:rPr>
              <w:t>++</w:t>
            </w:r>
          </w:p>
        </w:tc>
        <w:tc>
          <w:tcPr>
            <w:tcW w:w="3196" w:type="dxa"/>
            <w:vAlign w:val="center"/>
          </w:tcPr>
          <w:p>
            <w:pPr>
              <w:spacing w:line="340" w:lineRule="exact"/>
              <w:ind w:firstLine="0" w:firstLineChars="0"/>
              <w:jc w:val="left"/>
              <w:rPr>
                <w:sz w:val="21"/>
                <w:szCs w:val="21"/>
              </w:rPr>
            </w:pPr>
            <w:r>
              <w:rPr>
                <w:sz w:val="21"/>
                <w:szCs w:val="21"/>
              </w:rPr>
              <w:t>喜栖于住宅、仓库以及田野、林地等处。</w:t>
            </w:r>
          </w:p>
        </w:tc>
        <w:tc>
          <w:tcPr>
            <w:tcW w:w="1213" w:type="dxa"/>
            <w:vAlign w:val="center"/>
          </w:tcPr>
          <w:p>
            <w:pPr>
              <w:spacing w:line="340" w:lineRule="exact"/>
              <w:ind w:firstLine="0" w:firstLineChars="0"/>
              <w:jc w:val="center"/>
              <w:rPr>
                <w:sz w:val="21"/>
                <w:szCs w:val="21"/>
              </w:rPr>
            </w:pPr>
            <w:r>
              <w:rPr>
                <w:sz w:val="21"/>
                <w:szCs w:val="21"/>
              </w:rPr>
              <w:t>评价区广布</w:t>
            </w:r>
          </w:p>
        </w:tc>
        <w:tc>
          <w:tcPr>
            <w:tcW w:w="1063" w:type="dxa"/>
            <w:vAlign w:val="center"/>
          </w:tcPr>
          <w:p>
            <w:pPr>
              <w:spacing w:line="340" w:lineRule="exact"/>
              <w:ind w:firstLine="0" w:firstLineChars="0"/>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69" w:hRule="atLeast"/>
          <w:jc w:val="center"/>
        </w:trPr>
        <w:tc>
          <w:tcPr>
            <w:tcW w:w="2183" w:type="dxa"/>
            <w:vAlign w:val="center"/>
          </w:tcPr>
          <w:p>
            <w:pPr>
              <w:spacing w:line="340" w:lineRule="exact"/>
              <w:ind w:firstLine="0" w:firstLineChars="0"/>
              <w:jc w:val="center"/>
              <w:rPr>
                <w:sz w:val="21"/>
                <w:szCs w:val="21"/>
              </w:rPr>
            </w:pPr>
            <w:r>
              <w:rPr>
                <w:sz w:val="21"/>
                <w:szCs w:val="21"/>
              </w:rPr>
              <w:t>4、黄胸鼠R.flavipectus</w:t>
            </w:r>
          </w:p>
        </w:tc>
        <w:tc>
          <w:tcPr>
            <w:tcW w:w="649" w:type="dxa"/>
            <w:vAlign w:val="center"/>
          </w:tcPr>
          <w:p>
            <w:pPr>
              <w:spacing w:line="340" w:lineRule="exact"/>
              <w:ind w:firstLine="0" w:firstLineChars="0"/>
              <w:jc w:val="center"/>
              <w:rPr>
                <w:sz w:val="21"/>
                <w:szCs w:val="21"/>
              </w:rPr>
            </w:pPr>
            <w:r>
              <w:rPr>
                <w:sz w:val="21"/>
                <w:szCs w:val="21"/>
              </w:rPr>
              <w:t>东</w:t>
            </w:r>
          </w:p>
        </w:tc>
        <w:tc>
          <w:tcPr>
            <w:tcW w:w="1106" w:type="dxa"/>
            <w:vAlign w:val="center"/>
          </w:tcPr>
          <w:p>
            <w:pPr>
              <w:spacing w:line="340" w:lineRule="exact"/>
              <w:ind w:firstLine="0" w:firstLineChars="0"/>
              <w:jc w:val="center"/>
              <w:rPr>
                <w:sz w:val="21"/>
                <w:szCs w:val="21"/>
              </w:rPr>
            </w:pPr>
            <w:r>
              <w:rPr>
                <w:sz w:val="21"/>
                <w:szCs w:val="21"/>
              </w:rPr>
              <w:t>++</w:t>
            </w:r>
          </w:p>
        </w:tc>
        <w:tc>
          <w:tcPr>
            <w:tcW w:w="3196" w:type="dxa"/>
            <w:vAlign w:val="center"/>
          </w:tcPr>
          <w:p>
            <w:pPr>
              <w:spacing w:line="340" w:lineRule="exact"/>
              <w:ind w:firstLine="0" w:firstLineChars="0"/>
              <w:jc w:val="left"/>
              <w:rPr>
                <w:sz w:val="21"/>
                <w:szCs w:val="21"/>
              </w:rPr>
            </w:pPr>
            <w:r>
              <w:rPr>
                <w:sz w:val="21"/>
                <w:szCs w:val="21"/>
              </w:rPr>
              <w:t>多于住房、仓库内挖洞穴居。</w:t>
            </w:r>
          </w:p>
        </w:tc>
        <w:tc>
          <w:tcPr>
            <w:tcW w:w="1213" w:type="dxa"/>
            <w:vAlign w:val="center"/>
          </w:tcPr>
          <w:p>
            <w:pPr>
              <w:spacing w:line="340" w:lineRule="exact"/>
              <w:ind w:firstLine="0" w:firstLineChars="0"/>
              <w:jc w:val="center"/>
              <w:rPr>
                <w:sz w:val="21"/>
                <w:szCs w:val="21"/>
              </w:rPr>
            </w:pPr>
            <w:r>
              <w:rPr>
                <w:sz w:val="21"/>
                <w:szCs w:val="21"/>
              </w:rPr>
              <w:t>村落附近</w:t>
            </w:r>
          </w:p>
        </w:tc>
        <w:tc>
          <w:tcPr>
            <w:tcW w:w="1063" w:type="dxa"/>
            <w:vAlign w:val="center"/>
          </w:tcPr>
          <w:p>
            <w:pPr>
              <w:spacing w:line="340" w:lineRule="exact"/>
              <w:ind w:firstLine="0" w:firstLineChars="0"/>
              <w:jc w:val="center"/>
              <w:rPr>
                <w:sz w:val="21"/>
                <w:szCs w:val="21"/>
              </w:rPr>
            </w:pPr>
            <w:r>
              <w:rPr>
                <w:sz w:val="21"/>
                <w:szCs w:val="21"/>
              </w:rPr>
              <w:t>未列入</w:t>
            </w:r>
          </w:p>
        </w:tc>
      </w:tr>
    </w:tbl>
    <w:p>
      <w:pPr>
        <w:pStyle w:val="835"/>
        <w:spacing w:before="120" w:beforeLines="50" w:line="360" w:lineRule="auto"/>
      </w:pPr>
      <w:bookmarkStart w:id="775" w:name="_Toc3903286"/>
      <w:bookmarkStart w:id="776" w:name="_Toc246220442"/>
      <w:bookmarkStart w:id="777" w:name="_Toc233337856"/>
      <w:bookmarkStart w:id="778" w:name="_Toc534807064"/>
      <w:bookmarkStart w:id="779" w:name="_Toc534386305"/>
      <w:bookmarkStart w:id="780" w:name="_Toc534895281"/>
      <w:bookmarkStart w:id="781" w:name="_Toc536265149"/>
      <w:r>
        <w:t>4.</w:t>
      </w:r>
      <w:r>
        <w:rPr>
          <w:rFonts w:hint="eastAsia"/>
        </w:rPr>
        <w:t>5</w:t>
      </w:r>
      <w:r>
        <w:t>.</w:t>
      </w:r>
      <w:r>
        <w:rPr>
          <w:rFonts w:hint="eastAsia"/>
        </w:rPr>
        <w:t>7</w:t>
      </w:r>
      <w:r>
        <w:t>水生生物</w:t>
      </w:r>
      <w:bookmarkEnd w:id="775"/>
      <w:bookmarkEnd w:id="776"/>
      <w:bookmarkEnd w:id="777"/>
      <w:bookmarkEnd w:id="778"/>
      <w:bookmarkEnd w:id="779"/>
      <w:bookmarkEnd w:id="780"/>
      <w:bookmarkEnd w:id="781"/>
    </w:p>
    <w:p>
      <w:pPr>
        <w:ind w:firstLine="472"/>
      </w:pPr>
      <w:r>
        <w:rPr>
          <w:rFonts w:hint="eastAsia"/>
          <w:spacing w:val="-2"/>
        </w:rPr>
        <w:t>为了解工程涉及区域水生生态环境现状，本次环评委托计数单位于2022 年</w:t>
      </w:r>
      <w:r>
        <w:rPr>
          <w:spacing w:val="-2"/>
        </w:rPr>
        <w:t>7</w:t>
      </w:r>
      <w:r>
        <w:rPr>
          <w:rFonts w:hint="eastAsia"/>
          <w:spacing w:val="-2"/>
        </w:rPr>
        <w:t>月进行了实地调查。</w:t>
      </w:r>
      <w:r>
        <w:rPr>
          <w:rFonts w:hint="eastAsia"/>
        </w:rPr>
        <w:t>水生评价范围为团结电站坝址至利高水电站坝址河段（分别长约</w:t>
      </w:r>
      <w:r>
        <w:t>28</w:t>
      </w:r>
      <w:r>
        <w:rPr>
          <w:rFonts w:hint="eastAsia"/>
        </w:rPr>
        <w:t>km）。</w:t>
      </w:r>
    </w:p>
    <w:p>
      <w:pPr>
        <w:pStyle w:val="2"/>
        <w:spacing w:after="100" w:afterAutospacing="1"/>
        <w:ind w:left="0" w:leftChars="0" w:firstLine="480"/>
      </w:pPr>
      <w:r>
        <w:rPr>
          <w:rFonts w:hint="eastAsia"/>
        </w:rPr>
        <w:t>为全面评价工程建设前后对坝下河流及水库的影响，本次调查共设置水生生态调查考虑设置6 个点位，包括团结水库坝址上游（S1）、团结水电站退水段（S2）、滨江公园（S3）、本项目坝址（S4）、上湾村附近（S5）以及利高水电站坝址（S6）。</w:t>
      </w:r>
    </w:p>
    <w:p>
      <w:pPr>
        <w:pStyle w:val="295"/>
        <w:spacing w:before="120" w:beforeLines="50" w:line="240" w:lineRule="auto"/>
        <w:ind w:firstLine="0" w:firstLineChars="0"/>
        <w:jc w:val="center"/>
        <w:rPr>
          <w:rFonts w:ascii="黑体" w:hAnsi="黑体" w:eastAsia="黑体" w:cs="黑体"/>
          <w:snapToGrid/>
          <w:kern w:val="2"/>
          <w:szCs w:val="21"/>
        </w:rPr>
      </w:pPr>
      <w:r>
        <w:rPr>
          <w:rFonts w:hint="eastAsia" w:ascii="黑体" w:hAnsi="黑体" w:eastAsia="黑体" w:cs="黑体"/>
          <w:snapToGrid/>
          <w:kern w:val="2"/>
          <w:szCs w:val="21"/>
        </w:rPr>
        <w:t>表4.5-2</w:t>
      </w:r>
      <w:r>
        <w:rPr>
          <w:rFonts w:ascii="黑体" w:hAnsi="黑体" w:eastAsia="黑体" w:cs="黑体"/>
          <w:snapToGrid/>
          <w:kern w:val="2"/>
          <w:szCs w:val="21"/>
        </w:rPr>
        <w:t>6</w:t>
      </w:r>
      <w:r>
        <w:rPr>
          <w:rFonts w:hint="eastAsia" w:ascii="黑体" w:hAnsi="黑体" w:eastAsia="黑体" w:cs="黑体"/>
          <w:snapToGrid/>
          <w:kern w:val="2"/>
          <w:szCs w:val="21"/>
        </w:rPr>
        <w:t xml:space="preserve">  水生生态调查断面一览表</w:t>
      </w:r>
    </w:p>
    <w:tbl>
      <w:tblPr>
        <w:tblStyle w:val="83"/>
        <w:tblW w:w="91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959"/>
        <w:gridCol w:w="3968"/>
        <w:gridCol w:w="1297"/>
        <w:gridCol w:w="9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0" w:type="auto"/>
            <w:vAlign w:val="center"/>
          </w:tcPr>
          <w:p>
            <w:pPr>
              <w:ind w:firstLine="0" w:firstLineChars="0"/>
              <w:rPr>
                <w:spacing w:val="-2"/>
                <w:sz w:val="21"/>
                <w:szCs w:val="21"/>
              </w:rPr>
            </w:pPr>
            <w:r>
              <w:rPr>
                <w:spacing w:val="-2"/>
                <w:sz w:val="21"/>
                <w:szCs w:val="21"/>
              </w:rPr>
              <w:t>编号</w:t>
            </w:r>
          </w:p>
        </w:tc>
        <w:tc>
          <w:tcPr>
            <w:tcW w:w="1959" w:type="dxa"/>
            <w:vAlign w:val="center"/>
          </w:tcPr>
          <w:p>
            <w:pPr>
              <w:ind w:firstLine="0" w:firstLineChars="0"/>
              <w:rPr>
                <w:spacing w:val="-2"/>
                <w:sz w:val="21"/>
                <w:szCs w:val="21"/>
              </w:rPr>
            </w:pPr>
            <w:r>
              <w:rPr>
                <w:spacing w:val="-2"/>
                <w:sz w:val="21"/>
                <w:szCs w:val="21"/>
              </w:rPr>
              <w:t>调查点位</w:t>
            </w:r>
          </w:p>
        </w:tc>
        <w:tc>
          <w:tcPr>
            <w:tcW w:w="3967" w:type="dxa"/>
            <w:vAlign w:val="center"/>
          </w:tcPr>
          <w:p>
            <w:pPr>
              <w:ind w:firstLine="0" w:firstLineChars="0"/>
              <w:rPr>
                <w:spacing w:val="-2"/>
                <w:sz w:val="21"/>
                <w:szCs w:val="21"/>
              </w:rPr>
            </w:pPr>
            <w:r>
              <w:rPr>
                <w:spacing w:val="-2"/>
                <w:sz w:val="21"/>
                <w:szCs w:val="21"/>
              </w:rPr>
              <w:t>经纬度</w:t>
            </w:r>
          </w:p>
        </w:tc>
        <w:tc>
          <w:tcPr>
            <w:tcW w:w="0" w:type="auto"/>
            <w:vAlign w:val="center"/>
          </w:tcPr>
          <w:p>
            <w:pPr>
              <w:ind w:firstLine="0" w:firstLineChars="0"/>
              <w:rPr>
                <w:sz w:val="21"/>
                <w:szCs w:val="21"/>
              </w:rPr>
            </w:pPr>
            <w:r>
              <w:rPr>
                <w:rFonts w:hint="eastAsia"/>
                <w:spacing w:val="-2"/>
                <w:sz w:val="21"/>
                <w:szCs w:val="21"/>
              </w:rPr>
              <w:t>水温</w:t>
            </w:r>
            <w:r>
              <w:rPr>
                <w:spacing w:val="-2"/>
                <w:sz w:val="21"/>
                <w:szCs w:val="21"/>
              </w:rPr>
              <w:t>℃</w:t>
            </w:r>
          </w:p>
        </w:tc>
        <w:tc>
          <w:tcPr>
            <w:tcW w:w="0" w:type="auto"/>
            <w:vAlign w:val="center"/>
          </w:tcPr>
          <w:p>
            <w:pPr>
              <w:ind w:firstLine="0" w:firstLineChars="0"/>
              <w:rPr>
                <w:spacing w:val="-2"/>
                <w:sz w:val="21"/>
                <w:szCs w:val="21"/>
              </w:rPr>
            </w:pPr>
            <w:r>
              <w:rPr>
                <w:spacing w:val="-2"/>
                <w:sz w:val="21"/>
                <w:szCs w:val="21"/>
              </w:rPr>
              <w:t>水深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0" w:type="auto"/>
            <w:vAlign w:val="center"/>
          </w:tcPr>
          <w:p>
            <w:pPr>
              <w:ind w:firstLine="0" w:firstLineChars="0"/>
              <w:rPr>
                <w:spacing w:val="-2"/>
                <w:sz w:val="21"/>
                <w:szCs w:val="21"/>
              </w:rPr>
            </w:pPr>
            <w:r>
              <w:rPr>
                <w:spacing w:val="-2"/>
                <w:sz w:val="21"/>
                <w:szCs w:val="21"/>
              </w:rPr>
              <w:t>S1</w:t>
            </w:r>
          </w:p>
        </w:tc>
        <w:tc>
          <w:tcPr>
            <w:tcW w:w="1959" w:type="dxa"/>
            <w:vAlign w:val="center"/>
          </w:tcPr>
          <w:p>
            <w:pPr>
              <w:ind w:firstLine="0" w:firstLineChars="0"/>
              <w:rPr>
                <w:spacing w:val="-2"/>
                <w:sz w:val="21"/>
                <w:szCs w:val="21"/>
              </w:rPr>
            </w:pPr>
            <w:r>
              <w:rPr>
                <w:sz w:val="21"/>
                <w:szCs w:val="21"/>
              </w:rPr>
              <w:t>团结水库坝址上游</w:t>
            </w:r>
          </w:p>
        </w:tc>
        <w:tc>
          <w:tcPr>
            <w:tcW w:w="3967" w:type="dxa"/>
            <w:vAlign w:val="center"/>
          </w:tcPr>
          <w:p>
            <w:pPr>
              <w:ind w:firstLine="0" w:firstLineChars="0"/>
              <w:rPr>
                <w:spacing w:val="-2"/>
                <w:sz w:val="21"/>
                <w:szCs w:val="21"/>
              </w:rPr>
            </w:pPr>
            <w:r>
              <w:rPr>
                <w:spacing w:val="-2"/>
                <w:sz w:val="21"/>
                <w:szCs w:val="21"/>
              </w:rPr>
              <w:t>114°52′24.75″,28°14′50.07″</w:t>
            </w:r>
          </w:p>
        </w:tc>
        <w:tc>
          <w:tcPr>
            <w:tcW w:w="0" w:type="auto"/>
            <w:vAlign w:val="center"/>
          </w:tcPr>
          <w:p>
            <w:pPr>
              <w:ind w:firstLine="0" w:firstLineChars="0"/>
              <w:rPr>
                <w:spacing w:val="-2"/>
                <w:sz w:val="21"/>
                <w:szCs w:val="21"/>
              </w:rPr>
            </w:pPr>
            <w:r>
              <w:rPr>
                <w:spacing w:val="-2"/>
                <w:sz w:val="21"/>
                <w:szCs w:val="21"/>
              </w:rPr>
              <w:t>27.5</w:t>
            </w:r>
          </w:p>
        </w:tc>
        <w:tc>
          <w:tcPr>
            <w:tcW w:w="0" w:type="auto"/>
            <w:vAlign w:val="center"/>
          </w:tcPr>
          <w:p>
            <w:pPr>
              <w:ind w:firstLine="0" w:firstLineChars="0"/>
              <w:rPr>
                <w:spacing w:val="-2"/>
                <w:sz w:val="21"/>
                <w:szCs w:val="21"/>
              </w:rPr>
            </w:pPr>
            <w:r>
              <w:rPr>
                <w:spacing w:val="-2"/>
                <w:sz w:val="21"/>
                <w:szCs w:val="21"/>
              </w:rPr>
              <w:t>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0" w:type="auto"/>
            <w:vAlign w:val="center"/>
          </w:tcPr>
          <w:p>
            <w:pPr>
              <w:ind w:firstLine="0" w:firstLineChars="0"/>
              <w:rPr>
                <w:spacing w:val="-2"/>
                <w:sz w:val="21"/>
                <w:szCs w:val="21"/>
              </w:rPr>
            </w:pPr>
            <w:r>
              <w:rPr>
                <w:spacing w:val="-2"/>
                <w:sz w:val="21"/>
                <w:szCs w:val="21"/>
              </w:rPr>
              <w:t>S2</w:t>
            </w:r>
          </w:p>
        </w:tc>
        <w:tc>
          <w:tcPr>
            <w:tcW w:w="1959" w:type="dxa"/>
            <w:vAlign w:val="center"/>
          </w:tcPr>
          <w:p>
            <w:pPr>
              <w:ind w:firstLine="0" w:firstLineChars="0"/>
              <w:rPr>
                <w:spacing w:val="-2"/>
                <w:sz w:val="21"/>
                <w:szCs w:val="21"/>
              </w:rPr>
            </w:pPr>
            <w:r>
              <w:rPr>
                <w:sz w:val="21"/>
                <w:szCs w:val="21"/>
              </w:rPr>
              <w:t>团结水电站退水段</w:t>
            </w:r>
          </w:p>
        </w:tc>
        <w:tc>
          <w:tcPr>
            <w:tcW w:w="3967" w:type="dxa"/>
            <w:vAlign w:val="center"/>
          </w:tcPr>
          <w:p>
            <w:pPr>
              <w:ind w:firstLine="0" w:firstLineChars="0"/>
              <w:rPr>
                <w:spacing w:val="-2"/>
                <w:sz w:val="21"/>
                <w:szCs w:val="21"/>
              </w:rPr>
            </w:pPr>
            <w:r>
              <w:rPr>
                <w:spacing w:val="-2"/>
                <w:sz w:val="21"/>
                <w:szCs w:val="21"/>
              </w:rPr>
              <w:t>114°53′40.77″,28°14′32.30″</w:t>
            </w:r>
          </w:p>
        </w:tc>
        <w:tc>
          <w:tcPr>
            <w:tcW w:w="0" w:type="auto"/>
            <w:vAlign w:val="center"/>
          </w:tcPr>
          <w:p>
            <w:pPr>
              <w:ind w:firstLine="0" w:firstLineChars="0"/>
              <w:rPr>
                <w:spacing w:val="-2"/>
                <w:sz w:val="21"/>
                <w:szCs w:val="21"/>
              </w:rPr>
            </w:pPr>
            <w:r>
              <w:rPr>
                <w:spacing w:val="-2"/>
                <w:sz w:val="21"/>
                <w:szCs w:val="21"/>
              </w:rPr>
              <w:t>26.6</w:t>
            </w:r>
          </w:p>
        </w:tc>
        <w:tc>
          <w:tcPr>
            <w:tcW w:w="0" w:type="auto"/>
            <w:vAlign w:val="center"/>
          </w:tcPr>
          <w:p>
            <w:pPr>
              <w:ind w:firstLine="0" w:firstLineChars="0"/>
              <w:rPr>
                <w:spacing w:val="-2"/>
                <w:sz w:val="21"/>
                <w:szCs w:val="21"/>
              </w:rPr>
            </w:pPr>
            <w:r>
              <w:rPr>
                <w:spacing w:val="-2"/>
                <w:sz w:val="21"/>
                <w:szCs w:val="21"/>
              </w:rPr>
              <w:t>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0" w:type="auto"/>
            <w:vAlign w:val="center"/>
          </w:tcPr>
          <w:p>
            <w:pPr>
              <w:ind w:firstLine="0" w:firstLineChars="0"/>
              <w:rPr>
                <w:spacing w:val="-2"/>
                <w:sz w:val="21"/>
                <w:szCs w:val="21"/>
              </w:rPr>
            </w:pPr>
            <w:r>
              <w:rPr>
                <w:spacing w:val="-2"/>
                <w:sz w:val="21"/>
                <w:szCs w:val="21"/>
              </w:rPr>
              <w:t>S3</w:t>
            </w:r>
          </w:p>
        </w:tc>
        <w:tc>
          <w:tcPr>
            <w:tcW w:w="1959" w:type="dxa"/>
            <w:vAlign w:val="center"/>
          </w:tcPr>
          <w:p>
            <w:pPr>
              <w:ind w:firstLine="0" w:firstLineChars="0"/>
              <w:rPr>
                <w:spacing w:val="-2"/>
                <w:sz w:val="21"/>
                <w:szCs w:val="21"/>
              </w:rPr>
            </w:pPr>
            <w:r>
              <w:rPr>
                <w:sz w:val="21"/>
                <w:szCs w:val="21"/>
              </w:rPr>
              <w:t>滨江公园</w:t>
            </w:r>
          </w:p>
        </w:tc>
        <w:tc>
          <w:tcPr>
            <w:tcW w:w="3967" w:type="dxa"/>
            <w:vAlign w:val="center"/>
          </w:tcPr>
          <w:p>
            <w:pPr>
              <w:ind w:firstLine="0" w:firstLineChars="0"/>
              <w:rPr>
                <w:spacing w:val="-2"/>
                <w:sz w:val="21"/>
                <w:szCs w:val="21"/>
              </w:rPr>
            </w:pPr>
            <w:r>
              <w:rPr>
                <w:spacing w:val="-2"/>
                <w:sz w:val="21"/>
                <w:szCs w:val="21"/>
              </w:rPr>
              <w:t>114°56′4.45″,28°13′26.49″</w:t>
            </w:r>
          </w:p>
        </w:tc>
        <w:tc>
          <w:tcPr>
            <w:tcW w:w="0" w:type="auto"/>
            <w:vAlign w:val="center"/>
          </w:tcPr>
          <w:p>
            <w:pPr>
              <w:ind w:firstLine="0" w:firstLineChars="0"/>
              <w:rPr>
                <w:spacing w:val="-2"/>
                <w:sz w:val="21"/>
                <w:szCs w:val="21"/>
              </w:rPr>
            </w:pPr>
            <w:r>
              <w:rPr>
                <w:spacing w:val="-2"/>
                <w:sz w:val="21"/>
                <w:szCs w:val="21"/>
              </w:rPr>
              <w:t>27.3</w:t>
            </w:r>
          </w:p>
        </w:tc>
        <w:tc>
          <w:tcPr>
            <w:tcW w:w="0" w:type="auto"/>
            <w:vAlign w:val="center"/>
          </w:tcPr>
          <w:p>
            <w:pPr>
              <w:ind w:firstLine="0" w:firstLineChars="0"/>
              <w:rPr>
                <w:spacing w:val="-2"/>
                <w:sz w:val="21"/>
                <w:szCs w:val="21"/>
              </w:rPr>
            </w:pPr>
            <w:r>
              <w:rPr>
                <w:spacing w:val="-2"/>
                <w:sz w:val="21"/>
                <w:szCs w:val="21"/>
              </w:rPr>
              <w:t>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0" w:type="auto"/>
            <w:vAlign w:val="center"/>
          </w:tcPr>
          <w:p>
            <w:pPr>
              <w:ind w:firstLine="0" w:firstLineChars="0"/>
              <w:rPr>
                <w:spacing w:val="-2"/>
                <w:sz w:val="21"/>
                <w:szCs w:val="21"/>
              </w:rPr>
            </w:pPr>
            <w:r>
              <w:rPr>
                <w:spacing w:val="-2"/>
                <w:sz w:val="21"/>
                <w:szCs w:val="21"/>
              </w:rPr>
              <w:t>S4</w:t>
            </w:r>
          </w:p>
        </w:tc>
        <w:tc>
          <w:tcPr>
            <w:tcW w:w="1959" w:type="dxa"/>
            <w:vAlign w:val="center"/>
          </w:tcPr>
          <w:p>
            <w:pPr>
              <w:ind w:firstLine="0" w:firstLineChars="0"/>
              <w:rPr>
                <w:spacing w:val="-2"/>
                <w:sz w:val="21"/>
                <w:szCs w:val="21"/>
              </w:rPr>
            </w:pPr>
            <w:r>
              <w:rPr>
                <w:sz w:val="21"/>
                <w:szCs w:val="21"/>
              </w:rPr>
              <w:t>本项目坝址</w:t>
            </w:r>
          </w:p>
        </w:tc>
        <w:tc>
          <w:tcPr>
            <w:tcW w:w="3967" w:type="dxa"/>
            <w:vAlign w:val="center"/>
          </w:tcPr>
          <w:p>
            <w:pPr>
              <w:ind w:firstLine="0" w:firstLineChars="0"/>
              <w:rPr>
                <w:spacing w:val="-2"/>
                <w:sz w:val="21"/>
                <w:szCs w:val="21"/>
              </w:rPr>
            </w:pPr>
            <w:r>
              <w:rPr>
                <w:spacing w:val="-2"/>
                <w:sz w:val="21"/>
                <w:szCs w:val="21"/>
              </w:rPr>
              <w:t>114°57′52.13″,28°14′29.68″</w:t>
            </w:r>
          </w:p>
        </w:tc>
        <w:tc>
          <w:tcPr>
            <w:tcW w:w="0" w:type="auto"/>
            <w:vAlign w:val="center"/>
          </w:tcPr>
          <w:p>
            <w:pPr>
              <w:ind w:firstLine="0" w:firstLineChars="0"/>
              <w:rPr>
                <w:spacing w:val="-2"/>
                <w:sz w:val="21"/>
                <w:szCs w:val="21"/>
              </w:rPr>
            </w:pPr>
            <w:r>
              <w:rPr>
                <w:spacing w:val="-2"/>
                <w:sz w:val="21"/>
                <w:szCs w:val="21"/>
              </w:rPr>
              <w:t>27.1</w:t>
            </w:r>
          </w:p>
        </w:tc>
        <w:tc>
          <w:tcPr>
            <w:tcW w:w="0" w:type="auto"/>
            <w:vAlign w:val="center"/>
          </w:tcPr>
          <w:p>
            <w:pPr>
              <w:ind w:firstLine="0" w:firstLineChars="0"/>
              <w:rPr>
                <w:spacing w:val="-2"/>
                <w:sz w:val="21"/>
                <w:szCs w:val="21"/>
              </w:rPr>
            </w:pPr>
            <w:r>
              <w:rPr>
                <w:spacing w:val="-2"/>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0" w:type="auto"/>
            <w:vAlign w:val="center"/>
          </w:tcPr>
          <w:p>
            <w:pPr>
              <w:ind w:firstLine="0" w:firstLineChars="0"/>
              <w:rPr>
                <w:spacing w:val="-2"/>
                <w:sz w:val="21"/>
                <w:szCs w:val="21"/>
              </w:rPr>
            </w:pPr>
            <w:r>
              <w:rPr>
                <w:spacing w:val="-2"/>
                <w:sz w:val="21"/>
                <w:szCs w:val="21"/>
              </w:rPr>
              <w:t>S5</w:t>
            </w:r>
          </w:p>
        </w:tc>
        <w:tc>
          <w:tcPr>
            <w:tcW w:w="1959" w:type="dxa"/>
            <w:vAlign w:val="center"/>
          </w:tcPr>
          <w:p>
            <w:pPr>
              <w:ind w:firstLine="0" w:firstLineChars="0"/>
              <w:rPr>
                <w:spacing w:val="-2"/>
                <w:sz w:val="21"/>
                <w:szCs w:val="21"/>
              </w:rPr>
            </w:pPr>
            <w:r>
              <w:rPr>
                <w:spacing w:val="-2"/>
                <w:sz w:val="21"/>
                <w:szCs w:val="21"/>
              </w:rPr>
              <w:t>上湾村附近</w:t>
            </w:r>
          </w:p>
        </w:tc>
        <w:tc>
          <w:tcPr>
            <w:tcW w:w="3967" w:type="dxa"/>
            <w:vAlign w:val="center"/>
          </w:tcPr>
          <w:p>
            <w:pPr>
              <w:ind w:firstLine="0" w:firstLineChars="0"/>
              <w:rPr>
                <w:spacing w:val="-2"/>
                <w:sz w:val="21"/>
                <w:szCs w:val="21"/>
              </w:rPr>
            </w:pPr>
            <w:r>
              <w:rPr>
                <w:spacing w:val="-2"/>
                <w:sz w:val="21"/>
                <w:szCs w:val="21"/>
              </w:rPr>
              <w:t>115°2′4.27″,28°14′2.18″</w:t>
            </w:r>
          </w:p>
        </w:tc>
        <w:tc>
          <w:tcPr>
            <w:tcW w:w="0" w:type="auto"/>
            <w:vAlign w:val="center"/>
          </w:tcPr>
          <w:p>
            <w:pPr>
              <w:ind w:firstLine="0" w:firstLineChars="0"/>
              <w:rPr>
                <w:spacing w:val="-2"/>
                <w:sz w:val="21"/>
                <w:szCs w:val="21"/>
              </w:rPr>
            </w:pPr>
            <w:r>
              <w:rPr>
                <w:spacing w:val="-2"/>
                <w:sz w:val="21"/>
                <w:szCs w:val="21"/>
              </w:rPr>
              <w:t>27.4</w:t>
            </w:r>
          </w:p>
        </w:tc>
        <w:tc>
          <w:tcPr>
            <w:tcW w:w="0" w:type="auto"/>
            <w:vAlign w:val="center"/>
          </w:tcPr>
          <w:p>
            <w:pPr>
              <w:ind w:firstLine="0" w:firstLineChars="0"/>
              <w:rPr>
                <w:spacing w:val="-2"/>
                <w:sz w:val="21"/>
                <w:szCs w:val="21"/>
              </w:rPr>
            </w:pPr>
            <w:r>
              <w:rPr>
                <w:spacing w:val="-2"/>
                <w:sz w:val="21"/>
                <w:szCs w:val="21"/>
              </w:rPr>
              <w:t>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0" w:type="auto"/>
            <w:vAlign w:val="center"/>
          </w:tcPr>
          <w:p>
            <w:pPr>
              <w:ind w:firstLine="0" w:firstLineChars="0"/>
              <w:rPr>
                <w:spacing w:val="-2"/>
                <w:sz w:val="21"/>
                <w:szCs w:val="21"/>
              </w:rPr>
            </w:pPr>
            <w:r>
              <w:rPr>
                <w:spacing w:val="-2"/>
                <w:sz w:val="21"/>
                <w:szCs w:val="21"/>
              </w:rPr>
              <w:t>S6</w:t>
            </w:r>
          </w:p>
        </w:tc>
        <w:tc>
          <w:tcPr>
            <w:tcW w:w="1959" w:type="dxa"/>
            <w:vAlign w:val="center"/>
          </w:tcPr>
          <w:p>
            <w:pPr>
              <w:ind w:firstLine="0" w:firstLineChars="0"/>
              <w:rPr>
                <w:spacing w:val="-2"/>
                <w:sz w:val="21"/>
                <w:szCs w:val="21"/>
              </w:rPr>
            </w:pPr>
            <w:r>
              <w:rPr>
                <w:sz w:val="21"/>
                <w:szCs w:val="21"/>
              </w:rPr>
              <w:t>利高水电站坝址</w:t>
            </w:r>
          </w:p>
        </w:tc>
        <w:tc>
          <w:tcPr>
            <w:tcW w:w="3967" w:type="dxa"/>
            <w:vAlign w:val="center"/>
          </w:tcPr>
          <w:p>
            <w:pPr>
              <w:ind w:firstLine="0" w:firstLineChars="0"/>
              <w:rPr>
                <w:spacing w:val="-2"/>
                <w:sz w:val="21"/>
                <w:szCs w:val="21"/>
              </w:rPr>
            </w:pPr>
            <w:r>
              <w:rPr>
                <w:spacing w:val="-2"/>
                <w:sz w:val="21"/>
                <w:szCs w:val="21"/>
              </w:rPr>
              <w:t>115°4′2.92″,28°14′22.26480″</w:t>
            </w:r>
          </w:p>
        </w:tc>
        <w:tc>
          <w:tcPr>
            <w:tcW w:w="0" w:type="auto"/>
            <w:vAlign w:val="center"/>
          </w:tcPr>
          <w:p>
            <w:pPr>
              <w:ind w:firstLine="0" w:firstLineChars="0"/>
              <w:rPr>
                <w:spacing w:val="-2"/>
                <w:sz w:val="21"/>
                <w:szCs w:val="21"/>
              </w:rPr>
            </w:pPr>
            <w:r>
              <w:rPr>
                <w:spacing w:val="-2"/>
                <w:sz w:val="21"/>
                <w:szCs w:val="21"/>
              </w:rPr>
              <w:t>27.7</w:t>
            </w:r>
          </w:p>
        </w:tc>
        <w:tc>
          <w:tcPr>
            <w:tcW w:w="0" w:type="auto"/>
            <w:vAlign w:val="center"/>
          </w:tcPr>
          <w:p>
            <w:pPr>
              <w:ind w:firstLine="0" w:firstLineChars="0"/>
              <w:rPr>
                <w:spacing w:val="-2"/>
                <w:sz w:val="21"/>
                <w:szCs w:val="21"/>
              </w:rPr>
            </w:pPr>
            <w:r>
              <w:rPr>
                <w:spacing w:val="-2"/>
                <w:sz w:val="21"/>
                <w:szCs w:val="21"/>
              </w:rPr>
              <w:t>4.6</w:t>
            </w:r>
          </w:p>
        </w:tc>
      </w:tr>
    </w:tbl>
    <w:p>
      <w:pPr>
        <w:spacing w:line="240" w:lineRule="auto"/>
        <w:ind w:firstLine="0" w:firstLineChars="0"/>
        <w:rPr>
          <w:spacing w:val="-2"/>
        </w:rPr>
      </w:pPr>
      <w:r>
        <mc:AlternateContent>
          <mc:Choice Requires="wps">
            <w:drawing>
              <wp:anchor distT="0" distB="0" distL="114300" distR="114300" simplePos="0" relativeHeight="251717632" behindDoc="0" locked="0" layoutInCell="1" allowOverlap="1">
                <wp:simplePos x="0" y="0"/>
                <wp:positionH relativeFrom="column">
                  <wp:posOffset>102870</wp:posOffset>
                </wp:positionH>
                <wp:positionV relativeFrom="paragraph">
                  <wp:posOffset>1865630</wp:posOffset>
                </wp:positionV>
                <wp:extent cx="120650" cy="88900"/>
                <wp:effectExtent l="0" t="0" r="12700" b="25400"/>
                <wp:wrapNone/>
                <wp:docPr id="122" name="矩形 122"/>
                <wp:cNvGraphicFramePr/>
                <a:graphic xmlns:a="http://schemas.openxmlformats.org/drawingml/2006/main">
                  <a:graphicData uri="http://schemas.microsoft.com/office/word/2010/wordprocessingShape">
                    <wps:wsp>
                      <wps:cNvSpPr/>
                      <wps:spPr>
                        <a:xfrm>
                          <a:off x="0" y="0"/>
                          <a:ext cx="120650" cy="88900"/>
                        </a:xfrm>
                        <a:prstGeom prst="re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pt;margin-top:146.9pt;height:7pt;width:9.5pt;z-index:251717632;v-text-anchor:middle;mso-width-relative:page;mso-height-relative:page;" fillcolor="#4F81BD [3204]" filled="t" stroked="t" coordsize="21600,21600" o:gfxdata="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GvNI82AAAAAkBAAAPAAAAAAAAAAEAIAAAACIAAABkcnMvZG93bnJldi54bWxQ&#10;SwECFAAUAAAACACHTuJAIc+0TGkCAADfBAAADgAAAAAAAAABACAAAAAnAQAAZHJzL2Uyb0RvYy54&#10;bWxQSwUGAAAAAAYABgBZAQAAAgYAAAAA&#10;">
                <v:fill on="t" focussize="0,0"/>
                <v:stroke weight="2pt" color="#FF0000 [3204]" joinstyle="round"/>
                <v:imagedata o:title=""/>
                <o:lock v:ext="edit" aspectratio="f"/>
              </v: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102870</wp:posOffset>
                </wp:positionH>
                <wp:positionV relativeFrom="paragraph">
                  <wp:posOffset>1732280</wp:posOffset>
                </wp:positionV>
                <wp:extent cx="120650" cy="0"/>
                <wp:effectExtent l="0" t="0" r="0" b="0"/>
                <wp:wrapNone/>
                <wp:docPr id="121" name="直接连接符 121"/>
                <wp:cNvGraphicFramePr/>
                <a:graphic xmlns:a="http://schemas.openxmlformats.org/drawingml/2006/main">
                  <a:graphicData uri="http://schemas.microsoft.com/office/word/2010/wordprocessingShape">
                    <wps:wsp>
                      <wps:cNvCnPr/>
                      <wps:spPr>
                        <a:xfrm>
                          <a:off x="0" y="0"/>
                          <a:ext cx="1206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8.1pt;margin-top:136.4pt;height:0pt;width:9.5pt;z-index:251665408;mso-width-relative:page;mso-height-relative:page;" filled="f" stroked="t" coordsize="21600,21600" o:gfxdata="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AeRF0nVAAAACQEAAA8AAAAAAAAA&#10;AQAgAAAAIgAAAGRycy9kb3ducmV2LnhtbFBLAQIUABQAAAAIAIdO4kCvPG1a2wEAAJ0DAAAOAAAA&#10;AAAAAAEAIAAAACQBAABkcnMvZTJvRG9jLnhtbFBLBQYAAAAABgAGAFkBAABxBQAAAAA=&#10;">
                <v:fill on="f" focussize="0,0"/>
                <v:stroke color="#FF0000 [3204]" joinstyle="round"/>
                <v:imagedata o:title=""/>
                <o:lock v:ext="edit" aspectratio="f"/>
              </v:lin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1270</wp:posOffset>
                </wp:positionH>
                <wp:positionV relativeFrom="paragraph">
                  <wp:posOffset>1205230</wp:posOffset>
                </wp:positionV>
                <wp:extent cx="1885950" cy="847725"/>
                <wp:effectExtent l="0" t="0" r="19050" b="28575"/>
                <wp:wrapNone/>
                <wp:docPr id="119" name="文本框 119"/>
                <wp:cNvGraphicFramePr/>
                <a:graphic xmlns:a="http://schemas.openxmlformats.org/drawingml/2006/main">
                  <a:graphicData uri="http://schemas.microsoft.com/office/word/2010/wordprocessingShape">
                    <wps:wsp>
                      <wps:cNvSpPr txBox="1"/>
                      <wps:spPr>
                        <a:xfrm>
                          <a:off x="0" y="0"/>
                          <a:ext cx="1885950" cy="847725"/>
                        </a:xfrm>
                        <a:prstGeom prst="rect">
                          <a:avLst/>
                        </a:prstGeom>
                        <a:solidFill>
                          <a:schemeClr val="lt1"/>
                        </a:solidFill>
                        <a:ln w="6350">
                          <a:solidFill>
                            <a:prstClr val="black"/>
                          </a:solidFill>
                        </a:ln>
                      </wps:spPr>
                      <wps:txbx>
                        <w:txbxContent>
                          <w:p>
                            <w:pPr>
                              <w:ind w:firstLine="199" w:firstLineChars="83"/>
                              <w:rPr>
                                <w:sz w:val="18"/>
                                <w:szCs w:val="18"/>
                              </w:rPr>
                            </w:pPr>
                            <w:r>
                              <w:t xml:space="preserve"> </w:t>
                            </w:r>
                            <w:r>
                              <w:rPr>
                                <w:sz w:val="18"/>
                                <w:szCs w:val="18"/>
                              </w:rPr>
                              <w:t xml:space="preserve"> 图例</w:t>
                            </w:r>
                          </w:p>
                          <w:p>
                            <w:pPr>
                              <w:pStyle w:val="1295"/>
                              <w:numPr>
                                <w:ilvl w:val="0"/>
                                <w:numId w:val="10"/>
                              </w:numPr>
                              <w:ind w:left="0" w:firstLineChars="0"/>
                              <w:rPr>
                                <w:szCs w:val="21"/>
                              </w:rPr>
                            </w:pPr>
                            <w:r>
                              <w:rPr>
                                <w:szCs w:val="21"/>
                              </w:rPr>
                              <w:t>水生生态</w:t>
                            </w:r>
                            <w:r>
                              <w:rPr>
                                <w:rFonts w:hint="eastAsia"/>
                                <w:szCs w:val="21"/>
                              </w:rPr>
                              <w:t xml:space="preserve">调查断面 </w:t>
                            </w:r>
                          </w:p>
                          <w:p>
                            <w:pPr>
                              <w:pStyle w:val="2"/>
                              <w:spacing w:after="0" w:line="240" w:lineRule="auto"/>
                              <w:ind w:left="0" w:leftChars="0" w:firstLine="315" w:firstLineChars="150"/>
                              <w:rPr>
                                <w:sz w:val="21"/>
                                <w:szCs w:val="21"/>
                              </w:rPr>
                            </w:pPr>
                            <w:r>
                              <w:rPr>
                                <w:rFonts w:hint="eastAsia"/>
                                <w:sz w:val="21"/>
                                <w:szCs w:val="21"/>
                              </w:rPr>
                              <w:t>坝址</w:t>
                            </w:r>
                          </w:p>
                          <w:p>
                            <w:pPr>
                              <w:spacing w:line="240" w:lineRule="auto"/>
                              <w:ind w:firstLine="420"/>
                              <w:rPr>
                                <w:sz w:val="21"/>
                                <w:szCs w:val="21"/>
                              </w:rPr>
                            </w:pPr>
                            <w:r>
                              <w:rPr>
                                <w:rFonts w:hint="eastAsia"/>
                                <w:sz w:val="21"/>
                                <w:szCs w:val="21"/>
                              </w:rPr>
                              <w:t>取土场及弃土场</w:t>
                            </w:r>
                          </w:p>
                          <w:p>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pt;margin-top:94.9pt;height:66.75pt;width:148.5pt;z-index:251659264;mso-width-relative:page;mso-height-relative:page;" fillcolor="#FFFFFF [3201]" filled="t" stroked="t" coordsize="21600,21600" o:gfxdata="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iw5u1AAAAAgB&#10;AAAPAAAAAAAAAAEAIAAAACIAAABkcnMvZG93bnJldi54bWxQSwECFAAUAAAACACHTuJAKP6uBFgC&#10;AAC7BAAADgAAAAAAAAABACAAAAAjAQAAZHJzL2Uyb0RvYy54bWxQSwUGAAAAAAYABgBZAQAA7QUA&#10;AAAA&#10;">
                <v:fill on="t" focussize="0,0"/>
                <v:stroke weight="0.5pt" color="#000000" joinstyle="round"/>
                <v:imagedata o:title=""/>
                <o:lock v:ext="edit" aspectratio="f"/>
                <v:textbox>
                  <w:txbxContent>
                    <w:p>
                      <w:pPr>
                        <w:ind w:firstLine="199" w:firstLineChars="83"/>
                        <w:rPr>
                          <w:sz w:val="18"/>
                          <w:szCs w:val="18"/>
                        </w:rPr>
                      </w:pPr>
                      <w:r>
                        <w:t xml:space="preserve"> </w:t>
                      </w:r>
                      <w:r>
                        <w:rPr>
                          <w:sz w:val="18"/>
                          <w:szCs w:val="18"/>
                        </w:rPr>
                        <w:t xml:space="preserve"> 图例</w:t>
                      </w:r>
                    </w:p>
                    <w:p>
                      <w:pPr>
                        <w:pStyle w:val="1295"/>
                        <w:numPr>
                          <w:ilvl w:val="0"/>
                          <w:numId w:val="10"/>
                        </w:numPr>
                        <w:ind w:left="0" w:firstLineChars="0"/>
                        <w:rPr>
                          <w:szCs w:val="21"/>
                        </w:rPr>
                      </w:pPr>
                      <w:r>
                        <w:rPr>
                          <w:szCs w:val="21"/>
                        </w:rPr>
                        <w:t>水生生态</w:t>
                      </w:r>
                      <w:r>
                        <w:rPr>
                          <w:rFonts w:hint="eastAsia"/>
                          <w:szCs w:val="21"/>
                        </w:rPr>
                        <w:t xml:space="preserve">调查断面 </w:t>
                      </w:r>
                    </w:p>
                    <w:p>
                      <w:pPr>
                        <w:pStyle w:val="2"/>
                        <w:spacing w:after="0" w:line="240" w:lineRule="auto"/>
                        <w:ind w:left="0" w:leftChars="0" w:firstLine="315" w:firstLineChars="150"/>
                        <w:rPr>
                          <w:sz w:val="21"/>
                          <w:szCs w:val="21"/>
                        </w:rPr>
                      </w:pPr>
                      <w:r>
                        <w:rPr>
                          <w:rFonts w:hint="eastAsia"/>
                          <w:sz w:val="21"/>
                          <w:szCs w:val="21"/>
                        </w:rPr>
                        <w:t>坝址</w:t>
                      </w:r>
                    </w:p>
                    <w:p>
                      <w:pPr>
                        <w:spacing w:line="240" w:lineRule="auto"/>
                        <w:ind w:firstLine="420"/>
                        <w:rPr>
                          <w:sz w:val="21"/>
                          <w:szCs w:val="21"/>
                        </w:rPr>
                      </w:pPr>
                      <w:r>
                        <w:rPr>
                          <w:rFonts w:hint="eastAsia"/>
                          <w:sz w:val="21"/>
                          <w:szCs w:val="21"/>
                        </w:rPr>
                        <w:t>取土场及弃土场</w:t>
                      </w:r>
                    </w:p>
                    <w:p>
                      <w:pPr>
                        <w:ind w:firstLine="480"/>
                      </w:pPr>
                    </w:p>
                  </w:txbxContent>
                </v:textbox>
              </v:shape>
            </w:pict>
          </mc:Fallback>
        </mc:AlternateContent>
      </w:r>
      <w:r>
        <w:drawing>
          <wp:inline distT="0" distB="0" distL="0" distR="0">
            <wp:extent cx="5939790" cy="2054225"/>
            <wp:effectExtent l="0" t="0" r="3810"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71"/>
                    <a:stretch>
                      <a:fillRect/>
                    </a:stretch>
                  </pic:blipFill>
                  <pic:spPr>
                    <a:xfrm>
                      <a:off x="0" y="0"/>
                      <a:ext cx="5939790" cy="2054225"/>
                    </a:xfrm>
                    <a:prstGeom prst="rect">
                      <a:avLst/>
                    </a:prstGeom>
                  </pic:spPr>
                </pic:pic>
              </a:graphicData>
            </a:graphic>
          </wp:inline>
        </w:drawing>
      </w:r>
    </w:p>
    <w:p>
      <w:pPr>
        <w:pStyle w:val="295"/>
        <w:spacing w:before="120" w:beforeLines="50" w:line="240" w:lineRule="auto"/>
        <w:ind w:firstLine="0" w:firstLineChars="0"/>
        <w:jc w:val="center"/>
        <w:rPr>
          <w:rFonts w:ascii="黑体" w:hAnsi="黑体" w:eastAsia="黑体" w:cs="黑体"/>
          <w:snapToGrid/>
          <w:kern w:val="2"/>
          <w:szCs w:val="21"/>
        </w:rPr>
      </w:pPr>
      <w:r>
        <w:rPr>
          <w:rFonts w:hint="eastAsia" w:ascii="黑体" w:hAnsi="黑体" w:eastAsia="黑体" w:cs="黑体"/>
          <w:snapToGrid/>
          <w:kern w:val="2"/>
          <w:szCs w:val="21"/>
        </w:rPr>
        <w:t>表4.5-</w:t>
      </w:r>
      <w:r>
        <w:rPr>
          <w:rFonts w:ascii="黑体" w:hAnsi="黑体" w:eastAsia="黑体" w:cs="黑体"/>
          <w:snapToGrid/>
          <w:kern w:val="2"/>
          <w:szCs w:val="21"/>
        </w:rPr>
        <w:t>8</w:t>
      </w:r>
      <w:r>
        <w:rPr>
          <w:rFonts w:hint="eastAsia" w:ascii="黑体" w:hAnsi="黑体" w:eastAsia="黑体" w:cs="黑体"/>
          <w:snapToGrid/>
          <w:kern w:val="2"/>
          <w:szCs w:val="21"/>
        </w:rPr>
        <w:t xml:space="preserve">  水生生态调查断面图</w:t>
      </w:r>
    </w:p>
    <w:p>
      <w:pPr>
        <w:ind w:firstLine="472"/>
        <w:rPr>
          <w:spacing w:val="-2"/>
        </w:rPr>
      </w:pPr>
      <w:r>
        <w:rPr>
          <w:spacing w:val="-2"/>
        </w:rPr>
        <w:t>评价范围涉及河流为</w:t>
      </w:r>
      <w:r>
        <w:rPr>
          <w:rFonts w:hint="eastAsia"/>
          <w:spacing w:val="-2"/>
        </w:rPr>
        <w:t>锦河</w:t>
      </w:r>
      <w:r>
        <w:rPr>
          <w:spacing w:val="-2"/>
        </w:rPr>
        <w:t>。据沿线河流和湿地实地调查，访问和采集鉴定。参阅《江西湿地》（2000.07）及相关成果等资料，通过对鉴定结果以及实地调查、访问所得资料的分析总结，得出如下结论：</w:t>
      </w:r>
    </w:p>
    <w:p>
      <w:pPr>
        <w:ind w:firstLine="474"/>
        <w:rPr>
          <w:spacing w:val="-2"/>
        </w:rPr>
      </w:pPr>
      <w:r>
        <w:rPr>
          <w:b/>
          <w:spacing w:val="-2"/>
        </w:rPr>
        <w:t>浮游藻类资源：</w:t>
      </w:r>
      <w:r>
        <w:rPr>
          <w:rFonts w:hint="eastAsia"/>
          <w:spacing w:val="-2"/>
        </w:rPr>
        <w:t>评价河段浮游植物有硅藻、绿藻、金藻门、蓝藻门、黄藻门、裸藻门、隐藻门、甲藻门等多种浮游植物。</w:t>
      </w:r>
    </w:p>
    <w:p>
      <w:pPr>
        <w:ind w:firstLine="472"/>
        <w:rPr>
          <w:spacing w:val="-2"/>
        </w:rPr>
      </w:pPr>
      <w:r>
        <w:rPr>
          <w:rFonts w:hint="eastAsia"/>
          <w:spacing w:val="-2"/>
        </w:rPr>
        <w:t>调查共检出浮游植物6 门</w:t>
      </w:r>
      <w:r>
        <w:rPr>
          <w:spacing w:val="-2"/>
        </w:rPr>
        <w:t>46</w:t>
      </w:r>
      <w:r>
        <w:rPr>
          <w:rFonts w:hint="eastAsia"/>
          <w:spacing w:val="-2"/>
        </w:rPr>
        <w:t xml:space="preserve"> 种（属），其中硅藻门种类最多，为2</w:t>
      </w:r>
      <w:r>
        <w:rPr>
          <w:spacing w:val="-2"/>
        </w:rPr>
        <w:t>7</w:t>
      </w:r>
      <w:r>
        <w:rPr>
          <w:rFonts w:hint="eastAsia"/>
          <w:spacing w:val="-2"/>
        </w:rPr>
        <w:t>种（属），占浮游植物总种类数的</w:t>
      </w:r>
      <w:r>
        <w:rPr>
          <w:spacing w:val="-2"/>
        </w:rPr>
        <w:t>58.70</w:t>
      </w:r>
      <w:r>
        <w:rPr>
          <w:rFonts w:hint="eastAsia"/>
          <w:spacing w:val="-2"/>
        </w:rPr>
        <w:t>%；其次是绿藻门</w:t>
      </w:r>
      <w:r>
        <w:rPr>
          <w:spacing w:val="-2"/>
        </w:rPr>
        <w:t>11</w:t>
      </w:r>
      <w:r>
        <w:rPr>
          <w:rFonts w:hint="eastAsia"/>
          <w:spacing w:val="-2"/>
        </w:rPr>
        <w:t xml:space="preserve"> 种（属），占比</w:t>
      </w:r>
      <w:r>
        <w:rPr>
          <w:spacing w:val="-2"/>
        </w:rPr>
        <w:t>23.91</w:t>
      </w:r>
      <w:r>
        <w:rPr>
          <w:rFonts w:hint="eastAsia"/>
          <w:spacing w:val="-2"/>
        </w:rPr>
        <w:t>%；蓝藻门</w:t>
      </w:r>
      <w:r>
        <w:rPr>
          <w:spacing w:val="-2"/>
        </w:rPr>
        <w:t>4</w:t>
      </w:r>
      <w:r>
        <w:rPr>
          <w:rFonts w:hint="eastAsia"/>
          <w:spacing w:val="-2"/>
        </w:rPr>
        <w:t xml:space="preserve"> 种（属），占比</w:t>
      </w:r>
      <w:r>
        <w:rPr>
          <w:spacing w:val="-2"/>
        </w:rPr>
        <w:t>8.70</w:t>
      </w:r>
      <w:r>
        <w:rPr>
          <w:rFonts w:hint="eastAsia"/>
          <w:spacing w:val="-2"/>
        </w:rPr>
        <w:t>%；甲藻门2 种（属），占比4.</w:t>
      </w:r>
      <w:r>
        <w:rPr>
          <w:spacing w:val="-2"/>
        </w:rPr>
        <w:t>35</w:t>
      </w:r>
      <w:r>
        <w:rPr>
          <w:rFonts w:hint="eastAsia"/>
          <w:spacing w:val="-2"/>
        </w:rPr>
        <w:t>%；金藻门和黄藻门各1 种，分别占比2.</w:t>
      </w:r>
      <w:r>
        <w:rPr>
          <w:spacing w:val="-2"/>
        </w:rPr>
        <w:t>17</w:t>
      </w:r>
      <w:r>
        <w:rPr>
          <w:rFonts w:hint="eastAsia"/>
          <w:spacing w:val="-2"/>
        </w:rPr>
        <w:t>%。常见的浮游植物主要有颗粒直链藻、肘状针杆藻、放射舟形藻等。</w:t>
      </w:r>
    </w:p>
    <w:p>
      <w:pPr>
        <w:pStyle w:val="2"/>
        <w:ind w:left="0" w:leftChars="0" w:firstLine="480"/>
      </w:pPr>
      <w:r>
        <w:rPr>
          <w:rFonts w:hint="eastAsia"/>
        </w:rPr>
        <w:t>调查区浮游植物平均密度为1</w:t>
      </w:r>
      <w:r>
        <w:t>0</w:t>
      </w:r>
      <w:r>
        <w:rPr>
          <w:rFonts w:hint="eastAsia"/>
        </w:rPr>
        <w:t>.</w:t>
      </w:r>
      <w:r>
        <w:t>8</w:t>
      </w:r>
      <w:r>
        <w:rPr>
          <w:rFonts w:hint="eastAsia"/>
        </w:rPr>
        <w:t>0×10</w:t>
      </w:r>
      <w:r>
        <w:rPr>
          <w:rFonts w:hint="eastAsia"/>
          <w:vertAlign w:val="superscript"/>
        </w:rPr>
        <w:t>4</w:t>
      </w:r>
      <w:r>
        <w:rPr>
          <w:rFonts w:hint="eastAsia"/>
        </w:rPr>
        <w:t>ind./L，平均生物量为1</w:t>
      </w:r>
      <w:r>
        <w:t>4</w:t>
      </w:r>
      <w:r>
        <w:rPr>
          <w:rFonts w:hint="eastAsia"/>
        </w:rPr>
        <w:t>1.94×10</w:t>
      </w:r>
      <w:r>
        <w:rPr>
          <w:rFonts w:hint="eastAsia"/>
          <w:vertAlign w:val="superscript"/>
        </w:rPr>
        <w:t>-3</w:t>
      </w:r>
      <w:r>
        <w:rPr>
          <w:rFonts w:hint="eastAsia"/>
        </w:rPr>
        <w:t>mg/L。评价区浮游植物密度在（</w:t>
      </w:r>
      <w:r>
        <w:t>6</w:t>
      </w:r>
      <w:r>
        <w:rPr>
          <w:rFonts w:hint="eastAsia"/>
        </w:rPr>
        <w:t>.1～1</w:t>
      </w:r>
      <w:r>
        <w:t>7</w:t>
      </w:r>
      <w:r>
        <w:rPr>
          <w:rFonts w:hint="eastAsia"/>
        </w:rPr>
        <w:t>.</w:t>
      </w:r>
      <w:r>
        <w:t>23</w:t>
      </w:r>
      <w:r>
        <w:rPr>
          <w:rFonts w:hint="eastAsia"/>
        </w:rPr>
        <w:t>）×10</w:t>
      </w:r>
      <w:r>
        <w:rPr>
          <w:rFonts w:hint="eastAsia"/>
          <w:vertAlign w:val="superscript"/>
        </w:rPr>
        <w:t>4</w:t>
      </w:r>
      <w:r>
        <w:rPr>
          <w:rFonts w:hint="eastAsia"/>
        </w:rPr>
        <w:t>ind./L 范围内，生物量在（</w:t>
      </w:r>
      <w:r>
        <w:t>4</w:t>
      </w:r>
      <w:r>
        <w:rPr>
          <w:rFonts w:hint="eastAsia"/>
        </w:rPr>
        <w:t>2.6～</w:t>
      </w:r>
      <w:r>
        <w:t>28</w:t>
      </w:r>
      <w:r>
        <w:rPr>
          <w:rFonts w:hint="eastAsia"/>
        </w:rPr>
        <w:t>1.</w:t>
      </w:r>
      <w:r>
        <w:t>92</w:t>
      </w:r>
      <w:r>
        <w:rPr>
          <w:rFonts w:hint="eastAsia"/>
        </w:rPr>
        <w:t>）×10</w:t>
      </w:r>
      <w:r>
        <w:rPr>
          <w:rFonts w:hint="eastAsia"/>
          <w:vertAlign w:val="superscript"/>
        </w:rPr>
        <w:t>-3</w:t>
      </w:r>
      <w:r>
        <w:rPr>
          <w:rFonts w:hint="eastAsia"/>
        </w:rPr>
        <w:t>mg/L 范围内。</w:t>
      </w:r>
    </w:p>
    <w:p>
      <w:pPr>
        <w:ind w:firstLine="474"/>
        <w:rPr>
          <w:spacing w:val="-2"/>
        </w:rPr>
      </w:pPr>
      <w:r>
        <w:rPr>
          <w:b/>
          <w:spacing w:val="-2"/>
        </w:rPr>
        <w:t>浮游动物：</w:t>
      </w:r>
      <w:r>
        <w:rPr>
          <w:rFonts w:hint="eastAsia"/>
          <w:spacing w:val="-2"/>
        </w:rPr>
        <w:t>调查共检出浮游动物4 类</w:t>
      </w:r>
      <w:r>
        <w:rPr>
          <w:spacing w:val="-2"/>
        </w:rPr>
        <w:t>20</w:t>
      </w:r>
      <w:r>
        <w:rPr>
          <w:rFonts w:hint="eastAsia"/>
          <w:spacing w:val="-2"/>
        </w:rPr>
        <w:t>种（属）。其中种类最多的为原生动物，总计8 种（属），占总种类数的4</w:t>
      </w:r>
      <w:r>
        <w:rPr>
          <w:spacing w:val="-2"/>
        </w:rPr>
        <w:t>0</w:t>
      </w:r>
      <w:r>
        <w:rPr>
          <w:rFonts w:hint="eastAsia"/>
          <w:spacing w:val="-2"/>
        </w:rPr>
        <w:t>.</w:t>
      </w:r>
      <w:r>
        <w:rPr>
          <w:spacing w:val="-2"/>
        </w:rPr>
        <w:t>00</w:t>
      </w:r>
      <w:r>
        <w:rPr>
          <w:rFonts w:hint="eastAsia"/>
          <w:spacing w:val="-2"/>
        </w:rPr>
        <w:t>%；其次为轮虫，总计</w:t>
      </w:r>
      <w:r>
        <w:rPr>
          <w:spacing w:val="-2"/>
        </w:rPr>
        <w:t>7</w:t>
      </w:r>
      <w:r>
        <w:rPr>
          <w:rFonts w:hint="eastAsia"/>
          <w:spacing w:val="-2"/>
        </w:rPr>
        <w:t xml:space="preserve"> 种（属），占比35.</w:t>
      </w:r>
      <w:r>
        <w:rPr>
          <w:spacing w:val="-2"/>
        </w:rPr>
        <w:t>00</w:t>
      </w:r>
      <w:r>
        <w:rPr>
          <w:rFonts w:hint="eastAsia"/>
          <w:spacing w:val="-2"/>
        </w:rPr>
        <w:t>%；桡足类</w:t>
      </w:r>
      <w:r>
        <w:rPr>
          <w:spacing w:val="-2"/>
        </w:rPr>
        <w:t>4</w:t>
      </w:r>
      <w:r>
        <w:rPr>
          <w:rFonts w:hint="eastAsia"/>
          <w:spacing w:val="-2"/>
        </w:rPr>
        <w:t xml:space="preserve"> 种（属），占比</w:t>
      </w:r>
      <w:r>
        <w:rPr>
          <w:spacing w:val="-2"/>
        </w:rPr>
        <w:t>20.00</w:t>
      </w:r>
      <w:r>
        <w:rPr>
          <w:rFonts w:hint="eastAsia"/>
          <w:spacing w:val="-2"/>
        </w:rPr>
        <w:t>%；枝角类1 种。浮游动物优势种主要有针簇多肢轮虫、螺形龟甲轮虫、球砂壳虫等。</w:t>
      </w:r>
    </w:p>
    <w:p>
      <w:pPr>
        <w:pStyle w:val="2"/>
        <w:ind w:left="0" w:leftChars="0" w:firstLine="480"/>
      </w:pPr>
      <w:r>
        <w:rPr>
          <w:rFonts w:hint="eastAsia"/>
        </w:rPr>
        <w:t>评价区浮游动物平均密度为3</w:t>
      </w:r>
      <w:r>
        <w:t>64</w:t>
      </w:r>
      <w:r>
        <w:rPr>
          <w:rFonts w:hint="eastAsia"/>
        </w:rPr>
        <w:t>.</w:t>
      </w:r>
      <w:r>
        <w:t>25</w:t>
      </w:r>
      <w:r>
        <w:rPr>
          <w:rFonts w:hint="eastAsia"/>
        </w:rPr>
        <w:t>ind./L，平均生物量2</w:t>
      </w:r>
      <w:r>
        <w:t>25</w:t>
      </w:r>
      <w:r>
        <w:rPr>
          <w:rFonts w:hint="eastAsia"/>
        </w:rPr>
        <w:t>.</w:t>
      </w:r>
      <w:r>
        <w:t>13</w:t>
      </w:r>
      <w:r>
        <w:rPr>
          <w:rFonts w:hint="eastAsia"/>
        </w:rPr>
        <w:t>×10</w:t>
      </w:r>
      <w:r>
        <w:rPr>
          <w:rFonts w:hint="eastAsia"/>
          <w:vertAlign w:val="superscript"/>
        </w:rPr>
        <w:t>-3</w:t>
      </w:r>
      <w:r>
        <w:rPr>
          <w:rFonts w:hint="eastAsia"/>
        </w:rPr>
        <w:t>mg/L。浮游动物密度在（1</w:t>
      </w:r>
      <w:r>
        <w:t>42</w:t>
      </w:r>
      <w:r>
        <w:rPr>
          <w:rFonts w:hint="eastAsia"/>
        </w:rPr>
        <w:t>~</w:t>
      </w:r>
      <w:r>
        <w:t>732</w:t>
      </w:r>
      <w:r>
        <w:rPr>
          <w:rFonts w:hint="eastAsia"/>
        </w:rPr>
        <w:t>.2）ind./L 范围内，生物量在（2</w:t>
      </w:r>
      <w:r>
        <w:t>5.3</w:t>
      </w:r>
      <w:r>
        <w:rPr>
          <w:rFonts w:hint="eastAsia"/>
        </w:rPr>
        <w:t>9~</w:t>
      </w:r>
      <w:r>
        <w:t>584</w:t>
      </w:r>
      <w:r>
        <w:rPr>
          <w:rFonts w:hint="eastAsia"/>
        </w:rPr>
        <w:t>.</w:t>
      </w:r>
      <w:r>
        <w:t>13</w:t>
      </w:r>
      <w:r>
        <w:rPr>
          <w:rFonts w:hint="eastAsia"/>
        </w:rPr>
        <w:t>）×10</w:t>
      </w:r>
      <w:r>
        <w:rPr>
          <w:rFonts w:hint="eastAsia"/>
          <w:vertAlign w:val="superscript"/>
        </w:rPr>
        <w:t>-3</w:t>
      </w:r>
      <w:r>
        <w:rPr>
          <w:rFonts w:hint="eastAsia"/>
        </w:rPr>
        <w:t>mg/L 范围内。</w:t>
      </w:r>
    </w:p>
    <w:p>
      <w:pPr>
        <w:pStyle w:val="2"/>
        <w:spacing w:after="0"/>
        <w:ind w:left="0" w:leftChars="0" w:firstLine="474"/>
        <w:rPr>
          <w:spacing w:val="-2"/>
        </w:rPr>
      </w:pPr>
      <w:r>
        <w:rPr>
          <w:b/>
          <w:spacing w:val="-2"/>
        </w:rPr>
        <w:t>底栖动物：</w:t>
      </w:r>
      <w:r>
        <w:rPr>
          <w:rFonts w:hint="eastAsia"/>
          <w:spacing w:val="-2"/>
        </w:rPr>
        <w:t>调查点位共检出底栖动物3 类</w:t>
      </w:r>
      <w:r>
        <w:rPr>
          <w:spacing w:val="-2"/>
        </w:rPr>
        <w:t>25</w:t>
      </w:r>
      <w:r>
        <w:rPr>
          <w:rFonts w:hint="eastAsia"/>
          <w:spacing w:val="-2"/>
        </w:rPr>
        <w:t>种。其中种类最多的节肢动物，总计1</w:t>
      </w:r>
      <w:r>
        <w:rPr>
          <w:spacing w:val="-2"/>
        </w:rPr>
        <w:t>8</w:t>
      </w:r>
      <w:r>
        <w:rPr>
          <w:rFonts w:hint="eastAsia"/>
          <w:spacing w:val="-2"/>
        </w:rPr>
        <w:t>种，占总种类数的</w:t>
      </w:r>
      <w:r>
        <w:rPr>
          <w:spacing w:val="-2"/>
        </w:rPr>
        <w:t>72.0</w:t>
      </w:r>
      <w:r>
        <w:rPr>
          <w:rFonts w:hint="eastAsia"/>
          <w:spacing w:val="-2"/>
        </w:rPr>
        <w:t>%；软体动物</w:t>
      </w:r>
      <w:r>
        <w:rPr>
          <w:spacing w:val="-2"/>
        </w:rPr>
        <w:t>5</w:t>
      </w:r>
      <w:r>
        <w:rPr>
          <w:rFonts w:hint="eastAsia"/>
          <w:spacing w:val="-2"/>
        </w:rPr>
        <w:t xml:space="preserve"> 种，占比</w:t>
      </w:r>
      <w:r>
        <w:rPr>
          <w:spacing w:val="-2"/>
        </w:rPr>
        <w:t>20.0</w:t>
      </w:r>
      <w:r>
        <w:rPr>
          <w:rFonts w:hint="eastAsia"/>
          <w:spacing w:val="-2"/>
        </w:rPr>
        <w:t>%，环节动物最少，仅</w:t>
      </w:r>
      <w:r>
        <w:rPr>
          <w:spacing w:val="-2"/>
        </w:rPr>
        <w:t>2</w:t>
      </w:r>
      <w:r>
        <w:rPr>
          <w:rFonts w:hint="eastAsia"/>
          <w:spacing w:val="-2"/>
        </w:rPr>
        <w:t xml:space="preserve"> 种，占比</w:t>
      </w:r>
      <w:r>
        <w:rPr>
          <w:spacing w:val="-2"/>
        </w:rPr>
        <w:t>8.0</w:t>
      </w:r>
      <w:r>
        <w:rPr>
          <w:rFonts w:hint="eastAsia"/>
          <w:spacing w:val="-2"/>
        </w:rPr>
        <w:t>%。底栖动物常见种有扁蜉和四节蜉等。</w:t>
      </w:r>
      <w:r>
        <w:rPr>
          <w:spacing w:val="-2"/>
        </w:rPr>
        <w:t>主要分布栖息在有机质含量较多的河道、稻田、池塘。</w:t>
      </w:r>
    </w:p>
    <w:p>
      <w:pPr>
        <w:ind w:firstLine="480"/>
      </w:pPr>
      <w:r>
        <w:rPr>
          <w:rFonts w:hint="eastAsia"/>
        </w:rPr>
        <w:t>评价区底栖动物平均密度为</w:t>
      </w:r>
      <w:r>
        <w:t>235.78</w:t>
      </w:r>
      <w:r>
        <w:rPr>
          <w:rFonts w:hint="eastAsia"/>
        </w:rPr>
        <w:t>ind./m</w:t>
      </w:r>
      <w:r>
        <w:rPr>
          <w:rFonts w:hint="eastAsia"/>
          <w:vertAlign w:val="superscript"/>
        </w:rPr>
        <w:t>2</w:t>
      </w:r>
      <w:r>
        <w:rPr>
          <w:rFonts w:hint="eastAsia"/>
        </w:rPr>
        <w:t>，平均生物量为</w:t>
      </w:r>
      <w:r>
        <w:t>52.17</w:t>
      </w:r>
      <w:r>
        <w:rPr>
          <w:rFonts w:hint="eastAsia"/>
        </w:rPr>
        <w:t>g/m</w:t>
      </w:r>
      <w:r>
        <w:rPr>
          <w:rFonts w:hint="eastAsia"/>
          <w:vertAlign w:val="superscript"/>
        </w:rPr>
        <w:t>2</w:t>
      </w:r>
      <w:r>
        <w:rPr>
          <w:rFonts w:hint="eastAsia"/>
        </w:rPr>
        <w:t>。评价区底栖动物密度在（1</w:t>
      </w:r>
      <w:r>
        <w:t>35</w:t>
      </w:r>
      <w:r>
        <w:rPr>
          <w:rFonts w:hint="eastAsia"/>
        </w:rPr>
        <w:t>~2</w:t>
      </w:r>
      <w:r>
        <w:t>88</w:t>
      </w:r>
      <w:r>
        <w:rPr>
          <w:rFonts w:hint="eastAsia"/>
        </w:rPr>
        <w:t>）ind./m</w:t>
      </w:r>
      <w:r>
        <w:rPr>
          <w:rFonts w:hint="eastAsia"/>
          <w:vertAlign w:val="superscript"/>
        </w:rPr>
        <w:t>2</w:t>
      </w:r>
      <w:r>
        <w:rPr>
          <w:rFonts w:hint="eastAsia"/>
        </w:rPr>
        <w:t xml:space="preserve"> 范围内，密度最高的为下水库库尾北河河段；生物量在（</w:t>
      </w:r>
      <w:r>
        <w:t>4.69</w:t>
      </w:r>
      <w:r>
        <w:rPr>
          <w:rFonts w:hint="eastAsia"/>
        </w:rPr>
        <w:t>~1</w:t>
      </w:r>
      <w:r>
        <w:t>20</w:t>
      </w:r>
      <w:r>
        <w:rPr>
          <w:rFonts w:hint="eastAsia"/>
        </w:rPr>
        <w:t>.</w:t>
      </w:r>
      <w:r>
        <w:t>25</w:t>
      </w:r>
      <w:r>
        <w:rPr>
          <w:rFonts w:hint="eastAsia"/>
        </w:rPr>
        <w:t>）g/m</w:t>
      </w:r>
      <w:r>
        <w:rPr>
          <w:rFonts w:hint="eastAsia"/>
          <w:vertAlign w:val="superscript"/>
        </w:rPr>
        <w:t>2</w:t>
      </w:r>
      <w:r>
        <w:rPr>
          <w:rFonts w:hint="eastAsia"/>
        </w:rPr>
        <w:t xml:space="preserve"> 范围内。</w:t>
      </w:r>
    </w:p>
    <w:p>
      <w:pPr>
        <w:ind w:firstLine="474"/>
      </w:pPr>
      <w:r>
        <w:rPr>
          <w:rFonts w:hint="eastAsia"/>
          <w:b/>
          <w:spacing w:val="-2"/>
        </w:rPr>
        <w:t>水生维管束植物</w:t>
      </w:r>
      <w:r>
        <w:rPr>
          <w:b/>
          <w:spacing w:val="-2"/>
        </w:rPr>
        <w:t>：</w:t>
      </w:r>
      <w:r>
        <w:rPr>
          <w:rFonts w:hint="eastAsia"/>
        </w:rPr>
        <w:t>评价区共调查到水生维管束植物12 种，坝址上游所在的河道内调查到水生维管束植物9 种，主要优势种为芦苇、菹草、金鱼藻、菰。坝下河道调查到水生维管束植物5 种，主要有金鱼藻、竹叶眼子菜、苦草等。</w:t>
      </w:r>
    </w:p>
    <w:p>
      <w:pPr>
        <w:ind w:firstLine="474"/>
        <w:rPr>
          <w:spacing w:val="-2"/>
        </w:rPr>
      </w:pPr>
      <w:r>
        <w:rPr>
          <w:b/>
          <w:spacing w:val="-2"/>
        </w:rPr>
        <w:t>鱼类资源：</w:t>
      </w:r>
      <w:r>
        <w:rPr>
          <w:spacing w:val="-2"/>
        </w:rPr>
        <w:t>评价范围涉及</w:t>
      </w:r>
      <w:r>
        <w:rPr>
          <w:rFonts w:hint="eastAsia"/>
          <w:spacing w:val="-2"/>
        </w:rPr>
        <w:t>锦河</w:t>
      </w:r>
      <w:r>
        <w:rPr>
          <w:spacing w:val="-2"/>
        </w:rPr>
        <w:t>中游河段和附近的池塘及农田沟渠湿地，没湿地生境没有特异性，鱼类为</w:t>
      </w:r>
      <w:r>
        <w:rPr>
          <w:rFonts w:hint="eastAsia"/>
          <w:spacing w:val="-2"/>
        </w:rPr>
        <w:t>赣江</w:t>
      </w:r>
      <w:r>
        <w:rPr>
          <w:spacing w:val="-2"/>
        </w:rPr>
        <w:t>一级支流</w:t>
      </w:r>
      <w:r>
        <w:rPr>
          <w:rFonts w:hint="eastAsia"/>
          <w:spacing w:val="-2"/>
        </w:rPr>
        <w:t>锦河</w:t>
      </w:r>
      <w:r>
        <w:rPr>
          <w:spacing w:val="-2"/>
        </w:rPr>
        <w:t>常见鱼类种群，如草鱼、青鱼、鲤、鲫、鲢、餐条、中华鳑鲏、黄鳝、泥鳅等。共4目11科42种，以鲤科常见鱼类及养殖鱼种为主。</w:t>
      </w:r>
    </w:p>
    <w:p>
      <w:pPr>
        <w:ind w:firstLine="472"/>
        <w:rPr>
          <w:spacing w:val="-2"/>
        </w:rPr>
      </w:pPr>
      <w:r>
        <w:rPr>
          <w:rFonts w:hint="eastAsia"/>
          <w:spacing w:val="-2"/>
        </w:rPr>
        <w:t>技术人员对采集到的渔获物进行种类鉴定，记录数量（尾）、体长（cm）和体重（g）等。评价区现场采集到鱼类</w:t>
      </w:r>
      <w:r>
        <w:rPr>
          <w:spacing w:val="-2"/>
        </w:rPr>
        <w:t>42</w:t>
      </w:r>
      <w:r>
        <w:rPr>
          <w:rFonts w:hint="eastAsia"/>
          <w:spacing w:val="-2"/>
        </w:rPr>
        <w:t>种，共计</w:t>
      </w:r>
      <w:r>
        <w:rPr>
          <w:spacing w:val="-2"/>
        </w:rPr>
        <w:t>259</w:t>
      </w:r>
      <w:r>
        <w:rPr>
          <w:rFonts w:hint="eastAsia"/>
          <w:spacing w:val="-2"/>
        </w:rPr>
        <w:t xml:space="preserve"> 尾，总重</w:t>
      </w:r>
      <w:r>
        <w:rPr>
          <w:spacing w:val="-2"/>
        </w:rPr>
        <w:t>95899.5</w:t>
      </w:r>
      <w:r>
        <w:rPr>
          <w:rFonts w:hint="eastAsia"/>
          <w:spacing w:val="-2"/>
        </w:rPr>
        <w:t>g。</w:t>
      </w:r>
    </w:p>
    <w:p>
      <w:pPr>
        <w:ind w:firstLine="472"/>
        <w:rPr>
          <w:spacing w:val="-2"/>
        </w:rPr>
      </w:pPr>
      <w:r>
        <w:rPr>
          <w:rFonts w:hint="eastAsia"/>
          <w:spacing w:val="-2"/>
        </w:rPr>
        <w:t>本次调查在S</w:t>
      </w:r>
      <w:r>
        <w:rPr>
          <w:spacing w:val="-2"/>
        </w:rPr>
        <w:t>1</w:t>
      </w:r>
      <w:r>
        <w:rPr>
          <w:rFonts w:hint="eastAsia"/>
          <w:spacing w:val="-2"/>
        </w:rPr>
        <w:t>共调查到鱼类</w:t>
      </w:r>
      <w:r>
        <w:rPr>
          <w:spacing w:val="-2"/>
        </w:rPr>
        <w:t>7</w:t>
      </w:r>
      <w:r>
        <w:rPr>
          <w:rFonts w:hint="eastAsia"/>
          <w:spacing w:val="-2"/>
        </w:rPr>
        <w:t xml:space="preserve"> 种，总计</w:t>
      </w:r>
      <w:r>
        <w:rPr>
          <w:spacing w:val="-2"/>
        </w:rPr>
        <w:t>76</w:t>
      </w:r>
      <w:r>
        <w:rPr>
          <w:rFonts w:hint="eastAsia"/>
          <w:spacing w:val="-2"/>
        </w:rPr>
        <w:t xml:space="preserve"> 尾，总重</w:t>
      </w:r>
      <w:r>
        <w:rPr>
          <w:spacing w:val="-2"/>
        </w:rPr>
        <w:t>33571.7</w:t>
      </w:r>
      <w:r>
        <w:rPr>
          <w:rFonts w:hint="eastAsia"/>
          <w:spacing w:val="-2"/>
        </w:rPr>
        <w:t>g，数量上主要以子陵吻虾虎鱼等小型鱼类为主，在重量上主要以鲢、鳙等大型鱼类为主；S</w:t>
      </w:r>
      <w:r>
        <w:rPr>
          <w:spacing w:val="-2"/>
        </w:rPr>
        <w:t>2</w:t>
      </w:r>
      <w:r>
        <w:rPr>
          <w:rFonts w:hint="eastAsia"/>
          <w:spacing w:val="-2"/>
        </w:rPr>
        <w:t>共调查到鱼类</w:t>
      </w:r>
      <w:r>
        <w:rPr>
          <w:spacing w:val="-2"/>
        </w:rPr>
        <w:t>10</w:t>
      </w:r>
      <w:r>
        <w:rPr>
          <w:rFonts w:hint="eastAsia"/>
          <w:spacing w:val="-2"/>
        </w:rPr>
        <w:t xml:space="preserve"> 种，总计73 尾，总重</w:t>
      </w:r>
      <w:r>
        <w:rPr>
          <w:spacing w:val="-2"/>
        </w:rPr>
        <w:t>14326.9</w:t>
      </w:r>
      <w:r>
        <w:rPr>
          <w:rFonts w:hint="eastAsia"/>
          <w:spacing w:val="-2"/>
        </w:rPr>
        <w:t>g；S</w:t>
      </w:r>
      <w:r>
        <w:rPr>
          <w:spacing w:val="-2"/>
        </w:rPr>
        <w:t>3</w:t>
      </w:r>
      <w:r>
        <w:rPr>
          <w:rFonts w:hint="eastAsia"/>
          <w:spacing w:val="-2"/>
        </w:rPr>
        <w:t>共调查到鱼类5 种，主要以马口鱼、宽鳍鱲等鱼类为主，总计38 尾，总重</w:t>
      </w:r>
      <w:r>
        <w:rPr>
          <w:spacing w:val="-2"/>
        </w:rPr>
        <w:t>9968.9</w:t>
      </w:r>
      <w:r>
        <w:rPr>
          <w:rFonts w:hint="eastAsia"/>
          <w:spacing w:val="-2"/>
        </w:rPr>
        <w:t>g；S</w:t>
      </w:r>
      <w:r>
        <w:rPr>
          <w:spacing w:val="-2"/>
        </w:rPr>
        <w:t>4</w:t>
      </w:r>
      <w:r>
        <w:rPr>
          <w:rFonts w:hint="eastAsia"/>
          <w:spacing w:val="-2"/>
        </w:rPr>
        <w:t>共调查到鱼类13 种，总计</w:t>
      </w:r>
      <w:r>
        <w:rPr>
          <w:spacing w:val="-2"/>
        </w:rPr>
        <w:t>25</w:t>
      </w:r>
      <w:r>
        <w:rPr>
          <w:rFonts w:hint="eastAsia"/>
          <w:spacing w:val="-2"/>
        </w:rPr>
        <w:t xml:space="preserve"> 尾，总重</w:t>
      </w:r>
      <w:r>
        <w:rPr>
          <w:spacing w:val="-2"/>
        </w:rPr>
        <w:t>8545.1</w:t>
      </w:r>
      <w:r>
        <w:rPr>
          <w:rFonts w:hint="eastAsia"/>
          <w:spacing w:val="-2"/>
        </w:rPr>
        <w:t>g；S</w:t>
      </w:r>
      <w:r>
        <w:rPr>
          <w:spacing w:val="-2"/>
        </w:rPr>
        <w:t>5</w:t>
      </w:r>
      <w:r>
        <w:rPr>
          <w:rFonts w:hint="eastAsia"/>
          <w:spacing w:val="-2"/>
        </w:rPr>
        <w:t>共调查到鱼类15 种，主要以鲫、银鮈等鱼类为主，总计</w:t>
      </w:r>
      <w:r>
        <w:rPr>
          <w:spacing w:val="-2"/>
        </w:rPr>
        <w:t>7</w:t>
      </w:r>
      <w:r>
        <w:rPr>
          <w:rFonts w:hint="eastAsia"/>
          <w:spacing w:val="-2"/>
        </w:rPr>
        <w:t>8 尾，总重</w:t>
      </w:r>
      <w:r>
        <w:rPr>
          <w:spacing w:val="-2"/>
        </w:rPr>
        <w:t>12642.5</w:t>
      </w:r>
      <w:r>
        <w:rPr>
          <w:rFonts w:hint="eastAsia"/>
          <w:spacing w:val="-2"/>
        </w:rPr>
        <w:t>g</w:t>
      </w:r>
      <w:r>
        <w:rPr>
          <w:spacing w:val="-2"/>
        </w:rPr>
        <w:t>,</w:t>
      </w:r>
      <w:r>
        <w:rPr>
          <w:rFonts w:hint="eastAsia"/>
          <w:spacing w:val="-2"/>
        </w:rPr>
        <w:t xml:space="preserve"> S</w:t>
      </w:r>
      <w:r>
        <w:rPr>
          <w:spacing w:val="-2"/>
        </w:rPr>
        <w:t>6</w:t>
      </w:r>
      <w:r>
        <w:rPr>
          <w:rFonts w:hint="eastAsia"/>
          <w:spacing w:val="-2"/>
        </w:rPr>
        <w:t>共调查到鱼类</w:t>
      </w:r>
      <w:r>
        <w:rPr>
          <w:spacing w:val="-2"/>
        </w:rPr>
        <w:t>20</w:t>
      </w:r>
      <w:r>
        <w:rPr>
          <w:rFonts w:hint="eastAsia"/>
          <w:spacing w:val="-2"/>
        </w:rPr>
        <w:t xml:space="preserve"> 种，主要以鲫、鲢、鲤等鱼类为主，总计</w:t>
      </w:r>
      <w:r>
        <w:rPr>
          <w:spacing w:val="-2"/>
        </w:rPr>
        <w:t>69</w:t>
      </w:r>
      <w:r>
        <w:rPr>
          <w:rFonts w:hint="eastAsia"/>
          <w:spacing w:val="-2"/>
        </w:rPr>
        <w:t xml:space="preserve"> 尾，总重1</w:t>
      </w:r>
      <w:r>
        <w:rPr>
          <w:spacing w:val="-2"/>
        </w:rPr>
        <w:t>68</w:t>
      </w:r>
      <w:r>
        <w:rPr>
          <w:rFonts w:hint="eastAsia"/>
          <w:spacing w:val="-2"/>
        </w:rPr>
        <w:t>4</w:t>
      </w:r>
      <w:r>
        <w:rPr>
          <w:spacing w:val="-2"/>
        </w:rPr>
        <w:t>4</w:t>
      </w:r>
      <w:r>
        <w:rPr>
          <w:rFonts w:hint="eastAsia"/>
          <w:spacing w:val="-2"/>
        </w:rPr>
        <w:t>.4g。</w:t>
      </w:r>
    </w:p>
    <w:p>
      <w:pPr>
        <w:ind w:firstLine="472"/>
        <w:rPr>
          <w:spacing w:val="-2"/>
        </w:rPr>
      </w:pPr>
      <w:r>
        <w:rPr>
          <w:spacing w:val="-2"/>
        </w:rPr>
        <w:t>详见表4.</w:t>
      </w:r>
      <w:r>
        <w:rPr>
          <w:rFonts w:hint="eastAsia"/>
          <w:spacing w:val="-2"/>
        </w:rPr>
        <w:t>5</w:t>
      </w:r>
      <w:r>
        <w:rPr>
          <w:spacing w:val="-2"/>
        </w:rPr>
        <w:t>-27。</w:t>
      </w:r>
    </w:p>
    <w:p>
      <w:pPr>
        <w:pStyle w:val="2"/>
        <w:ind w:left="480" w:firstLine="480"/>
      </w:pPr>
    </w:p>
    <w:p>
      <w:pPr>
        <w:pStyle w:val="295"/>
        <w:spacing w:before="120" w:beforeLines="50" w:line="240" w:lineRule="auto"/>
        <w:ind w:firstLine="0" w:firstLineChars="0"/>
        <w:jc w:val="center"/>
        <w:rPr>
          <w:rFonts w:ascii="黑体" w:hAnsi="黑体" w:eastAsia="黑体" w:cs="黑体"/>
          <w:snapToGrid/>
          <w:kern w:val="2"/>
          <w:szCs w:val="21"/>
        </w:rPr>
      </w:pPr>
      <w:r>
        <w:rPr>
          <w:rFonts w:hint="eastAsia" w:ascii="黑体" w:hAnsi="黑体" w:eastAsia="黑体" w:cs="黑体"/>
          <w:snapToGrid/>
          <w:kern w:val="2"/>
          <w:szCs w:val="21"/>
        </w:rPr>
        <w:t>表4.5-2</w:t>
      </w:r>
      <w:r>
        <w:rPr>
          <w:rFonts w:ascii="黑体" w:hAnsi="黑体" w:eastAsia="黑体" w:cs="黑体"/>
          <w:snapToGrid/>
          <w:kern w:val="2"/>
          <w:szCs w:val="21"/>
        </w:rPr>
        <w:t>7</w:t>
      </w:r>
      <w:r>
        <w:rPr>
          <w:rFonts w:hint="eastAsia" w:ascii="黑体" w:hAnsi="黑体" w:eastAsia="黑体" w:cs="黑体"/>
          <w:snapToGrid/>
          <w:kern w:val="2"/>
          <w:szCs w:val="21"/>
        </w:rPr>
        <w:t xml:space="preserve">  评价范围鱼类名录</w:t>
      </w:r>
    </w:p>
    <w:tbl>
      <w:tblPr>
        <w:tblStyle w:val="8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8"/>
        <w:gridCol w:w="5502"/>
        <w:gridCol w:w="11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20" w:type="pct"/>
            <w:vAlign w:val="center"/>
          </w:tcPr>
          <w:p>
            <w:pPr>
              <w:snapToGrid w:val="0"/>
              <w:spacing w:line="340" w:lineRule="exact"/>
              <w:ind w:firstLine="0" w:firstLineChars="0"/>
              <w:contextualSpacing/>
              <w:jc w:val="center"/>
              <w:rPr>
                <w:b/>
                <w:sz w:val="21"/>
                <w:szCs w:val="21"/>
              </w:rPr>
            </w:pPr>
            <w:r>
              <w:rPr>
                <w:b/>
                <w:sz w:val="21"/>
                <w:szCs w:val="21"/>
              </w:rPr>
              <w:t>中文种名拉丁种名</w:t>
            </w:r>
          </w:p>
        </w:tc>
        <w:tc>
          <w:tcPr>
            <w:tcW w:w="2875" w:type="pct"/>
            <w:vAlign w:val="center"/>
          </w:tcPr>
          <w:p>
            <w:pPr>
              <w:snapToGrid w:val="0"/>
              <w:spacing w:line="340" w:lineRule="exact"/>
              <w:ind w:firstLine="0" w:firstLineChars="0"/>
              <w:contextualSpacing/>
              <w:jc w:val="center"/>
              <w:rPr>
                <w:b/>
                <w:sz w:val="21"/>
                <w:szCs w:val="21"/>
              </w:rPr>
            </w:pPr>
            <w:r>
              <w:rPr>
                <w:b/>
                <w:sz w:val="21"/>
                <w:szCs w:val="21"/>
              </w:rPr>
              <w:t>生活环境和习性</w:t>
            </w:r>
          </w:p>
        </w:tc>
        <w:tc>
          <w:tcPr>
            <w:tcW w:w="604" w:type="pct"/>
            <w:vAlign w:val="center"/>
          </w:tcPr>
          <w:p>
            <w:pPr>
              <w:snapToGrid w:val="0"/>
              <w:spacing w:line="340" w:lineRule="exact"/>
              <w:ind w:firstLine="0" w:firstLineChars="0"/>
              <w:contextualSpacing/>
              <w:jc w:val="center"/>
              <w:rPr>
                <w:b/>
                <w:sz w:val="21"/>
                <w:szCs w:val="21"/>
              </w:rPr>
            </w:pPr>
            <w:r>
              <w:rPr>
                <w:b/>
                <w:sz w:val="21"/>
                <w:szCs w:val="21"/>
              </w:rPr>
              <w:t>保护等级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一、鲤形目CYPRINFORMES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（一）鳅科Cobitidae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1.泥鳅</w:t>
            </w:r>
            <w:r>
              <w:rPr>
                <w:i/>
                <w:sz w:val="21"/>
                <w:szCs w:val="21"/>
              </w:rPr>
              <w:t>Misgurnusanguillicaudatas</w:t>
            </w:r>
          </w:p>
        </w:tc>
        <w:tc>
          <w:tcPr>
            <w:tcW w:w="2875" w:type="pct"/>
            <w:vAlign w:val="center"/>
          </w:tcPr>
          <w:p>
            <w:pPr>
              <w:snapToGrid w:val="0"/>
              <w:spacing w:line="340" w:lineRule="exact"/>
              <w:ind w:firstLine="0" w:firstLineChars="0"/>
              <w:contextualSpacing/>
              <w:jc w:val="center"/>
              <w:rPr>
                <w:sz w:val="21"/>
                <w:szCs w:val="21"/>
              </w:rPr>
            </w:pPr>
            <w:r>
              <w:rPr>
                <w:sz w:val="21"/>
                <w:szCs w:val="21"/>
              </w:rPr>
              <w:t>栖于湖沼、池塘、稻田的水底，以浮游生物、小型甲壳类、昆虫及其幼体、扁螺及高等植物碎屑为食。4-9月开始产卵，卵黄色，粘性弱</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（二）鲤科Cyprinidae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2.马口鱼</w:t>
            </w:r>
            <w:r>
              <w:rPr>
                <w:i/>
                <w:sz w:val="21"/>
                <w:szCs w:val="21"/>
              </w:rPr>
              <w:t>Opsariichthysbidens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栖息于山涧溪流，尤以水流较急的浅滩和砂砾底的小溪为多见。繁殖期3～6月。以小鱼和水生昆虫为食。</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3.宽鳍鱲</w:t>
            </w:r>
            <w:r>
              <w:rPr>
                <w:i/>
                <w:sz w:val="21"/>
                <w:szCs w:val="21"/>
              </w:rPr>
              <w:t>Zaccoplatypus</w:t>
            </w:r>
          </w:p>
        </w:tc>
        <w:tc>
          <w:tcPr>
            <w:tcW w:w="2875" w:type="pct"/>
            <w:vAlign w:val="center"/>
          </w:tcPr>
          <w:p>
            <w:pPr>
              <w:snapToGrid w:val="0"/>
              <w:spacing w:line="340" w:lineRule="exact"/>
              <w:ind w:firstLine="0" w:firstLineChars="0"/>
              <w:contextualSpacing/>
              <w:jc w:val="center"/>
              <w:rPr>
                <w:sz w:val="21"/>
                <w:szCs w:val="21"/>
              </w:rPr>
            </w:pPr>
            <w:r>
              <w:rPr>
                <w:sz w:val="21"/>
                <w:szCs w:val="21"/>
              </w:rPr>
              <w:t>多栖息于江河支流，喜游于水流较急的浅石滩处，杂食性，但主食无脊椎动物和小鱼。4～6月，在急流中产卵。</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4.倒刺鲃</w:t>
            </w:r>
          </w:p>
          <w:p>
            <w:pPr>
              <w:snapToGrid w:val="0"/>
              <w:spacing w:line="340" w:lineRule="exact"/>
              <w:ind w:firstLine="0" w:firstLineChars="0"/>
              <w:contextualSpacing/>
              <w:jc w:val="center"/>
              <w:rPr>
                <w:i/>
                <w:sz w:val="21"/>
                <w:szCs w:val="21"/>
              </w:rPr>
            </w:pPr>
            <w:r>
              <w:rPr>
                <w:i/>
                <w:sz w:val="21"/>
                <w:szCs w:val="21"/>
              </w:rPr>
              <w:t>Spinibarbusdenticulatus</w:t>
            </w:r>
          </w:p>
        </w:tc>
        <w:tc>
          <w:tcPr>
            <w:tcW w:w="2875" w:type="pct"/>
            <w:vAlign w:val="center"/>
          </w:tcPr>
          <w:p>
            <w:pPr>
              <w:snapToGrid w:val="0"/>
              <w:spacing w:line="340" w:lineRule="exact"/>
              <w:ind w:firstLine="0" w:firstLineChars="0"/>
              <w:contextualSpacing/>
              <w:jc w:val="center"/>
              <w:rPr>
                <w:sz w:val="21"/>
                <w:szCs w:val="21"/>
              </w:rPr>
            </w:pPr>
            <w:r>
              <w:rPr>
                <w:sz w:val="21"/>
                <w:szCs w:val="21"/>
              </w:rPr>
              <w:t>底栖鱼类，喜群栖息于乱石底的流水中。在干流和支流深坑岩穴越冬，春季水位上涨后，则到支流中繁殖、生长。幼鱼则以甲壳动物为食，成鱼以水生高等植物为主食，也食丝状藻类、昆虫幼虫、淡水壳菜等</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5.瓣结鱼</w:t>
            </w:r>
            <w:r>
              <w:rPr>
                <w:i/>
                <w:sz w:val="21"/>
                <w:szCs w:val="21"/>
              </w:rPr>
              <w:t>Torbrevifilis</w:t>
            </w:r>
          </w:p>
        </w:tc>
        <w:tc>
          <w:tcPr>
            <w:tcW w:w="2875" w:type="pct"/>
            <w:vAlign w:val="center"/>
          </w:tcPr>
          <w:p>
            <w:pPr>
              <w:snapToGrid w:val="0"/>
              <w:spacing w:line="340" w:lineRule="exact"/>
              <w:ind w:firstLine="0" w:firstLineChars="0"/>
              <w:contextualSpacing/>
              <w:jc w:val="center"/>
              <w:rPr>
                <w:sz w:val="21"/>
                <w:szCs w:val="21"/>
              </w:rPr>
            </w:pPr>
            <w:r>
              <w:rPr>
                <w:sz w:val="21"/>
                <w:szCs w:val="21"/>
              </w:rPr>
              <w:t>常巡游于清澈水体底层乱石间，用喇叭形伸缩自如的嘴在江河底或石隙间吸食，以底栖软体动物、水生昆虫、植物碎屑和丝状藻类为食。</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6.棒花鱼</w:t>
            </w:r>
            <w:r>
              <w:rPr>
                <w:i/>
                <w:sz w:val="21"/>
                <w:szCs w:val="21"/>
              </w:rPr>
              <w:t>Abbottinarivularis</w:t>
            </w:r>
          </w:p>
        </w:tc>
        <w:tc>
          <w:tcPr>
            <w:tcW w:w="2875" w:type="pct"/>
            <w:vAlign w:val="center"/>
          </w:tcPr>
          <w:p>
            <w:pPr>
              <w:snapToGrid w:val="0"/>
              <w:spacing w:line="340" w:lineRule="exact"/>
              <w:ind w:firstLine="0" w:firstLineChars="0"/>
              <w:contextualSpacing/>
              <w:jc w:val="center"/>
              <w:rPr>
                <w:sz w:val="21"/>
                <w:szCs w:val="21"/>
              </w:rPr>
            </w:pPr>
            <w:r>
              <w:rPr>
                <w:sz w:val="21"/>
                <w:szCs w:val="21"/>
              </w:rPr>
              <w:t>生活于水体中下层，以枝角类为食。5～6月繁殖，卵粘性小型鱼类，无经济价值</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7.似鮈</w:t>
            </w:r>
            <w:r>
              <w:rPr>
                <w:i/>
                <w:sz w:val="21"/>
                <w:szCs w:val="21"/>
              </w:rPr>
              <w:t>Pseudogobiovaillanti</w:t>
            </w:r>
          </w:p>
        </w:tc>
        <w:tc>
          <w:tcPr>
            <w:tcW w:w="2875" w:type="pct"/>
            <w:vAlign w:val="center"/>
          </w:tcPr>
          <w:p>
            <w:pPr>
              <w:snapToGrid w:val="0"/>
              <w:spacing w:line="340" w:lineRule="exact"/>
              <w:ind w:firstLine="0" w:firstLineChars="0"/>
              <w:contextualSpacing/>
              <w:jc w:val="center"/>
              <w:rPr>
                <w:sz w:val="21"/>
                <w:szCs w:val="21"/>
              </w:rPr>
            </w:pPr>
            <w:r>
              <w:rPr>
                <w:sz w:val="21"/>
                <w:szCs w:val="21"/>
              </w:rPr>
              <w:t>小型鱼类，生活于江河下层。</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8.江西鳈</w:t>
            </w:r>
          </w:p>
          <w:p>
            <w:pPr>
              <w:snapToGrid w:val="0"/>
              <w:spacing w:line="340" w:lineRule="exact"/>
              <w:ind w:firstLine="0" w:firstLineChars="0"/>
              <w:contextualSpacing/>
              <w:jc w:val="center"/>
              <w:rPr>
                <w:sz w:val="21"/>
                <w:szCs w:val="21"/>
              </w:rPr>
            </w:pPr>
            <w:r>
              <w:rPr>
                <w:i/>
                <w:sz w:val="21"/>
                <w:szCs w:val="21"/>
              </w:rPr>
              <w:t>Sarcocheilichthyskiangsiensis</w:t>
            </w:r>
          </w:p>
        </w:tc>
        <w:tc>
          <w:tcPr>
            <w:tcW w:w="2875" w:type="pct"/>
            <w:vAlign w:val="center"/>
          </w:tcPr>
          <w:p>
            <w:pPr>
              <w:snapToGrid w:val="0"/>
              <w:spacing w:line="340" w:lineRule="exact"/>
              <w:ind w:firstLine="0" w:firstLineChars="0"/>
              <w:contextualSpacing/>
              <w:jc w:val="center"/>
              <w:rPr>
                <w:sz w:val="21"/>
                <w:szCs w:val="21"/>
              </w:rPr>
            </w:pPr>
            <w:r>
              <w:rPr>
                <w:sz w:val="21"/>
                <w:szCs w:val="21"/>
              </w:rPr>
              <w:t>个体不大，一般常见体长为80～150毫米。</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9.黑鳍鳈</w:t>
            </w:r>
          </w:p>
          <w:p>
            <w:pPr>
              <w:snapToGrid w:val="0"/>
              <w:spacing w:line="340" w:lineRule="exact"/>
              <w:ind w:firstLine="0" w:firstLineChars="0"/>
              <w:contextualSpacing/>
              <w:jc w:val="center"/>
              <w:rPr>
                <w:sz w:val="21"/>
                <w:szCs w:val="21"/>
              </w:rPr>
            </w:pPr>
            <w:r>
              <w:rPr>
                <w:i/>
                <w:sz w:val="21"/>
                <w:szCs w:val="21"/>
              </w:rPr>
              <w:t>Sarcocheilichthysnigripinnis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栖息于水质澄清的流水或静水中。喜食底栖无脊椎动物和水生昆虫，亦食少量甲壳类、贝壳类、藻类及植物碎屑。</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10.蛇鮈</w:t>
            </w:r>
            <w:r>
              <w:rPr>
                <w:i/>
                <w:sz w:val="21"/>
                <w:szCs w:val="21"/>
              </w:rPr>
              <w:t>Saurogobiodabryi</w:t>
            </w:r>
          </w:p>
        </w:tc>
        <w:tc>
          <w:tcPr>
            <w:tcW w:w="2875" w:type="pct"/>
            <w:vAlign w:val="center"/>
          </w:tcPr>
          <w:p>
            <w:pPr>
              <w:snapToGrid w:val="0"/>
              <w:spacing w:line="340" w:lineRule="exact"/>
              <w:ind w:firstLine="0" w:firstLineChars="0"/>
              <w:contextualSpacing/>
              <w:jc w:val="center"/>
              <w:rPr>
                <w:sz w:val="21"/>
                <w:szCs w:val="21"/>
              </w:rPr>
            </w:pPr>
            <w:r>
              <w:rPr>
                <w:sz w:val="21"/>
                <w:szCs w:val="21"/>
              </w:rPr>
              <w:t>小型鱼类，于沙底水缓处，主要摄食水生昆虫或桡足类，同时也吃少量水草或藻类。</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11.油䱗</w:t>
            </w:r>
            <w:r>
              <w:rPr>
                <w:i/>
                <w:sz w:val="21"/>
                <w:szCs w:val="21"/>
              </w:rPr>
              <w:t>Hemiculterbleekeri</w:t>
            </w:r>
          </w:p>
        </w:tc>
        <w:tc>
          <w:tcPr>
            <w:tcW w:w="2875" w:type="pct"/>
            <w:vAlign w:val="center"/>
          </w:tcPr>
          <w:p>
            <w:pPr>
              <w:snapToGrid w:val="0"/>
              <w:spacing w:line="340" w:lineRule="exact"/>
              <w:ind w:firstLine="0" w:firstLineChars="0"/>
              <w:contextualSpacing/>
              <w:jc w:val="center"/>
              <w:rPr>
                <w:sz w:val="21"/>
                <w:szCs w:val="21"/>
              </w:rPr>
            </w:pPr>
            <w:r>
              <w:rPr>
                <w:sz w:val="21"/>
                <w:szCs w:val="21"/>
              </w:rPr>
              <w:t>小型鱼类,喜集群，行动迅速，常在浅水区觅食。杂食，主食水生昆虫和浮游动物。</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12.䱗条</w:t>
            </w:r>
            <w:r>
              <w:rPr>
                <w:i/>
                <w:sz w:val="21"/>
                <w:szCs w:val="21"/>
              </w:rPr>
              <w:t>HemicculterLeuciclus</w:t>
            </w:r>
          </w:p>
        </w:tc>
        <w:tc>
          <w:tcPr>
            <w:tcW w:w="2875" w:type="pct"/>
            <w:vAlign w:val="center"/>
          </w:tcPr>
          <w:p>
            <w:pPr>
              <w:snapToGrid w:val="0"/>
              <w:spacing w:line="340" w:lineRule="exact"/>
              <w:ind w:firstLine="0" w:firstLineChars="0"/>
              <w:contextualSpacing/>
              <w:jc w:val="center"/>
              <w:rPr>
                <w:sz w:val="21"/>
                <w:szCs w:val="21"/>
              </w:rPr>
            </w:pPr>
            <w:r>
              <w:rPr>
                <w:sz w:val="21"/>
                <w:szCs w:val="21"/>
              </w:rPr>
              <w:t>常成大群游于浅水区上层。杂食，主食无脊椎动物。在长江，5～6月产卵，产卵时有逆水跳滩习性。分批产卵，粘附于水草或砾石上。</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13.鳙</w:t>
            </w:r>
            <w:r>
              <w:rPr>
                <w:i/>
                <w:sz w:val="21"/>
                <w:szCs w:val="21"/>
              </w:rPr>
              <w:t>Aristichthysnobilis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栖息于江河、湖泊的中上层。性情温驯，洄游，以游游动物为主食。繁殖期为4-7月</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14.鲫</w:t>
            </w:r>
            <w:r>
              <w:rPr>
                <w:i/>
                <w:sz w:val="21"/>
                <w:szCs w:val="21"/>
              </w:rPr>
              <w:t>Carassiusauratus</w:t>
            </w:r>
          </w:p>
        </w:tc>
        <w:tc>
          <w:tcPr>
            <w:tcW w:w="2875" w:type="pct"/>
            <w:vAlign w:val="center"/>
          </w:tcPr>
          <w:p>
            <w:pPr>
              <w:snapToGrid w:val="0"/>
              <w:spacing w:line="340" w:lineRule="exact"/>
              <w:ind w:firstLine="0" w:firstLineChars="0"/>
              <w:contextualSpacing/>
              <w:jc w:val="center"/>
              <w:rPr>
                <w:sz w:val="21"/>
                <w:szCs w:val="21"/>
              </w:rPr>
            </w:pPr>
            <w:r>
              <w:rPr>
                <w:sz w:val="21"/>
                <w:szCs w:val="21"/>
              </w:rPr>
              <w:t>广适性，杂食性，产卵期为3-8月</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15.鲢</w:t>
            </w:r>
            <w:r>
              <w:rPr>
                <w:i/>
                <w:sz w:val="21"/>
                <w:szCs w:val="21"/>
              </w:rPr>
              <w:t>Coreiusbeterodon</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栖息于江河干流及附属流水作业本的上层。以浮游植物为主食。产卵群体每年4-7月集群于江河有急流泡泡漩水的河段繁殖</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16.草鱼</w:t>
            </w:r>
            <w:r>
              <w:rPr>
                <w:i/>
                <w:sz w:val="21"/>
                <w:szCs w:val="21"/>
              </w:rPr>
              <w:t>Ctenopharyngodonidellus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栖息于江河、湖泊的中下层。为草食性鱼类。4-7月在江河流水中产卵，卵为漂流性</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17.鲤</w:t>
            </w:r>
            <w:r>
              <w:rPr>
                <w:i/>
                <w:sz w:val="21"/>
                <w:szCs w:val="21"/>
              </w:rPr>
              <w:t>Cyprinuscarpio</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栖息于水体底层和水草丛生处。食性广，主食底栖动物，繁殖季节南方为2-4月，北方为4-7月</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pacing w:val="-6"/>
                <w:sz w:val="21"/>
                <w:szCs w:val="21"/>
              </w:rPr>
              <w:t>18.圆吻鲴</w:t>
            </w:r>
            <w:r>
              <w:rPr>
                <w:i/>
                <w:sz w:val="21"/>
                <w:szCs w:val="21"/>
              </w:rPr>
              <w:t>Distoechodontumirostris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栖息于江河湖泊的中下层，以藻类等植物为食，4～8月繁殖，为产地的经济鱼类</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19.青鱼</w:t>
            </w:r>
            <w:r>
              <w:rPr>
                <w:i/>
                <w:sz w:val="21"/>
                <w:szCs w:val="21"/>
              </w:rPr>
              <w:t>Mylopharyngodonpiceus</w:t>
            </w:r>
          </w:p>
        </w:tc>
        <w:tc>
          <w:tcPr>
            <w:tcW w:w="2875" w:type="pct"/>
            <w:vAlign w:val="center"/>
          </w:tcPr>
          <w:p>
            <w:pPr>
              <w:snapToGrid w:val="0"/>
              <w:spacing w:line="340" w:lineRule="exact"/>
              <w:ind w:firstLine="0" w:firstLineChars="0"/>
              <w:contextualSpacing/>
              <w:jc w:val="center"/>
              <w:rPr>
                <w:sz w:val="21"/>
                <w:szCs w:val="21"/>
              </w:rPr>
            </w:pPr>
            <w:r>
              <w:rPr>
                <w:sz w:val="21"/>
                <w:szCs w:val="21"/>
              </w:rPr>
              <w:t>平时多栖息在大江河和湖泊的中下层，在蚌、蚬、螺师和蛤蜊等软体动物为主要食料。产卵期为5-7月</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20.长春鳊</w:t>
            </w:r>
            <w:r>
              <w:rPr>
                <w:i/>
                <w:sz w:val="21"/>
                <w:szCs w:val="21"/>
              </w:rPr>
              <w:t>Parabramispekinensis</w:t>
            </w:r>
          </w:p>
        </w:tc>
        <w:tc>
          <w:tcPr>
            <w:tcW w:w="2875" w:type="pct"/>
            <w:vAlign w:val="center"/>
          </w:tcPr>
          <w:p>
            <w:pPr>
              <w:snapToGrid w:val="0"/>
              <w:spacing w:line="340" w:lineRule="exact"/>
              <w:ind w:firstLine="0" w:firstLineChars="0"/>
              <w:contextualSpacing/>
              <w:jc w:val="center"/>
              <w:rPr>
                <w:sz w:val="21"/>
                <w:szCs w:val="21"/>
              </w:rPr>
            </w:pPr>
            <w:r>
              <w:rPr>
                <w:sz w:val="21"/>
                <w:szCs w:val="21"/>
              </w:rPr>
              <w:t>生活于水体的中上层。草食性。生殖季节4～8月，以6～7月最盛。在流水中产漂流性卵。</w:t>
            </w:r>
          </w:p>
        </w:tc>
        <w:tc>
          <w:tcPr>
            <w:tcW w:w="604" w:type="pct"/>
            <w:vAlign w:val="center"/>
          </w:tcPr>
          <w:p>
            <w:pPr>
              <w:snapToGrid w:val="0"/>
              <w:spacing w:line="340" w:lineRule="exact"/>
              <w:ind w:firstLine="0" w:firstLineChars="0"/>
              <w:contextualSpacing/>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21.三角鲂</w:t>
            </w:r>
          </w:p>
          <w:p>
            <w:pPr>
              <w:snapToGrid w:val="0"/>
              <w:spacing w:line="340" w:lineRule="exact"/>
              <w:ind w:firstLine="0" w:firstLineChars="0"/>
              <w:contextualSpacing/>
              <w:jc w:val="center"/>
              <w:rPr>
                <w:i/>
                <w:sz w:val="21"/>
                <w:szCs w:val="21"/>
              </w:rPr>
            </w:pPr>
            <w:r>
              <w:rPr>
                <w:i/>
                <w:sz w:val="21"/>
                <w:szCs w:val="21"/>
              </w:rPr>
              <w:t>Megalobramaterminalis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栖息在水体下层，生殖季节成熟亲鱼必须到有一定流水的产卵场进行产卵活动</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22.团头鲂</w:t>
            </w:r>
          </w:p>
          <w:p>
            <w:pPr>
              <w:snapToGrid w:val="0"/>
              <w:spacing w:line="340" w:lineRule="exact"/>
              <w:ind w:firstLine="0" w:firstLineChars="0"/>
              <w:contextualSpacing/>
              <w:jc w:val="center"/>
              <w:rPr>
                <w:i/>
                <w:sz w:val="21"/>
                <w:szCs w:val="21"/>
              </w:rPr>
            </w:pPr>
            <w:r>
              <w:rPr>
                <w:i/>
                <w:sz w:val="21"/>
                <w:szCs w:val="21"/>
              </w:rPr>
              <w:t>Megalobramaamblycephala</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栖息于静水或缓流水体的中下层。幼鱼以浮游动物和藻类为食，成鱼食水生维管束植物。每年6-7月在流水中产卵浮性卵，随水漂流发育</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23.银飘鱼</w:t>
            </w:r>
            <w:r>
              <w:rPr>
                <w:i/>
                <w:sz w:val="21"/>
                <w:szCs w:val="21"/>
              </w:rPr>
              <w:t>P.sinensis</w:t>
            </w:r>
          </w:p>
        </w:tc>
        <w:tc>
          <w:tcPr>
            <w:tcW w:w="2875" w:type="pct"/>
            <w:vAlign w:val="center"/>
          </w:tcPr>
          <w:p>
            <w:pPr>
              <w:snapToGrid w:val="0"/>
              <w:spacing w:line="340" w:lineRule="exact"/>
              <w:ind w:firstLine="0" w:firstLineChars="0"/>
              <w:contextualSpacing/>
              <w:jc w:val="center"/>
              <w:rPr>
                <w:sz w:val="21"/>
                <w:szCs w:val="21"/>
              </w:rPr>
            </w:pPr>
            <w:r>
              <w:rPr>
                <w:sz w:val="21"/>
                <w:szCs w:val="21"/>
              </w:rPr>
              <w:t>成群在水面来往漂游，食性杂，以小鱼，小虾为主食，兼食枝角类、桡足类以及高等植物碎屑，藻类等。个体小，但繁殖力强</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24.麦穗鱼</w:t>
            </w:r>
            <w:r>
              <w:rPr>
                <w:i/>
                <w:sz w:val="21"/>
                <w:szCs w:val="21"/>
              </w:rPr>
              <w:t>Pseudorasboraparva</w:t>
            </w:r>
          </w:p>
        </w:tc>
        <w:tc>
          <w:tcPr>
            <w:tcW w:w="2875" w:type="pct"/>
            <w:vAlign w:val="center"/>
          </w:tcPr>
          <w:p>
            <w:pPr>
              <w:snapToGrid w:val="0"/>
              <w:spacing w:line="340" w:lineRule="exact"/>
              <w:ind w:firstLine="0" w:firstLineChars="0"/>
              <w:contextualSpacing/>
              <w:jc w:val="center"/>
              <w:rPr>
                <w:sz w:val="21"/>
                <w:szCs w:val="21"/>
              </w:rPr>
            </w:pPr>
            <w:r>
              <w:rPr>
                <w:sz w:val="21"/>
                <w:szCs w:val="21"/>
              </w:rPr>
              <w:t>生活于池塘、湖泊、沟渠中，以枝角类等为食，5～6月产卵，产粘性卵。无经济价值</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25.吻鮈</w:t>
            </w:r>
            <w:r>
              <w:rPr>
                <w:i/>
                <w:sz w:val="21"/>
                <w:szCs w:val="21"/>
              </w:rPr>
              <w:t>Rhinogobiotypus</w:t>
            </w:r>
          </w:p>
        </w:tc>
        <w:tc>
          <w:tcPr>
            <w:tcW w:w="2875" w:type="pct"/>
            <w:vAlign w:val="center"/>
          </w:tcPr>
          <w:p>
            <w:pPr>
              <w:snapToGrid w:val="0"/>
              <w:spacing w:line="340" w:lineRule="exact"/>
              <w:ind w:firstLine="0" w:firstLineChars="0"/>
              <w:contextualSpacing/>
              <w:jc w:val="center"/>
              <w:rPr>
                <w:sz w:val="21"/>
                <w:szCs w:val="21"/>
              </w:rPr>
            </w:pPr>
            <w:r>
              <w:rPr>
                <w:sz w:val="21"/>
                <w:szCs w:val="21"/>
              </w:rPr>
              <w:t>生活于水体底层，以软梯动物为食。卵沉性。重要经济鱼类</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26.中华鰟鮍</w:t>
            </w:r>
            <w:r>
              <w:rPr>
                <w:i/>
                <w:sz w:val="21"/>
                <w:szCs w:val="21"/>
              </w:rPr>
              <w:t>R.sinensis</w:t>
            </w:r>
          </w:p>
        </w:tc>
        <w:tc>
          <w:tcPr>
            <w:tcW w:w="2875" w:type="pct"/>
            <w:vAlign w:val="center"/>
          </w:tcPr>
          <w:p>
            <w:pPr>
              <w:snapToGrid w:val="0"/>
              <w:spacing w:line="340" w:lineRule="exact"/>
              <w:ind w:firstLine="0" w:firstLineChars="0"/>
              <w:contextualSpacing/>
              <w:jc w:val="center"/>
              <w:rPr>
                <w:sz w:val="21"/>
                <w:szCs w:val="21"/>
              </w:rPr>
            </w:pPr>
            <w:r>
              <w:rPr>
                <w:sz w:val="21"/>
                <w:szCs w:val="21"/>
              </w:rPr>
              <w:t>生活于沟渠池塘等浅水中，常见于泥沙较多、水流缓慢的多水草处。以藻类为食。每年5月进行繁殖</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27.</w:t>
            </w:r>
            <w:r>
              <w:rPr>
                <w:sz w:val="21"/>
                <w:szCs w:val="21"/>
              </w:rPr>
              <w:tab/>
            </w:r>
            <w:r>
              <w:rPr>
                <w:sz w:val="21"/>
                <w:szCs w:val="21"/>
              </w:rPr>
              <w:t>越南刺鳑鮍</w:t>
            </w:r>
          </w:p>
          <w:p>
            <w:pPr>
              <w:snapToGrid w:val="0"/>
              <w:spacing w:line="340" w:lineRule="exact"/>
              <w:ind w:firstLine="0" w:firstLineChars="0"/>
              <w:contextualSpacing/>
              <w:jc w:val="center"/>
              <w:rPr>
                <w:i/>
                <w:sz w:val="21"/>
                <w:szCs w:val="21"/>
              </w:rPr>
            </w:pPr>
            <w:r>
              <w:rPr>
                <w:i/>
                <w:sz w:val="21"/>
                <w:szCs w:val="21"/>
              </w:rPr>
              <w:t>Acanthorhodeustonkinensis</w:t>
            </w:r>
          </w:p>
        </w:tc>
        <w:tc>
          <w:tcPr>
            <w:tcW w:w="2875" w:type="pct"/>
            <w:vAlign w:val="center"/>
          </w:tcPr>
          <w:p>
            <w:pPr>
              <w:snapToGrid w:val="0"/>
              <w:spacing w:line="340" w:lineRule="exact"/>
              <w:ind w:firstLine="0" w:firstLineChars="0"/>
              <w:contextualSpacing/>
              <w:jc w:val="center"/>
              <w:rPr>
                <w:sz w:val="21"/>
                <w:szCs w:val="21"/>
              </w:rPr>
            </w:pPr>
            <w:r>
              <w:rPr>
                <w:sz w:val="21"/>
                <w:szCs w:val="21"/>
              </w:rPr>
              <w:t>常栖息于湖泊及河流的浅水区。个体小，常见体长为60～100毫米。</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28.</w:t>
            </w:r>
            <w:r>
              <w:rPr>
                <w:sz w:val="21"/>
                <w:szCs w:val="21"/>
              </w:rPr>
              <w:tab/>
            </w:r>
            <w:r>
              <w:rPr>
                <w:sz w:val="21"/>
                <w:szCs w:val="21"/>
              </w:rPr>
              <w:t>短须鱊</w:t>
            </w:r>
          </w:p>
          <w:p>
            <w:pPr>
              <w:snapToGrid w:val="0"/>
              <w:spacing w:line="340" w:lineRule="exact"/>
              <w:ind w:firstLine="0" w:firstLineChars="0"/>
              <w:contextualSpacing/>
              <w:jc w:val="center"/>
              <w:rPr>
                <w:sz w:val="21"/>
                <w:szCs w:val="21"/>
              </w:rPr>
            </w:pPr>
            <w:r>
              <w:rPr>
                <w:i/>
                <w:sz w:val="21"/>
                <w:szCs w:val="21"/>
              </w:rPr>
              <w:t>Acheilognathusbarbatulus</w:t>
            </w:r>
          </w:p>
        </w:tc>
        <w:tc>
          <w:tcPr>
            <w:tcW w:w="2875" w:type="pct"/>
            <w:vAlign w:val="center"/>
          </w:tcPr>
          <w:p>
            <w:pPr>
              <w:snapToGrid w:val="0"/>
              <w:spacing w:line="340" w:lineRule="exact"/>
              <w:ind w:firstLine="0" w:firstLineChars="0"/>
              <w:contextualSpacing/>
              <w:jc w:val="center"/>
              <w:rPr>
                <w:sz w:val="21"/>
                <w:szCs w:val="21"/>
              </w:rPr>
            </w:pPr>
            <w:r>
              <w:rPr>
                <w:sz w:val="21"/>
                <w:szCs w:val="21"/>
              </w:rPr>
              <w:t>小型鱼类，喜生活于水草较多的静水或缓流水域。产卵于河蚌的鳃瓣中，以高等植物和藻类为食。</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29.似鱎</w:t>
            </w:r>
            <w:r>
              <w:rPr>
                <w:i/>
                <w:sz w:val="21"/>
                <w:szCs w:val="21"/>
              </w:rPr>
              <w:t>Toxabramisswinhonis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栖息在水体中上层，主要食物为枝角类、水生昆虫等，每年6-7月间产卵繁殖，卵漂浮性</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30.翘嘴红鲌</w:t>
            </w:r>
            <w:r>
              <w:rPr>
                <w:i/>
                <w:sz w:val="21"/>
                <w:szCs w:val="21"/>
              </w:rPr>
              <w:t>E.alburrus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栖息在水体中上层，小鱼以枝角类和桡足类为主食，大鱼则主食小鱼、虾和水生昆虫，6-7月产卵，卵粘性</w:t>
            </w:r>
          </w:p>
        </w:tc>
        <w:tc>
          <w:tcPr>
            <w:tcW w:w="604" w:type="pct"/>
            <w:vAlign w:val="center"/>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31.黄尾鲴</w:t>
            </w:r>
            <w:r>
              <w:rPr>
                <w:i/>
                <w:sz w:val="21"/>
                <w:szCs w:val="21"/>
              </w:rPr>
              <w:t>X.davidi</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栖息于江河湖泊中下层，食藻类、轮虫等。5-6月繁殖，产粘性卵</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32.逆鱼</w:t>
            </w:r>
            <w:r>
              <w:rPr>
                <w:i/>
                <w:sz w:val="21"/>
                <w:szCs w:val="21"/>
              </w:rPr>
              <w:t>Acanthobramasimoni</w:t>
            </w:r>
          </w:p>
        </w:tc>
        <w:tc>
          <w:tcPr>
            <w:tcW w:w="2875" w:type="pct"/>
            <w:vAlign w:val="center"/>
          </w:tcPr>
          <w:p>
            <w:pPr>
              <w:snapToGrid w:val="0"/>
              <w:spacing w:line="340" w:lineRule="exact"/>
              <w:ind w:firstLine="0" w:firstLineChars="0"/>
              <w:contextualSpacing/>
              <w:jc w:val="center"/>
              <w:rPr>
                <w:sz w:val="21"/>
                <w:szCs w:val="21"/>
              </w:rPr>
            </w:pPr>
            <w:r>
              <w:rPr>
                <w:sz w:val="21"/>
                <w:szCs w:val="21"/>
              </w:rPr>
              <w:t>常见小型鱼类，喜群集逆水溯游。以藻类为主要食物。5～6月产卵，卵漂流性，产于急流溪河中。繁殖快，数量较多。</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二、鲈形目PERCIFO</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（三）刺鳅科Mastacembelidae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i/>
                <w:sz w:val="21"/>
                <w:szCs w:val="21"/>
              </w:rPr>
            </w:pPr>
            <w:r>
              <w:rPr>
                <w:sz w:val="21"/>
                <w:szCs w:val="21"/>
              </w:rPr>
              <w:t>33.刺鳅</w:t>
            </w:r>
            <w:r>
              <w:rPr>
                <w:i/>
                <w:sz w:val="21"/>
                <w:szCs w:val="21"/>
              </w:rPr>
              <w:t>Mastacembelusaculeatus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栖息于河湖浅水处，杂食性，主食小型无脊椎动物、鱼卵及少量植物性饵料，产卵期4～6月。可食用</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（四）鳢科Ophiocephalidae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34.乌鳢</w:t>
            </w:r>
            <w:r>
              <w:rPr>
                <w:i/>
                <w:sz w:val="21"/>
                <w:szCs w:val="21"/>
              </w:rPr>
              <w:t>Ophiocephalusargus</w:t>
            </w:r>
          </w:p>
        </w:tc>
        <w:tc>
          <w:tcPr>
            <w:tcW w:w="2875" w:type="pct"/>
            <w:vAlign w:val="center"/>
          </w:tcPr>
          <w:p>
            <w:pPr>
              <w:snapToGrid w:val="0"/>
              <w:spacing w:line="340" w:lineRule="exact"/>
              <w:ind w:firstLine="0" w:firstLineChars="0"/>
              <w:contextualSpacing/>
              <w:jc w:val="center"/>
              <w:rPr>
                <w:sz w:val="21"/>
                <w:szCs w:val="21"/>
              </w:rPr>
            </w:pPr>
            <w:r>
              <w:rPr>
                <w:sz w:val="21"/>
                <w:szCs w:val="21"/>
              </w:rPr>
              <w:t>体中大，为淡水凶猛性鱼类，常栖息水草丛中，以鱼虾等为食，生活力强。生殖期5-7月，卵大，黄色，浮性</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（五）鮨科Seranidae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35.鳜</w:t>
            </w:r>
            <w:r>
              <w:rPr>
                <w:i/>
                <w:sz w:val="21"/>
                <w:szCs w:val="21"/>
              </w:rPr>
              <w:t>Sinipercachuatsi</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栖息于河流或湖泊中，以小鱼小虾等为食。5-7月分批产浮性卵</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（六）塘鳢科Eleotridae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36.沙塘鳢</w:t>
            </w:r>
          </w:p>
          <w:p>
            <w:pPr>
              <w:snapToGrid w:val="0"/>
              <w:spacing w:line="340" w:lineRule="exact"/>
              <w:ind w:firstLine="0" w:firstLineChars="0"/>
              <w:contextualSpacing/>
              <w:jc w:val="center"/>
              <w:rPr>
                <w:sz w:val="21"/>
                <w:szCs w:val="21"/>
              </w:rPr>
            </w:pPr>
            <w:r>
              <w:rPr>
                <w:i/>
                <w:sz w:val="21"/>
                <w:szCs w:val="21"/>
              </w:rPr>
              <w:t>Odontobutisobscures</w:t>
            </w:r>
          </w:p>
        </w:tc>
        <w:tc>
          <w:tcPr>
            <w:tcW w:w="2875" w:type="pct"/>
            <w:vAlign w:val="center"/>
          </w:tcPr>
          <w:p>
            <w:pPr>
              <w:snapToGrid w:val="0"/>
              <w:spacing w:line="340" w:lineRule="exact"/>
              <w:ind w:firstLine="0" w:firstLineChars="0"/>
              <w:contextualSpacing/>
              <w:jc w:val="center"/>
              <w:rPr>
                <w:sz w:val="21"/>
                <w:szCs w:val="21"/>
              </w:rPr>
            </w:pPr>
            <w:r>
              <w:rPr>
                <w:sz w:val="21"/>
                <w:szCs w:val="21"/>
              </w:rPr>
              <w:t>底层鱼，喜隐居于岩石缝隙，或泥沙、杂草等隐蔽处。食物以虾为主，也食小鱼和水生昆虫。4～6月，以石隙、空蚌壳及破瓦罐等为产卵巢穴。雄鱼有守巢护卵习性。</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37.黄黝鱼</w:t>
            </w:r>
          </w:p>
          <w:p>
            <w:pPr>
              <w:snapToGrid w:val="0"/>
              <w:spacing w:line="340" w:lineRule="exact"/>
              <w:ind w:firstLine="0" w:firstLineChars="0"/>
              <w:contextualSpacing/>
              <w:jc w:val="center"/>
              <w:rPr>
                <w:i/>
                <w:sz w:val="21"/>
                <w:szCs w:val="21"/>
              </w:rPr>
            </w:pPr>
            <w:r>
              <w:rPr>
                <w:i/>
                <w:sz w:val="21"/>
                <w:szCs w:val="21"/>
              </w:rPr>
              <w:t>Hypseleotrisswinhonis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栖息于水体底层，为江河、湖泊常见的小型鱼类，一般体长40毫米以下。</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（七）鳢科Channidae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38.乌鳢</w:t>
            </w:r>
            <w:r>
              <w:rPr>
                <w:i/>
                <w:sz w:val="21"/>
                <w:szCs w:val="21"/>
              </w:rPr>
              <w:t>Ophicephalusargus</w:t>
            </w:r>
          </w:p>
        </w:tc>
        <w:tc>
          <w:tcPr>
            <w:tcW w:w="2875" w:type="pct"/>
            <w:vAlign w:val="center"/>
          </w:tcPr>
          <w:p>
            <w:pPr>
              <w:snapToGrid w:val="0"/>
              <w:spacing w:line="340" w:lineRule="exact"/>
              <w:ind w:firstLine="0" w:firstLineChars="0"/>
              <w:contextualSpacing/>
              <w:jc w:val="center"/>
              <w:rPr>
                <w:sz w:val="21"/>
                <w:szCs w:val="21"/>
              </w:rPr>
            </w:pPr>
            <w:r>
              <w:rPr>
                <w:sz w:val="21"/>
                <w:szCs w:val="21"/>
              </w:rPr>
              <w:t>性凶猛，常袭捕食物，主食鱼、虾。口腔内具辅助呼吸器，常吞吸空气，以适应缺氧环境</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三、鲇形目SILURIFORMES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（八）鲿科Bagridae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39.黄颡鱼</w:t>
            </w:r>
          </w:p>
          <w:p>
            <w:pPr>
              <w:snapToGrid w:val="0"/>
              <w:spacing w:line="340" w:lineRule="exact"/>
              <w:ind w:firstLine="0" w:firstLineChars="0"/>
              <w:contextualSpacing/>
              <w:jc w:val="center"/>
              <w:rPr>
                <w:i/>
                <w:sz w:val="21"/>
                <w:szCs w:val="21"/>
              </w:rPr>
            </w:pPr>
            <w:r>
              <w:rPr>
                <w:i/>
                <w:sz w:val="21"/>
                <w:szCs w:val="21"/>
              </w:rPr>
              <w:t>Pseudobagrusfulvidraco</w:t>
            </w:r>
          </w:p>
        </w:tc>
        <w:tc>
          <w:tcPr>
            <w:tcW w:w="2875" w:type="pct"/>
            <w:vAlign w:val="center"/>
          </w:tcPr>
          <w:p>
            <w:pPr>
              <w:snapToGrid w:val="0"/>
              <w:spacing w:line="340" w:lineRule="exact"/>
              <w:ind w:firstLine="0" w:firstLineChars="0"/>
              <w:contextualSpacing/>
              <w:jc w:val="center"/>
              <w:rPr>
                <w:sz w:val="21"/>
                <w:szCs w:val="21"/>
              </w:rPr>
            </w:pPr>
            <w:r>
              <w:rPr>
                <w:sz w:val="21"/>
                <w:szCs w:val="21"/>
              </w:rPr>
              <w:t>多在静水或江河缓流中活动，营底栖生活。主要食物是桡足类和枝角类动物。生殖季节在5月中旬至7月中旬</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（九）鲶科Siluridae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40.鲇</w:t>
            </w:r>
            <w:r>
              <w:rPr>
                <w:i/>
                <w:sz w:val="21"/>
                <w:szCs w:val="21"/>
              </w:rPr>
              <w:t>Silurusasotus</w:t>
            </w:r>
          </w:p>
        </w:tc>
        <w:tc>
          <w:tcPr>
            <w:tcW w:w="2875" w:type="pct"/>
            <w:vAlign w:val="center"/>
          </w:tcPr>
          <w:p>
            <w:pPr>
              <w:snapToGrid w:val="0"/>
              <w:spacing w:line="340" w:lineRule="exact"/>
              <w:ind w:firstLine="0" w:firstLineChars="0"/>
              <w:contextualSpacing/>
              <w:jc w:val="center"/>
              <w:rPr>
                <w:sz w:val="21"/>
                <w:szCs w:val="21"/>
              </w:rPr>
            </w:pPr>
            <w:r>
              <w:rPr>
                <w:sz w:val="21"/>
                <w:szCs w:val="21"/>
              </w:rPr>
              <w:t>栖息于湖泊、水库和沟渠水体，亦适应于江河岸边或流动缓慢的水域。肉食性鱼类。产卵期在4-6月，卵粒粘附在水草上发育</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（十）胡子鲇科Clariidae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41.胡子鲇</w:t>
            </w:r>
            <w:r>
              <w:rPr>
                <w:i/>
                <w:sz w:val="21"/>
                <w:szCs w:val="21"/>
              </w:rPr>
              <w:t>Clariasfuscus</w:t>
            </w:r>
          </w:p>
        </w:tc>
        <w:tc>
          <w:tcPr>
            <w:tcW w:w="2875" w:type="pct"/>
            <w:vAlign w:val="center"/>
          </w:tcPr>
          <w:p>
            <w:pPr>
              <w:snapToGrid w:val="0"/>
              <w:spacing w:line="340" w:lineRule="exact"/>
              <w:ind w:firstLine="0" w:firstLineChars="0"/>
              <w:contextualSpacing/>
              <w:jc w:val="center"/>
              <w:rPr>
                <w:sz w:val="21"/>
                <w:szCs w:val="21"/>
              </w:rPr>
            </w:pPr>
            <w:r>
              <w:rPr>
                <w:sz w:val="21"/>
                <w:szCs w:val="21"/>
              </w:rPr>
              <w:t>栖于田间沟渠、稻田、河川、湖泊等水域的底层鱼类。常群集于岸边的暗处或洞穴中。昼伏夜出,觅食动物性饵料。</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四、合鳃目SYMBRANCHIDIFORMES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snapToGrid w:val="0"/>
              <w:spacing w:line="340" w:lineRule="exact"/>
              <w:ind w:firstLine="0" w:firstLineChars="0"/>
              <w:contextualSpacing/>
              <w:jc w:val="center"/>
              <w:rPr>
                <w:sz w:val="21"/>
                <w:szCs w:val="21"/>
              </w:rPr>
            </w:pPr>
            <w:r>
              <w:rPr>
                <w:sz w:val="21"/>
                <w:szCs w:val="21"/>
              </w:rPr>
              <w:t>（十一）合鳃科Synbranchidae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20" w:type="pct"/>
            <w:vAlign w:val="center"/>
          </w:tcPr>
          <w:p>
            <w:pPr>
              <w:snapToGrid w:val="0"/>
              <w:spacing w:line="340" w:lineRule="exact"/>
              <w:ind w:firstLine="0" w:firstLineChars="0"/>
              <w:contextualSpacing/>
              <w:jc w:val="center"/>
              <w:rPr>
                <w:sz w:val="21"/>
                <w:szCs w:val="21"/>
              </w:rPr>
            </w:pPr>
            <w:r>
              <w:rPr>
                <w:sz w:val="21"/>
                <w:szCs w:val="21"/>
              </w:rPr>
              <w:t>42.黄鳝</w:t>
            </w:r>
            <w:r>
              <w:rPr>
                <w:i/>
                <w:sz w:val="21"/>
                <w:szCs w:val="21"/>
              </w:rPr>
              <w:t>Monopterusalbus</w:t>
            </w:r>
          </w:p>
        </w:tc>
        <w:tc>
          <w:tcPr>
            <w:tcW w:w="2875" w:type="pct"/>
            <w:vAlign w:val="center"/>
          </w:tcPr>
          <w:p>
            <w:pPr>
              <w:snapToGrid w:val="0"/>
              <w:spacing w:line="340" w:lineRule="exact"/>
              <w:ind w:firstLine="0" w:firstLineChars="0"/>
              <w:contextualSpacing/>
              <w:jc w:val="center"/>
              <w:rPr>
                <w:sz w:val="21"/>
                <w:szCs w:val="21"/>
              </w:rPr>
            </w:pPr>
            <w:r>
              <w:rPr>
                <w:sz w:val="21"/>
                <w:szCs w:val="21"/>
              </w:rPr>
              <w:t>淡水底栖鱼类，常栖息于稻田河沟中，亦喜钻洞穴居，白天潜伏，夜晚觅食，主要摄食昆虫及幼虫、小鱼、小虾等。5～8月产卵</w:t>
            </w:r>
          </w:p>
        </w:tc>
        <w:tc>
          <w:tcPr>
            <w:tcW w:w="604" w:type="pct"/>
          </w:tcPr>
          <w:p>
            <w:pPr>
              <w:snapToGrid w:val="0"/>
              <w:spacing w:line="340" w:lineRule="exact"/>
              <w:ind w:firstLine="0" w:firstLineChars="0"/>
              <w:contextualSpacing/>
              <w:jc w:val="center"/>
              <w:rPr>
                <w:sz w:val="21"/>
                <w:szCs w:val="21"/>
              </w:rPr>
            </w:pPr>
            <w:r>
              <w:rPr>
                <w:sz w:val="21"/>
                <w:szCs w:val="21"/>
              </w:rPr>
              <w:t>未列入</w:t>
            </w:r>
          </w:p>
        </w:tc>
      </w:tr>
    </w:tbl>
    <w:p>
      <w:pPr>
        <w:ind w:firstLine="480"/>
        <w:rPr>
          <w:szCs w:val="24"/>
        </w:rPr>
      </w:pPr>
      <w:r>
        <w:rPr>
          <w:rFonts w:hint="eastAsia"/>
          <w:szCs w:val="24"/>
        </w:rPr>
        <w:t>锦江流域天然渔业资源丰富，鱼类资源无论种类还是数量都在江西省占据重要位置。除鱼类资源外，软体动物、水生维管束植物及虾、蟹等种类繁多。</w:t>
      </w:r>
    </w:p>
    <w:p>
      <w:pPr>
        <w:ind w:firstLine="482"/>
        <w:rPr>
          <w:b/>
        </w:rPr>
      </w:pPr>
      <w:r>
        <w:rPr>
          <w:rFonts w:hint="eastAsia"/>
          <w:b/>
        </w:rPr>
        <w:t>重要鱼类生境</w:t>
      </w:r>
      <w:r>
        <w:rPr>
          <w:b/>
        </w:rPr>
        <w:t>：</w:t>
      </w:r>
    </w:p>
    <w:p>
      <w:pPr>
        <w:ind w:firstLine="480"/>
        <w:rPr>
          <w:szCs w:val="24"/>
        </w:rPr>
      </w:pPr>
      <w:r>
        <w:rPr>
          <w:rFonts w:hint="eastAsia" w:ascii="宋体" w:hAnsi="宋体" w:cs="宋体"/>
          <w:szCs w:val="24"/>
        </w:rPr>
        <w:t>①</w:t>
      </w:r>
      <w:r>
        <w:rPr>
          <w:szCs w:val="24"/>
        </w:rPr>
        <w:t>产卵场</w:t>
      </w:r>
    </w:p>
    <w:p>
      <w:pPr>
        <w:ind w:firstLine="480"/>
        <w:rPr>
          <w:szCs w:val="24"/>
        </w:rPr>
      </w:pPr>
      <w:r>
        <w:rPr>
          <w:rFonts w:hint="eastAsia"/>
          <w:szCs w:val="24"/>
        </w:rPr>
        <w:t>锦河</w:t>
      </w:r>
      <w:r>
        <w:rPr>
          <w:szCs w:val="24"/>
        </w:rPr>
        <w:t>水域有许多水流湍急河段，为鱼类性腺发育提供了良好的激流刺激条件，但由于河道比降大，少有适合鱼类产卵的湾、沱等回水区，未发现集中的、有规模的鱼类产卵场。据了解，拟建</w:t>
      </w:r>
      <w:r>
        <w:rPr>
          <w:rFonts w:hint="eastAsia"/>
          <w:szCs w:val="24"/>
        </w:rPr>
        <w:t>上高</w:t>
      </w:r>
      <w:r>
        <w:rPr>
          <w:szCs w:val="24"/>
        </w:rPr>
        <w:t>县</w:t>
      </w:r>
      <w:r>
        <w:rPr>
          <w:rFonts w:hint="eastAsia"/>
          <w:szCs w:val="24"/>
        </w:rPr>
        <w:t>毛家渡</w:t>
      </w:r>
      <w:r>
        <w:rPr>
          <w:szCs w:val="24"/>
        </w:rPr>
        <w:t>抬水坝淹没河段鱼类产卵行为较为零星分解，每年春、夏季节，有鲤、鲫、黄颡鱼、马口鱼等鱼类在一些水位较深的湾、潭“板仔”（产卵），没有发现鱼类明显集中产粘性卵鱼类产卵场，也未发现产漂流性卵的鱼类产卵场。</w:t>
      </w:r>
    </w:p>
    <w:p>
      <w:pPr>
        <w:ind w:firstLine="480"/>
        <w:rPr>
          <w:szCs w:val="24"/>
        </w:rPr>
      </w:pPr>
      <w:r>
        <w:rPr>
          <w:rFonts w:hint="eastAsia" w:ascii="宋体" w:hAnsi="宋体" w:cs="宋体"/>
          <w:szCs w:val="24"/>
        </w:rPr>
        <w:t>②</w:t>
      </w:r>
      <w:r>
        <w:rPr>
          <w:szCs w:val="24"/>
        </w:rPr>
        <w:t>索饵场、越冬场</w:t>
      </w:r>
    </w:p>
    <w:p>
      <w:pPr>
        <w:ind w:firstLine="480"/>
        <w:rPr>
          <w:szCs w:val="24"/>
        </w:rPr>
      </w:pPr>
      <w:r>
        <w:rPr>
          <w:rFonts w:hint="eastAsia"/>
          <w:szCs w:val="24"/>
        </w:rPr>
        <w:t>锦河</w:t>
      </w:r>
      <w:r>
        <w:rPr>
          <w:szCs w:val="24"/>
        </w:rPr>
        <w:t>水域流速快，基本保持天然河道形态，鱼类摄食较为分散，没有形成鱼类集中摄食的索饵场。</w:t>
      </w:r>
    </w:p>
    <w:p>
      <w:pPr>
        <w:ind w:firstLine="480"/>
        <w:rPr>
          <w:szCs w:val="24"/>
        </w:rPr>
      </w:pPr>
      <w:r>
        <w:rPr>
          <w:rFonts w:hint="eastAsia"/>
          <w:szCs w:val="24"/>
        </w:rPr>
        <w:t>锦河</w:t>
      </w:r>
      <w:r>
        <w:rPr>
          <w:szCs w:val="24"/>
        </w:rPr>
        <w:t>水域没有凝冻现象，鱼类冬季多在水深相对较湾、沱、潭等水域栖息，没有发现鱼类集中越冬的越冬场。</w:t>
      </w:r>
    </w:p>
    <w:p>
      <w:pPr>
        <w:pStyle w:val="835"/>
        <w:spacing w:before="0" w:line="360" w:lineRule="auto"/>
        <w:rPr>
          <w:color w:val="0000FF"/>
        </w:rPr>
      </w:pPr>
      <w:r>
        <w:rPr>
          <w:color w:val="0000FF"/>
        </w:rPr>
        <w:t>4.</w:t>
      </w:r>
      <w:r>
        <w:rPr>
          <w:rFonts w:hint="eastAsia"/>
          <w:color w:val="0000FF"/>
        </w:rPr>
        <w:t>5</w:t>
      </w:r>
      <w:r>
        <w:rPr>
          <w:color w:val="0000FF"/>
        </w:rPr>
        <w:t>.</w:t>
      </w:r>
      <w:r>
        <w:rPr>
          <w:rFonts w:hint="eastAsia"/>
          <w:color w:val="0000FF"/>
        </w:rPr>
        <w:t>8上高锦江省级湿地公园现状调查</w:t>
      </w:r>
    </w:p>
    <w:p>
      <w:pPr>
        <w:ind w:firstLine="482"/>
        <w:rPr>
          <w:b/>
          <w:bCs/>
          <w:color w:val="0000FF"/>
          <w:szCs w:val="24"/>
          <w:lang w:val="zh-CN"/>
        </w:rPr>
      </w:pPr>
      <w:r>
        <w:rPr>
          <w:b/>
          <w:bCs/>
          <w:color w:val="0000FF"/>
          <w:szCs w:val="24"/>
        </w:rPr>
        <w:t>1、</w:t>
      </w:r>
      <w:r>
        <w:rPr>
          <w:b/>
          <w:bCs/>
          <w:color w:val="0000FF"/>
          <w:szCs w:val="24"/>
          <w:lang w:val="zh-CN"/>
        </w:rPr>
        <w:t>地理位置</w:t>
      </w:r>
    </w:p>
    <w:p>
      <w:pPr>
        <w:ind w:firstLine="480"/>
        <w:rPr>
          <w:color w:val="0000FF"/>
          <w:szCs w:val="24"/>
        </w:rPr>
      </w:pPr>
      <w:r>
        <w:rPr>
          <w:color w:val="0000FF"/>
          <w:szCs w:val="24"/>
        </w:rPr>
        <w:t>上高锦江省级湿地公园西起凌江大桥(上游)、至城区东面锦江大桥(下游)的锦江河段，北纬28°16'52",~28°13'49",东经114°50'44"~114°57'39"之间，全长16.7km。其范围包括全部的河道及两侧部分农用地和洪泛平原湿地，规划总面积500.85hm</w:t>
      </w:r>
      <w:r>
        <w:rPr>
          <w:color w:val="0000FF"/>
          <w:szCs w:val="24"/>
          <w:vertAlign w:val="superscript"/>
        </w:rPr>
        <w:t>2</w:t>
      </w:r>
      <w:r>
        <w:rPr>
          <w:color w:val="0000FF"/>
          <w:szCs w:val="24"/>
        </w:rPr>
        <w:t>，其中湿地面积307.52hm</w:t>
      </w:r>
      <w:r>
        <w:rPr>
          <w:color w:val="0000FF"/>
          <w:szCs w:val="24"/>
          <w:vertAlign w:val="superscript"/>
        </w:rPr>
        <w:t>2</w:t>
      </w:r>
      <w:r>
        <w:rPr>
          <w:color w:val="0000FF"/>
          <w:szCs w:val="24"/>
        </w:rPr>
        <w:t>，湿地率61.4%。</w:t>
      </w:r>
    </w:p>
    <w:p>
      <w:pPr>
        <w:ind w:firstLine="482"/>
        <w:rPr>
          <w:b/>
          <w:bCs/>
          <w:color w:val="0000FF"/>
          <w:szCs w:val="24"/>
        </w:rPr>
      </w:pPr>
      <w:r>
        <w:rPr>
          <w:rFonts w:hint="eastAsia"/>
          <w:b/>
          <w:bCs/>
          <w:color w:val="0000FF"/>
          <w:szCs w:val="24"/>
        </w:rPr>
        <w:t>2、</w:t>
      </w:r>
      <w:r>
        <w:rPr>
          <w:b/>
          <w:bCs/>
          <w:color w:val="0000FF"/>
          <w:szCs w:val="24"/>
        </w:rPr>
        <w:t>管辖范围</w:t>
      </w:r>
      <w:r>
        <w:rPr>
          <w:rFonts w:hint="eastAsia"/>
          <w:b/>
          <w:bCs/>
          <w:color w:val="0000FF"/>
          <w:szCs w:val="24"/>
        </w:rPr>
        <w:t>及功能分区</w:t>
      </w:r>
    </w:p>
    <w:p>
      <w:pPr>
        <w:ind w:firstLine="480"/>
        <w:rPr>
          <w:color w:val="0000FF"/>
          <w:szCs w:val="24"/>
        </w:rPr>
      </w:pPr>
      <w:r>
        <w:rPr>
          <w:color w:val="0000FF"/>
          <w:szCs w:val="24"/>
        </w:rPr>
        <w:t>2014年12月31日，江西省林业厅以赣林护字﹝2014﹞286号《江西省林业厅关于同意都昌北鄱阳湖等10处湿地开展省级湿地公园试点工作的通知》，对上高锦江省级湿地公园总体规划开展试点建设，湿地公园规划总面积500.85hm</w:t>
      </w:r>
      <w:r>
        <w:rPr>
          <w:color w:val="0000FF"/>
          <w:szCs w:val="24"/>
          <w:vertAlign w:val="superscript"/>
        </w:rPr>
        <w:t>2</w:t>
      </w:r>
      <w:r>
        <w:rPr>
          <w:color w:val="0000FF"/>
          <w:szCs w:val="24"/>
        </w:rPr>
        <w:t>，其中：锦江天然湿地保护保育区总面积207.58hm</w:t>
      </w:r>
      <w:r>
        <w:rPr>
          <w:color w:val="0000FF"/>
          <w:szCs w:val="24"/>
          <w:vertAlign w:val="superscript"/>
        </w:rPr>
        <w:t>2</w:t>
      </w:r>
      <w:r>
        <w:rPr>
          <w:color w:val="0000FF"/>
          <w:szCs w:val="24"/>
        </w:rPr>
        <w:t>，占总面积的41.44%，斜口河流湿地健康恢复区总面积100.91hm</w:t>
      </w:r>
      <w:r>
        <w:rPr>
          <w:color w:val="0000FF"/>
          <w:szCs w:val="24"/>
          <w:vertAlign w:val="superscript"/>
        </w:rPr>
        <w:t>2</w:t>
      </w:r>
      <w:r>
        <w:rPr>
          <w:color w:val="0000FF"/>
          <w:szCs w:val="24"/>
        </w:rPr>
        <w:t>，占总面积的20.15%，田北湿地科普宣教区总面积62.66hm</w:t>
      </w:r>
      <w:r>
        <w:rPr>
          <w:color w:val="0000FF"/>
          <w:szCs w:val="24"/>
          <w:vertAlign w:val="superscript"/>
        </w:rPr>
        <w:t>2</w:t>
      </w:r>
      <w:r>
        <w:rPr>
          <w:color w:val="0000FF"/>
          <w:szCs w:val="24"/>
        </w:rPr>
        <w:t>，占总面积的12.51%，塔下生态景观休闲区总面积113.11hm</w:t>
      </w:r>
      <w:r>
        <w:rPr>
          <w:color w:val="0000FF"/>
          <w:szCs w:val="24"/>
          <w:vertAlign w:val="superscript"/>
        </w:rPr>
        <w:t>2</w:t>
      </w:r>
      <w:r>
        <w:rPr>
          <w:color w:val="0000FF"/>
          <w:szCs w:val="24"/>
        </w:rPr>
        <w:t>，占总面积的22.59%，新城管理服务区总面积16.59hm</w:t>
      </w:r>
      <w:r>
        <w:rPr>
          <w:color w:val="0000FF"/>
          <w:szCs w:val="24"/>
          <w:vertAlign w:val="superscript"/>
        </w:rPr>
        <w:t>2</w:t>
      </w:r>
      <w:r>
        <w:rPr>
          <w:color w:val="0000FF"/>
          <w:szCs w:val="24"/>
        </w:rPr>
        <w:t>，占总面积的3.31%，约6.8km</w:t>
      </w:r>
      <w:r>
        <w:rPr>
          <w:color w:val="0000FF"/>
          <w:szCs w:val="24"/>
          <w:vertAlign w:val="superscript"/>
        </w:rPr>
        <w:t>2</w:t>
      </w:r>
      <w:r>
        <w:rPr>
          <w:color w:val="0000FF"/>
          <w:szCs w:val="24"/>
        </w:rPr>
        <w:t>为锦江流域水源涵养生态保护红线区。</w:t>
      </w:r>
    </w:p>
    <w:p>
      <w:pPr>
        <w:pStyle w:val="2"/>
        <w:spacing w:after="0"/>
        <w:ind w:left="0" w:leftChars="0" w:firstLine="480"/>
        <w:rPr>
          <w:color w:val="0000FF"/>
          <w:szCs w:val="24"/>
        </w:rPr>
      </w:pPr>
      <w:r>
        <w:rPr>
          <w:rFonts w:hint="eastAsia"/>
          <w:color w:val="0000FF"/>
          <w:szCs w:val="24"/>
        </w:rPr>
        <w:t>(1)上高锦江省级湿地公园</w:t>
      </w:r>
      <w:r>
        <w:rPr>
          <w:color w:val="0000FF"/>
          <w:szCs w:val="24"/>
        </w:rPr>
        <w:t>保育区</w:t>
      </w:r>
    </w:p>
    <w:p>
      <w:pPr>
        <w:pStyle w:val="81"/>
        <w:spacing w:after="0"/>
        <w:ind w:firstLine="480" w:firstLineChars="200"/>
        <w:rPr>
          <w:color w:val="0000FF"/>
          <w:szCs w:val="24"/>
        </w:rPr>
      </w:pPr>
      <w:r>
        <w:rPr>
          <w:color w:val="0000FF"/>
          <w:szCs w:val="24"/>
        </w:rPr>
        <w:t>锦江天然湿地保护保育区，是湿地公园的主体和生态基质，也是湿地公园内湿地生态系统保护的核心区域，主要开展湿地生态系统保护保育以及必要的科研监测活动。规划范围为凌江大桥到下游团结大桥之间的河道及两侧湿地。湿地类型有永久性河流湿地和洪泛平原湿地，面积为207.58hm</w:t>
      </w:r>
      <w:r>
        <w:rPr>
          <w:color w:val="0000FF"/>
          <w:szCs w:val="24"/>
          <w:vertAlign w:val="superscript"/>
        </w:rPr>
        <w:t>2</w:t>
      </w:r>
      <w:r>
        <w:rPr>
          <w:color w:val="0000FF"/>
          <w:szCs w:val="24"/>
        </w:rPr>
        <w:t>，占湿地公园总面积的41.44%。</w:t>
      </w:r>
    </w:p>
    <w:p>
      <w:pPr>
        <w:pStyle w:val="81"/>
        <w:spacing w:after="0"/>
        <w:ind w:firstLine="480" w:firstLineChars="200"/>
        <w:rPr>
          <w:color w:val="0000FF"/>
          <w:szCs w:val="24"/>
        </w:rPr>
      </w:pPr>
      <w:r>
        <w:rPr>
          <w:rFonts w:hint="eastAsia"/>
          <w:color w:val="0000FF"/>
          <w:szCs w:val="24"/>
        </w:rPr>
        <w:t>①</w:t>
      </w:r>
      <w:r>
        <w:rPr>
          <w:color w:val="0000FF"/>
          <w:szCs w:val="24"/>
        </w:rPr>
        <w:t>规划目标</w:t>
      </w:r>
    </w:p>
    <w:p>
      <w:pPr>
        <w:pStyle w:val="81"/>
        <w:spacing w:after="0"/>
        <w:ind w:firstLine="480" w:firstLineChars="200"/>
        <w:rPr>
          <w:color w:val="0000FF"/>
          <w:szCs w:val="24"/>
        </w:rPr>
      </w:pPr>
      <w:r>
        <w:rPr>
          <w:color w:val="0000FF"/>
          <w:szCs w:val="24"/>
        </w:rPr>
        <w:t>保护湿地提高湿地功能以保持水质，保障上高县饮用水源的生态安全和农业灌溉用水的需水量;保护现有鸟类和鱼类资源，营造适宜湿地动植物栖息的生境，提高生物多样性，最终实现人与自然和谐共生。</w:t>
      </w:r>
    </w:p>
    <w:p>
      <w:pPr>
        <w:pStyle w:val="81"/>
        <w:spacing w:after="0"/>
        <w:ind w:firstLine="480" w:firstLineChars="200"/>
        <w:rPr>
          <w:color w:val="0000FF"/>
          <w:szCs w:val="24"/>
        </w:rPr>
      </w:pPr>
      <w:r>
        <w:rPr>
          <w:rFonts w:hint="eastAsia"/>
          <w:color w:val="0000FF"/>
          <w:szCs w:val="24"/>
        </w:rPr>
        <w:t>②</w:t>
      </w:r>
      <w:r>
        <w:rPr>
          <w:color w:val="0000FF"/>
          <w:szCs w:val="24"/>
        </w:rPr>
        <w:t>主要建设项目</w:t>
      </w:r>
    </w:p>
    <w:p>
      <w:pPr>
        <w:pStyle w:val="2"/>
        <w:spacing w:after="0"/>
        <w:ind w:left="0" w:leftChars="0" w:firstLine="480"/>
        <w:rPr>
          <w:color w:val="0000FF"/>
          <w:szCs w:val="24"/>
        </w:rPr>
      </w:pPr>
      <w:r>
        <w:rPr>
          <w:color w:val="0000FF"/>
          <w:szCs w:val="24"/>
        </w:rPr>
        <w:t>废弃物集中清理项目、水质日常保洁项目、水质监测项目、生态河岸建设项目、水禽栖息地保护工程、生物多样性保护工程、生态截污工程等。</w:t>
      </w:r>
    </w:p>
    <w:p>
      <w:pPr>
        <w:pStyle w:val="81"/>
        <w:spacing w:after="0"/>
        <w:ind w:firstLine="480" w:firstLineChars="200"/>
        <w:rPr>
          <w:color w:val="0000FF"/>
          <w:szCs w:val="24"/>
        </w:rPr>
      </w:pPr>
      <w:r>
        <w:rPr>
          <w:rFonts w:hint="eastAsia"/>
          <w:color w:val="0000FF"/>
          <w:szCs w:val="24"/>
        </w:rPr>
        <w:t>(2)</w:t>
      </w:r>
      <w:r>
        <w:rPr>
          <w:color w:val="0000FF"/>
          <w:szCs w:val="24"/>
        </w:rPr>
        <w:t>斜口河流湿地健康恢复区</w:t>
      </w:r>
    </w:p>
    <w:p>
      <w:pPr>
        <w:pStyle w:val="81"/>
        <w:spacing w:after="0"/>
        <w:ind w:firstLine="480" w:firstLineChars="200"/>
        <w:rPr>
          <w:color w:val="0000FF"/>
          <w:szCs w:val="24"/>
        </w:rPr>
      </w:pPr>
      <w:r>
        <w:rPr>
          <w:color w:val="0000FF"/>
          <w:szCs w:val="24"/>
        </w:rPr>
        <w:t>斜口河流湿地健康恢复区是进行湿地恢复重建的主要区域，位于锦江天然湿地保护保育区下游位置，团结大桥至上高团结新村附近的河道及两侧部分河叉口和绿地，规划面积为100.91hm</w:t>
      </w:r>
      <w:r>
        <w:rPr>
          <w:color w:val="0000FF"/>
          <w:szCs w:val="24"/>
          <w:vertAlign w:val="superscript"/>
        </w:rPr>
        <w:t>2</w:t>
      </w:r>
      <w:r>
        <w:rPr>
          <w:color w:val="0000FF"/>
          <w:szCs w:val="24"/>
        </w:rPr>
        <w:t>，占湿地公园总面积的20.15%。</w:t>
      </w:r>
    </w:p>
    <w:p>
      <w:pPr>
        <w:pStyle w:val="81"/>
        <w:spacing w:after="0"/>
        <w:ind w:firstLine="480" w:firstLineChars="200"/>
        <w:rPr>
          <w:color w:val="0000FF"/>
          <w:szCs w:val="24"/>
        </w:rPr>
      </w:pPr>
      <w:r>
        <w:rPr>
          <w:rFonts w:hint="eastAsia"/>
          <w:color w:val="0000FF"/>
          <w:szCs w:val="24"/>
        </w:rPr>
        <w:t>①</w:t>
      </w:r>
      <w:r>
        <w:rPr>
          <w:color w:val="0000FF"/>
          <w:szCs w:val="24"/>
        </w:rPr>
        <w:t>规划目标</w:t>
      </w:r>
    </w:p>
    <w:p>
      <w:pPr>
        <w:pStyle w:val="81"/>
        <w:spacing w:after="0"/>
        <w:ind w:firstLine="480" w:firstLineChars="200"/>
        <w:rPr>
          <w:color w:val="0000FF"/>
          <w:szCs w:val="24"/>
        </w:rPr>
      </w:pPr>
      <w:r>
        <w:rPr>
          <w:color w:val="0000FF"/>
          <w:szCs w:val="24"/>
        </w:rPr>
        <w:t>通过生态工程措施恢复湿地健康，打造近自然的河流景观生态系统;修复河岸植被生长带，营造出湿地植被、灌木和乔木相结合的复合群落结构，丰富河岸带生物多样性，恢复和重建良好的生态驳岸和营造水禽生物栖息地。</w:t>
      </w:r>
    </w:p>
    <w:p>
      <w:pPr>
        <w:pStyle w:val="81"/>
        <w:spacing w:after="0"/>
        <w:ind w:firstLine="480" w:firstLineChars="200"/>
        <w:rPr>
          <w:color w:val="0000FF"/>
          <w:szCs w:val="24"/>
        </w:rPr>
      </w:pPr>
      <w:r>
        <w:rPr>
          <w:rFonts w:hint="eastAsia"/>
          <w:color w:val="0000FF"/>
          <w:szCs w:val="24"/>
        </w:rPr>
        <w:t>②</w:t>
      </w:r>
      <w:r>
        <w:rPr>
          <w:color w:val="0000FF"/>
          <w:szCs w:val="24"/>
        </w:rPr>
        <w:t>主要建设项目</w:t>
      </w:r>
    </w:p>
    <w:p>
      <w:pPr>
        <w:pStyle w:val="81"/>
        <w:spacing w:after="0"/>
        <w:ind w:firstLine="480" w:firstLineChars="200"/>
        <w:rPr>
          <w:color w:val="0000FF"/>
          <w:szCs w:val="24"/>
        </w:rPr>
      </w:pPr>
      <w:r>
        <w:rPr>
          <w:color w:val="0000FF"/>
          <w:szCs w:val="24"/>
        </w:rPr>
        <w:t>河流湿地近自然景观恢复工程、河道生态保护与修复工程、生物栖息地恢复工程、河流水质修复与恢复工程等。</w:t>
      </w:r>
    </w:p>
    <w:p>
      <w:pPr>
        <w:pStyle w:val="81"/>
        <w:spacing w:after="0"/>
        <w:ind w:firstLine="480" w:firstLineChars="200"/>
        <w:rPr>
          <w:color w:val="0000FF"/>
          <w:szCs w:val="24"/>
        </w:rPr>
      </w:pPr>
      <w:r>
        <w:rPr>
          <w:rFonts w:hint="eastAsia"/>
          <w:color w:val="0000FF"/>
          <w:szCs w:val="24"/>
        </w:rPr>
        <w:t>(3)</w:t>
      </w:r>
      <w:r>
        <w:rPr>
          <w:color w:val="0000FF"/>
          <w:szCs w:val="24"/>
        </w:rPr>
        <w:t>田北湿地科普宣教区</w:t>
      </w:r>
    </w:p>
    <w:p>
      <w:pPr>
        <w:pStyle w:val="81"/>
        <w:spacing w:after="0"/>
        <w:ind w:firstLine="480" w:firstLineChars="200"/>
        <w:rPr>
          <w:color w:val="0000FF"/>
          <w:szCs w:val="24"/>
        </w:rPr>
      </w:pPr>
      <w:r>
        <w:rPr>
          <w:color w:val="0000FF"/>
          <w:szCs w:val="24"/>
        </w:rPr>
        <w:t>田北湿地科普宣教区是湿地公园内开展湿地科普宣教的重要场所，位于镜山大桥至下游锦江大桥段，湿地类型有永久性河流湿地和洪泛平原湿地，规划面积为62.66hm</w:t>
      </w:r>
      <w:r>
        <w:rPr>
          <w:color w:val="0000FF"/>
          <w:szCs w:val="24"/>
          <w:vertAlign w:val="superscript"/>
        </w:rPr>
        <w:t>2</w:t>
      </w:r>
      <w:r>
        <w:rPr>
          <w:color w:val="0000FF"/>
          <w:szCs w:val="24"/>
        </w:rPr>
        <w:t>，占湿地公园总面积的12.51%。</w:t>
      </w:r>
    </w:p>
    <w:p>
      <w:pPr>
        <w:pStyle w:val="81"/>
        <w:spacing w:after="0"/>
        <w:ind w:firstLine="480" w:firstLineChars="200"/>
        <w:rPr>
          <w:color w:val="0000FF"/>
          <w:szCs w:val="24"/>
        </w:rPr>
      </w:pPr>
      <w:r>
        <w:rPr>
          <w:rFonts w:hint="eastAsia"/>
          <w:color w:val="0000FF"/>
          <w:szCs w:val="24"/>
        </w:rPr>
        <w:t>①</w:t>
      </w:r>
      <w:r>
        <w:rPr>
          <w:color w:val="0000FF"/>
          <w:szCs w:val="24"/>
        </w:rPr>
        <w:t>规划目标</w:t>
      </w:r>
    </w:p>
    <w:p>
      <w:pPr>
        <w:pStyle w:val="81"/>
        <w:spacing w:after="0"/>
        <w:ind w:firstLine="480" w:firstLineChars="200"/>
        <w:rPr>
          <w:color w:val="0000FF"/>
          <w:szCs w:val="24"/>
        </w:rPr>
      </w:pPr>
      <w:r>
        <w:rPr>
          <w:color w:val="0000FF"/>
          <w:szCs w:val="24"/>
        </w:rPr>
        <w:t>利用现有的自然湿地植被景观，通过系统化的建设湿地宣教展示项目，为市民提供一个感受、认知湿地生态系统功能相关知识的宣教平台，成为周边中小学的科普教育基地;寓教于乐，展示湿地的生态功能，增强人们保护湿地的意识，最终打造成为上高县湿地生态休闲的重要节点、城市生态文化的展示平台。</w:t>
      </w:r>
    </w:p>
    <w:p>
      <w:pPr>
        <w:pStyle w:val="81"/>
        <w:spacing w:after="0"/>
        <w:ind w:firstLine="480" w:firstLineChars="200"/>
        <w:rPr>
          <w:color w:val="0000FF"/>
          <w:szCs w:val="24"/>
        </w:rPr>
      </w:pPr>
      <w:r>
        <w:rPr>
          <w:rFonts w:hint="eastAsia"/>
          <w:color w:val="0000FF"/>
          <w:szCs w:val="24"/>
        </w:rPr>
        <w:t>②</w:t>
      </w:r>
      <w:r>
        <w:rPr>
          <w:color w:val="0000FF"/>
          <w:szCs w:val="24"/>
        </w:rPr>
        <w:t>主要建设项目</w:t>
      </w:r>
    </w:p>
    <w:p>
      <w:pPr>
        <w:pStyle w:val="81"/>
        <w:spacing w:after="0"/>
        <w:ind w:firstLine="480" w:firstLineChars="200"/>
        <w:rPr>
          <w:color w:val="0000FF"/>
          <w:szCs w:val="24"/>
        </w:rPr>
      </w:pPr>
      <w:r>
        <w:rPr>
          <w:color w:val="0000FF"/>
          <w:szCs w:val="24"/>
        </w:rPr>
        <w:t>污水人工湿地处理示范点、湿地科普宣教基地、生态湿地驳岸建设示范点、湿地植物走廊等。</w:t>
      </w:r>
    </w:p>
    <w:p>
      <w:pPr>
        <w:pStyle w:val="81"/>
        <w:spacing w:after="0"/>
        <w:ind w:left="480" w:leftChars="200" w:firstLine="0" w:firstLineChars="0"/>
        <w:rPr>
          <w:color w:val="0000FF"/>
          <w:szCs w:val="24"/>
        </w:rPr>
      </w:pPr>
      <w:r>
        <w:rPr>
          <w:rFonts w:hint="eastAsia"/>
          <w:color w:val="0000FF"/>
          <w:szCs w:val="24"/>
        </w:rPr>
        <w:t>(4)</w:t>
      </w:r>
      <w:r>
        <w:rPr>
          <w:color w:val="0000FF"/>
          <w:szCs w:val="24"/>
        </w:rPr>
        <w:t>塔下生态景观休闲区</w:t>
      </w:r>
    </w:p>
    <w:p>
      <w:pPr>
        <w:pStyle w:val="81"/>
        <w:spacing w:after="0"/>
        <w:ind w:firstLine="480" w:firstLineChars="200"/>
        <w:rPr>
          <w:color w:val="0000FF"/>
          <w:szCs w:val="24"/>
        </w:rPr>
      </w:pPr>
      <w:r>
        <w:rPr>
          <w:color w:val="0000FF"/>
          <w:szCs w:val="24"/>
        </w:rPr>
        <w:t>塔下生态景观休闲区为湿地公园合理利用区域，规划范围为河道及两侧部分河叉口和绿地，上游至团结新村附近、下游到镜山大桥位置，规划面积为113.11公顷，占湿地公园总面积的22.59%。</w:t>
      </w:r>
    </w:p>
    <w:p>
      <w:pPr>
        <w:pStyle w:val="81"/>
        <w:spacing w:after="0"/>
        <w:ind w:firstLine="480" w:firstLineChars="200"/>
        <w:rPr>
          <w:color w:val="0000FF"/>
          <w:szCs w:val="24"/>
        </w:rPr>
      </w:pPr>
      <w:r>
        <w:rPr>
          <w:rFonts w:hint="eastAsia"/>
          <w:color w:val="0000FF"/>
          <w:szCs w:val="24"/>
        </w:rPr>
        <w:t>①</w:t>
      </w:r>
      <w:r>
        <w:rPr>
          <w:color w:val="0000FF"/>
          <w:szCs w:val="24"/>
        </w:rPr>
        <w:t>规划目标</w:t>
      </w:r>
    </w:p>
    <w:p>
      <w:pPr>
        <w:pStyle w:val="81"/>
        <w:spacing w:after="0"/>
        <w:ind w:firstLine="480" w:firstLineChars="200"/>
        <w:rPr>
          <w:color w:val="0000FF"/>
          <w:szCs w:val="24"/>
        </w:rPr>
      </w:pPr>
      <w:r>
        <w:rPr>
          <w:color w:val="0000FF"/>
          <w:szCs w:val="24"/>
        </w:rPr>
        <w:t>利用区域内的湿地景观资源、历史人文景观资源和城市基础设施条件，按</w:t>
      </w:r>
    </w:p>
    <w:p>
      <w:pPr>
        <w:pStyle w:val="81"/>
        <w:spacing w:after="0"/>
        <w:ind w:firstLine="480" w:firstLineChars="200"/>
        <w:rPr>
          <w:color w:val="0000FF"/>
          <w:szCs w:val="24"/>
        </w:rPr>
      </w:pPr>
      <w:r>
        <w:rPr>
          <w:color w:val="0000FF"/>
          <w:szCs w:val="24"/>
        </w:rPr>
        <w:t>照可持续发展、保护优先、环境、经济与社会协调发展、统一规划、分步实施、以人为本的原则，将此区域建设成为上高市民休闲娱乐、康体健身和区域湿地生态观光旅游的目的地，最终成为上高城市风貌景观变迁的风光带，生态景观展示的窗口。</w:t>
      </w:r>
    </w:p>
    <w:p>
      <w:pPr>
        <w:pStyle w:val="81"/>
        <w:spacing w:after="0"/>
        <w:ind w:firstLine="480" w:firstLineChars="200"/>
        <w:rPr>
          <w:color w:val="0000FF"/>
          <w:szCs w:val="24"/>
        </w:rPr>
      </w:pPr>
      <w:r>
        <w:rPr>
          <w:rFonts w:hint="eastAsia"/>
          <w:color w:val="0000FF"/>
          <w:szCs w:val="24"/>
        </w:rPr>
        <w:t>②</w:t>
      </w:r>
      <w:r>
        <w:rPr>
          <w:color w:val="0000FF"/>
          <w:szCs w:val="24"/>
        </w:rPr>
        <w:t>主要建设项目</w:t>
      </w:r>
    </w:p>
    <w:p>
      <w:pPr>
        <w:pStyle w:val="81"/>
        <w:spacing w:after="0"/>
        <w:ind w:firstLine="480" w:firstLineChars="200"/>
        <w:rPr>
          <w:color w:val="0000FF"/>
          <w:szCs w:val="24"/>
        </w:rPr>
      </w:pPr>
      <w:r>
        <w:rPr>
          <w:color w:val="0000FF"/>
          <w:szCs w:val="24"/>
        </w:rPr>
        <w:t>老城新秀、锦江绿道、锦水观鱼、龙舟竞渡、上高外滩、大观盛世、闸口激浪等。</w:t>
      </w:r>
    </w:p>
    <w:p>
      <w:pPr>
        <w:pStyle w:val="81"/>
        <w:spacing w:after="0"/>
        <w:ind w:firstLine="480" w:firstLineChars="200"/>
        <w:rPr>
          <w:color w:val="0000FF"/>
          <w:szCs w:val="24"/>
        </w:rPr>
      </w:pPr>
      <w:r>
        <w:rPr>
          <w:rFonts w:hint="eastAsia"/>
          <w:color w:val="0000FF"/>
          <w:szCs w:val="24"/>
        </w:rPr>
        <w:t>(5)</w:t>
      </w:r>
      <w:r>
        <w:rPr>
          <w:color w:val="0000FF"/>
          <w:szCs w:val="24"/>
        </w:rPr>
        <w:t>新城管理服务区</w:t>
      </w:r>
    </w:p>
    <w:p>
      <w:pPr>
        <w:pStyle w:val="81"/>
        <w:spacing w:after="0"/>
        <w:ind w:firstLine="480" w:firstLineChars="200"/>
        <w:rPr>
          <w:color w:val="0000FF"/>
          <w:szCs w:val="24"/>
        </w:rPr>
      </w:pPr>
      <w:r>
        <w:rPr>
          <w:color w:val="0000FF"/>
          <w:szCs w:val="24"/>
        </w:rPr>
        <w:t>新城管理服务区为湿地公园的管理、服务机构和设施所在地，也是湿地公园的旅游接待中心，位于锦江北岸，介于青阳大桥和镜山大桥之间，本区面积为16.59</w:t>
      </w:r>
      <w:r>
        <w:rPr>
          <w:rFonts w:hint="eastAsia"/>
          <w:color w:val="0000FF"/>
          <w:szCs w:val="24"/>
        </w:rPr>
        <w:t>hm</w:t>
      </w:r>
      <w:r>
        <w:rPr>
          <w:rFonts w:hint="eastAsia"/>
          <w:color w:val="0000FF"/>
          <w:szCs w:val="24"/>
          <w:vertAlign w:val="superscript"/>
        </w:rPr>
        <w:t>2</w:t>
      </w:r>
      <w:r>
        <w:rPr>
          <w:color w:val="0000FF"/>
          <w:szCs w:val="24"/>
        </w:rPr>
        <w:t>，占湿地公园总面积的3.31%。</w:t>
      </w:r>
    </w:p>
    <w:p>
      <w:pPr>
        <w:pStyle w:val="81"/>
        <w:spacing w:after="0"/>
        <w:ind w:firstLine="480" w:firstLineChars="200"/>
        <w:rPr>
          <w:color w:val="0000FF"/>
          <w:szCs w:val="24"/>
        </w:rPr>
      </w:pPr>
      <w:r>
        <w:rPr>
          <w:rFonts w:hint="eastAsia"/>
          <w:color w:val="0000FF"/>
          <w:szCs w:val="24"/>
        </w:rPr>
        <w:t>①</w:t>
      </w:r>
      <w:r>
        <w:rPr>
          <w:color w:val="0000FF"/>
          <w:szCs w:val="24"/>
        </w:rPr>
        <w:t>规划目标</w:t>
      </w:r>
    </w:p>
    <w:p>
      <w:pPr>
        <w:pStyle w:val="81"/>
        <w:spacing w:after="0"/>
        <w:ind w:firstLine="480" w:firstLineChars="200"/>
        <w:rPr>
          <w:color w:val="0000FF"/>
          <w:szCs w:val="24"/>
        </w:rPr>
      </w:pPr>
      <w:r>
        <w:rPr>
          <w:color w:val="0000FF"/>
          <w:szCs w:val="24"/>
        </w:rPr>
        <w:t>根据保护和管理的需要，构建上高锦江湿地公园完善的保护和管理体系，并建设相应的保护、管理设施;配置相应的保护、管理设备，为游客提供优质高效的服务，实现良好的管理、保护和服务功能。</w:t>
      </w:r>
    </w:p>
    <w:p>
      <w:pPr>
        <w:pStyle w:val="81"/>
        <w:spacing w:after="0"/>
        <w:ind w:firstLine="480" w:firstLineChars="200"/>
        <w:rPr>
          <w:color w:val="0000FF"/>
          <w:szCs w:val="24"/>
        </w:rPr>
      </w:pPr>
      <w:r>
        <w:rPr>
          <w:rFonts w:hint="eastAsia"/>
          <w:color w:val="0000FF"/>
          <w:szCs w:val="24"/>
        </w:rPr>
        <w:t>②</w:t>
      </w:r>
      <w:r>
        <w:rPr>
          <w:color w:val="0000FF"/>
          <w:szCs w:val="24"/>
        </w:rPr>
        <w:t>主要建设项目</w:t>
      </w:r>
    </w:p>
    <w:p>
      <w:pPr>
        <w:pStyle w:val="81"/>
        <w:spacing w:after="0"/>
        <w:ind w:firstLine="480" w:firstLineChars="200"/>
        <w:rPr>
          <w:color w:val="0000FF"/>
          <w:szCs w:val="24"/>
        </w:rPr>
      </w:pPr>
      <w:r>
        <w:rPr>
          <w:color w:val="0000FF"/>
          <w:szCs w:val="24"/>
        </w:rPr>
        <w:t>湿地文化广场、湿地服务中心</w:t>
      </w:r>
      <w:r>
        <w:rPr>
          <w:rFonts w:hint="eastAsia"/>
          <w:color w:val="0000FF"/>
          <w:szCs w:val="24"/>
        </w:rPr>
        <w:t>（</w:t>
      </w:r>
      <w:r>
        <w:rPr>
          <w:color w:val="0000FF"/>
          <w:szCs w:val="24"/>
        </w:rPr>
        <w:t>游客服务中心、湿地科普宣教中心、湿地公园保护管理局</w:t>
      </w:r>
      <w:r>
        <w:rPr>
          <w:rFonts w:hint="eastAsia"/>
          <w:color w:val="0000FF"/>
          <w:szCs w:val="24"/>
        </w:rPr>
        <w:t>）</w:t>
      </w:r>
      <w:r>
        <w:rPr>
          <w:color w:val="0000FF"/>
          <w:szCs w:val="24"/>
        </w:rPr>
        <w:t>等项目。</w:t>
      </w:r>
    </w:p>
    <w:p>
      <w:pPr>
        <w:pStyle w:val="81"/>
        <w:spacing w:after="0"/>
        <w:ind w:firstLine="482" w:firstLineChars="200"/>
        <w:rPr>
          <w:b/>
          <w:bCs/>
          <w:color w:val="0000FF"/>
          <w:szCs w:val="24"/>
        </w:rPr>
      </w:pPr>
      <w:r>
        <w:rPr>
          <w:rFonts w:hint="eastAsia"/>
          <w:b/>
          <w:bCs/>
          <w:color w:val="0000FF"/>
          <w:szCs w:val="24"/>
        </w:rPr>
        <w:t>3、植物资源</w:t>
      </w:r>
    </w:p>
    <w:p>
      <w:pPr>
        <w:pStyle w:val="81"/>
        <w:spacing w:after="0"/>
        <w:ind w:firstLine="480" w:firstLineChars="200"/>
        <w:rPr>
          <w:color w:val="0000FF"/>
          <w:szCs w:val="24"/>
        </w:rPr>
      </w:pPr>
      <w:r>
        <w:rPr>
          <w:color w:val="0000FF"/>
          <w:szCs w:val="24"/>
        </w:rPr>
        <w:t>据资料记载及对湿地公园植物资源的考察研究</w:t>
      </w:r>
      <w:r>
        <w:rPr>
          <w:rFonts w:hint="eastAsia"/>
          <w:color w:val="0000FF"/>
          <w:szCs w:val="24"/>
        </w:rPr>
        <w:t>，</w:t>
      </w:r>
      <w:r>
        <w:rPr>
          <w:color w:val="0000FF"/>
          <w:szCs w:val="24"/>
        </w:rPr>
        <w:t>初步统计锦江湿地公园共有湿地维管植物92科，221属，335种。其中蕨类植物8科9属9种</w:t>
      </w:r>
      <w:r>
        <w:rPr>
          <w:rFonts w:hint="eastAsia"/>
          <w:color w:val="0000FF"/>
          <w:szCs w:val="24"/>
        </w:rPr>
        <w:t>，</w:t>
      </w:r>
      <w:r>
        <w:rPr>
          <w:color w:val="0000FF"/>
          <w:szCs w:val="24"/>
        </w:rPr>
        <w:t>裸子植物3科3属3种</w:t>
      </w:r>
      <w:r>
        <w:rPr>
          <w:rFonts w:hint="eastAsia"/>
          <w:color w:val="0000FF"/>
          <w:szCs w:val="24"/>
        </w:rPr>
        <w:t>，</w:t>
      </w:r>
      <w:r>
        <w:rPr>
          <w:color w:val="0000FF"/>
          <w:szCs w:val="24"/>
        </w:rPr>
        <w:t>被子植物81科209属323种</w:t>
      </w:r>
      <w:r>
        <w:rPr>
          <w:rFonts w:hint="eastAsia"/>
          <w:color w:val="0000FF"/>
          <w:szCs w:val="24"/>
        </w:rPr>
        <w:t>（</w:t>
      </w:r>
      <w:r>
        <w:rPr>
          <w:color w:val="0000FF"/>
          <w:szCs w:val="24"/>
        </w:rPr>
        <w:t>双子叶植物65科151属233种</w:t>
      </w:r>
      <w:r>
        <w:rPr>
          <w:rFonts w:hint="eastAsia"/>
          <w:color w:val="0000FF"/>
          <w:szCs w:val="24"/>
        </w:rPr>
        <w:t>，</w:t>
      </w:r>
      <w:r>
        <w:rPr>
          <w:color w:val="0000FF"/>
          <w:szCs w:val="24"/>
        </w:rPr>
        <w:t>单子叶植物16科58属90种</w:t>
      </w:r>
      <w:r>
        <w:rPr>
          <w:rFonts w:hint="eastAsia"/>
          <w:color w:val="0000FF"/>
          <w:szCs w:val="24"/>
        </w:rPr>
        <w:t>）</w:t>
      </w:r>
      <w:r>
        <w:rPr>
          <w:color w:val="0000FF"/>
          <w:szCs w:val="24"/>
        </w:rPr>
        <w:t>。锦江湿地公园维管植物共有92科，科内所含属数、种数差异较大，其中含10种以上的科共有7个，计80属144种，占总科数的7.6%，总属数的36.19%，总种数的42.98%。这些较大的科为</w:t>
      </w:r>
      <w:r>
        <w:rPr>
          <w:rFonts w:hint="eastAsia"/>
          <w:color w:val="0000FF"/>
          <w:szCs w:val="24"/>
        </w:rPr>
        <w:t>：</w:t>
      </w:r>
      <w:r>
        <w:rPr>
          <w:color w:val="0000FF"/>
          <w:szCs w:val="24"/>
        </w:rPr>
        <w:t>禾本科</w:t>
      </w:r>
      <w:r>
        <w:rPr>
          <w:rFonts w:hint="eastAsia"/>
          <w:color w:val="0000FF"/>
          <w:szCs w:val="24"/>
        </w:rPr>
        <w:t>（</w:t>
      </w:r>
      <w:r>
        <w:rPr>
          <w:color w:val="0000FF"/>
          <w:szCs w:val="24"/>
        </w:rPr>
        <w:t>Gramineae29属/39种</w:t>
      </w:r>
      <w:r>
        <w:rPr>
          <w:rFonts w:hint="eastAsia"/>
          <w:color w:val="0000FF"/>
          <w:szCs w:val="24"/>
        </w:rPr>
        <w:t>）</w:t>
      </w:r>
      <w:r>
        <w:rPr>
          <w:color w:val="0000FF"/>
          <w:szCs w:val="24"/>
        </w:rPr>
        <w:t>、菊科</w:t>
      </w:r>
      <w:r>
        <w:rPr>
          <w:rFonts w:hint="eastAsia"/>
          <w:color w:val="0000FF"/>
          <w:szCs w:val="24"/>
        </w:rPr>
        <w:t>（</w:t>
      </w:r>
      <w:r>
        <w:rPr>
          <w:color w:val="0000FF"/>
          <w:szCs w:val="24"/>
        </w:rPr>
        <w:t>Compositae21属/34种</w:t>
      </w:r>
      <w:r>
        <w:rPr>
          <w:rFonts w:hint="eastAsia"/>
          <w:color w:val="0000FF"/>
          <w:szCs w:val="24"/>
        </w:rPr>
        <w:t>）</w:t>
      </w:r>
      <w:r>
        <w:rPr>
          <w:color w:val="0000FF"/>
          <w:szCs w:val="24"/>
        </w:rPr>
        <w:t>、莎草科</w:t>
      </w:r>
      <w:r>
        <w:rPr>
          <w:rFonts w:hint="eastAsia"/>
          <w:color w:val="0000FF"/>
          <w:szCs w:val="24"/>
        </w:rPr>
        <w:t>（</w:t>
      </w:r>
      <w:r>
        <w:rPr>
          <w:color w:val="0000FF"/>
          <w:szCs w:val="24"/>
        </w:rPr>
        <w:t>Cyperaceae6属/17种</w:t>
      </w:r>
      <w:r>
        <w:rPr>
          <w:rFonts w:hint="eastAsia"/>
          <w:color w:val="0000FF"/>
          <w:szCs w:val="24"/>
        </w:rPr>
        <w:t>）</w:t>
      </w:r>
      <w:r>
        <w:rPr>
          <w:color w:val="0000FF"/>
          <w:szCs w:val="24"/>
        </w:rPr>
        <w:t>、蓼科</w:t>
      </w:r>
      <w:r>
        <w:rPr>
          <w:rFonts w:hint="eastAsia"/>
          <w:color w:val="0000FF"/>
          <w:szCs w:val="24"/>
        </w:rPr>
        <w:t>（</w:t>
      </w:r>
      <w:r>
        <w:rPr>
          <w:color w:val="0000FF"/>
          <w:szCs w:val="24"/>
        </w:rPr>
        <w:t>Polygonaceae3属/16种</w:t>
      </w:r>
      <w:r>
        <w:rPr>
          <w:rFonts w:hint="eastAsia"/>
          <w:color w:val="0000FF"/>
          <w:szCs w:val="24"/>
        </w:rPr>
        <w:t>）</w:t>
      </w:r>
      <w:r>
        <w:rPr>
          <w:color w:val="0000FF"/>
          <w:szCs w:val="24"/>
        </w:rPr>
        <w:t>、蔷薇科</w:t>
      </w:r>
      <w:r>
        <w:rPr>
          <w:rFonts w:hint="eastAsia"/>
          <w:color w:val="0000FF"/>
          <w:szCs w:val="24"/>
        </w:rPr>
        <w:t>（</w:t>
      </w:r>
      <w:r>
        <w:rPr>
          <w:color w:val="0000FF"/>
          <w:szCs w:val="24"/>
        </w:rPr>
        <w:t>Rosaceae7属/16种</w:t>
      </w:r>
      <w:r>
        <w:rPr>
          <w:rFonts w:hint="eastAsia"/>
          <w:color w:val="0000FF"/>
          <w:szCs w:val="24"/>
        </w:rPr>
        <w:t>）</w:t>
      </w:r>
      <w:r>
        <w:rPr>
          <w:color w:val="0000FF"/>
          <w:szCs w:val="24"/>
        </w:rPr>
        <w:t>、唇形科</w:t>
      </w:r>
      <w:r>
        <w:rPr>
          <w:rFonts w:hint="eastAsia"/>
          <w:color w:val="0000FF"/>
          <w:szCs w:val="24"/>
        </w:rPr>
        <w:t>（</w:t>
      </w:r>
      <w:r>
        <w:rPr>
          <w:color w:val="0000FF"/>
          <w:szCs w:val="24"/>
        </w:rPr>
        <w:t>Labiatae9属/11种</w:t>
      </w:r>
      <w:r>
        <w:rPr>
          <w:rFonts w:hint="eastAsia"/>
          <w:color w:val="0000FF"/>
          <w:szCs w:val="24"/>
        </w:rPr>
        <w:t>）</w:t>
      </w:r>
      <w:r>
        <w:rPr>
          <w:color w:val="0000FF"/>
          <w:szCs w:val="24"/>
        </w:rPr>
        <w:t>、玄参科</w:t>
      </w:r>
      <w:r>
        <w:rPr>
          <w:rFonts w:hint="eastAsia"/>
          <w:color w:val="0000FF"/>
          <w:szCs w:val="24"/>
        </w:rPr>
        <w:t>（</w:t>
      </w:r>
      <w:r>
        <w:rPr>
          <w:color w:val="0000FF"/>
          <w:szCs w:val="24"/>
        </w:rPr>
        <w:t>Scrophulariaceae5属/11种</w:t>
      </w:r>
      <w:r>
        <w:rPr>
          <w:rFonts w:hint="eastAsia"/>
          <w:color w:val="0000FF"/>
          <w:szCs w:val="24"/>
        </w:rPr>
        <w:t>）</w:t>
      </w:r>
      <w:r>
        <w:rPr>
          <w:color w:val="0000FF"/>
          <w:szCs w:val="24"/>
        </w:rPr>
        <w:t>，其中含10种以上的属仅蓼属</w:t>
      </w:r>
      <w:r>
        <w:rPr>
          <w:rFonts w:hint="eastAsia"/>
          <w:color w:val="0000FF"/>
          <w:szCs w:val="24"/>
        </w:rPr>
        <w:t>（</w:t>
      </w:r>
      <w:r>
        <w:rPr>
          <w:color w:val="0000FF"/>
          <w:szCs w:val="24"/>
        </w:rPr>
        <w:t>Polygonum11</w:t>
      </w:r>
      <w:r>
        <w:rPr>
          <w:rFonts w:hint="eastAsia"/>
          <w:color w:val="0000FF"/>
          <w:szCs w:val="24"/>
        </w:rPr>
        <w:t>）</w:t>
      </w:r>
      <w:r>
        <w:rPr>
          <w:color w:val="0000FF"/>
          <w:szCs w:val="24"/>
        </w:rPr>
        <w:t>1个。根据吴征镒关于中国种子植物科的分布区类型的划分方法，锦江湿地公园种子植物科的分布区类型共有13种，其中世界分布</w:t>
      </w:r>
      <w:r>
        <w:rPr>
          <w:rFonts w:hint="eastAsia"/>
          <w:color w:val="0000FF"/>
          <w:szCs w:val="24"/>
        </w:rPr>
        <w:t>（</w:t>
      </w:r>
      <w:r>
        <w:rPr>
          <w:color w:val="0000FF"/>
          <w:szCs w:val="24"/>
        </w:rPr>
        <w:t>42科，50%</w:t>
      </w:r>
      <w:r>
        <w:rPr>
          <w:rFonts w:hint="eastAsia"/>
          <w:color w:val="0000FF"/>
          <w:szCs w:val="24"/>
        </w:rPr>
        <w:t>）</w:t>
      </w:r>
      <w:r>
        <w:rPr>
          <w:color w:val="0000FF"/>
          <w:szCs w:val="24"/>
        </w:rPr>
        <w:t>、泛热带分布</w:t>
      </w:r>
      <w:r>
        <w:rPr>
          <w:rFonts w:hint="eastAsia"/>
          <w:color w:val="0000FF"/>
          <w:szCs w:val="24"/>
        </w:rPr>
        <w:t>（</w:t>
      </w:r>
      <w:r>
        <w:rPr>
          <w:color w:val="0000FF"/>
          <w:szCs w:val="24"/>
        </w:rPr>
        <w:t>18科，21.43%</w:t>
      </w:r>
      <w:r>
        <w:rPr>
          <w:rFonts w:hint="eastAsia"/>
          <w:color w:val="0000FF"/>
          <w:szCs w:val="24"/>
        </w:rPr>
        <w:t>）</w:t>
      </w:r>
      <w:r>
        <w:rPr>
          <w:color w:val="0000FF"/>
          <w:szCs w:val="24"/>
        </w:rPr>
        <w:t>、北温带和南温带间断分布</w:t>
      </w:r>
      <w:r>
        <w:rPr>
          <w:rFonts w:hint="eastAsia"/>
          <w:color w:val="0000FF"/>
          <w:szCs w:val="24"/>
        </w:rPr>
        <w:t>（</w:t>
      </w:r>
      <w:r>
        <w:rPr>
          <w:color w:val="0000FF"/>
          <w:szCs w:val="24"/>
        </w:rPr>
        <w:t>8科，9.52%</w:t>
      </w:r>
      <w:r>
        <w:rPr>
          <w:rFonts w:hint="eastAsia"/>
          <w:color w:val="0000FF"/>
          <w:szCs w:val="24"/>
        </w:rPr>
        <w:t>）</w:t>
      </w:r>
      <w:r>
        <w:rPr>
          <w:color w:val="0000FF"/>
          <w:szCs w:val="24"/>
        </w:rPr>
        <w:t>所占的比例较大。公园内属于热带成分有28科，占33.33%，属于温带成分的有14科，占16.66%。</w:t>
      </w:r>
    </w:p>
    <w:p>
      <w:pPr>
        <w:pStyle w:val="81"/>
        <w:spacing w:after="0"/>
        <w:ind w:firstLine="480" w:firstLineChars="200"/>
        <w:rPr>
          <w:color w:val="0000FF"/>
          <w:szCs w:val="24"/>
        </w:rPr>
      </w:pPr>
      <w:r>
        <w:rPr>
          <w:rFonts w:hint="eastAsia"/>
          <w:color w:val="0000FF"/>
          <w:szCs w:val="24"/>
        </w:rPr>
        <w:t>4、动物资源</w:t>
      </w:r>
    </w:p>
    <w:p>
      <w:pPr>
        <w:pStyle w:val="81"/>
        <w:spacing w:after="0"/>
        <w:ind w:firstLine="480" w:firstLineChars="200"/>
        <w:rPr>
          <w:color w:val="0000FF"/>
          <w:szCs w:val="24"/>
        </w:rPr>
      </w:pPr>
      <w:r>
        <w:rPr>
          <w:color w:val="0000FF"/>
          <w:szCs w:val="24"/>
        </w:rPr>
        <w:t>湿地公园内地形较复杂、水面宽广，生物多样性较丰富，分布的动物种类较多。通过实地调查和原始资料的整理，在锦江湿地公园发现野生脊椎动物共计105种，隶属于28目57科，其种数为江西已知脊椎动物总数的12.34%。其中鱼类有4目9科24种，种数占江西已知鱼类的11.54%;两栖动物有2目5科9种，其种数为江西已知两栖动物的23.08%;爬行动物有2目7科11种，其种数为江西已知爬行动物的13.92%;鸟类有15目31科54种，其种数为江西已知鸟类的12.86%;哺乳动物有5目5科7种，其种数为江西已知哺乳动物的6.67%。</w:t>
      </w:r>
    </w:p>
    <w:p>
      <w:pPr>
        <w:ind w:firstLine="480"/>
        <w:rPr>
          <w:color w:val="0000FF"/>
          <w:szCs w:val="24"/>
        </w:rPr>
      </w:pPr>
      <w:r>
        <w:rPr>
          <w:rFonts w:hint="eastAsia"/>
          <w:color w:val="0000FF"/>
          <w:szCs w:val="24"/>
        </w:rPr>
        <w:t>5、本工程与</w:t>
      </w:r>
      <w:r>
        <w:rPr>
          <w:rFonts w:hint="eastAsia"/>
          <w:color w:val="0000FF"/>
        </w:rPr>
        <w:t>上高锦江省级湿地公园</w:t>
      </w:r>
      <w:r>
        <w:rPr>
          <w:rFonts w:hint="eastAsia"/>
          <w:color w:val="0000FF"/>
          <w:szCs w:val="24"/>
        </w:rPr>
        <w:t>的位置关系</w:t>
      </w:r>
    </w:p>
    <w:p>
      <w:pPr>
        <w:pStyle w:val="1368"/>
        <w:ind w:firstLine="480"/>
        <w:rPr>
          <w:rFonts w:ascii="Times New Roman" w:hAnsi="Times New Roman"/>
          <w:color w:val="0000FF"/>
        </w:rPr>
      </w:pPr>
      <w:r>
        <w:rPr>
          <w:rFonts w:hint="eastAsia" w:ascii="Times New Roman" w:hAnsi="Times New Roman"/>
          <w:color w:val="0000FF"/>
        </w:rPr>
        <w:t>本工程位于锦江省级湿地公园</w:t>
      </w:r>
      <w:r>
        <w:rPr>
          <w:rFonts w:ascii="Times New Roman" w:hAnsi="Times New Roman"/>
          <w:color w:val="0000FF"/>
        </w:rPr>
        <w:t>田北湿地科普宣教区</w:t>
      </w:r>
      <w:r>
        <w:rPr>
          <w:rFonts w:hint="eastAsia" w:ascii="Times New Roman" w:hAnsi="Times New Roman"/>
          <w:color w:val="0000FF"/>
        </w:rPr>
        <w:t>之外，不属于生态保护红线内，本项目与上高锦江省级湿地公园的位置关系见附图十一。</w:t>
      </w:r>
    </w:p>
    <w:p>
      <w:pPr>
        <w:pStyle w:val="835"/>
        <w:spacing w:before="0" w:line="360" w:lineRule="auto"/>
      </w:pPr>
      <w:bookmarkStart w:id="782" w:name="_Toc529279063"/>
      <w:bookmarkStart w:id="783" w:name="_Toc534807065"/>
      <w:bookmarkStart w:id="784" w:name="_Toc534895282"/>
      <w:bookmarkStart w:id="785" w:name="_Toc534386306"/>
      <w:bookmarkStart w:id="786" w:name="_Toc3903287"/>
      <w:bookmarkStart w:id="787" w:name="_Toc536265150"/>
      <w:r>
        <w:t>4.</w:t>
      </w:r>
      <w:r>
        <w:rPr>
          <w:rFonts w:hint="eastAsia"/>
        </w:rPr>
        <w:t>5</w:t>
      </w:r>
      <w:r>
        <w:t>.</w:t>
      </w:r>
      <w:r>
        <w:rPr>
          <w:rFonts w:hint="eastAsia"/>
        </w:rPr>
        <w:t>9</w:t>
      </w:r>
      <w:r>
        <w:t>项目区生态现状评价</w:t>
      </w:r>
      <w:bookmarkEnd w:id="782"/>
      <w:bookmarkEnd w:id="783"/>
      <w:bookmarkEnd w:id="784"/>
      <w:bookmarkEnd w:id="785"/>
      <w:bookmarkEnd w:id="786"/>
      <w:bookmarkEnd w:id="787"/>
    </w:p>
    <w:p>
      <w:pPr>
        <w:ind w:firstLine="480"/>
      </w:pPr>
      <w:r>
        <w:rPr>
          <w:rFonts w:hint="eastAsia" w:ascii="宋体" w:hAnsi="宋体" w:cs="宋体"/>
        </w:rPr>
        <w:t>⑴</w:t>
      </w:r>
      <w:r>
        <w:t>植被资源现状评价</w:t>
      </w:r>
    </w:p>
    <w:p>
      <w:pPr>
        <w:ind w:firstLine="480"/>
        <w:rPr>
          <w:szCs w:val="24"/>
        </w:rPr>
      </w:pPr>
      <w:r>
        <w:rPr>
          <w:rFonts w:hAnsi="宋体"/>
          <w:szCs w:val="24"/>
        </w:rPr>
        <w:t>上高县境内植物种类和植被类型多样。植物有</w:t>
      </w:r>
      <w:r>
        <w:rPr>
          <w:rFonts w:hint="eastAsia" w:hAnsi="宋体"/>
          <w:szCs w:val="24"/>
        </w:rPr>
        <w:t>49</w:t>
      </w:r>
      <w:r>
        <w:rPr>
          <w:rFonts w:hAnsi="宋体"/>
          <w:szCs w:val="24"/>
        </w:rPr>
        <w:t>科</w:t>
      </w:r>
      <w:r>
        <w:rPr>
          <w:rFonts w:hint="eastAsia" w:hAnsi="宋体"/>
          <w:szCs w:val="24"/>
        </w:rPr>
        <w:t>114</w:t>
      </w:r>
      <w:r>
        <w:rPr>
          <w:rFonts w:hAnsi="宋体"/>
          <w:szCs w:val="24"/>
        </w:rPr>
        <w:t>种；地带性植被的基本类型有针叶林，</w:t>
      </w:r>
      <w:r>
        <w:fldChar w:fldCharType="begin"/>
      </w:r>
      <w:r>
        <w:instrText xml:space="preserve"> HYPERLINK "https://baike.sogou.com/lemma/ShowInnerLink.htm?lemmaId=4245629&amp;ss_c=ssc.citiao.link" \t "https://baike.sogou.com/_blank" </w:instrText>
      </w:r>
      <w:r>
        <w:fldChar w:fldCharType="separate"/>
      </w:r>
      <w:r>
        <w:rPr>
          <w:rFonts w:hAnsi="宋体"/>
          <w:szCs w:val="24"/>
        </w:rPr>
        <w:t>常绿阔叶林</w:t>
      </w:r>
      <w:r>
        <w:rPr>
          <w:rFonts w:hAnsi="宋体"/>
          <w:szCs w:val="24"/>
        </w:rPr>
        <w:fldChar w:fldCharType="end"/>
      </w:r>
      <w:r>
        <w:rPr>
          <w:rFonts w:hAnsi="宋体"/>
          <w:szCs w:val="24"/>
        </w:rPr>
        <w:t>，针叶与阔叶、常绿与落叶混交林，竹林，灌丛，草丛等。截至2011年，上高境内林木业蓄积量为143万立方米，森林覆盖率达42.3%。因居民点密集，耕作强度大，加上种种历史的和人为的原因，植被受人为影响较大，天然森林植被曾被破坏。林地植被以</w:t>
      </w:r>
      <w:r>
        <w:rPr>
          <w:rFonts w:hint="eastAsia" w:hAnsi="宋体"/>
          <w:szCs w:val="24"/>
        </w:rPr>
        <w:t>杉木林、</w:t>
      </w:r>
      <w:r>
        <w:rPr>
          <w:szCs w:val="24"/>
        </w:rPr>
        <w:t>樟树林、</w:t>
      </w:r>
      <w:r>
        <w:rPr>
          <w:rFonts w:hint="eastAsia"/>
          <w:szCs w:val="24"/>
        </w:rPr>
        <w:t>毛竹林</w:t>
      </w:r>
      <w:r>
        <w:rPr>
          <w:kern w:val="0"/>
          <w:szCs w:val="24"/>
        </w:rPr>
        <w:t>、</w:t>
      </w:r>
      <w:r>
        <w:rPr>
          <w:szCs w:val="24"/>
        </w:rPr>
        <w:t>次生灌丛及灌草丛为主</w:t>
      </w:r>
      <w:r>
        <w:rPr>
          <w:rFonts w:hAnsi="宋体"/>
          <w:szCs w:val="24"/>
        </w:rPr>
        <w:t>，林分结构简单。只在靠近村落的河边有些残存的天然次生常绿阔叶林，评价区的森林植被处于自然生态恢复初级阶段。河边农田以水稻、棉花种植为主，部份山麓缓坡被辟为旱地。影响范围内没有当地特有，或具有特殊生态、经济价值农业植被。</w:t>
      </w:r>
    </w:p>
    <w:p>
      <w:pPr>
        <w:ind w:firstLine="480"/>
      </w:pPr>
      <w:r>
        <w:rPr>
          <w:rFonts w:hint="eastAsia" w:ascii="宋体" w:hAnsi="宋体" w:cs="宋体"/>
          <w:szCs w:val="24"/>
        </w:rPr>
        <w:t>⑵</w:t>
      </w:r>
      <w:r>
        <w:t>陆生动物资源现状评价</w:t>
      </w:r>
    </w:p>
    <w:p>
      <w:pPr>
        <w:ind w:firstLine="480"/>
      </w:pPr>
      <w:r>
        <w:t>项目区内总计有四类11目21科25种，其中两栖类1目2科3种，爬行类2目4科5种，鸟类6目12科13种，兽类2目3科4种。整个调查区域内以鸟类为优势种，其中以雀形目种类及数量最多。</w:t>
      </w:r>
    </w:p>
    <w:p>
      <w:pPr>
        <w:ind w:firstLine="480"/>
        <w:rPr>
          <w:szCs w:val="24"/>
        </w:rPr>
      </w:pPr>
      <w:r>
        <w:rPr>
          <w:szCs w:val="24"/>
        </w:rPr>
        <w:t>在项目评价范围内有省级重点保护动物有</w:t>
      </w:r>
      <w:r>
        <w:rPr>
          <w:rFonts w:hint="eastAsia"/>
          <w:szCs w:val="24"/>
        </w:rPr>
        <w:t>8</w:t>
      </w:r>
      <w:r>
        <w:rPr>
          <w:szCs w:val="24"/>
        </w:rPr>
        <w:t>种，包括鳖、白鹭、家燕等。项目区生态影响评价范围内没有</w:t>
      </w:r>
      <w:r>
        <w:rPr>
          <w:spacing w:val="-2"/>
          <w:szCs w:val="24"/>
        </w:rPr>
        <w:t>以上保护</w:t>
      </w:r>
      <w:r>
        <w:rPr>
          <w:szCs w:val="24"/>
        </w:rPr>
        <w:t>动物集中分布地或时段聚集场所。</w:t>
      </w:r>
    </w:p>
    <w:p>
      <w:pPr>
        <w:ind w:firstLine="480"/>
      </w:pPr>
      <w:r>
        <w:rPr>
          <w:rFonts w:hint="eastAsia" w:ascii="宋体" w:hAnsi="宋体" w:cs="宋体"/>
        </w:rPr>
        <w:t>⑶</w:t>
      </w:r>
      <w:r>
        <w:t>水生生物资源现状评价</w:t>
      </w:r>
    </w:p>
    <w:p>
      <w:pPr>
        <w:ind w:firstLine="480"/>
      </w:pPr>
      <w:r>
        <w:t>评价范围处</w:t>
      </w:r>
      <w:r>
        <w:rPr>
          <w:rFonts w:hint="eastAsia"/>
          <w:kern w:val="0"/>
          <w:szCs w:val="24"/>
        </w:rPr>
        <w:t>赣江</w:t>
      </w:r>
      <w:r>
        <w:rPr>
          <w:kern w:val="0"/>
          <w:szCs w:val="24"/>
        </w:rPr>
        <w:t>一级支流</w:t>
      </w:r>
      <w:r>
        <w:rPr>
          <w:rFonts w:hint="eastAsia"/>
          <w:kern w:val="0"/>
          <w:szCs w:val="24"/>
        </w:rPr>
        <w:t>锦河</w:t>
      </w:r>
      <w:r>
        <w:rPr>
          <w:kern w:val="0"/>
          <w:szCs w:val="24"/>
        </w:rPr>
        <w:t>中上游低丘间河谷湿地</w:t>
      </w:r>
      <w:r>
        <w:t>，湿地生境没有特异性，以河流及农田沟渠湿地水生动植物为主，</w:t>
      </w:r>
      <w:r>
        <w:rPr>
          <w:spacing w:val="-2"/>
        </w:rPr>
        <w:t>浮游藻类计4门10种，浮游动物13种，底栖动物有9种，鱼类</w:t>
      </w:r>
      <w:r>
        <w:t>4目11科42种</w:t>
      </w:r>
      <w:r>
        <w:rPr>
          <w:spacing w:val="-2"/>
        </w:rPr>
        <w:t>。皆为</w:t>
      </w:r>
      <w:r>
        <w:t>河流水库及农田沟渠湿地常见水生生种群为主。</w:t>
      </w:r>
    </w:p>
    <w:p>
      <w:pPr>
        <w:pStyle w:val="835"/>
        <w:spacing w:before="0" w:line="360" w:lineRule="auto"/>
      </w:pPr>
      <w:bookmarkStart w:id="788" w:name="_Toc529279064"/>
      <w:bookmarkStart w:id="789" w:name="_Toc534386307"/>
      <w:bookmarkStart w:id="790" w:name="_Toc536265151"/>
      <w:bookmarkStart w:id="791" w:name="_Toc3903288"/>
      <w:bookmarkStart w:id="792" w:name="_Toc534807066"/>
      <w:bookmarkStart w:id="793" w:name="_Toc534895283"/>
      <w:bookmarkStart w:id="794" w:name="_Toc246220443"/>
      <w:bookmarkStart w:id="795" w:name="_Toc234833948"/>
      <w:bookmarkStart w:id="796" w:name="_Toc233337857"/>
      <w:r>
        <w:t>4.</w:t>
      </w:r>
      <w:r>
        <w:rPr>
          <w:rFonts w:hint="eastAsia"/>
        </w:rPr>
        <w:t>5</w:t>
      </w:r>
      <w:r>
        <w:t>.</w:t>
      </w:r>
      <w:r>
        <w:rPr>
          <w:rFonts w:hint="eastAsia"/>
        </w:rPr>
        <w:t>10</w:t>
      </w:r>
      <w:r>
        <w:t>生态环境总体质量及主要生态环境问题</w:t>
      </w:r>
      <w:bookmarkEnd w:id="788"/>
      <w:bookmarkEnd w:id="789"/>
      <w:bookmarkEnd w:id="790"/>
      <w:bookmarkEnd w:id="791"/>
      <w:bookmarkEnd w:id="792"/>
      <w:bookmarkEnd w:id="793"/>
    </w:p>
    <w:p>
      <w:pPr>
        <w:ind w:firstLine="480"/>
      </w:pPr>
      <w:r>
        <w:t>项目评价区植被分为</w:t>
      </w:r>
      <w:r>
        <w:rPr>
          <w:rFonts w:hint="eastAsia"/>
          <w:szCs w:val="24"/>
        </w:rPr>
        <w:t>3</w:t>
      </w:r>
      <w:r>
        <w:rPr>
          <w:szCs w:val="24"/>
        </w:rPr>
        <w:t>级，</w:t>
      </w:r>
      <w:r>
        <w:rPr>
          <w:rFonts w:hint="eastAsia"/>
          <w:szCs w:val="24"/>
        </w:rPr>
        <w:t>4</w:t>
      </w:r>
      <w:r>
        <w:rPr>
          <w:szCs w:val="24"/>
        </w:rPr>
        <w:t>种植被型、</w:t>
      </w:r>
      <w:r>
        <w:rPr>
          <w:rFonts w:hint="eastAsia"/>
          <w:szCs w:val="24"/>
        </w:rPr>
        <w:t>6</w:t>
      </w:r>
      <w:r>
        <w:rPr>
          <w:szCs w:val="24"/>
        </w:rPr>
        <w:t>群系</w:t>
      </w:r>
      <w:r>
        <w:t>，现有维管束植物72科113属122种；陆生动物四类11目21科25种；水生生物</w:t>
      </w:r>
      <w:r>
        <w:rPr>
          <w:spacing w:val="-2"/>
        </w:rPr>
        <w:t>浮游藻类计4门10种，浮游动物13种，底栖动物有9种，鱼类</w:t>
      </w:r>
      <w:r>
        <w:t>4目11科42种。</w:t>
      </w:r>
    </w:p>
    <w:p>
      <w:pPr>
        <w:ind w:firstLine="480"/>
        <w:rPr>
          <w:b/>
          <w:bCs/>
          <w:spacing w:val="-2"/>
          <w:kern w:val="0"/>
        </w:rPr>
      </w:pPr>
      <w:r>
        <w:t>项目所在区村落密集</w:t>
      </w:r>
      <w:r>
        <w:rPr>
          <w:spacing w:val="-2"/>
        </w:rPr>
        <w:t>，</w:t>
      </w:r>
      <w:r>
        <w:t>以樟树林、道路绿化及次生灌草丛为主。</w:t>
      </w:r>
      <w:r>
        <w:rPr>
          <w:spacing w:val="-2"/>
        </w:rPr>
        <w:t>谷地农田以水稻、油菜、蔬菜种植为主。自然植被多已被人工植被取代，只有少量的天然次生灌丛。周围植被整总体呈逆向演替之势加之村落密布、农林业活动频繁，且没有生境的特异性。</w:t>
      </w:r>
      <w:r>
        <w:t>没有发现珍稀特有或国家、省级重点保护野生植物，也无当地特有野生植物分布。</w:t>
      </w:r>
      <w:r>
        <w:rPr>
          <w:spacing w:val="-2"/>
        </w:rPr>
        <w:t>动物种类多是江西境内低山丘陵林地与谷地农田旱地常见的广布种，多已适应当地群众的生产活动。</w:t>
      </w:r>
    </w:p>
    <w:p>
      <w:pPr>
        <w:ind w:firstLine="472"/>
        <w:rPr>
          <w:b/>
          <w:bCs/>
          <w:spacing w:val="-2"/>
          <w:kern w:val="0"/>
        </w:rPr>
      </w:pPr>
      <w:r>
        <w:rPr>
          <w:spacing w:val="-2"/>
        </w:rPr>
        <w:t>区域生态现状存在以下主要生态环境问题：</w:t>
      </w:r>
    </w:p>
    <w:p>
      <w:pPr>
        <w:adjustRightInd w:val="0"/>
        <w:ind w:firstLine="480"/>
        <w:rPr>
          <w:spacing w:val="-2"/>
        </w:rPr>
      </w:pPr>
      <w:r>
        <w:rPr>
          <w:szCs w:val="24"/>
        </w:rPr>
        <w:t>根据现场调查，评价区森林植被覆盖率较低，次生性非常明显，多数地段处于植被恢复演潜过程的乔灌过渡阶段，相当部分区域还处于灌木灌丛阶段或乔木林阶段。绝大多数林相不整齐，群落组成结构和空间结构均较简单。根据景观生态系统现状分析结果，评价区的旱地拼块优势度最高，农田景观面积较大，破碎化严重。由于森林景观多为人工破坏原生植被后形成的次生植被，农田多为人工开垦形成，因此此两类景观类型面积较大，破碎化程度较高，反映了区域人为活动强烈的现状</w:t>
      </w:r>
      <w:r>
        <w:rPr>
          <w:spacing w:val="-2"/>
        </w:rPr>
        <w:t>。</w:t>
      </w:r>
    </w:p>
    <w:p>
      <w:pPr>
        <w:pStyle w:val="835"/>
        <w:spacing w:before="0" w:line="360" w:lineRule="auto"/>
        <w:rPr>
          <w:color w:val="0000FF"/>
        </w:rPr>
      </w:pPr>
      <w:r>
        <w:rPr>
          <w:rFonts w:hint="eastAsia"/>
        </w:rPr>
        <w:t>4</w:t>
      </w:r>
      <w:r>
        <w:t>.5.11</w:t>
      </w:r>
      <w:r>
        <w:rPr>
          <w:rFonts w:hint="eastAsia"/>
          <w:color w:val="0000FF"/>
          <w:spacing w:val="-2"/>
        </w:rPr>
        <w:t>典型区域</w:t>
      </w:r>
      <w:r>
        <w:rPr>
          <w:rFonts w:hint="eastAsia"/>
          <w:color w:val="0000FF"/>
        </w:rPr>
        <w:t>（施工影响区域）生态现状</w:t>
      </w:r>
    </w:p>
    <w:p>
      <w:pPr>
        <w:adjustRightInd w:val="0"/>
        <w:ind w:firstLine="472"/>
        <w:rPr>
          <w:color w:val="0000FF"/>
          <w:spacing w:val="-2"/>
        </w:rPr>
      </w:pPr>
      <w:r>
        <w:rPr>
          <w:rFonts w:hint="eastAsia"/>
          <w:color w:val="0000FF"/>
          <w:spacing w:val="-2"/>
        </w:rPr>
        <w:t>评价区典型区域，是指评价区内工程占地区域。包括枢纽工程区、施工营地、渣场、土料场等。</w:t>
      </w:r>
    </w:p>
    <w:p>
      <w:pPr>
        <w:spacing w:before="120" w:beforeLines="50" w:line="240" w:lineRule="auto"/>
        <w:ind w:firstLine="480"/>
        <w:jc w:val="center"/>
        <w:rPr>
          <w:rFonts w:ascii="黑体" w:hAnsi="黑体" w:eastAsia="黑体" w:cs="黑体"/>
          <w:color w:val="0000FF"/>
        </w:rPr>
      </w:pPr>
      <w:r>
        <w:rPr>
          <w:rFonts w:hint="eastAsia" w:ascii="黑体" w:hAnsi="黑体" w:eastAsia="黑体" w:cs="黑体"/>
          <w:color w:val="0000FF"/>
        </w:rPr>
        <w:t>表4.5-21  施工区主要施工场地生态现状</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126"/>
        <w:gridCol w:w="1123"/>
        <w:gridCol w:w="1182"/>
        <w:gridCol w:w="5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 w:type="dxa"/>
            <w:vAlign w:val="center"/>
          </w:tcPr>
          <w:p>
            <w:pPr>
              <w:ind w:firstLine="0" w:firstLineChars="0"/>
              <w:jc w:val="center"/>
              <w:rPr>
                <w:color w:val="0000FF"/>
                <w:sz w:val="21"/>
                <w:szCs w:val="21"/>
              </w:rPr>
            </w:pPr>
            <w:r>
              <w:rPr>
                <w:color w:val="0000FF"/>
                <w:sz w:val="21"/>
                <w:szCs w:val="21"/>
              </w:rPr>
              <w:t>序号</w:t>
            </w:r>
          </w:p>
        </w:tc>
        <w:tc>
          <w:tcPr>
            <w:tcW w:w="1333" w:type="dxa"/>
            <w:vAlign w:val="center"/>
          </w:tcPr>
          <w:p>
            <w:pPr>
              <w:ind w:firstLine="0" w:firstLineChars="0"/>
              <w:jc w:val="center"/>
              <w:rPr>
                <w:color w:val="0000FF"/>
                <w:sz w:val="21"/>
                <w:szCs w:val="21"/>
              </w:rPr>
            </w:pPr>
            <w:r>
              <w:rPr>
                <w:color w:val="0000FF"/>
                <w:sz w:val="21"/>
                <w:szCs w:val="21"/>
              </w:rPr>
              <w:t>工程区</w:t>
            </w:r>
          </w:p>
        </w:tc>
        <w:tc>
          <w:tcPr>
            <w:tcW w:w="1267" w:type="dxa"/>
            <w:vAlign w:val="center"/>
          </w:tcPr>
          <w:p>
            <w:pPr>
              <w:ind w:firstLine="0" w:firstLineChars="0"/>
              <w:jc w:val="center"/>
              <w:rPr>
                <w:color w:val="0000FF"/>
                <w:sz w:val="21"/>
                <w:szCs w:val="21"/>
              </w:rPr>
            </w:pPr>
            <w:r>
              <w:rPr>
                <w:color w:val="0000FF"/>
                <w:sz w:val="21"/>
                <w:szCs w:val="21"/>
              </w:rPr>
              <w:t>主要植被</w:t>
            </w:r>
          </w:p>
        </w:tc>
        <w:tc>
          <w:tcPr>
            <w:tcW w:w="1343" w:type="dxa"/>
            <w:vAlign w:val="center"/>
          </w:tcPr>
          <w:p>
            <w:pPr>
              <w:ind w:firstLine="0" w:firstLineChars="0"/>
              <w:jc w:val="center"/>
              <w:rPr>
                <w:color w:val="0000FF"/>
                <w:sz w:val="21"/>
                <w:szCs w:val="21"/>
              </w:rPr>
            </w:pPr>
            <w:r>
              <w:rPr>
                <w:color w:val="0000FF"/>
                <w:sz w:val="21"/>
                <w:szCs w:val="21"/>
              </w:rPr>
              <w:t>主要动物</w:t>
            </w:r>
          </w:p>
        </w:tc>
        <w:tc>
          <w:tcPr>
            <w:tcW w:w="4687" w:type="dxa"/>
            <w:vAlign w:val="center"/>
          </w:tcPr>
          <w:p>
            <w:pPr>
              <w:ind w:firstLine="420"/>
              <w:jc w:val="center"/>
              <w:rPr>
                <w:color w:val="0000FF"/>
                <w:sz w:val="21"/>
                <w:szCs w:val="21"/>
              </w:rPr>
            </w:pPr>
            <w:r>
              <w:rPr>
                <w:color w:val="0000FF"/>
                <w:sz w:val="21"/>
                <w:szCs w:val="21"/>
              </w:rPr>
              <w:t>现场照片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 w:type="dxa"/>
            <w:vAlign w:val="center"/>
          </w:tcPr>
          <w:p>
            <w:pPr>
              <w:ind w:firstLine="0" w:firstLineChars="0"/>
              <w:jc w:val="center"/>
              <w:rPr>
                <w:color w:val="0000FF"/>
                <w:sz w:val="21"/>
                <w:szCs w:val="21"/>
              </w:rPr>
            </w:pPr>
            <w:r>
              <w:rPr>
                <w:rFonts w:hint="eastAsia"/>
                <w:color w:val="0000FF"/>
                <w:sz w:val="21"/>
                <w:szCs w:val="21"/>
              </w:rPr>
              <w:t>1</w:t>
            </w:r>
          </w:p>
        </w:tc>
        <w:tc>
          <w:tcPr>
            <w:tcW w:w="1333" w:type="dxa"/>
            <w:vAlign w:val="center"/>
          </w:tcPr>
          <w:p>
            <w:pPr>
              <w:ind w:firstLine="0" w:firstLineChars="0"/>
              <w:jc w:val="center"/>
              <w:rPr>
                <w:color w:val="0000FF"/>
                <w:sz w:val="21"/>
                <w:szCs w:val="21"/>
              </w:rPr>
            </w:pPr>
            <w:r>
              <w:rPr>
                <w:rFonts w:hint="eastAsia"/>
                <w:color w:val="0000FF"/>
                <w:sz w:val="21"/>
                <w:szCs w:val="21"/>
              </w:rPr>
              <w:t>施工营地</w:t>
            </w:r>
          </w:p>
        </w:tc>
        <w:tc>
          <w:tcPr>
            <w:tcW w:w="1267" w:type="dxa"/>
            <w:vAlign w:val="center"/>
          </w:tcPr>
          <w:p>
            <w:pPr>
              <w:ind w:firstLine="0" w:firstLineChars="0"/>
              <w:jc w:val="center"/>
              <w:rPr>
                <w:color w:val="0000FF"/>
                <w:sz w:val="21"/>
                <w:szCs w:val="21"/>
              </w:rPr>
            </w:pPr>
            <w:r>
              <w:rPr>
                <w:color w:val="0000FF"/>
                <w:sz w:val="21"/>
                <w:szCs w:val="21"/>
              </w:rPr>
              <w:t>木蓝、五节芒、小蓬草、野茼蒿、荩草、碎米莎草</w:t>
            </w:r>
          </w:p>
        </w:tc>
        <w:tc>
          <w:tcPr>
            <w:tcW w:w="1343" w:type="dxa"/>
            <w:vAlign w:val="center"/>
          </w:tcPr>
          <w:p>
            <w:pPr>
              <w:ind w:firstLine="0" w:firstLineChars="0"/>
              <w:jc w:val="center"/>
              <w:rPr>
                <w:color w:val="0000FF"/>
                <w:sz w:val="21"/>
                <w:szCs w:val="21"/>
              </w:rPr>
            </w:pPr>
            <w:r>
              <w:rPr>
                <w:color w:val="0000FF"/>
                <w:sz w:val="21"/>
                <w:szCs w:val="21"/>
              </w:rPr>
              <w:t>北草蜥、白头鹎、领雀嘴鹎、灰树鹊</w:t>
            </w:r>
          </w:p>
        </w:tc>
        <w:tc>
          <w:tcPr>
            <w:tcW w:w="4687" w:type="dxa"/>
            <w:vAlign w:val="center"/>
          </w:tcPr>
          <w:p>
            <w:pPr>
              <w:ind w:firstLine="0" w:firstLineChars="0"/>
              <w:jc w:val="center"/>
              <w:rPr>
                <w:color w:val="0000FF"/>
                <w:sz w:val="21"/>
                <w:szCs w:val="21"/>
              </w:rPr>
            </w:pPr>
            <w:r>
              <w:rPr>
                <w:rFonts w:hint="eastAsia"/>
                <w:color w:val="0000FF"/>
                <w:sz w:val="21"/>
                <w:szCs w:val="21"/>
              </w:rPr>
              <w:drawing>
                <wp:inline distT="0" distB="0" distL="114300" distR="114300">
                  <wp:extent cx="2621280" cy="2790190"/>
                  <wp:effectExtent l="0" t="0" r="10160" b="7620"/>
                  <wp:docPr id="16" name="图片 53" descr="762987c193084c84d4c8ab41407e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3" descr="762987c193084c84d4c8ab41407e88a"/>
                          <pic:cNvPicPr>
                            <a:picLocks noChangeAspect="1"/>
                          </pic:cNvPicPr>
                        </pic:nvPicPr>
                        <pic:blipFill>
                          <a:blip r:embed="rId70"/>
                          <a:srcRect l="11363" t="23979" b="12740"/>
                          <a:stretch>
                            <a:fillRect/>
                          </a:stretch>
                        </pic:blipFill>
                        <pic:spPr>
                          <a:xfrm rot="-5400000">
                            <a:off x="0" y="0"/>
                            <a:ext cx="2621280" cy="27901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 w:type="dxa"/>
            <w:vAlign w:val="center"/>
          </w:tcPr>
          <w:p>
            <w:pPr>
              <w:tabs>
                <w:tab w:val="center" w:pos="362"/>
              </w:tabs>
              <w:ind w:firstLine="0" w:firstLineChars="0"/>
              <w:jc w:val="center"/>
              <w:rPr>
                <w:color w:val="0000FF"/>
                <w:sz w:val="21"/>
                <w:szCs w:val="21"/>
              </w:rPr>
            </w:pPr>
            <w:r>
              <w:rPr>
                <w:rFonts w:hint="eastAsia"/>
                <w:color w:val="0000FF"/>
                <w:sz w:val="21"/>
                <w:szCs w:val="21"/>
              </w:rPr>
              <w:t>2</w:t>
            </w:r>
          </w:p>
        </w:tc>
        <w:tc>
          <w:tcPr>
            <w:tcW w:w="1333" w:type="dxa"/>
            <w:vAlign w:val="center"/>
          </w:tcPr>
          <w:p>
            <w:pPr>
              <w:ind w:firstLine="0" w:firstLineChars="0"/>
              <w:jc w:val="center"/>
              <w:rPr>
                <w:color w:val="0000FF"/>
                <w:sz w:val="21"/>
                <w:szCs w:val="21"/>
              </w:rPr>
            </w:pPr>
            <w:r>
              <w:rPr>
                <w:rFonts w:hint="eastAsia"/>
                <w:color w:val="0000FF"/>
                <w:sz w:val="21"/>
                <w:szCs w:val="21"/>
              </w:rPr>
              <w:t>弃渣场</w:t>
            </w:r>
          </w:p>
        </w:tc>
        <w:tc>
          <w:tcPr>
            <w:tcW w:w="1267" w:type="dxa"/>
            <w:vAlign w:val="center"/>
          </w:tcPr>
          <w:p>
            <w:pPr>
              <w:ind w:firstLine="0" w:firstLineChars="0"/>
              <w:jc w:val="center"/>
              <w:rPr>
                <w:color w:val="0000FF"/>
                <w:sz w:val="21"/>
                <w:szCs w:val="21"/>
              </w:rPr>
            </w:pPr>
            <w:r>
              <w:rPr>
                <w:color w:val="0000FF"/>
                <w:sz w:val="21"/>
                <w:szCs w:val="21"/>
              </w:rPr>
              <w:t>小蓬草、</w:t>
            </w:r>
            <w:r>
              <w:rPr>
                <w:rFonts w:hint="eastAsia"/>
                <w:color w:val="0000FF"/>
                <w:sz w:val="21"/>
                <w:szCs w:val="21"/>
              </w:rPr>
              <w:t>石栎</w:t>
            </w:r>
            <w:r>
              <w:rPr>
                <w:color w:val="0000FF"/>
                <w:sz w:val="21"/>
                <w:szCs w:val="21"/>
              </w:rPr>
              <w:t>、五节芒、长萼鸡眼草、紫萼蝴蝶草、白茅</w:t>
            </w:r>
          </w:p>
        </w:tc>
        <w:tc>
          <w:tcPr>
            <w:tcW w:w="1343" w:type="dxa"/>
            <w:vAlign w:val="center"/>
          </w:tcPr>
          <w:p>
            <w:pPr>
              <w:ind w:firstLine="0" w:firstLineChars="0"/>
              <w:jc w:val="center"/>
              <w:rPr>
                <w:color w:val="0000FF"/>
                <w:sz w:val="21"/>
                <w:szCs w:val="21"/>
              </w:rPr>
            </w:pPr>
            <w:r>
              <w:rPr>
                <w:color w:val="0000FF"/>
                <w:sz w:val="21"/>
                <w:szCs w:val="21"/>
              </w:rPr>
              <w:t>白头鹎、灰树鹊</w:t>
            </w:r>
          </w:p>
          <w:p>
            <w:pPr>
              <w:ind w:firstLine="420"/>
              <w:jc w:val="center"/>
              <w:rPr>
                <w:color w:val="0000FF"/>
                <w:sz w:val="21"/>
                <w:szCs w:val="21"/>
              </w:rPr>
            </w:pPr>
          </w:p>
        </w:tc>
        <w:tc>
          <w:tcPr>
            <w:tcW w:w="4687" w:type="dxa"/>
            <w:vAlign w:val="center"/>
          </w:tcPr>
          <w:p>
            <w:pPr>
              <w:ind w:firstLine="0" w:firstLineChars="0"/>
              <w:jc w:val="center"/>
              <w:rPr>
                <w:color w:val="0000FF"/>
                <w:sz w:val="21"/>
                <w:szCs w:val="21"/>
              </w:rPr>
            </w:pPr>
            <w:r>
              <w:rPr>
                <w:color w:val="0000FF"/>
                <w:sz w:val="21"/>
                <w:szCs w:val="21"/>
              </w:rPr>
              <w:drawing>
                <wp:inline distT="0" distB="0" distL="114300" distR="114300">
                  <wp:extent cx="2837180" cy="2127250"/>
                  <wp:effectExtent l="0" t="0" r="1270" b="6350"/>
                  <wp:docPr id="20" name="图片 20" descr="fa104863860f4d516c80ff22a59e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a104863860f4d516c80ff22a59e2d2"/>
                          <pic:cNvPicPr>
                            <a:picLocks noChangeAspect="1"/>
                          </pic:cNvPicPr>
                        </pic:nvPicPr>
                        <pic:blipFill>
                          <a:blip r:embed="rId72"/>
                          <a:stretch>
                            <a:fillRect/>
                          </a:stretch>
                        </pic:blipFill>
                        <pic:spPr>
                          <a:xfrm>
                            <a:off x="0" y="0"/>
                            <a:ext cx="2837180" cy="21272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 w:type="dxa"/>
            <w:vAlign w:val="center"/>
          </w:tcPr>
          <w:p>
            <w:pPr>
              <w:ind w:firstLine="0" w:firstLineChars="0"/>
              <w:jc w:val="center"/>
              <w:rPr>
                <w:color w:val="0000FF"/>
                <w:sz w:val="21"/>
                <w:szCs w:val="21"/>
              </w:rPr>
            </w:pPr>
            <w:r>
              <w:rPr>
                <w:rFonts w:hint="eastAsia"/>
                <w:color w:val="0000FF"/>
                <w:sz w:val="21"/>
                <w:szCs w:val="21"/>
              </w:rPr>
              <w:t>3</w:t>
            </w:r>
          </w:p>
        </w:tc>
        <w:tc>
          <w:tcPr>
            <w:tcW w:w="1333" w:type="dxa"/>
            <w:vAlign w:val="center"/>
          </w:tcPr>
          <w:p>
            <w:pPr>
              <w:ind w:firstLine="0" w:firstLineChars="0"/>
              <w:jc w:val="center"/>
              <w:rPr>
                <w:color w:val="0000FF"/>
                <w:sz w:val="21"/>
                <w:szCs w:val="21"/>
              </w:rPr>
            </w:pPr>
            <w:r>
              <w:rPr>
                <w:rFonts w:hint="eastAsia"/>
                <w:color w:val="0000FF"/>
                <w:sz w:val="21"/>
                <w:szCs w:val="21"/>
              </w:rPr>
              <w:t>表土堆存</w:t>
            </w:r>
          </w:p>
        </w:tc>
        <w:tc>
          <w:tcPr>
            <w:tcW w:w="1267" w:type="dxa"/>
            <w:vAlign w:val="center"/>
          </w:tcPr>
          <w:p>
            <w:pPr>
              <w:ind w:firstLine="0" w:firstLineChars="0"/>
              <w:jc w:val="center"/>
              <w:rPr>
                <w:color w:val="0000FF"/>
                <w:sz w:val="21"/>
                <w:szCs w:val="21"/>
              </w:rPr>
            </w:pPr>
            <w:r>
              <w:rPr>
                <w:color w:val="0000FF"/>
                <w:sz w:val="21"/>
                <w:szCs w:val="21"/>
              </w:rPr>
              <w:t>小蓬草、盐麸木、五节芒、博落回、小二仙草、竹叶草</w:t>
            </w:r>
          </w:p>
          <w:p>
            <w:pPr>
              <w:ind w:firstLine="420"/>
              <w:jc w:val="center"/>
              <w:rPr>
                <w:color w:val="0000FF"/>
                <w:sz w:val="21"/>
                <w:szCs w:val="21"/>
              </w:rPr>
            </w:pPr>
          </w:p>
        </w:tc>
        <w:tc>
          <w:tcPr>
            <w:tcW w:w="1343" w:type="dxa"/>
            <w:vAlign w:val="center"/>
          </w:tcPr>
          <w:p>
            <w:pPr>
              <w:ind w:firstLine="0" w:firstLineChars="0"/>
              <w:jc w:val="center"/>
              <w:rPr>
                <w:color w:val="0000FF"/>
                <w:sz w:val="21"/>
                <w:szCs w:val="21"/>
              </w:rPr>
            </w:pPr>
            <w:r>
              <w:rPr>
                <w:color w:val="0000FF"/>
                <w:sz w:val="21"/>
                <w:szCs w:val="21"/>
              </w:rPr>
              <w:t>雀嘴鹎、白头鹎</w:t>
            </w:r>
          </w:p>
        </w:tc>
        <w:tc>
          <w:tcPr>
            <w:tcW w:w="4687" w:type="dxa"/>
            <w:vAlign w:val="center"/>
          </w:tcPr>
          <w:p>
            <w:pPr>
              <w:widowControl/>
              <w:ind w:firstLine="0" w:firstLineChars="0"/>
              <w:jc w:val="center"/>
              <w:rPr>
                <w:color w:val="0000FF"/>
                <w:sz w:val="21"/>
                <w:szCs w:val="21"/>
              </w:rPr>
            </w:pPr>
            <w:r>
              <w:rPr>
                <w:color w:val="0000FF"/>
                <w:sz w:val="21"/>
                <w:szCs w:val="21"/>
              </w:rPr>
              <w:drawing>
                <wp:inline distT="0" distB="0" distL="114300" distR="114300">
                  <wp:extent cx="2848610" cy="2136140"/>
                  <wp:effectExtent l="0" t="0" r="8890" b="16510"/>
                  <wp:docPr id="107" name="图片 107" descr="3769c6393d2b6bbd0f5b51781415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769c6393d2b6bbd0f5b51781415a22"/>
                          <pic:cNvPicPr>
                            <a:picLocks noChangeAspect="1"/>
                          </pic:cNvPicPr>
                        </pic:nvPicPr>
                        <pic:blipFill>
                          <a:blip r:embed="rId73"/>
                          <a:stretch>
                            <a:fillRect/>
                          </a:stretch>
                        </pic:blipFill>
                        <pic:spPr>
                          <a:xfrm>
                            <a:off x="0" y="0"/>
                            <a:ext cx="2848610" cy="2136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0" w:type="dxa"/>
            <w:vAlign w:val="center"/>
          </w:tcPr>
          <w:p>
            <w:pPr>
              <w:ind w:firstLine="0" w:firstLineChars="0"/>
              <w:jc w:val="center"/>
              <w:rPr>
                <w:color w:val="0000FF"/>
                <w:sz w:val="21"/>
                <w:szCs w:val="21"/>
              </w:rPr>
            </w:pPr>
            <w:r>
              <w:rPr>
                <w:rFonts w:hint="eastAsia"/>
                <w:color w:val="0000FF"/>
                <w:sz w:val="21"/>
                <w:szCs w:val="21"/>
              </w:rPr>
              <w:t>4</w:t>
            </w:r>
          </w:p>
        </w:tc>
        <w:tc>
          <w:tcPr>
            <w:tcW w:w="1333" w:type="dxa"/>
            <w:vAlign w:val="center"/>
          </w:tcPr>
          <w:p>
            <w:pPr>
              <w:ind w:firstLine="0" w:firstLineChars="0"/>
              <w:jc w:val="center"/>
              <w:rPr>
                <w:color w:val="0000FF"/>
                <w:sz w:val="21"/>
                <w:szCs w:val="21"/>
              </w:rPr>
            </w:pPr>
            <w:r>
              <w:rPr>
                <w:rFonts w:hint="eastAsia"/>
                <w:color w:val="0000FF"/>
                <w:sz w:val="21"/>
                <w:szCs w:val="21"/>
              </w:rPr>
              <w:t>取土场</w:t>
            </w:r>
          </w:p>
        </w:tc>
        <w:tc>
          <w:tcPr>
            <w:tcW w:w="1267" w:type="dxa"/>
            <w:vAlign w:val="center"/>
          </w:tcPr>
          <w:p>
            <w:pPr>
              <w:ind w:firstLine="0" w:firstLineChars="0"/>
              <w:jc w:val="center"/>
              <w:rPr>
                <w:color w:val="0000FF"/>
                <w:sz w:val="21"/>
                <w:szCs w:val="21"/>
              </w:rPr>
            </w:pPr>
            <w:r>
              <w:rPr>
                <w:color w:val="0000FF"/>
                <w:sz w:val="21"/>
                <w:szCs w:val="21"/>
              </w:rPr>
              <w:t>毛竹、枇杷叶紫珠、楤木、小蓬草、灯芯草、五节芒</w:t>
            </w:r>
          </w:p>
          <w:p>
            <w:pPr>
              <w:ind w:firstLine="420"/>
              <w:jc w:val="center"/>
              <w:rPr>
                <w:color w:val="0000FF"/>
                <w:sz w:val="21"/>
                <w:szCs w:val="21"/>
              </w:rPr>
            </w:pPr>
          </w:p>
        </w:tc>
        <w:tc>
          <w:tcPr>
            <w:tcW w:w="1343" w:type="dxa"/>
            <w:vAlign w:val="center"/>
          </w:tcPr>
          <w:p>
            <w:pPr>
              <w:ind w:firstLine="0" w:firstLineChars="0"/>
              <w:jc w:val="center"/>
              <w:rPr>
                <w:color w:val="0000FF"/>
                <w:sz w:val="21"/>
                <w:szCs w:val="21"/>
              </w:rPr>
            </w:pPr>
            <w:r>
              <w:rPr>
                <w:color w:val="0000FF"/>
                <w:sz w:val="21"/>
                <w:szCs w:val="21"/>
              </w:rPr>
              <w:t>沼蛙、日本林蛙、古氏草蜥、灰眶雀鹛</w:t>
            </w:r>
          </w:p>
          <w:p>
            <w:pPr>
              <w:ind w:firstLine="420"/>
              <w:jc w:val="center"/>
              <w:rPr>
                <w:color w:val="0000FF"/>
                <w:sz w:val="21"/>
                <w:szCs w:val="21"/>
              </w:rPr>
            </w:pPr>
          </w:p>
        </w:tc>
        <w:tc>
          <w:tcPr>
            <w:tcW w:w="4687" w:type="dxa"/>
            <w:vAlign w:val="center"/>
          </w:tcPr>
          <w:p>
            <w:pPr>
              <w:widowControl/>
              <w:ind w:firstLine="420"/>
              <w:jc w:val="center"/>
              <w:rPr>
                <w:color w:val="0000FF"/>
                <w:sz w:val="21"/>
                <w:szCs w:val="21"/>
              </w:rPr>
            </w:pPr>
            <w:r>
              <w:rPr>
                <w:rFonts w:ascii="宋体" w:hAnsi="宋体" w:cs="宋体"/>
                <w:color w:val="0000FF"/>
                <w:kern w:val="0"/>
                <w:sz w:val="21"/>
                <w:szCs w:val="21"/>
                <w:lang w:bidi="ar"/>
              </w:rPr>
              <w:drawing>
                <wp:inline distT="0" distB="0" distL="114300" distR="114300">
                  <wp:extent cx="2923540" cy="2239010"/>
                  <wp:effectExtent l="0" t="0" r="10160" b="8890"/>
                  <wp:docPr id="106"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 descr="IMG_256"/>
                          <pic:cNvPicPr>
                            <a:picLocks noChangeAspect="1"/>
                          </pic:cNvPicPr>
                        </pic:nvPicPr>
                        <pic:blipFill>
                          <a:blip r:embed="rId74"/>
                          <a:srcRect r="10878"/>
                          <a:stretch>
                            <a:fillRect/>
                          </a:stretch>
                        </pic:blipFill>
                        <pic:spPr>
                          <a:xfrm>
                            <a:off x="0" y="0"/>
                            <a:ext cx="2923540" cy="2239010"/>
                          </a:xfrm>
                          <a:prstGeom prst="rect">
                            <a:avLst/>
                          </a:prstGeom>
                          <a:noFill/>
                          <a:ln w="9525">
                            <a:noFill/>
                          </a:ln>
                        </pic:spPr>
                      </pic:pic>
                    </a:graphicData>
                  </a:graphic>
                </wp:inline>
              </w:drawing>
            </w:r>
          </w:p>
          <w:p>
            <w:pPr>
              <w:tabs>
                <w:tab w:val="left" w:pos="1300"/>
              </w:tabs>
              <w:ind w:firstLine="420"/>
              <w:jc w:val="center"/>
              <w:rPr>
                <w:color w:val="0000FF"/>
                <w:sz w:val="21"/>
                <w:szCs w:val="21"/>
              </w:rPr>
            </w:pPr>
          </w:p>
        </w:tc>
      </w:tr>
    </w:tbl>
    <w:p>
      <w:pPr>
        <w:pStyle w:val="2"/>
        <w:spacing w:after="0"/>
        <w:ind w:left="0" w:leftChars="0" w:firstLine="480"/>
      </w:pPr>
    </w:p>
    <w:p>
      <w:pPr>
        <w:pStyle w:val="2"/>
        <w:ind w:left="480" w:firstLine="480"/>
      </w:pPr>
    </w:p>
    <w:p>
      <w:pPr>
        <w:adjustRightInd w:val="0"/>
        <w:ind w:firstLine="472"/>
        <w:rPr>
          <w:spacing w:val="-2"/>
        </w:rPr>
      </w:pPr>
    </w:p>
    <w:p>
      <w:pPr>
        <w:adjustRightInd w:val="0"/>
        <w:ind w:firstLine="472"/>
        <w:rPr>
          <w:spacing w:val="-2"/>
        </w:rPr>
      </w:pPr>
    </w:p>
    <w:p>
      <w:pPr>
        <w:ind w:firstLine="199" w:firstLineChars="83"/>
        <w:sectPr>
          <w:type w:val="continuous"/>
          <w:pgSz w:w="11906" w:h="16838"/>
          <w:pgMar w:top="1814" w:right="1134" w:bottom="1701" w:left="1418" w:header="1077" w:footer="992" w:gutter="0"/>
          <w:cols w:space="720" w:num="1"/>
          <w:docGrid w:linePitch="326" w:charSpace="0"/>
        </w:sectPr>
      </w:pPr>
    </w:p>
    <w:bookmarkEnd w:id="794"/>
    <w:bookmarkEnd w:id="795"/>
    <w:bookmarkEnd w:id="796"/>
    <w:p>
      <w:pPr>
        <w:pStyle w:val="5"/>
        <w:numPr>
          <w:ilvl w:val="0"/>
          <w:numId w:val="0"/>
        </w:numPr>
        <w:ind w:left="1080" w:hanging="1080"/>
        <w:rPr>
          <w:rFonts w:ascii="Times New Roman"/>
        </w:rPr>
      </w:pPr>
      <w:bookmarkStart w:id="797" w:name="_Toc534895284"/>
      <w:bookmarkStart w:id="798" w:name="_Toc529279066"/>
      <w:bookmarkStart w:id="799" w:name="_Toc3903289"/>
      <w:bookmarkStart w:id="800" w:name="_Toc534386308"/>
      <w:bookmarkStart w:id="801" w:name="_Toc534807067"/>
      <w:bookmarkStart w:id="802" w:name="_Toc536265152"/>
      <w:bookmarkStart w:id="803" w:name="_Toc334643181"/>
      <w:bookmarkStart w:id="804" w:name="_Toc17786"/>
      <w:r>
        <w:rPr>
          <w:rFonts w:ascii="Times New Roman"/>
        </w:rPr>
        <w:t>第五章 环境影响预测与评价</w:t>
      </w:r>
      <w:bookmarkEnd w:id="797"/>
      <w:bookmarkEnd w:id="798"/>
      <w:bookmarkEnd w:id="799"/>
      <w:bookmarkEnd w:id="800"/>
      <w:bookmarkEnd w:id="801"/>
      <w:bookmarkEnd w:id="802"/>
      <w:bookmarkEnd w:id="803"/>
      <w:bookmarkEnd w:id="804"/>
    </w:p>
    <w:p>
      <w:pPr>
        <w:pStyle w:val="6"/>
        <w:spacing w:beforeLines="50" w:afterLines="50"/>
        <w:rPr>
          <w:szCs w:val="28"/>
        </w:rPr>
      </w:pPr>
      <w:bookmarkStart w:id="805" w:name="_Toc24243"/>
      <w:bookmarkStart w:id="806" w:name="_Toc529279068"/>
      <w:bookmarkStart w:id="807" w:name="_Toc534807069"/>
      <w:bookmarkStart w:id="808" w:name="_Toc228986799"/>
      <w:bookmarkStart w:id="809" w:name="_Toc3903291"/>
      <w:bookmarkStart w:id="810" w:name="_Toc534895286"/>
      <w:bookmarkStart w:id="811" w:name="_Toc534386310"/>
      <w:bookmarkStart w:id="812" w:name="_Toc536265154"/>
      <w:bookmarkStart w:id="813" w:name="_Toc281507054"/>
      <w:bookmarkStart w:id="814" w:name="_Toc234833956"/>
      <w:bookmarkStart w:id="815" w:name="_Toc264530761"/>
      <w:bookmarkStart w:id="816" w:name="_Toc264530760"/>
      <w:r>
        <w:rPr>
          <w:szCs w:val="28"/>
        </w:rPr>
        <w:t>5.1</w:t>
      </w:r>
      <w:r>
        <w:rPr>
          <w:rFonts w:hint="eastAsia"/>
          <w:szCs w:val="28"/>
        </w:rPr>
        <w:t>水资源配置及水资源利用的影响</w:t>
      </w:r>
      <w:bookmarkEnd w:id="805"/>
    </w:p>
    <w:p>
      <w:pPr>
        <w:pStyle w:val="835"/>
        <w:spacing w:before="0" w:line="360" w:lineRule="auto"/>
      </w:pPr>
      <w:r>
        <w:t>5.</w:t>
      </w:r>
      <w:r>
        <w:rPr>
          <w:rFonts w:hint="eastAsia"/>
        </w:rPr>
        <w:t>1</w:t>
      </w:r>
      <w:r>
        <w:t>.1</w:t>
      </w:r>
      <w:r>
        <w:rPr>
          <w:rFonts w:hint="eastAsia"/>
        </w:rPr>
        <w:t>生态流量的确定</w:t>
      </w:r>
    </w:p>
    <w:p>
      <w:pPr>
        <w:autoSpaceDE w:val="0"/>
        <w:autoSpaceDN w:val="0"/>
        <w:adjustRightInd w:val="0"/>
        <w:ind w:firstLine="480"/>
        <w:rPr>
          <w:color w:val="0000FF"/>
          <w:szCs w:val="24"/>
        </w:rPr>
      </w:pPr>
      <w:r>
        <w:rPr>
          <w:rFonts w:hint="eastAsia"/>
          <w:color w:val="0000FF"/>
          <w:szCs w:val="24"/>
        </w:rPr>
        <w:t>根据本工程闸坝开启运行方案，结合上下游水电站大坝运行规律，上下游坝及本项目每年丰水期后期开始蓄水，三个大坝均在同时期开始蓄水，每年蓄水初期因大坝拦截，河道下泄流量将相应减少，为保护下游河道水生态环境，维持水生态系统正常运转，必须下泄一定的生态基流。</w:t>
      </w:r>
    </w:p>
    <w:p>
      <w:pPr>
        <w:autoSpaceDE w:val="0"/>
        <w:autoSpaceDN w:val="0"/>
        <w:adjustRightInd w:val="0"/>
        <w:ind w:firstLine="480"/>
        <w:rPr>
          <w:szCs w:val="24"/>
        </w:rPr>
      </w:pPr>
      <w:r>
        <w:rPr>
          <w:rFonts w:hint="eastAsia"/>
          <w:szCs w:val="24"/>
        </w:rPr>
        <w:t>(1)生态流量确定的原则</w:t>
      </w:r>
    </w:p>
    <w:p>
      <w:pPr>
        <w:autoSpaceDE w:val="0"/>
        <w:autoSpaceDN w:val="0"/>
        <w:adjustRightInd w:val="0"/>
        <w:ind w:firstLine="480"/>
        <w:rPr>
          <w:szCs w:val="24"/>
        </w:rPr>
      </w:pPr>
      <w:r>
        <w:rPr>
          <w:rFonts w:hint="eastAsia"/>
          <w:szCs w:val="24"/>
        </w:rPr>
        <w:t>下放生态流量的原则是兼顾河段的生态效益及工程的抬水效果，在尽量减缓下游河段的生态损失条件下，下放较小的生态流量而获得较大的生态效益。</w:t>
      </w:r>
    </w:p>
    <w:p>
      <w:pPr>
        <w:autoSpaceDE w:val="0"/>
        <w:autoSpaceDN w:val="0"/>
        <w:adjustRightInd w:val="0"/>
        <w:ind w:firstLine="480"/>
        <w:rPr>
          <w:kern w:val="0"/>
          <w:szCs w:val="24"/>
        </w:rPr>
      </w:pPr>
      <w:r>
        <w:rPr>
          <w:szCs w:val="24"/>
        </w:rPr>
        <w:t>(2)</w:t>
      </w:r>
      <w:r>
        <w:rPr>
          <w:rFonts w:hAnsi="宋体"/>
          <w:kern w:val="0"/>
          <w:szCs w:val="24"/>
        </w:rPr>
        <w:t>下泄流量需求分析</w:t>
      </w:r>
    </w:p>
    <w:p>
      <w:pPr>
        <w:autoSpaceDE w:val="0"/>
        <w:autoSpaceDN w:val="0"/>
        <w:adjustRightInd w:val="0"/>
        <w:ind w:firstLine="480"/>
        <w:rPr>
          <w:kern w:val="0"/>
          <w:szCs w:val="24"/>
        </w:rPr>
      </w:pPr>
      <w:r>
        <w:rPr>
          <w:rFonts w:hAnsi="宋体"/>
          <w:kern w:val="0"/>
          <w:szCs w:val="24"/>
        </w:rPr>
        <w:t>根据</w:t>
      </w:r>
      <w:r>
        <w:rPr>
          <w:rFonts w:hint="eastAsia" w:hAnsi="宋体"/>
          <w:kern w:val="0"/>
          <w:szCs w:val="24"/>
        </w:rPr>
        <w:t>毛家渡</w:t>
      </w:r>
      <w:r>
        <w:rPr>
          <w:rFonts w:hAnsi="宋体"/>
          <w:kern w:val="0"/>
          <w:szCs w:val="24"/>
        </w:rPr>
        <w:t>抬水工程坝址下游的环境现状资料收集和实地调查，了解坝址下游河段的生活用水、生产用水、污染稀释用水、环境用水和景观用水供应需求。</w:t>
      </w:r>
    </w:p>
    <w:p>
      <w:pPr>
        <w:autoSpaceDE w:val="0"/>
        <w:autoSpaceDN w:val="0"/>
        <w:adjustRightInd w:val="0"/>
        <w:ind w:firstLine="480"/>
        <w:rPr>
          <w:kern w:val="0"/>
          <w:szCs w:val="24"/>
        </w:rPr>
      </w:pPr>
      <w:r>
        <w:rPr>
          <w:kern w:val="0"/>
          <w:szCs w:val="24"/>
        </w:rPr>
        <w:fldChar w:fldCharType="begin"/>
      </w:r>
      <w:r>
        <w:rPr>
          <w:kern w:val="0"/>
          <w:szCs w:val="24"/>
        </w:rPr>
        <w:instrText xml:space="preserve"> = 1 \* GB3 </w:instrText>
      </w:r>
      <w:r>
        <w:rPr>
          <w:kern w:val="0"/>
          <w:szCs w:val="24"/>
        </w:rPr>
        <w:fldChar w:fldCharType="separate"/>
      </w:r>
      <w:r>
        <w:rPr>
          <w:rFonts w:hAnsi="宋体"/>
          <w:kern w:val="0"/>
          <w:szCs w:val="24"/>
        </w:rPr>
        <w:t>①</w:t>
      </w:r>
      <w:r>
        <w:rPr>
          <w:kern w:val="0"/>
          <w:szCs w:val="24"/>
        </w:rPr>
        <w:fldChar w:fldCharType="end"/>
      </w:r>
      <w:r>
        <w:rPr>
          <w:rFonts w:hAnsi="宋体"/>
          <w:kern w:val="0"/>
          <w:szCs w:val="24"/>
        </w:rPr>
        <w:t>生活用水</w:t>
      </w:r>
    </w:p>
    <w:p>
      <w:pPr>
        <w:autoSpaceDE w:val="0"/>
        <w:autoSpaceDN w:val="0"/>
        <w:adjustRightInd w:val="0"/>
        <w:ind w:firstLine="480"/>
        <w:rPr>
          <w:kern w:val="0"/>
          <w:szCs w:val="24"/>
        </w:rPr>
      </w:pPr>
      <w:r>
        <w:rPr>
          <w:rFonts w:hAnsi="宋体"/>
          <w:kern w:val="0"/>
          <w:szCs w:val="24"/>
        </w:rPr>
        <w:t>根据调查，坝址下游</w:t>
      </w:r>
      <w:r>
        <w:rPr>
          <w:rFonts w:hint="eastAsia"/>
          <w:kern w:val="0"/>
          <w:szCs w:val="24"/>
        </w:rPr>
        <w:t>13.3</w:t>
      </w:r>
      <w:r>
        <w:rPr>
          <w:kern w:val="0"/>
          <w:szCs w:val="24"/>
        </w:rPr>
        <w:t>km</w:t>
      </w:r>
      <w:r>
        <w:rPr>
          <w:rFonts w:hint="eastAsia"/>
          <w:kern w:val="0"/>
          <w:szCs w:val="24"/>
        </w:rPr>
        <w:t>岸边</w:t>
      </w:r>
      <w:r>
        <w:rPr>
          <w:rFonts w:hAnsi="宋体"/>
          <w:kern w:val="0"/>
          <w:szCs w:val="24"/>
        </w:rPr>
        <w:t>处分布了</w:t>
      </w:r>
      <w:r>
        <w:rPr>
          <w:rFonts w:hint="eastAsia" w:hAnsi="宋体"/>
          <w:szCs w:val="24"/>
        </w:rPr>
        <w:t>上高</w:t>
      </w:r>
      <w:r>
        <w:rPr>
          <w:rFonts w:hAnsi="宋体"/>
          <w:szCs w:val="24"/>
        </w:rPr>
        <w:t>县</w:t>
      </w:r>
      <w:r>
        <w:rPr>
          <w:rFonts w:hint="eastAsia" w:hAnsi="宋体"/>
          <w:szCs w:val="24"/>
        </w:rPr>
        <w:t>新界</w:t>
      </w:r>
      <w:r>
        <w:rPr>
          <w:rFonts w:hAnsi="宋体"/>
          <w:szCs w:val="24"/>
        </w:rPr>
        <w:t>镇</w:t>
      </w:r>
      <w:r>
        <w:rPr>
          <w:rFonts w:hint="eastAsia" w:hAnsi="宋体"/>
          <w:szCs w:val="24"/>
        </w:rPr>
        <w:t>供水工程水源</w:t>
      </w:r>
      <w:r>
        <w:rPr>
          <w:rFonts w:hAnsi="宋体"/>
          <w:szCs w:val="24"/>
        </w:rPr>
        <w:t>，</w:t>
      </w:r>
      <w:r>
        <w:rPr>
          <w:rFonts w:hint="eastAsia" w:hAnsi="宋体"/>
          <w:szCs w:val="24"/>
        </w:rPr>
        <w:t>位于新界埠集镇周边坎上村，水井地点坐标为东经 115</w:t>
      </w:r>
      <w:r>
        <w:rPr>
          <w:rFonts w:hint="eastAsia" w:ascii="微软雅黑" w:hAnsi="微软雅黑" w:eastAsia="微软雅黑" w:cs="微软雅黑"/>
          <w:szCs w:val="24"/>
        </w:rPr>
        <w:t>°</w:t>
      </w:r>
      <w:r>
        <w:rPr>
          <w:rFonts w:hint="eastAsia" w:hAnsi="宋体"/>
          <w:szCs w:val="24"/>
        </w:rPr>
        <w:t>3'41.50"，北纬 28</w:t>
      </w:r>
      <w:r>
        <w:rPr>
          <w:rFonts w:hint="eastAsia" w:ascii="微软雅黑" w:hAnsi="微软雅黑" w:eastAsia="微软雅黑" w:cs="微软雅黑"/>
          <w:szCs w:val="24"/>
        </w:rPr>
        <w:t>°</w:t>
      </w:r>
      <w:r>
        <w:rPr>
          <w:rFonts w:hint="eastAsia" w:hAnsi="宋体"/>
          <w:szCs w:val="24"/>
        </w:rPr>
        <w:t>13'46.80"。以取地下水为水源</w:t>
      </w:r>
      <w:r>
        <w:rPr>
          <w:rFonts w:hAnsi="宋体"/>
          <w:kern w:val="0"/>
          <w:szCs w:val="24"/>
        </w:rPr>
        <w:t>，因此，坝址下游</w:t>
      </w:r>
      <w:r>
        <w:rPr>
          <w:rFonts w:hint="eastAsia" w:hAnsi="宋体"/>
          <w:kern w:val="0"/>
          <w:szCs w:val="24"/>
        </w:rPr>
        <w:t>无需考虑</w:t>
      </w:r>
      <w:r>
        <w:rPr>
          <w:rFonts w:hAnsi="宋体"/>
          <w:kern w:val="0"/>
          <w:szCs w:val="24"/>
        </w:rPr>
        <w:t>生活用水</w:t>
      </w:r>
      <w:r>
        <w:rPr>
          <w:rFonts w:hint="eastAsia" w:hAnsi="宋体"/>
          <w:kern w:val="0"/>
          <w:szCs w:val="24"/>
        </w:rPr>
        <w:t>要求</w:t>
      </w:r>
      <w:r>
        <w:rPr>
          <w:rFonts w:hAnsi="宋体"/>
          <w:kern w:val="0"/>
          <w:szCs w:val="24"/>
        </w:rPr>
        <w:t>。</w:t>
      </w:r>
    </w:p>
    <w:p>
      <w:pPr>
        <w:autoSpaceDE w:val="0"/>
        <w:autoSpaceDN w:val="0"/>
        <w:adjustRightInd w:val="0"/>
        <w:ind w:firstLine="480"/>
        <w:rPr>
          <w:kern w:val="0"/>
          <w:szCs w:val="24"/>
        </w:rPr>
      </w:pPr>
      <w:r>
        <w:rPr>
          <w:kern w:val="0"/>
          <w:szCs w:val="24"/>
        </w:rPr>
        <w:fldChar w:fldCharType="begin"/>
      </w:r>
      <w:r>
        <w:rPr>
          <w:kern w:val="0"/>
          <w:szCs w:val="24"/>
        </w:rPr>
        <w:instrText xml:space="preserve"> = 2 \* GB3 </w:instrText>
      </w:r>
      <w:r>
        <w:rPr>
          <w:kern w:val="0"/>
          <w:szCs w:val="24"/>
        </w:rPr>
        <w:fldChar w:fldCharType="separate"/>
      </w:r>
      <w:r>
        <w:rPr>
          <w:rFonts w:ascii="宋体" w:hAnsi="宋体"/>
          <w:kern w:val="0"/>
          <w:szCs w:val="24"/>
        </w:rPr>
        <w:t>②</w:t>
      </w:r>
      <w:r>
        <w:rPr>
          <w:kern w:val="0"/>
          <w:szCs w:val="24"/>
        </w:rPr>
        <w:fldChar w:fldCharType="end"/>
      </w:r>
      <w:r>
        <w:rPr>
          <w:rFonts w:hAnsi="宋体"/>
          <w:kern w:val="0"/>
          <w:szCs w:val="24"/>
        </w:rPr>
        <w:t>生产用水</w:t>
      </w:r>
    </w:p>
    <w:p>
      <w:pPr>
        <w:autoSpaceDE w:val="0"/>
        <w:autoSpaceDN w:val="0"/>
        <w:adjustRightInd w:val="0"/>
        <w:ind w:firstLine="480"/>
        <w:jc w:val="left"/>
        <w:rPr>
          <w:kern w:val="0"/>
          <w:szCs w:val="24"/>
        </w:rPr>
      </w:pPr>
      <w:r>
        <w:rPr>
          <w:rFonts w:hAnsi="宋体"/>
          <w:kern w:val="0"/>
          <w:szCs w:val="24"/>
        </w:rPr>
        <w:t>根据调查，坝址下游河段没有工业企业，不存在工矿企业生产、生活用水需求。因此下泄流量不再考虑生产用水。坝址下游分布了少量耕地，耕地灌溉面积为</w:t>
      </w:r>
      <w:r>
        <w:rPr>
          <w:rFonts w:hint="eastAsia"/>
          <w:kern w:val="0"/>
          <w:szCs w:val="24"/>
        </w:rPr>
        <w:t>1480</w:t>
      </w:r>
      <w:r>
        <w:rPr>
          <w:rFonts w:hAnsi="宋体"/>
          <w:kern w:val="0"/>
          <w:szCs w:val="24"/>
        </w:rPr>
        <w:t>亩，灌溉供水量约为</w:t>
      </w:r>
      <w:r>
        <w:rPr>
          <w:rFonts w:hint="eastAsia"/>
          <w:kern w:val="0"/>
          <w:szCs w:val="24"/>
        </w:rPr>
        <w:t>64</w:t>
      </w:r>
      <w:r>
        <w:rPr>
          <w:rFonts w:hAnsi="宋体"/>
          <w:kern w:val="0"/>
          <w:szCs w:val="24"/>
        </w:rPr>
        <w:t>万</w:t>
      </w:r>
      <w:r>
        <w:rPr>
          <w:kern w:val="0"/>
          <w:szCs w:val="24"/>
        </w:rPr>
        <w:t>m</w:t>
      </w:r>
      <w:r>
        <w:rPr>
          <w:kern w:val="0"/>
          <w:szCs w:val="24"/>
          <w:vertAlign w:val="superscript"/>
        </w:rPr>
        <w:t>3</w:t>
      </w:r>
      <w:r>
        <w:rPr>
          <w:kern w:val="0"/>
          <w:szCs w:val="24"/>
        </w:rPr>
        <w:t>/a</w:t>
      </w:r>
      <w:r>
        <w:rPr>
          <w:rFonts w:hAnsi="宋体"/>
          <w:szCs w:val="24"/>
        </w:rPr>
        <w:t>（</w:t>
      </w:r>
      <w:r>
        <w:rPr>
          <w:szCs w:val="24"/>
        </w:rPr>
        <w:t>0.02</w:t>
      </w:r>
      <w:r>
        <w:rPr>
          <w:rFonts w:hint="eastAsia"/>
          <w:szCs w:val="24"/>
        </w:rPr>
        <w:t>0</w:t>
      </w:r>
      <w:r>
        <w:rPr>
          <w:szCs w:val="24"/>
        </w:rPr>
        <w:t xml:space="preserve"> m</w:t>
      </w:r>
      <w:r>
        <w:rPr>
          <w:szCs w:val="24"/>
          <w:vertAlign w:val="superscript"/>
        </w:rPr>
        <w:t>3</w:t>
      </w:r>
      <w:r>
        <w:rPr>
          <w:szCs w:val="24"/>
        </w:rPr>
        <w:t>/s</w:t>
      </w:r>
      <w:r>
        <w:rPr>
          <w:rFonts w:hAnsi="宋体"/>
          <w:szCs w:val="24"/>
        </w:rPr>
        <w:t>）</w:t>
      </w:r>
      <w:r>
        <w:rPr>
          <w:rFonts w:hAnsi="宋体"/>
          <w:kern w:val="0"/>
          <w:szCs w:val="24"/>
        </w:rPr>
        <w:t>，因此下泄流量需要考虑过灌溉用水。</w:t>
      </w:r>
    </w:p>
    <w:p>
      <w:pPr>
        <w:autoSpaceDE w:val="0"/>
        <w:autoSpaceDN w:val="0"/>
        <w:adjustRightInd w:val="0"/>
        <w:ind w:firstLine="480"/>
        <w:rPr>
          <w:kern w:val="0"/>
          <w:szCs w:val="24"/>
        </w:rPr>
      </w:pPr>
      <w:r>
        <w:rPr>
          <w:kern w:val="0"/>
          <w:szCs w:val="24"/>
        </w:rPr>
        <w:fldChar w:fldCharType="begin"/>
      </w:r>
      <w:r>
        <w:rPr>
          <w:kern w:val="0"/>
          <w:szCs w:val="24"/>
        </w:rPr>
        <w:instrText xml:space="preserve"> = 3 \* GB3 </w:instrText>
      </w:r>
      <w:r>
        <w:rPr>
          <w:kern w:val="0"/>
          <w:szCs w:val="24"/>
        </w:rPr>
        <w:fldChar w:fldCharType="separate"/>
      </w:r>
      <w:r>
        <w:rPr>
          <w:rFonts w:hAnsi="宋体"/>
          <w:kern w:val="0"/>
          <w:szCs w:val="24"/>
        </w:rPr>
        <w:t>③</w:t>
      </w:r>
      <w:r>
        <w:rPr>
          <w:kern w:val="0"/>
          <w:szCs w:val="24"/>
        </w:rPr>
        <w:fldChar w:fldCharType="end"/>
      </w:r>
      <w:r>
        <w:rPr>
          <w:rFonts w:hAnsi="宋体"/>
          <w:kern w:val="0"/>
          <w:szCs w:val="24"/>
        </w:rPr>
        <w:t>景观用水</w:t>
      </w:r>
    </w:p>
    <w:p>
      <w:pPr>
        <w:autoSpaceDE w:val="0"/>
        <w:autoSpaceDN w:val="0"/>
        <w:adjustRightInd w:val="0"/>
        <w:ind w:firstLine="480"/>
        <w:rPr>
          <w:kern w:val="0"/>
          <w:szCs w:val="24"/>
        </w:rPr>
      </w:pPr>
      <w:r>
        <w:rPr>
          <w:rFonts w:hAnsi="宋体"/>
          <w:kern w:val="0"/>
          <w:szCs w:val="24"/>
        </w:rPr>
        <w:t>坝址下游河段无景观旅游资源分布，也没有利用</w:t>
      </w:r>
      <w:r>
        <w:rPr>
          <w:rFonts w:hint="eastAsia" w:hAnsi="宋体"/>
          <w:kern w:val="0"/>
          <w:szCs w:val="24"/>
        </w:rPr>
        <w:t>锦河</w:t>
      </w:r>
      <w:r>
        <w:rPr>
          <w:rFonts w:hAnsi="宋体"/>
          <w:kern w:val="0"/>
          <w:szCs w:val="24"/>
        </w:rPr>
        <w:t>干流水资源的水景，同时坝址下游也没有漂流或水上娱乐活动，因此，工程坝址下游无特殊景观用水需求。</w:t>
      </w:r>
    </w:p>
    <w:p>
      <w:pPr>
        <w:autoSpaceDE w:val="0"/>
        <w:autoSpaceDN w:val="0"/>
        <w:adjustRightInd w:val="0"/>
        <w:ind w:firstLine="480"/>
        <w:rPr>
          <w:kern w:val="0"/>
          <w:szCs w:val="24"/>
        </w:rPr>
      </w:pPr>
      <w:r>
        <w:rPr>
          <w:kern w:val="0"/>
          <w:szCs w:val="24"/>
        </w:rPr>
        <w:fldChar w:fldCharType="begin"/>
      </w:r>
      <w:r>
        <w:rPr>
          <w:kern w:val="0"/>
          <w:szCs w:val="24"/>
        </w:rPr>
        <w:instrText xml:space="preserve"> = 4 \* GB3 </w:instrText>
      </w:r>
      <w:r>
        <w:rPr>
          <w:kern w:val="0"/>
          <w:szCs w:val="24"/>
        </w:rPr>
        <w:fldChar w:fldCharType="separate"/>
      </w:r>
      <w:r>
        <w:rPr>
          <w:rFonts w:hAnsi="宋体"/>
          <w:kern w:val="0"/>
          <w:szCs w:val="24"/>
        </w:rPr>
        <w:t>④</w:t>
      </w:r>
      <w:r>
        <w:rPr>
          <w:kern w:val="0"/>
          <w:szCs w:val="24"/>
        </w:rPr>
        <w:fldChar w:fldCharType="end"/>
      </w:r>
      <w:r>
        <w:rPr>
          <w:rFonts w:hAnsi="宋体"/>
          <w:kern w:val="0"/>
          <w:szCs w:val="24"/>
        </w:rPr>
        <w:t>河道外植被需水量</w:t>
      </w:r>
    </w:p>
    <w:p>
      <w:pPr>
        <w:autoSpaceDE w:val="0"/>
        <w:autoSpaceDN w:val="0"/>
        <w:adjustRightInd w:val="0"/>
        <w:ind w:firstLine="480"/>
        <w:rPr>
          <w:kern w:val="0"/>
          <w:szCs w:val="24"/>
        </w:rPr>
      </w:pPr>
      <w:r>
        <w:rPr>
          <w:rFonts w:hint="eastAsia" w:hAnsi="宋体"/>
          <w:kern w:val="0"/>
          <w:szCs w:val="24"/>
        </w:rPr>
        <w:t>锦河</w:t>
      </w:r>
      <w:r>
        <w:rPr>
          <w:rFonts w:hAnsi="宋体"/>
          <w:kern w:val="0"/>
          <w:szCs w:val="24"/>
        </w:rPr>
        <w:t>为工程区地表水和地下水最低排泄基准面，地下水接受大气降水补给，向河床排泄，不存在河道补给山体坡面的情况。因此，河谷两岸的植被需水主要由大气降水补给和岸坡地下水补给，河道减水不会危及两岸植被的生存。</w:t>
      </w:r>
    </w:p>
    <w:p>
      <w:pPr>
        <w:autoSpaceDE w:val="0"/>
        <w:autoSpaceDN w:val="0"/>
        <w:adjustRightInd w:val="0"/>
        <w:ind w:firstLine="480"/>
        <w:rPr>
          <w:kern w:val="0"/>
          <w:szCs w:val="24"/>
        </w:rPr>
      </w:pPr>
      <w:r>
        <w:rPr>
          <w:kern w:val="0"/>
          <w:szCs w:val="24"/>
        </w:rPr>
        <w:fldChar w:fldCharType="begin"/>
      </w:r>
      <w:r>
        <w:rPr>
          <w:kern w:val="0"/>
          <w:szCs w:val="24"/>
        </w:rPr>
        <w:instrText xml:space="preserve"> = 5 \* GB3 </w:instrText>
      </w:r>
      <w:r>
        <w:rPr>
          <w:kern w:val="0"/>
          <w:szCs w:val="24"/>
        </w:rPr>
        <w:fldChar w:fldCharType="separate"/>
      </w:r>
      <w:r>
        <w:rPr>
          <w:rFonts w:hAnsi="宋体"/>
          <w:kern w:val="0"/>
          <w:szCs w:val="24"/>
        </w:rPr>
        <w:t>⑤</w:t>
      </w:r>
      <w:r>
        <w:rPr>
          <w:kern w:val="0"/>
          <w:szCs w:val="24"/>
        </w:rPr>
        <w:fldChar w:fldCharType="end"/>
      </w:r>
      <w:r>
        <w:rPr>
          <w:rFonts w:hAnsi="宋体"/>
          <w:kern w:val="0"/>
          <w:szCs w:val="24"/>
        </w:rPr>
        <w:t>水生生物系统需水</w:t>
      </w:r>
    </w:p>
    <w:p>
      <w:pPr>
        <w:autoSpaceDE w:val="0"/>
        <w:autoSpaceDN w:val="0"/>
        <w:adjustRightInd w:val="0"/>
        <w:ind w:firstLine="480"/>
        <w:rPr>
          <w:kern w:val="0"/>
          <w:szCs w:val="24"/>
        </w:rPr>
      </w:pPr>
      <w:r>
        <w:rPr>
          <w:rFonts w:hAnsi="宋体"/>
          <w:kern w:val="0"/>
          <w:szCs w:val="24"/>
        </w:rPr>
        <w:t>评价范围内无集中的产卵场分布和珍稀特有鱼类分布，要保证鱼类在该河段内正常的生存、产卵繁殖、休息，就必须保证一定的流量，因此，需考虑水生生态需水要求。</w:t>
      </w:r>
    </w:p>
    <w:p>
      <w:pPr>
        <w:autoSpaceDE w:val="0"/>
        <w:autoSpaceDN w:val="0"/>
        <w:adjustRightInd w:val="0"/>
        <w:ind w:firstLine="480"/>
        <w:rPr>
          <w:kern w:val="0"/>
          <w:szCs w:val="24"/>
        </w:rPr>
      </w:pPr>
      <w:r>
        <w:rPr>
          <w:kern w:val="0"/>
          <w:szCs w:val="24"/>
        </w:rPr>
        <w:fldChar w:fldCharType="begin"/>
      </w:r>
      <w:r>
        <w:rPr>
          <w:kern w:val="0"/>
          <w:szCs w:val="24"/>
        </w:rPr>
        <w:instrText xml:space="preserve"> = 6 \* GB3 </w:instrText>
      </w:r>
      <w:r>
        <w:rPr>
          <w:kern w:val="0"/>
          <w:szCs w:val="24"/>
        </w:rPr>
        <w:fldChar w:fldCharType="separate"/>
      </w:r>
      <w:r>
        <w:rPr>
          <w:rFonts w:hAnsi="宋体"/>
          <w:kern w:val="0"/>
          <w:szCs w:val="24"/>
        </w:rPr>
        <w:t>⑥</w:t>
      </w:r>
      <w:r>
        <w:rPr>
          <w:kern w:val="0"/>
          <w:szCs w:val="24"/>
        </w:rPr>
        <w:fldChar w:fldCharType="end"/>
      </w:r>
      <w:r>
        <w:rPr>
          <w:rFonts w:hAnsi="宋体"/>
          <w:kern w:val="0"/>
          <w:szCs w:val="24"/>
        </w:rPr>
        <w:t>维持河流水环境功能的环境稀释用水量</w:t>
      </w:r>
    </w:p>
    <w:p>
      <w:pPr>
        <w:autoSpaceDE w:val="0"/>
        <w:autoSpaceDN w:val="0"/>
        <w:adjustRightInd w:val="0"/>
        <w:ind w:firstLine="480"/>
        <w:rPr>
          <w:kern w:val="0"/>
        </w:rPr>
      </w:pPr>
      <w:r>
        <w:rPr>
          <w:rFonts w:hint="eastAsia" w:hAnsi="宋体"/>
          <w:kern w:val="0"/>
          <w:szCs w:val="24"/>
        </w:rPr>
        <w:t>毛家渡</w:t>
      </w:r>
      <w:r>
        <w:rPr>
          <w:rFonts w:hAnsi="宋体"/>
          <w:kern w:val="0"/>
          <w:szCs w:val="24"/>
        </w:rPr>
        <w:t>抬水工程坝址以下干流为Ⅲ类水域，坝址下游</w:t>
      </w:r>
      <w:r>
        <w:rPr>
          <w:rFonts w:hint="eastAsia" w:hAnsi="宋体"/>
          <w:kern w:val="0"/>
          <w:szCs w:val="24"/>
        </w:rPr>
        <w:t>1.7km处布置了</w:t>
      </w:r>
      <w:r>
        <w:rPr>
          <w:rFonts w:hint="eastAsia" w:hAnsi="宋体"/>
        </w:rPr>
        <w:t>上高</w:t>
      </w:r>
      <w:r>
        <w:rPr>
          <w:rFonts w:hAnsi="宋体"/>
        </w:rPr>
        <w:t>县城市污水处理厂</w:t>
      </w:r>
      <w:r>
        <w:rPr>
          <w:rFonts w:hint="eastAsia" w:hAnsi="宋体"/>
          <w:kern w:val="0"/>
          <w:szCs w:val="24"/>
        </w:rPr>
        <w:t>排放口，同时坝址下游</w:t>
      </w:r>
      <w:r>
        <w:rPr>
          <w:rFonts w:hint="eastAsia" w:ascii="宋体" w:cs="宋体"/>
          <w:kern w:val="0"/>
          <w:szCs w:val="24"/>
        </w:rPr>
        <w:t>两岸阶地上有分散居民及</w:t>
      </w:r>
      <w:r>
        <w:rPr>
          <w:rFonts w:hint="eastAsia" w:hAnsi="宋体"/>
          <w:kern w:val="0"/>
          <w:szCs w:val="24"/>
        </w:rPr>
        <w:t>少量农田。</w:t>
      </w:r>
      <w:r>
        <w:rPr>
          <w:rFonts w:hAnsi="宋体"/>
          <w:kern w:val="0"/>
          <w:szCs w:val="24"/>
        </w:rPr>
        <w:t>污染源主要为</w:t>
      </w:r>
      <w:r>
        <w:rPr>
          <w:rFonts w:hint="eastAsia" w:hAnsi="宋体"/>
          <w:kern w:val="0"/>
          <w:szCs w:val="24"/>
        </w:rPr>
        <w:t>城市污水处理厂排放的废水及</w:t>
      </w:r>
      <w:r>
        <w:rPr>
          <w:rFonts w:hAnsi="宋体"/>
          <w:kern w:val="0"/>
          <w:szCs w:val="24"/>
        </w:rPr>
        <w:t>两岸的面源污染，需考虑水体自净能力所需。</w:t>
      </w:r>
    </w:p>
    <w:p>
      <w:pPr>
        <w:autoSpaceDE w:val="0"/>
        <w:autoSpaceDN w:val="0"/>
        <w:adjustRightInd w:val="0"/>
        <w:ind w:firstLine="480"/>
        <w:rPr>
          <w:rFonts w:ascii="宋体" w:cs="宋体"/>
          <w:kern w:val="0"/>
          <w:szCs w:val="24"/>
        </w:rPr>
      </w:pPr>
      <w:r>
        <w:rPr>
          <w:rFonts w:hint="eastAsia"/>
          <w:szCs w:val="24"/>
        </w:rPr>
        <w:t>(3)</w:t>
      </w:r>
      <w:r>
        <w:rPr>
          <w:rFonts w:hint="eastAsia" w:ascii="宋体" w:cs="宋体"/>
          <w:kern w:val="0"/>
          <w:szCs w:val="24"/>
        </w:rPr>
        <w:t>生态流量的确定</w:t>
      </w:r>
    </w:p>
    <w:p>
      <w:pPr>
        <w:ind w:firstLine="480"/>
      </w:pPr>
      <w:r>
        <w:rPr>
          <w:rFonts w:hint="eastAsia"/>
        </w:rPr>
        <w:t>根据《水电水利建设项目河道生态用水、低温水和过鱼设施环境影响评价技术指南（试行）》推荐的维持水生生态系统稳定所需水量的计算方法，结合河流特征，采用水文学法中的</w:t>
      </w:r>
      <w:r>
        <w:t xml:space="preserve">Tennant </w:t>
      </w:r>
      <w:r>
        <w:rPr>
          <w:rFonts w:hint="eastAsia"/>
        </w:rPr>
        <w:t>法计算河道内生态用水量，即河道内最小生态流量按河道多年平均径流量的10%计算。坝址</w:t>
      </w:r>
      <w:r>
        <w:t>多年平均年径流量</w:t>
      </w:r>
      <w:r>
        <w:rPr>
          <w:rFonts w:hint="eastAsia"/>
        </w:rPr>
        <w:t>381900.96万</w:t>
      </w:r>
      <w:r>
        <w:t>m</w:t>
      </w:r>
      <w:r>
        <w:rPr>
          <w:vertAlign w:val="superscript"/>
        </w:rPr>
        <w:t>3</w:t>
      </w:r>
      <w:r>
        <w:rPr>
          <w:rFonts w:hint="eastAsia"/>
        </w:rPr>
        <w:t>（121.1</w:t>
      </w:r>
      <w:r>
        <w:t>m</w:t>
      </w:r>
      <w:r>
        <w:rPr>
          <w:vertAlign w:val="superscript"/>
        </w:rPr>
        <w:t>3</w:t>
      </w:r>
      <w:r>
        <w:t>/s</w:t>
      </w:r>
      <w:r>
        <w:rPr>
          <w:rFonts w:hint="eastAsia"/>
        </w:rPr>
        <w:t>），即坝址</w:t>
      </w:r>
      <w:r>
        <w:t>处</w:t>
      </w:r>
      <w:r>
        <w:rPr>
          <w:rFonts w:hint="eastAsia"/>
        </w:rPr>
        <w:t>河道内最小生态流量按河道多年平均径流量的10%计算得12.11</w:t>
      </w:r>
      <w:r>
        <w:t>m</w:t>
      </w:r>
      <w:r>
        <w:rPr>
          <w:vertAlign w:val="superscript"/>
        </w:rPr>
        <w:t>3</w:t>
      </w:r>
      <w:r>
        <w:t>/s</w:t>
      </w:r>
      <w:r>
        <w:rPr>
          <w:rFonts w:hint="eastAsia"/>
        </w:rPr>
        <w:t>。</w:t>
      </w:r>
    </w:p>
    <w:p>
      <w:pPr>
        <w:pStyle w:val="835"/>
        <w:spacing w:before="0" w:line="360" w:lineRule="auto"/>
      </w:pPr>
      <w:r>
        <w:t>5.</w:t>
      </w:r>
      <w:r>
        <w:rPr>
          <w:rFonts w:hint="eastAsia"/>
        </w:rPr>
        <w:t>1</w:t>
      </w:r>
      <w:r>
        <w:t>.</w:t>
      </w:r>
      <w:r>
        <w:rPr>
          <w:rFonts w:hint="eastAsia"/>
        </w:rPr>
        <w:t>2对水资源</w:t>
      </w:r>
      <w:r>
        <w:t>利用的</w:t>
      </w:r>
      <w:r>
        <w:rPr>
          <w:rFonts w:hint="eastAsia"/>
        </w:rPr>
        <w:t>影响</w:t>
      </w:r>
    </w:p>
    <w:p>
      <w:pPr>
        <w:pStyle w:val="1347"/>
        <w:rPr>
          <w:color w:val="auto"/>
          <w:lang w:val="zh-CN"/>
        </w:rPr>
      </w:pPr>
      <w:r>
        <w:rPr>
          <w:color w:val="auto"/>
        </w:rPr>
        <w:t>上高县毛家渡抬水工程的</w:t>
      </w:r>
      <w:r>
        <w:rPr>
          <w:color w:val="auto"/>
          <w:kern w:val="0"/>
        </w:rPr>
        <w:t>任务是</w:t>
      </w:r>
      <w:r>
        <w:rPr>
          <w:color w:val="auto"/>
        </w:rPr>
        <w:t>抬高毛家渡抬水坝上游县城城区锦河河段枯水位</w:t>
      </w:r>
      <w:r>
        <w:rPr>
          <w:color w:val="auto"/>
          <w:kern w:val="0"/>
        </w:rPr>
        <w:t>。毛家渡抬水工程在丰水期蓄水，蓄水完成后，上游来多少水就泄多少水，</w:t>
      </w:r>
      <w:r>
        <w:rPr>
          <w:color w:val="auto"/>
          <w:lang w:val="zh-CN"/>
        </w:rPr>
        <w:t>不会减少坝址下游河段的总水量，</w:t>
      </w:r>
      <w:r>
        <w:rPr>
          <w:color w:val="auto"/>
          <w:kern w:val="0"/>
        </w:rPr>
        <w:t>因此，工程建设对坝址下游河段水资源量减少的有限，不会造成严重影响。</w:t>
      </w:r>
    </w:p>
    <w:p>
      <w:pPr>
        <w:pStyle w:val="573"/>
        <w:spacing w:line="360" w:lineRule="auto"/>
        <w:ind w:firstLine="480" w:firstLineChars="200"/>
        <w:jc w:val="both"/>
        <w:rPr>
          <w:rFonts w:ascii="Times New Roman" w:cs="Times New Roman"/>
          <w:color w:val="auto"/>
        </w:rPr>
      </w:pPr>
      <w:r>
        <w:rPr>
          <w:rFonts w:ascii="Times New Roman" w:cs="Times New Roman"/>
          <w:color w:val="auto"/>
        </w:rPr>
        <w:t>抬水坝建成投入营运后，通过控制坝顶溢流高度控制下泄流量，当坝顶溢流0.07m，泄水流量达12.11m</w:t>
      </w:r>
      <w:r>
        <w:rPr>
          <w:rFonts w:ascii="Times New Roman" w:cs="Times New Roman"/>
          <w:color w:val="auto"/>
          <w:vertAlign w:val="superscript"/>
        </w:rPr>
        <w:t>3</w:t>
      </w:r>
      <w:r>
        <w:rPr>
          <w:rFonts w:ascii="Times New Roman" w:cs="Times New Roman"/>
          <w:color w:val="auto"/>
        </w:rPr>
        <w:t>/s。根据供需平衡分析，灌溉供水量约为64万m</w:t>
      </w:r>
      <w:r>
        <w:rPr>
          <w:rFonts w:ascii="Times New Roman" w:cs="Times New Roman"/>
          <w:color w:val="auto"/>
          <w:vertAlign w:val="superscript"/>
        </w:rPr>
        <w:t>3</w:t>
      </w:r>
      <w:r>
        <w:rPr>
          <w:rFonts w:ascii="Times New Roman" w:cs="Times New Roman"/>
          <w:color w:val="auto"/>
        </w:rPr>
        <w:t>/a（0.020 m</w:t>
      </w:r>
      <w:r>
        <w:rPr>
          <w:rFonts w:ascii="Times New Roman" w:cs="Times New Roman"/>
          <w:color w:val="auto"/>
          <w:vertAlign w:val="superscript"/>
        </w:rPr>
        <w:t>3</w:t>
      </w:r>
      <w:r>
        <w:rPr>
          <w:rFonts w:ascii="Times New Roman" w:cs="Times New Roman"/>
          <w:color w:val="auto"/>
        </w:rPr>
        <w:t>/s），需水量（0.056 m</w:t>
      </w:r>
      <w:r>
        <w:rPr>
          <w:rFonts w:ascii="Times New Roman" w:cs="Times New Roman"/>
          <w:color w:val="auto"/>
          <w:vertAlign w:val="superscript"/>
        </w:rPr>
        <w:t>3</w:t>
      </w:r>
      <w:r>
        <w:rPr>
          <w:rFonts w:ascii="Times New Roman" w:cs="Times New Roman"/>
          <w:color w:val="auto"/>
        </w:rPr>
        <w:t>/s）仅为泄水量的0.165%，因此坝顶溢流量能满足坝址下游水资源利用的要求。同时根据《水利水电建设项目水资源论证导则（试行）》（SL525-211）规定，生态需用水原则上按多年平均流量的10%-20%确定，同时根据项目设计资料，坝址多年平均年径流量381901万m</w:t>
      </w:r>
      <w:r>
        <w:rPr>
          <w:rFonts w:ascii="Times New Roman" w:cs="Times New Roman"/>
          <w:color w:val="auto"/>
          <w:vertAlign w:val="superscript"/>
        </w:rPr>
        <w:t>3</w:t>
      </w:r>
      <w:r>
        <w:rPr>
          <w:rFonts w:ascii="Times New Roman" w:cs="Times New Roman"/>
          <w:color w:val="auto"/>
        </w:rPr>
        <w:t>（121.1m</w:t>
      </w:r>
      <w:r>
        <w:rPr>
          <w:rFonts w:ascii="Times New Roman" w:cs="Times New Roman"/>
          <w:color w:val="auto"/>
          <w:vertAlign w:val="superscript"/>
        </w:rPr>
        <w:t>3</w:t>
      </w:r>
      <w:r>
        <w:rPr>
          <w:rFonts w:ascii="Times New Roman" w:cs="Times New Roman"/>
          <w:color w:val="auto"/>
        </w:rPr>
        <w:t>/s），则河道内生态需水量按多年平均流量的10%确定为12.11m</w:t>
      </w:r>
      <w:r>
        <w:rPr>
          <w:rFonts w:ascii="Times New Roman" w:cs="Times New Roman"/>
          <w:color w:val="auto"/>
          <w:vertAlign w:val="superscript"/>
        </w:rPr>
        <w:t>3</w:t>
      </w:r>
      <w:r>
        <w:rPr>
          <w:rFonts w:ascii="Times New Roman" w:cs="Times New Roman"/>
          <w:color w:val="auto"/>
        </w:rPr>
        <w:t>/s。因此坝顶溢流量12.11m</w:t>
      </w:r>
      <w:r>
        <w:rPr>
          <w:rFonts w:ascii="Times New Roman" w:cs="Times New Roman"/>
          <w:color w:val="auto"/>
          <w:vertAlign w:val="superscript"/>
        </w:rPr>
        <w:t>3</w:t>
      </w:r>
      <w:r>
        <w:rPr>
          <w:rFonts w:ascii="Times New Roman" w:cs="Times New Roman"/>
          <w:color w:val="auto"/>
        </w:rPr>
        <w:t>/s能满足坝址下游河道最小生态流量12.11m</w:t>
      </w:r>
      <w:r>
        <w:rPr>
          <w:rFonts w:ascii="Times New Roman" w:cs="Times New Roman"/>
          <w:color w:val="auto"/>
          <w:vertAlign w:val="superscript"/>
        </w:rPr>
        <w:t>3</w:t>
      </w:r>
      <w:r>
        <w:rPr>
          <w:rFonts w:ascii="Times New Roman" w:cs="Times New Roman"/>
          <w:color w:val="auto"/>
        </w:rPr>
        <w:t>/s)的需求。</w:t>
      </w:r>
    </w:p>
    <w:p>
      <w:pPr>
        <w:autoSpaceDE w:val="0"/>
        <w:autoSpaceDN w:val="0"/>
        <w:adjustRightInd w:val="0"/>
        <w:ind w:firstLine="480"/>
        <w:rPr>
          <w:kern w:val="0"/>
          <w:szCs w:val="24"/>
        </w:rPr>
      </w:pPr>
      <w:r>
        <w:t>根据本报告“5.3.2.2中 坝下减水段水质预测及分析”章节可知，当生态流量为12.11m</w:t>
      </w:r>
      <w:r>
        <w:rPr>
          <w:vertAlign w:val="superscript"/>
        </w:rPr>
        <w:t>3</w:t>
      </w:r>
      <w:r>
        <w:t>/s，</w:t>
      </w:r>
      <w:r>
        <w:rPr>
          <w:kern w:val="0"/>
          <w:szCs w:val="24"/>
        </w:rPr>
        <w:t>坝下减水段水体中COD、NH</w:t>
      </w:r>
      <w:r>
        <w:rPr>
          <w:kern w:val="0"/>
          <w:szCs w:val="24"/>
          <w:vertAlign w:val="subscript"/>
        </w:rPr>
        <w:t>3</w:t>
      </w:r>
      <w:r>
        <w:rPr>
          <w:kern w:val="0"/>
          <w:szCs w:val="24"/>
        </w:rPr>
        <w:t>-N和TP浓度略有增加，但水质依然满足Ⅲ类水质要求</w:t>
      </w:r>
      <w:r>
        <w:t>。同时坝址下游约</w:t>
      </w:r>
      <w:r>
        <w:rPr>
          <w:color w:val="0000FF"/>
        </w:rPr>
        <w:t>1.</w:t>
      </w:r>
      <w:r>
        <w:rPr>
          <w:rFonts w:hint="eastAsia"/>
          <w:color w:val="0000FF"/>
        </w:rPr>
        <w:t>9</w:t>
      </w:r>
      <w:r>
        <w:rPr>
          <w:color w:val="0000FF"/>
        </w:rPr>
        <w:t>km</w:t>
      </w:r>
      <w:r>
        <w:t>处有野鸡河支流汇入，加上野鸡河的来水量，</w:t>
      </w:r>
      <w:r>
        <w:rPr>
          <w:kern w:val="0"/>
          <w:szCs w:val="24"/>
        </w:rPr>
        <w:t>将对坝下河段流量有一定的补充作用。</w:t>
      </w:r>
    </w:p>
    <w:p>
      <w:pPr>
        <w:ind w:firstLine="480"/>
      </w:pPr>
      <w:r>
        <w:t>毛家渡抬水坝正常运用时，当坝顶溢流0.07m，泄水流量为12.11m</w:t>
      </w:r>
      <w:r>
        <w:rPr>
          <w:vertAlign w:val="superscript"/>
        </w:rPr>
        <w:t>3</w:t>
      </w:r>
      <w:r>
        <w:t>/s即可满足最小生态流量需求。在枯水期，为保证河道最小生态流量需求，可合理开启抬水工程闸门高度保持最小下泄量。</w:t>
      </w:r>
    </w:p>
    <w:p>
      <w:pPr>
        <w:autoSpaceDE w:val="0"/>
        <w:autoSpaceDN w:val="0"/>
        <w:adjustRightInd w:val="0"/>
        <w:ind w:firstLine="480"/>
      </w:pPr>
      <w:r>
        <w:rPr>
          <w:kern w:val="0"/>
          <w:szCs w:val="24"/>
        </w:rPr>
        <w:t>综上，</w:t>
      </w:r>
      <w:r>
        <w:t>本工程建设对坝址下游用水需要的影响很小。</w:t>
      </w:r>
    </w:p>
    <w:p>
      <w:pPr>
        <w:pStyle w:val="6"/>
        <w:spacing w:beforeLines="50" w:afterLines="50"/>
        <w:rPr>
          <w:szCs w:val="28"/>
        </w:rPr>
      </w:pPr>
      <w:bookmarkStart w:id="817" w:name="_Toc8606"/>
      <w:r>
        <w:rPr>
          <w:szCs w:val="28"/>
        </w:rPr>
        <w:t>5.2</w:t>
      </w:r>
      <w:r>
        <w:rPr>
          <w:rFonts w:hint="eastAsia"/>
          <w:szCs w:val="28"/>
        </w:rPr>
        <w:t>水文情势影响分析</w:t>
      </w:r>
      <w:bookmarkEnd w:id="817"/>
    </w:p>
    <w:p>
      <w:pPr>
        <w:pStyle w:val="835"/>
        <w:spacing w:before="0" w:line="360" w:lineRule="auto"/>
      </w:pPr>
      <w:r>
        <w:t>5.2.</w:t>
      </w:r>
      <w:r>
        <w:rPr>
          <w:rFonts w:hint="eastAsia"/>
        </w:rPr>
        <w:t>1施工期对水文情势影响分析</w:t>
      </w:r>
    </w:p>
    <w:p>
      <w:pPr>
        <w:ind w:firstLine="480"/>
        <w:rPr>
          <w:szCs w:val="24"/>
        </w:rPr>
      </w:pPr>
      <w:r>
        <w:rPr>
          <w:rFonts w:hint="eastAsia"/>
          <w:szCs w:val="24"/>
        </w:rPr>
        <w:t>(1)对水文</w:t>
      </w:r>
      <w:r>
        <w:rPr>
          <w:szCs w:val="24"/>
        </w:rPr>
        <w:t>情势</w:t>
      </w:r>
      <w:r>
        <w:rPr>
          <w:rFonts w:hint="eastAsia"/>
          <w:szCs w:val="24"/>
        </w:rPr>
        <w:t>的</w:t>
      </w:r>
      <w:r>
        <w:rPr>
          <w:szCs w:val="24"/>
        </w:rPr>
        <w:t>影响</w:t>
      </w:r>
    </w:p>
    <w:p>
      <w:pPr>
        <w:ind w:firstLine="480"/>
        <w:textAlignment w:val="baseline"/>
      </w:pPr>
      <w:r>
        <w:t>工程施工期水文情势影响主要体现在施工导流对河道水文情势的影响。</w:t>
      </w:r>
      <w:r>
        <w:rPr>
          <w:rFonts w:hint="eastAsia"/>
        </w:rPr>
        <w:t>各项目水下项目尽量安排在</w:t>
      </w:r>
      <w:r>
        <w:t>枯水位</w:t>
      </w:r>
      <w:r>
        <w:rPr>
          <w:rFonts w:hint="eastAsia"/>
        </w:rPr>
        <w:t>期</w:t>
      </w:r>
      <w:r>
        <w:t>施工，避开洪水位对施工的影响。</w:t>
      </w:r>
      <w:r>
        <w:rPr>
          <w:rFonts w:hint="eastAsia"/>
        </w:rPr>
        <w:t>闸</w:t>
      </w:r>
      <w:r>
        <w:t>坝</w:t>
      </w:r>
      <w:r>
        <w:rPr>
          <w:rFonts w:hint="eastAsia"/>
        </w:rPr>
        <w:t>及两侧的护岸</w:t>
      </w:r>
      <w:r>
        <w:t>建基面高程比较低，因此需修建围堰挡锦河洪水，同时考虑内水的抽排问题。</w:t>
      </w:r>
      <w:r>
        <w:rPr>
          <w:szCs w:val="28"/>
        </w:rPr>
        <w:t>拟采用分期施工方法，一期工程施工导流时段为第一年10月～第二年2月，利用左岸束窄河床导流，二期工程施工导流时段为第二年10月～第三年2月，二期工程利用已建的泄洪闸导流</w:t>
      </w:r>
      <w:r>
        <w:rPr>
          <w:rFonts w:hint="eastAsia"/>
          <w:szCs w:val="28"/>
        </w:rPr>
        <w:t>。</w:t>
      </w:r>
      <w:r>
        <w:t>根据项目可行性研究报告，坝址一期上游施工洪水位为</w:t>
      </w:r>
      <w:r>
        <w:rPr>
          <w:rFonts w:hint="eastAsia"/>
        </w:rPr>
        <w:t>42.97</w:t>
      </w:r>
      <w:r>
        <w:t>m，下游施工洪水位为</w:t>
      </w:r>
      <w:r>
        <w:rPr>
          <w:rFonts w:hint="eastAsia"/>
        </w:rPr>
        <w:t>42.20</w:t>
      </w:r>
      <w:r>
        <w:t>m；坝址二期上游施工洪水位为</w:t>
      </w:r>
      <w:r>
        <w:rPr>
          <w:rFonts w:hint="eastAsia"/>
        </w:rPr>
        <w:t>43.25</w:t>
      </w:r>
      <w:r>
        <w:t>m，下游施工洪水位为</w:t>
      </w:r>
      <w:r>
        <w:rPr>
          <w:rFonts w:hint="eastAsia"/>
        </w:rPr>
        <w:t>42.20</w:t>
      </w:r>
      <w:r>
        <w:t>m。施工围堰顶高程由施工期最高洪水位再加上1.0m的安全超高（考虑风浪爬高等因素）</w:t>
      </w:r>
      <w:r>
        <w:rPr>
          <w:rFonts w:hint="eastAsia"/>
        </w:rPr>
        <w:t>，</w:t>
      </w:r>
      <w:r>
        <w:t>确定一期上游围堰顶高程为</w:t>
      </w:r>
      <w:r>
        <w:rPr>
          <w:rFonts w:hint="eastAsia"/>
        </w:rPr>
        <w:t>43.97</w:t>
      </w:r>
      <w:r>
        <w:t>m、一期下游围堰顶高程为</w:t>
      </w:r>
      <w:r>
        <w:rPr>
          <w:rFonts w:hint="eastAsia"/>
        </w:rPr>
        <w:t>43.2</w:t>
      </w:r>
      <w:r>
        <w:t>m、二期上游围堰顶高程为</w:t>
      </w:r>
      <w:r>
        <w:rPr>
          <w:rFonts w:hint="eastAsia"/>
        </w:rPr>
        <w:t>44.25</w:t>
      </w:r>
      <w:r>
        <w:t>m、二期下游围堰顶高程为</w:t>
      </w:r>
      <w:r>
        <w:rPr>
          <w:rFonts w:hint="eastAsia"/>
        </w:rPr>
        <w:t>43.5</w:t>
      </w:r>
      <w:r>
        <w:t>m。围堰顶宽6.0m，边坡1:2.0。</w:t>
      </w:r>
    </w:p>
    <w:p>
      <w:pPr>
        <w:ind w:firstLine="480"/>
        <w:rPr>
          <w:kern w:val="0"/>
          <w:szCs w:val="24"/>
        </w:rPr>
      </w:pPr>
      <w:r>
        <w:rPr>
          <w:rFonts w:hint="eastAsia"/>
          <w:kern w:val="0"/>
          <w:szCs w:val="24"/>
        </w:rPr>
        <w:t>工程枯水期施工采用上下游围堰挡水，</w:t>
      </w:r>
      <w:r>
        <w:t>一期工程施工导流利用左岸束窄河床导流，新建冲砂闸和4跨泄水闸和右岸护岸工程等项目；二期工程施工导流利用已建的泄水闸和冲砂闸导流，新建左岸3跨泄水闸和左岸护岸工程</w:t>
      </w:r>
      <w:r>
        <w:rPr>
          <w:rFonts w:hint="eastAsia"/>
          <w:kern w:val="0"/>
          <w:szCs w:val="24"/>
        </w:rPr>
        <w:t>的导流方式。大坝施工期导流影响范围仅限于导流工程范围内的河段，随着流量进入坝址下游，水文情势则恢复天然状态。同时，由于导流工程进出口底板高程采用与天然河床顺接的原则，导流工程进口高程与坝址处河床高程基本一致，即使枯水期上游来水较少，也可通过导流全部进入下游河道，上游不会出现雍水现象，下游也不会出现减水甚至脱水河段。因此，本工程大坝施工导流对上下游河道水文情势影响甚微。</w:t>
      </w:r>
    </w:p>
    <w:p>
      <w:pPr>
        <w:ind w:firstLine="480"/>
      </w:pPr>
      <w:r>
        <w:rPr>
          <w:rFonts w:hint="eastAsia"/>
        </w:rPr>
        <w:t>(2)</w:t>
      </w:r>
      <w:r>
        <w:t>工程施工对河道行洪安全的影响分析</w:t>
      </w:r>
    </w:p>
    <w:p>
      <w:pPr>
        <w:ind w:firstLine="480"/>
        <w:jc w:val="left"/>
        <w:rPr>
          <w:rFonts w:ascii="仿宋" w:hAnsi="仿宋" w:eastAsia="仿宋"/>
          <w:sz w:val="32"/>
          <w:szCs w:val="24"/>
        </w:rPr>
      </w:pPr>
      <w:r>
        <w:rPr>
          <w:szCs w:val="24"/>
        </w:rPr>
        <w:t>工程施工期间，施工围堰将缩窄行洪断面的宽度，对河段上游水位造成壅高，流速增加，对行洪有一定影响。</w:t>
      </w:r>
      <w:r>
        <w:rPr>
          <w:rFonts w:hint="eastAsia"/>
          <w:szCs w:val="24"/>
        </w:rPr>
        <w:t>根据《上高县毛家渡抬水坝工程可行性研究报告》可知，根据2015 年至今上高县城防工程各段中采用的上高水文站成果，考虑各段均已实施或是正在实施中，本次设计仍采用下表中的上高水文站设计年最大流量成果和最高水位成果</w:t>
      </w:r>
      <w:r>
        <w:rPr>
          <w:rFonts w:hint="eastAsia" w:ascii="仿宋" w:hAnsi="仿宋" w:eastAsia="仿宋"/>
          <w:sz w:val="32"/>
          <w:szCs w:val="24"/>
        </w:rPr>
        <w:t>：</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表5.2-1 上高水文站设计年最大流量成果和最高水位成果</w:t>
      </w:r>
    </w:p>
    <w:tbl>
      <w:tblPr>
        <w:tblStyle w:val="8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1"/>
        <w:gridCol w:w="1013"/>
        <w:gridCol w:w="1367"/>
        <w:gridCol w:w="1367"/>
        <w:gridCol w:w="1367"/>
        <w:gridCol w:w="1367"/>
        <w:gridCol w:w="13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1" w:type="dxa"/>
            <w:tcBorders>
              <w:tl2br w:val="nil"/>
              <w:tr2bl w:val="nil"/>
            </w:tcBorders>
            <w:vAlign w:val="center"/>
          </w:tcPr>
          <w:p>
            <w:pPr>
              <w:spacing w:line="340" w:lineRule="exact"/>
              <w:ind w:firstLine="0" w:firstLineChars="0"/>
              <w:jc w:val="center"/>
              <w:rPr>
                <w:sz w:val="21"/>
                <w:szCs w:val="21"/>
              </w:rPr>
            </w:pPr>
            <w:r>
              <w:rPr>
                <w:sz w:val="21"/>
                <w:szCs w:val="21"/>
              </w:rPr>
              <w:t>频率（％）</w:t>
            </w:r>
          </w:p>
        </w:tc>
        <w:tc>
          <w:tcPr>
            <w:tcW w:w="1013" w:type="dxa"/>
            <w:tcBorders>
              <w:tl2br w:val="nil"/>
              <w:tr2bl w:val="nil"/>
            </w:tcBorders>
            <w:vAlign w:val="center"/>
          </w:tcPr>
          <w:p>
            <w:pPr>
              <w:spacing w:line="340" w:lineRule="exact"/>
              <w:ind w:firstLine="0" w:firstLineChars="0"/>
              <w:jc w:val="center"/>
              <w:rPr>
                <w:sz w:val="21"/>
                <w:szCs w:val="21"/>
              </w:rPr>
            </w:pPr>
            <w:r>
              <w:rPr>
                <w:sz w:val="21"/>
                <w:szCs w:val="21"/>
              </w:rPr>
              <w:t>1</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2</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3.33</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5</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10</w:t>
            </w:r>
          </w:p>
        </w:tc>
        <w:tc>
          <w:tcPr>
            <w:tcW w:w="1368" w:type="dxa"/>
            <w:tcBorders>
              <w:tl2br w:val="nil"/>
              <w:tr2bl w:val="nil"/>
            </w:tcBorders>
            <w:vAlign w:val="center"/>
          </w:tcPr>
          <w:p>
            <w:pPr>
              <w:spacing w:line="340" w:lineRule="exact"/>
              <w:ind w:firstLine="0" w:firstLineChars="0"/>
              <w:jc w:val="center"/>
              <w:rPr>
                <w:sz w:val="21"/>
                <w:szCs w:val="21"/>
              </w:rPr>
            </w:pPr>
            <w:r>
              <w:rPr>
                <w:sz w:val="21"/>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1" w:type="dxa"/>
            <w:tcBorders>
              <w:tl2br w:val="nil"/>
              <w:tr2bl w:val="nil"/>
            </w:tcBorders>
            <w:vAlign w:val="center"/>
          </w:tcPr>
          <w:p>
            <w:pPr>
              <w:spacing w:line="340" w:lineRule="exact"/>
              <w:ind w:firstLine="0" w:firstLineChars="0"/>
              <w:jc w:val="center"/>
              <w:rPr>
                <w:sz w:val="21"/>
                <w:szCs w:val="21"/>
              </w:rPr>
            </w:pPr>
            <w:r>
              <w:rPr>
                <w:sz w:val="21"/>
                <w:szCs w:val="21"/>
              </w:rPr>
              <w:t>流量（m3/s）</w:t>
            </w:r>
          </w:p>
        </w:tc>
        <w:tc>
          <w:tcPr>
            <w:tcW w:w="1013" w:type="dxa"/>
            <w:tcBorders>
              <w:tl2br w:val="nil"/>
              <w:tr2bl w:val="nil"/>
            </w:tcBorders>
            <w:vAlign w:val="center"/>
          </w:tcPr>
          <w:p>
            <w:pPr>
              <w:spacing w:line="340" w:lineRule="exact"/>
              <w:ind w:firstLine="0" w:firstLineChars="0"/>
              <w:jc w:val="center"/>
              <w:rPr>
                <w:sz w:val="21"/>
                <w:szCs w:val="21"/>
              </w:rPr>
            </w:pPr>
            <w:r>
              <w:rPr>
                <w:sz w:val="21"/>
                <w:szCs w:val="21"/>
              </w:rPr>
              <w:t>4447</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4060</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3766</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3525</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3092</w:t>
            </w:r>
          </w:p>
        </w:tc>
        <w:tc>
          <w:tcPr>
            <w:tcW w:w="1368" w:type="dxa"/>
            <w:tcBorders>
              <w:tl2br w:val="nil"/>
              <w:tr2bl w:val="nil"/>
            </w:tcBorders>
            <w:vAlign w:val="center"/>
          </w:tcPr>
          <w:p>
            <w:pPr>
              <w:spacing w:line="340" w:lineRule="exact"/>
              <w:ind w:firstLine="0" w:firstLineChars="0"/>
              <w:jc w:val="center"/>
              <w:rPr>
                <w:sz w:val="21"/>
                <w:szCs w:val="21"/>
              </w:rPr>
            </w:pPr>
            <w:r>
              <w:rPr>
                <w:sz w:val="21"/>
                <w:szCs w:val="21"/>
              </w:rPr>
              <w:t>2623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1" w:type="dxa"/>
            <w:tcBorders>
              <w:tl2br w:val="nil"/>
              <w:tr2bl w:val="nil"/>
            </w:tcBorders>
            <w:vAlign w:val="center"/>
          </w:tcPr>
          <w:p>
            <w:pPr>
              <w:spacing w:line="340" w:lineRule="exact"/>
              <w:ind w:firstLine="0" w:firstLineChars="0"/>
              <w:jc w:val="center"/>
              <w:rPr>
                <w:sz w:val="21"/>
                <w:szCs w:val="21"/>
              </w:rPr>
            </w:pPr>
            <w:r>
              <w:rPr>
                <w:sz w:val="21"/>
                <w:szCs w:val="21"/>
              </w:rPr>
              <w:t>水位（m）</w:t>
            </w:r>
          </w:p>
        </w:tc>
        <w:tc>
          <w:tcPr>
            <w:tcW w:w="1013" w:type="dxa"/>
            <w:tcBorders>
              <w:tl2br w:val="nil"/>
              <w:tr2bl w:val="nil"/>
            </w:tcBorders>
            <w:vAlign w:val="center"/>
          </w:tcPr>
          <w:p>
            <w:pPr>
              <w:spacing w:line="340" w:lineRule="exact"/>
              <w:ind w:firstLine="0" w:firstLineChars="0"/>
              <w:jc w:val="center"/>
              <w:rPr>
                <w:sz w:val="21"/>
                <w:szCs w:val="21"/>
              </w:rPr>
            </w:pPr>
            <w:r>
              <w:rPr>
                <w:sz w:val="21"/>
                <w:szCs w:val="21"/>
              </w:rPr>
              <w:t>51.56</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50.92</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50.42</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49.99</w:t>
            </w:r>
          </w:p>
        </w:tc>
        <w:tc>
          <w:tcPr>
            <w:tcW w:w="1367" w:type="dxa"/>
            <w:tcBorders>
              <w:tl2br w:val="nil"/>
              <w:tr2bl w:val="nil"/>
            </w:tcBorders>
            <w:vAlign w:val="center"/>
          </w:tcPr>
          <w:p>
            <w:pPr>
              <w:spacing w:line="340" w:lineRule="exact"/>
              <w:ind w:firstLine="0" w:firstLineChars="0"/>
              <w:jc w:val="center"/>
              <w:rPr>
                <w:sz w:val="21"/>
                <w:szCs w:val="21"/>
              </w:rPr>
            </w:pPr>
            <w:r>
              <w:rPr>
                <w:sz w:val="21"/>
                <w:szCs w:val="21"/>
              </w:rPr>
              <w:t>49.21</w:t>
            </w:r>
          </w:p>
        </w:tc>
        <w:tc>
          <w:tcPr>
            <w:tcW w:w="1368" w:type="dxa"/>
            <w:tcBorders>
              <w:tl2br w:val="nil"/>
              <w:tr2bl w:val="nil"/>
            </w:tcBorders>
            <w:vAlign w:val="center"/>
          </w:tcPr>
          <w:p>
            <w:pPr>
              <w:spacing w:line="340" w:lineRule="exact"/>
              <w:ind w:firstLine="0" w:firstLineChars="0"/>
              <w:jc w:val="center"/>
              <w:rPr>
                <w:sz w:val="21"/>
                <w:szCs w:val="21"/>
              </w:rPr>
            </w:pPr>
            <w:r>
              <w:rPr>
                <w:sz w:val="21"/>
                <w:szCs w:val="21"/>
              </w:rPr>
              <w:t>48.31</w:t>
            </w:r>
          </w:p>
        </w:tc>
      </w:tr>
    </w:tbl>
    <w:p>
      <w:pPr>
        <w:ind w:firstLine="480"/>
        <w:jc w:val="left"/>
        <w:rPr>
          <w:szCs w:val="24"/>
        </w:rPr>
      </w:pPr>
      <w:r>
        <w:rPr>
          <w:rFonts w:hint="eastAsia"/>
          <w:szCs w:val="24"/>
        </w:rPr>
        <w:t>控制断面设计洪水根据上高水文站断面设计洪水按集雨面积比的三分之二次方换算得，控制断面设计洪水成果：</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表5.2-2  控制断面设计洪水成果</w:t>
      </w:r>
    </w:p>
    <w:tbl>
      <w:tblPr>
        <w:tblStyle w:val="8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41"/>
        <w:gridCol w:w="2043"/>
        <w:gridCol w:w="2393"/>
        <w:gridCol w:w="23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741" w:type="dxa"/>
            <w:tcBorders>
              <w:tl2br w:val="nil"/>
              <w:tr2bl w:val="nil"/>
            </w:tcBorders>
            <w:vAlign w:val="center"/>
          </w:tcPr>
          <w:p>
            <w:pPr>
              <w:snapToGrid w:val="0"/>
              <w:spacing w:line="340" w:lineRule="exact"/>
              <w:ind w:firstLine="0" w:firstLineChars="0"/>
              <w:jc w:val="center"/>
              <w:rPr>
                <w:sz w:val="21"/>
                <w:szCs w:val="21"/>
              </w:rPr>
            </w:pPr>
            <w:r>
              <w:rPr>
                <w:sz w:val="21"/>
                <w:szCs w:val="21"/>
              </w:rPr>
              <w:t>洪峰流量（m</w:t>
            </w:r>
            <w:r>
              <w:rPr>
                <w:sz w:val="21"/>
                <w:szCs w:val="21"/>
                <w:vertAlign w:val="superscript"/>
              </w:rPr>
              <w:t>3</w:t>
            </w:r>
            <w:r>
              <w:rPr>
                <w:sz w:val="21"/>
                <w:szCs w:val="21"/>
              </w:rPr>
              <w:t>/s）频率（%）</w:t>
            </w:r>
          </w:p>
        </w:tc>
        <w:tc>
          <w:tcPr>
            <w:tcW w:w="2043" w:type="dxa"/>
            <w:tcBorders>
              <w:tl2br w:val="nil"/>
              <w:tr2bl w:val="nil"/>
            </w:tcBorders>
            <w:vAlign w:val="center"/>
          </w:tcPr>
          <w:p>
            <w:pPr>
              <w:spacing w:line="340" w:lineRule="exact"/>
              <w:ind w:firstLine="0" w:firstLineChars="0"/>
              <w:jc w:val="center"/>
              <w:rPr>
                <w:sz w:val="21"/>
                <w:szCs w:val="21"/>
              </w:rPr>
            </w:pPr>
            <w:r>
              <w:rPr>
                <w:sz w:val="21"/>
                <w:szCs w:val="21"/>
              </w:rPr>
              <w:t>2</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5</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41" w:type="dxa"/>
            <w:tcBorders>
              <w:tl2br w:val="nil"/>
              <w:tr2bl w:val="nil"/>
            </w:tcBorders>
            <w:vAlign w:val="center"/>
          </w:tcPr>
          <w:p>
            <w:pPr>
              <w:spacing w:line="340" w:lineRule="exact"/>
              <w:ind w:firstLine="420"/>
              <w:jc w:val="center"/>
              <w:rPr>
                <w:sz w:val="21"/>
                <w:szCs w:val="21"/>
              </w:rPr>
            </w:pPr>
            <w:r>
              <w:rPr>
                <w:sz w:val="21"/>
                <w:szCs w:val="21"/>
              </w:rPr>
              <w:t>毛家渡抬水坝</w:t>
            </w:r>
          </w:p>
        </w:tc>
        <w:tc>
          <w:tcPr>
            <w:tcW w:w="2043" w:type="dxa"/>
            <w:tcBorders>
              <w:tl2br w:val="nil"/>
              <w:tr2bl w:val="nil"/>
            </w:tcBorders>
            <w:vAlign w:val="center"/>
          </w:tcPr>
          <w:p>
            <w:pPr>
              <w:spacing w:line="340" w:lineRule="exact"/>
              <w:ind w:firstLine="0" w:firstLineChars="0"/>
              <w:jc w:val="center"/>
              <w:rPr>
                <w:sz w:val="21"/>
                <w:szCs w:val="21"/>
              </w:rPr>
            </w:pPr>
            <w:r>
              <w:rPr>
                <w:sz w:val="21"/>
                <w:szCs w:val="21"/>
              </w:rPr>
              <w:t>4110</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3568</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3129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41" w:type="dxa"/>
            <w:tcBorders>
              <w:tl2br w:val="nil"/>
              <w:tr2bl w:val="nil"/>
            </w:tcBorders>
            <w:vAlign w:val="center"/>
          </w:tcPr>
          <w:p>
            <w:pPr>
              <w:spacing w:line="340" w:lineRule="exact"/>
              <w:ind w:firstLine="420"/>
              <w:jc w:val="center"/>
              <w:rPr>
                <w:sz w:val="21"/>
                <w:szCs w:val="21"/>
              </w:rPr>
            </w:pPr>
            <w:r>
              <w:rPr>
                <w:sz w:val="21"/>
                <w:szCs w:val="21"/>
              </w:rPr>
              <w:t>上坝址</w:t>
            </w:r>
          </w:p>
        </w:tc>
        <w:tc>
          <w:tcPr>
            <w:tcW w:w="2043" w:type="dxa"/>
            <w:tcBorders>
              <w:tl2br w:val="nil"/>
              <w:tr2bl w:val="nil"/>
            </w:tcBorders>
            <w:vAlign w:val="center"/>
          </w:tcPr>
          <w:p>
            <w:pPr>
              <w:spacing w:line="340" w:lineRule="exact"/>
              <w:ind w:firstLine="0" w:firstLineChars="0"/>
              <w:jc w:val="center"/>
              <w:rPr>
                <w:sz w:val="21"/>
                <w:szCs w:val="21"/>
              </w:rPr>
            </w:pPr>
            <w:r>
              <w:rPr>
                <w:sz w:val="21"/>
                <w:szCs w:val="21"/>
              </w:rPr>
              <w:t>4104</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3564</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41" w:type="dxa"/>
            <w:tcBorders>
              <w:tl2br w:val="nil"/>
              <w:tr2bl w:val="nil"/>
            </w:tcBorders>
            <w:vAlign w:val="center"/>
          </w:tcPr>
          <w:p>
            <w:pPr>
              <w:spacing w:line="340" w:lineRule="exact"/>
              <w:ind w:firstLine="420"/>
              <w:jc w:val="center"/>
              <w:rPr>
                <w:sz w:val="21"/>
                <w:szCs w:val="21"/>
              </w:rPr>
            </w:pPr>
            <w:r>
              <w:rPr>
                <w:sz w:val="21"/>
                <w:szCs w:val="21"/>
              </w:rPr>
              <w:t>上高水文站</w:t>
            </w:r>
          </w:p>
        </w:tc>
        <w:tc>
          <w:tcPr>
            <w:tcW w:w="2043" w:type="dxa"/>
            <w:tcBorders>
              <w:tl2br w:val="nil"/>
              <w:tr2bl w:val="nil"/>
            </w:tcBorders>
            <w:vAlign w:val="center"/>
          </w:tcPr>
          <w:p>
            <w:pPr>
              <w:spacing w:line="340" w:lineRule="exact"/>
              <w:ind w:firstLine="0" w:firstLineChars="0"/>
              <w:jc w:val="center"/>
              <w:rPr>
                <w:sz w:val="21"/>
                <w:szCs w:val="21"/>
              </w:rPr>
            </w:pPr>
            <w:r>
              <w:rPr>
                <w:sz w:val="21"/>
                <w:szCs w:val="21"/>
              </w:rPr>
              <w:t>4060</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3525</w:t>
            </w:r>
          </w:p>
        </w:tc>
        <w:tc>
          <w:tcPr>
            <w:tcW w:w="2393" w:type="dxa"/>
            <w:tcBorders>
              <w:tl2br w:val="nil"/>
              <w:tr2bl w:val="nil"/>
            </w:tcBorders>
            <w:vAlign w:val="center"/>
          </w:tcPr>
          <w:p>
            <w:pPr>
              <w:spacing w:line="340" w:lineRule="exact"/>
              <w:ind w:firstLine="0" w:firstLineChars="0"/>
              <w:jc w:val="center"/>
              <w:rPr>
                <w:sz w:val="21"/>
                <w:szCs w:val="21"/>
              </w:rPr>
            </w:pPr>
            <w:r>
              <w:rPr>
                <w:sz w:val="21"/>
                <w:szCs w:val="21"/>
              </w:rPr>
              <w:t>3092</w:t>
            </w:r>
          </w:p>
        </w:tc>
      </w:tr>
    </w:tbl>
    <w:p>
      <w:pPr>
        <w:ind w:firstLine="480"/>
        <w:jc w:val="left"/>
        <w:rPr>
          <w:szCs w:val="24"/>
        </w:rPr>
      </w:pPr>
      <w:r>
        <w:rPr>
          <w:rFonts w:hint="eastAsia"/>
          <w:szCs w:val="24"/>
        </w:rPr>
        <w:t>施工洪水：根据上高水文站历年10月～次年2月实测最大流量，经频率计算，由P-Ⅲ型曲线适线，求得统计参数Q =442m</w:t>
      </w:r>
      <w:r>
        <w:rPr>
          <w:rFonts w:hint="eastAsia"/>
          <w:szCs w:val="24"/>
          <w:vertAlign w:val="superscript"/>
        </w:rPr>
        <w:t>3</w:t>
      </w:r>
      <w:r>
        <w:rPr>
          <w:rFonts w:hint="eastAsia"/>
          <w:szCs w:val="24"/>
        </w:rPr>
        <w:t>/s， Cv=0.80，Cs=3.5Cv 时，经验点据与理论频率配合较好，从而得出上高水文站施工期10 年一遇流量870m</w:t>
      </w:r>
      <w:r>
        <w:rPr>
          <w:rFonts w:hint="eastAsia"/>
          <w:szCs w:val="24"/>
          <w:vertAlign w:val="superscript"/>
        </w:rPr>
        <w:t>3</w:t>
      </w:r>
      <w:r>
        <w:rPr>
          <w:rFonts w:hint="eastAsia"/>
          <w:szCs w:val="24"/>
        </w:rPr>
        <w:t>/s。控制断面施工期10 年一遇洪峰流量根据上高水文站断面施工期洪水按集雨面积比的2/3 次方换算得，成果如下：</w:t>
      </w:r>
    </w:p>
    <w:p>
      <w:pPr>
        <w:spacing w:before="120" w:beforeLines="50" w:line="240" w:lineRule="auto"/>
        <w:ind w:firstLine="480"/>
        <w:jc w:val="center"/>
        <w:rPr>
          <w:rFonts w:ascii="黑体" w:hAnsi="黑体" w:eastAsia="黑体" w:cs="黑体"/>
          <w:szCs w:val="24"/>
        </w:rPr>
      </w:pPr>
      <w:r>
        <w:rPr>
          <w:rFonts w:hint="eastAsia" w:ascii="黑体" w:hAnsi="黑体" w:eastAsia="黑体" w:cs="黑体"/>
          <w:szCs w:val="24"/>
        </w:rPr>
        <w:t>表5.2-3 控制断面施工期10 年一遇洪峰流</w:t>
      </w:r>
    </w:p>
    <w:tbl>
      <w:tblPr>
        <w:tblStyle w:val="8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84"/>
        <w:gridCol w:w="47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499" w:type="pct"/>
            <w:tcBorders>
              <w:tl2br w:val="nil"/>
              <w:tr2bl w:val="nil"/>
            </w:tcBorders>
            <w:vAlign w:val="center"/>
          </w:tcPr>
          <w:p>
            <w:pPr>
              <w:snapToGrid w:val="0"/>
              <w:spacing w:line="340" w:lineRule="exact"/>
              <w:ind w:firstLine="0" w:firstLineChars="0"/>
              <w:jc w:val="center"/>
              <w:rPr>
                <w:sz w:val="21"/>
                <w:szCs w:val="21"/>
              </w:rPr>
            </w:pPr>
            <w:r>
              <w:rPr>
                <w:sz w:val="21"/>
                <w:szCs w:val="21"/>
              </w:rPr>
              <w:t>洪峰流量（m</w:t>
            </w:r>
            <w:r>
              <w:rPr>
                <w:sz w:val="21"/>
                <w:szCs w:val="21"/>
                <w:vertAlign w:val="superscript"/>
              </w:rPr>
              <w:t>3</w:t>
            </w:r>
            <w:r>
              <w:rPr>
                <w:sz w:val="21"/>
                <w:szCs w:val="21"/>
              </w:rPr>
              <w:t>/s）频率（%）</w:t>
            </w:r>
          </w:p>
        </w:tc>
        <w:tc>
          <w:tcPr>
            <w:tcW w:w="2500" w:type="pct"/>
            <w:tcBorders>
              <w:tl2br w:val="nil"/>
              <w:tr2bl w:val="nil"/>
            </w:tcBorders>
            <w:vAlign w:val="center"/>
          </w:tcPr>
          <w:p>
            <w:pPr>
              <w:spacing w:line="340" w:lineRule="exact"/>
              <w:ind w:firstLine="0" w:firstLineChars="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pPr>
              <w:spacing w:line="340" w:lineRule="exact"/>
              <w:ind w:firstLine="420"/>
              <w:jc w:val="center"/>
              <w:rPr>
                <w:sz w:val="21"/>
                <w:szCs w:val="21"/>
              </w:rPr>
            </w:pPr>
            <w:r>
              <w:rPr>
                <w:sz w:val="21"/>
                <w:szCs w:val="21"/>
              </w:rPr>
              <w:t>毛家渡抬水坝</w:t>
            </w:r>
          </w:p>
        </w:tc>
        <w:tc>
          <w:tcPr>
            <w:tcW w:w="2500" w:type="pct"/>
            <w:tcBorders>
              <w:tl2br w:val="nil"/>
              <w:tr2bl w:val="nil"/>
            </w:tcBorders>
            <w:vAlign w:val="center"/>
          </w:tcPr>
          <w:p>
            <w:pPr>
              <w:spacing w:line="340" w:lineRule="exact"/>
              <w:ind w:firstLine="0" w:firstLineChars="0"/>
              <w:jc w:val="center"/>
              <w:rPr>
                <w:sz w:val="21"/>
                <w:szCs w:val="21"/>
              </w:rPr>
            </w:pPr>
            <w:r>
              <w:rPr>
                <w:sz w:val="21"/>
                <w:szCs w:val="21"/>
              </w:rPr>
              <w:t>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499" w:type="pct"/>
            <w:tcBorders>
              <w:tl2br w:val="nil"/>
              <w:tr2bl w:val="nil"/>
            </w:tcBorders>
            <w:vAlign w:val="center"/>
          </w:tcPr>
          <w:p>
            <w:pPr>
              <w:spacing w:line="340" w:lineRule="exact"/>
              <w:ind w:firstLine="420"/>
              <w:jc w:val="center"/>
              <w:rPr>
                <w:sz w:val="21"/>
                <w:szCs w:val="21"/>
              </w:rPr>
            </w:pPr>
            <w:r>
              <w:rPr>
                <w:sz w:val="21"/>
                <w:szCs w:val="21"/>
              </w:rPr>
              <w:t>上坝址</w:t>
            </w:r>
          </w:p>
        </w:tc>
        <w:tc>
          <w:tcPr>
            <w:tcW w:w="2500" w:type="pct"/>
            <w:tcBorders>
              <w:tl2br w:val="nil"/>
              <w:tr2bl w:val="nil"/>
            </w:tcBorders>
            <w:vAlign w:val="center"/>
          </w:tcPr>
          <w:p>
            <w:pPr>
              <w:spacing w:line="340" w:lineRule="exact"/>
              <w:ind w:firstLine="0" w:firstLineChars="0"/>
              <w:jc w:val="center"/>
              <w:rPr>
                <w:sz w:val="21"/>
                <w:szCs w:val="21"/>
              </w:rPr>
            </w:pPr>
            <w:r>
              <w:rPr>
                <w:sz w:val="21"/>
                <w:szCs w:val="21"/>
              </w:rPr>
              <w:t>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pPr>
              <w:spacing w:line="340" w:lineRule="exact"/>
              <w:ind w:firstLine="420"/>
              <w:jc w:val="center"/>
              <w:rPr>
                <w:sz w:val="21"/>
                <w:szCs w:val="21"/>
              </w:rPr>
            </w:pPr>
            <w:r>
              <w:rPr>
                <w:sz w:val="21"/>
                <w:szCs w:val="21"/>
              </w:rPr>
              <w:t>上高水文站</w:t>
            </w:r>
          </w:p>
        </w:tc>
        <w:tc>
          <w:tcPr>
            <w:tcW w:w="2500" w:type="pct"/>
            <w:tcBorders>
              <w:tl2br w:val="nil"/>
              <w:tr2bl w:val="nil"/>
            </w:tcBorders>
            <w:vAlign w:val="center"/>
          </w:tcPr>
          <w:p>
            <w:pPr>
              <w:spacing w:line="340" w:lineRule="exact"/>
              <w:ind w:firstLine="0" w:firstLineChars="0"/>
              <w:jc w:val="center"/>
              <w:rPr>
                <w:sz w:val="21"/>
                <w:szCs w:val="21"/>
              </w:rPr>
            </w:pPr>
            <w:r>
              <w:rPr>
                <w:sz w:val="21"/>
                <w:szCs w:val="21"/>
              </w:rPr>
              <w:t>870</w:t>
            </w:r>
          </w:p>
        </w:tc>
      </w:tr>
    </w:tbl>
    <w:p>
      <w:pPr>
        <w:ind w:firstLine="480"/>
        <w:textAlignment w:val="baseline"/>
      </w:pPr>
      <w:r>
        <w:rPr>
          <w:szCs w:val="24"/>
        </w:rPr>
        <w:t>通过计算，</w:t>
      </w:r>
      <w:r>
        <w:rPr>
          <w:rFonts w:hint="eastAsia"/>
          <w:szCs w:val="24"/>
        </w:rPr>
        <w:t>毛家渡</w:t>
      </w:r>
      <w:r>
        <w:rPr>
          <w:szCs w:val="24"/>
        </w:rPr>
        <w:t>抬水坝工程一期施工期</w:t>
      </w:r>
      <w:r>
        <w:rPr>
          <w:rFonts w:hint="eastAsia"/>
          <w:szCs w:val="24"/>
        </w:rPr>
        <w:t>10</w:t>
      </w:r>
      <w:r>
        <w:rPr>
          <w:szCs w:val="24"/>
        </w:rPr>
        <w:t>年一遇（P=</w:t>
      </w:r>
      <w:r>
        <w:rPr>
          <w:rFonts w:hint="eastAsia"/>
          <w:szCs w:val="24"/>
        </w:rPr>
        <w:t>1</w:t>
      </w:r>
      <w:r>
        <w:rPr>
          <w:szCs w:val="24"/>
        </w:rPr>
        <w:t>0%）</w:t>
      </w:r>
      <w:r>
        <w:t>洪水重现期标准</w:t>
      </w:r>
      <w:r>
        <w:rPr>
          <w:szCs w:val="24"/>
        </w:rPr>
        <w:t>。</w:t>
      </w:r>
      <w:r>
        <w:rPr>
          <w:rFonts w:hint="eastAsia"/>
        </w:rPr>
        <w:t>各项目水下项目尽量安排在</w:t>
      </w:r>
      <w:r>
        <w:t>枯水位</w:t>
      </w:r>
      <w:r>
        <w:rPr>
          <w:rFonts w:hint="eastAsia"/>
        </w:rPr>
        <w:t>期</w:t>
      </w:r>
      <w:r>
        <w:t>施工，避开洪水位对施工的影响。</w:t>
      </w:r>
    </w:p>
    <w:p>
      <w:pPr>
        <w:ind w:firstLine="470" w:firstLineChars="196"/>
      </w:pPr>
      <w:r>
        <w:t>工程施工对河道行洪有一定影响，应合理安排工期，采取有效措施将影响降至最小。</w:t>
      </w:r>
    </w:p>
    <w:p>
      <w:pPr>
        <w:pStyle w:val="835"/>
        <w:spacing w:before="0" w:line="360" w:lineRule="auto"/>
      </w:pPr>
      <w:r>
        <w:t>5.2.2</w:t>
      </w:r>
      <w:r>
        <w:rPr>
          <w:rFonts w:hint="eastAsia"/>
        </w:rPr>
        <w:t>初期蓄水水文情势影响分析</w:t>
      </w:r>
    </w:p>
    <w:p>
      <w:pPr>
        <w:ind w:firstLine="480"/>
      </w:pPr>
      <w:r>
        <w:rPr>
          <w:rFonts w:hint="eastAsia"/>
        </w:rPr>
        <w:t>为保证初期蓄水生态流量，考下闸蓄水期间下放环境生态流流量为12.11</w:t>
      </w:r>
      <w:r>
        <w:t>m</w:t>
      </w:r>
      <w:r>
        <w:rPr>
          <w:vertAlign w:val="superscript"/>
        </w:rPr>
        <w:t>3</w:t>
      </w:r>
      <w:r>
        <w:t>/s</w:t>
      </w:r>
      <w:r>
        <w:rPr>
          <w:rFonts w:hint="eastAsia"/>
        </w:rPr>
        <w:t>。蓄水位低于抬水工程</w:t>
      </w:r>
      <w:r>
        <w:t>正常蓄水位</w:t>
      </w:r>
      <w:r>
        <w:rPr>
          <w:rFonts w:hint="eastAsia"/>
        </w:rPr>
        <w:t>44.5</w:t>
      </w:r>
      <w:r>
        <w:t>m</w:t>
      </w:r>
      <w:r>
        <w:rPr>
          <w:rFonts w:hint="eastAsia"/>
        </w:rPr>
        <w:t>高程时，通过</w:t>
      </w:r>
      <w:r>
        <w:t>开启抬水工程闸门高度下泄生态流量</w:t>
      </w:r>
      <w:r>
        <w:rPr>
          <w:rFonts w:hint="eastAsia"/>
        </w:rPr>
        <w:t>下放的方式。</w:t>
      </w:r>
    </w:p>
    <w:p>
      <w:pPr>
        <w:ind w:firstLine="480"/>
      </w:pPr>
      <w:r>
        <w:rPr>
          <w:rFonts w:hint="eastAsia"/>
        </w:rPr>
        <w:t>由上可知，工程初期蓄水期间改变了坝区和坝址下游的水文情势，随着蓄水时间的延长，坝区水体体积逐渐增大，水位逐渐升高，流速减缓，下游由于坝体的阻隔作用，流量变小，因下放恒定生态基流，流量趋于均化。</w:t>
      </w:r>
    </w:p>
    <w:p>
      <w:pPr>
        <w:pStyle w:val="835"/>
        <w:spacing w:before="0" w:line="360" w:lineRule="auto"/>
      </w:pPr>
      <w:r>
        <w:rPr>
          <w:rFonts w:hint="eastAsia"/>
        </w:rPr>
        <w:t>5.2.3对坝址上游河段水文情势的影响</w:t>
      </w:r>
    </w:p>
    <w:p>
      <w:pPr>
        <w:autoSpaceDE w:val="0"/>
        <w:autoSpaceDN w:val="0"/>
        <w:adjustRightInd w:val="0"/>
        <w:ind w:firstLine="480"/>
        <w:rPr>
          <w:rFonts w:ascii="宋体" w:cs="宋体"/>
          <w:kern w:val="0"/>
          <w:szCs w:val="24"/>
        </w:rPr>
      </w:pPr>
      <w:r>
        <w:rPr>
          <w:rFonts w:hint="eastAsia"/>
        </w:rPr>
        <w:t>本工程主要任务是</w:t>
      </w:r>
      <w:r>
        <w:t>抬高城区河段的枯水位</w:t>
      </w:r>
      <w:r>
        <w:rPr>
          <w:rFonts w:hint="eastAsia"/>
        </w:rPr>
        <w:t>，增加水体水面，改善区域生态环境，因此坝址上游水位抬升效应明显，坝址断面水位高程由原来的40.5提高到44.5m(正常蓄水位)，坝前水位抬升4m，水面宽度增加15m，河面水域面积变大，坝前水深增加，库区水体流速从库尾到坝前逐渐减小，水体流态趋缓，回水长度约14km，相应库容1221万m</w:t>
      </w:r>
      <w:r>
        <w:rPr>
          <w:rFonts w:hint="eastAsia"/>
          <w:vertAlign w:val="superscript"/>
        </w:rPr>
        <w:t>3</w:t>
      </w:r>
      <w:r>
        <w:rPr>
          <w:rFonts w:hint="eastAsia"/>
        </w:rPr>
        <w:t>。</w:t>
      </w:r>
      <w:r>
        <w:rPr>
          <w:rFonts w:hint="eastAsia" w:ascii="宋体" w:cs="宋体"/>
          <w:kern w:val="0"/>
          <w:szCs w:val="24"/>
        </w:rPr>
        <w:t>工程建成前后，正常蓄水位</w:t>
      </w:r>
      <w:r>
        <w:rPr>
          <w:rFonts w:hint="eastAsia"/>
          <w:szCs w:val="24"/>
        </w:rPr>
        <w:t>44.5</w:t>
      </w:r>
      <w:r>
        <w:rPr>
          <w:szCs w:val="24"/>
        </w:rPr>
        <w:t>m</w:t>
      </w:r>
      <w:r>
        <w:rPr>
          <w:rFonts w:hint="eastAsia" w:ascii="宋体" w:cs="宋体"/>
          <w:kern w:val="0"/>
          <w:szCs w:val="24"/>
        </w:rPr>
        <w:t>，</w:t>
      </w:r>
      <w:r>
        <w:t>建坝前后闸上下游水位在0.1～0.3m之间</w:t>
      </w:r>
      <w:r>
        <w:rPr>
          <w:rFonts w:hint="eastAsia"/>
        </w:rPr>
        <w:t>，</w:t>
      </w:r>
      <w:r>
        <w:rPr>
          <w:rFonts w:hint="eastAsia" w:ascii="宋体" w:cs="宋体"/>
          <w:kern w:val="0"/>
          <w:szCs w:val="24"/>
        </w:rPr>
        <w:t>工程建成后，将拦蓄上游来水，通过蓄水和调节改变天然状态，使来水过程适应需水过程的要求，这将引起水文情势的变化，会形成一定的消落带，毛家渡抬水工程建成后，由于水位抬升，正常蓄水位时库区河段的水域面积增加，坝址上游一定范围内水体由天然河道的流动状态转变为湖泊类的缓慢流动或静水。</w:t>
      </w:r>
    </w:p>
    <w:p>
      <w:pPr>
        <w:pStyle w:val="835"/>
        <w:spacing w:before="0" w:line="360" w:lineRule="auto"/>
      </w:pPr>
      <w:r>
        <w:rPr>
          <w:rFonts w:hint="eastAsia"/>
        </w:rPr>
        <w:t>5.2.4运行对坝址下游水文情势影响</w:t>
      </w:r>
    </w:p>
    <w:p>
      <w:pPr>
        <w:autoSpaceDE w:val="0"/>
        <w:autoSpaceDN w:val="0"/>
        <w:adjustRightInd w:val="0"/>
        <w:ind w:firstLine="480"/>
        <w:rPr>
          <w:kern w:val="0"/>
          <w:szCs w:val="24"/>
        </w:rPr>
      </w:pPr>
      <w:r>
        <w:rPr>
          <w:rFonts w:hint="eastAsia"/>
          <w:kern w:val="0"/>
          <w:szCs w:val="24"/>
        </w:rPr>
        <w:t>毛家渡</w:t>
      </w:r>
      <w:r>
        <w:rPr>
          <w:kern w:val="0"/>
          <w:szCs w:val="24"/>
        </w:rPr>
        <w:t>抬水工程布置紧凑，基本垂直水流方向呈直线分布，泄流总净宽</w:t>
      </w:r>
      <w:r>
        <w:rPr>
          <w:rFonts w:hint="eastAsia"/>
          <w:kern w:val="0"/>
          <w:szCs w:val="24"/>
        </w:rPr>
        <w:t>150</w:t>
      </w:r>
      <w:r>
        <w:rPr>
          <w:kern w:val="0"/>
          <w:szCs w:val="24"/>
        </w:rPr>
        <w:t>m，</w:t>
      </w:r>
      <w:r>
        <w:rPr>
          <w:szCs w:val="24"/>
        </w:rPr>
        <w:t>上坝线闸坝底板(39.0m)高于河道</w:t>
      </w:r>
      <w:r>
        <w:rPr>
          <w:rFonts w:hint="eastAsia"/>
          <w:szCs w:val="24"/>
        </w:rPr>
        <w:t>河底高程</w:t>
      </w:r>
      <w:r>
        <w:rPr>
          <w:szCs w:val="24"/>
        </w:rPr>
        <w:t>（</w:t>
      </w:r>
      <w:r>
        <w:rPr>
          <w:rFonts w:hint="eastAsia"/>
          <w:szCs w:val="24"/>
        </w:rPr>
        <w:t>38.84</w:t>
      </w:r>
      <w:r>
        <w:rPr>
          <w:szCs w:val="24"/>
        </w:rPr>
        <w:t>m）以上</w:t>
      </w:r>
      <w:r>
        <w:rPr>
          <w:rFonts w:hint="eastAsia"/>
          <w:szCs w:val="24"/>
        </w:rPr>
        <w:t>0.16</w:t>
      </w:r>
      <w:r>
        <w:rPr>
          <w:szCs w:val="24"/>
        </w:rPr>
        <w:t>m</w:t>
      </w:r>
      <w:r>
        <w:rPr>
          <w:kern w:val="0"/>
          <w:szCs w:val="24"/>
        </w:rPr>
        <w:t>，</w:t>
      </w:r>
      <w:r>
        <w:rPr>
          <w:rFonts w:hint="eastAsia"/>
          <w:kern w:val="0"/>
          <w:szCs w:val="24"/>
        </w:rPr>
        <w:t>毛家渡</w:t>
      </w:r>
      <w:r>
        <w:rPr>
          <w:kern w:val="0"/>
          <w:szCs w:val="24"/>
        </w:rPr>
        <w:t>抬水坝建成后，将使</w:t>
      </w:r>
      <w:r>
        <w:rPr>
          <w:rFonts w:hint="eastAsia"/>
          <w:kern w:val="0"/>
          <w:szCs w:val="24"/>
        </w:rPr>
        <w:t>坝址下游</w:t>
      </w:r>
      <w:r>
        <w:rPr>
          <w:kern w:val="0"/>
          <w:szCs w:val="24"/>
        </w:rPr>
        <w:t>河段的水位、水域面积、</w:t>
      </w:r>
      <w:r>
        <w:rPr>
          <w:rFonts w:hint="eastAsia"/>
          <w:kern w:val="0"/>
          <w:szCs w:val="24"/>
        </w:rPr>
        <w:t>流量</w:t>
      </w:r>
      <w:r>
        <w:rPr>
          <w:kern w:val="0"/>
          <w:szCs w:val="24"/>
        </w:rPr>
        <w:t>等发生变化。</w:t>
      </w:r>
    </w:p>
    <w:p>
      <w:pPr>
        <w:autoSpaceDE w:val="0"/>
        <w:autoSpaceDN w:val="0"/>
        <w:adjustRightInd w:val="0"/>
        <w:ind w:firstLine="480"/>
        <w:rPr>
          <w:kern w:val="0"/>
          <w:szCs w:val="24"/>
        </w:rPr>
      </w:pPr>
      <w:r>
        <w:rPr>
          <w:kern w:val="0"/>
          <w:szCs w:val="24"/>
        </w:rPr>
        <w:t>水位：</w:t>
      </w:r>
      <w:r>
        <w:rPr>
          <w:rFonts w:hint="eastAsia"/>
          <w:szCs w:val="24"/>
        </w:rPr>
        <w:t>锦河</w:t>
      </w:r>
      <w:r>
        <w:rPr>
          <w:szCs w:val="24"/>
        </w:rPr>
        <w:t>河床枯水期水位为</w:t>
      </w:r>
      <w:r>
        <w:rPr>
          <w:rFonts w:hint="eastAsia"/>
          <w:szCs w:val="24"/>
        </w:rPr>
        <w:t>40.5</w:t>
      </w:r>
      <w:r>
        <w:rPr>
          <w:szCs w:val="24"/>
        </w:rPr>
        <w:t>m</w:t>
      </w:r>
      <w:r>
        <w:rPr>
          <w:kern w:val="0"/>
          <w:szCs w:val="24"/>
        </w:rPr>
        <w:t>，正常蓄水位</w:t>
      </w:r>
      <w:r>
        <w:rPr>
          <w:rFonts w:hint="eastAsia"/>
          <w:kern w:val="0"/>
          <w:szCs w:val="24"/>
        </w:rPr>
        <w:t>44.5</w:t>
      </w:r>
      <w:r>
        <w:rPr>
          <w:kern w:val="0"/>
          <w:szCs w:val="24"/>
        </w:rPr>
        <w:t>m，蓄水将抬高坝前水位约</w:t>
      </w:r>
      <w:r>
        <w:rPr>
          <w:rFonts w:hint="eastAsia"/>
          <w:kern w:val="0"/>
          <w:szCs w:val="24"/>
        </w:rPr>
        <w:t>4</w:t>
      </w:r>
      <w:r>
        <w:rPr>
          <w:kern w:val="0"/>
          <w:szCs w:val="24"/>
        </w:rPr>
        <w:t>m，从而改变</w:t>
      </w:r>
      <w:r>
        <w:rPr>
          <w:rFonts w:hint="eastAsia"/>
          <w:kern w:val="0"/>
          <w:szCs w:val="24"/>
        </w:rPr>
        <w:t>坝址下游</w:t>
      </w:r>
      <w:r>
        <w:rPr>
          <w:kern w:val="0"/>
          <w:szCs w:val="24"/>
        </w:rPr>
        <w:t>的水位高程，</w:t>
      </w:r>
      <w:r>
        <w:rPr>
          <w:rFonts w:hint="eastAsia"/>
          <w:kern w:val="0"/>
          <w:szCs w:val="24"/>
        </w:rPr>
        <w:t>坝址下游</w:t>
      </w:r>
      <w:r>
        <w:rPr>
          <w:kern w:val="0"/>
          <w:szCs w:val="24"/>
        </w:rPr>
        <w:t>河段水位均较原水位有不同程度的</w:t>
      </w:r>
      <w:r>
        <w:rPr>
          <w:rFonts w:hint="eastAsia"/>
          <w:kern w:val="0"/>
          <w:szCs w:val="24"/>
        </w:rPr>
        <w:t>降低</w:t>
      </w:r>
      <w:r>
        <w:rPr>
          <w:kern w:val="0"/>
          <w:szCs w:val="24"/>
        </w:rPr>
        <w:t>。</w:t>
      </w:r>
    </w:p>
    <w:p>
      <w:pPr>
        <w:autoSpaceDE w:val="0"/>
        <w:autoSpaceDN w:val="0"/>
        <w:adjustRightInd w:val="0"/>
        <w:ind w:firstLine="480"/>
        <w:rPr>
          <w:kern w:val="0"/>
          <w:szCs w:val="24"/>
        </w:rPr>
      </w:pPr>
      <w:r>
        <w:rPr>
          <w:kern w:val="0"/>
          <w:szCs w:val="24"/>
        </w:rPr>
        <w:t>水域面积：</w:t>
      </w:r>
      <w:r>
        <w:rPr>
          <w:rFonts w:hint="eastAsia"/>
          <w:kern w:val="0"/>
          <w:szCs w:val="24"/>
        </w:rPr>
        <w:t>抬水工程</w:t>
      </w:r>
      <w:r>
        <w:rPr>
          <w:kern w:val="0"/>
          <w:szCs w:val="24"/>
        </w:rPr>
        <w:t>建成后，由于水位抬升，坝前水深增加、水面变宽、</w:t>
      </w:r>
      <w:r>
        <w:rPr>
          <w:rFonts w:hint="eastAsia"/>
          <w:kern w:val="0"/>
          <w:szCs w:val="24"/>
        </w:rPr>
        <w:t>坝址上游</w:t>
      </w:r>
      <w:r>
        <w:rPr>
          <w:kern w:val="0"/>
          <w:szCs w:val="24"/>
        </w:rPr>
        <w:t>蓄</w:t>
      </w:r>
      <w:r>
        <w:rPr>
          <w:rFonts w:hint="eastAsia"/>
          <w:kern w:val="0"/>
          <w:szCs w:val="24"/>
        </w:rPr>
        <w:t>水</w:t>
      </w:r>
      <w:r>
        <w:rPr>
          <w:kern w:val="0"/>
          <w:szCs w:val="24"/>
        </w:rPr>
        <w:t>量加大，</w:t>
      </w:r>
      <w:r>
        <w:rPr>
          <w:rFonts w:hint="eastAsia"/>
          <w:kern w:val="0"/>
          <w:szCs w:val="24"/>
        </w:rPr>
        <w:t>坝址上游</w:t>
      </w:r>
      <w:r>
        <w:rPr>
          <w:kern w:val="0"/>
          <w:szCs w:val="24"/>
        </w:rPr>
        <w:t>河段再次被更加宽阔的水面所代替。水域面积增大，水深增加，</w:t>
      </w:r>
      <w:r>
        <w:rPr>
          <w:rFonts w:hint="eastAsia"/>
          <w:kern w:val="0"/>
          <w:szCs w:val="24"/>
        </w:rPr>
        <w:t>则坝址下游反之。</w:t>
      </w:r>
    </w:p>
    <w:p>
      <w:pPr>
        <w:autoSpaceDE w:val="0"/>
        <w:autoSpaceDN w:val="0"/>
        <w:adjustRightInd w:val="0"/>
        <w:ind w:firstLine="480"/>
        <w:rPr>
          <w:rFonts w:ascii="宋体" w:cs="宋体"/>
          <w:kern w:val="0"/>
          <w:szCs w:val="24"/>
        </w:rPr>
      </w:pPr>
      <w:r>
        <w:rPr>
          <w:rFonts w:hint="eastAsia" w:ascii="宋体" w:cs="宋体"/>
          <w:kern w:val="0"/>
          <w:szCs w:val="24"/>
        </w:rPr>
        <w:t>流量</w:t>
      </w:r>
      <w:r>
        <w:rPr>
          <w:rFonts w:ascii="宋体" w:cs="宋体"/>
          <w:kern w:val="0"/>
          <w:szCs w:val="24"/>
        </w:rPr>
        <w:t>：</w:t>
      </w:r>
      <w:r>
        <w:rPr>
          <w:rFonts w:hint="eastAsia" w:ascii="宋体" w:cs="宋体"/>
          <w:kern w:val="0"/>
          <w:szCs w:val="24"/>
        </w:rPr>
        <w:t>抬水工程建成蓄水后，由于抬水工程的阻隔，坝址上游</w:t>
      </w:r>
      <w:r>
        <w:rPr>
          <w:rFonts w:ascii="宋体" w:cs="宋体"/>
          <w:kern w:val="0"/>
          <w:szCs w:val="24"/>
        </w:rPr>
        <w:t>河段较原河道状态下流速减缓，</w:t>
      </w:r>
      <w:r>
        <w:rPr>
          <w:rFonts w:hint="eastAsia" w:ascii="宋体" w:cs="宋体"/>
          <w:kern w:val="0"/>
          <w:szCs w:val="24"/>
        </w:rPr>
        <w:t>坝址下游水流量变小。</w:t>
      </w:r>
    </w:p>
    <w:p>
      <w:pPr>
        <w:autoSpaceDE w:val="0"/>
        <w:autoSpaceDN w:val="0"/>
        <w:adjustRightInd w:val="0"/>
        <w:ind w:firstLine="480"/>
        <w:rPr>
          <w:kern w:val="0"/>
          <w:szCs w:val="24"/>
        </w:rPr>
      </w:pPr>
      <w:r>
        <w:rPr>
          <w:rFonts w:hint="eastAsia"/>
          <w:kern w:val="0"/>
          <w:szCs w:val="24"/>
        </w:rPr>
        <w:t>但由于本工程无取水和灌溉任务，因此运行期河道天然来水全部下泄，且当天然来水不足时，项目通</w:t>
      </w:r>
      <w:r>
        <w:t>启抬水工程闸门高度下泄生态流量</w:t>
      </w:r>
      <w:r>
        <w:rPr>
          <w:rFonts w:hint="eastAsia"/>
          <w:kern w:val="0"/>
          <w:szCs w:val="24"/>
        </w:rPr>
        <w:t>，严格按照工程设计下泄生态基流。因此，运行期对坝址下游水文情势影响不是很大。</w:t>
      </w:r>
    </w:p>
    <w:p>
      <w:pPr>
        <w:pStyle w:val="835"/>
        <w:spacing w:before="0" w:line="360" w:lineRule="auto"/>
      </w:pPr>
      <w:r>
        <w:rPr>
          <w:rFonts w:hint="eastAsia"/>
        </w:rPr>
        <w:t>5.2.5泥沙情势影响分析</w:t>
      </w:r>
    </w:p>
    <w:p>
      <w:pPr>
        <w:autoSpaceDE w:val="0"/>
        <w:autoSpaceDN w:val="0"/>
        <w:adjustRightInd w:val="0"/>
        <w:ind w:firstLine="480"/>
        <w:rPr>
          <w:kern w:val="0"/>
          <w:szCs w:val="24"/>
        </w:rPr>
      </w:pPr>
      <w:r>
        <w:rPr>
          <w:kern w:val="0"/>
          <w:szCs w:val="24"/>
        </w:rPr>
        <w:t>抬水工程蓄水后，</w:t>
      </w:r>
      <w:r>
        <w:t>改变了原有天然河道的水文情势，致使</w:t>
      </w:r>
      <w:r>
        <w:rPr>
          <w:rFonts w:hint="eastAsia"/>
        </w:rPr>
        <w:t>坝址上游</w:t>
      </w:r>
      <w:r>
        <w:t>水流减缓，携沙能力下降，水流携带的泥沙逐渐淤积在</w:t>
      </w:r>
      <w:r>
        <w:rPr>
          <w:rFonts w:hint="eastAsia"/>
        </w:rPr>
        <w:t>坝址上游河段</w:t>
      </w:r>
      <w:r>
        <w:t>内，</w:t>
      </w:r>
      <w:r>
        <w:rPr>
          <w:rFonts w:hint="eastAsia"/>
        </w:rPr>
        <w:t>坝址前</w:t>
      </w:r>
      <w:r>
        <w:t>河床抬高，减少了下泄水含沙量，水流通过抬水工程闸门集中下泄，增大了对下游河道的冲刷作用。</w:t>
      </w:r>
    </w:p>
    <w:p>
      <w:pPr>
        <w:ind w:firstLine="480"/>
        <w:rPr>
          <w:kern w:val="0"/>
          <w:szCs w:val="24"/>
        </w:rPr>
      </w:pPr>
      <w:r>
        <w:rPr>
          <w:rFonts w:hint="eastAsia"/>
        </w:rPr>
        <w:t>锦</w:t>
      </w:r>
      <w:r>
        <w:t>河流域的泥沙来源主要是暴雨洪水对表土的侵蚀。流域内仅</w:t>
      </w:r>
      <w:r>
        <w:rPr>
          <w:rFonts w:hint="eastAsia"/>
        </w:rPr>
        <w:t>有锦江</w:t>
      </w:r>
      <w:r>
        <w:t>干流</w:t>
      </w:r>
      <w:r>
        <w:rPr>
          <w:rFonts w:hint="eastAsia"/>
        </w:rPr>
        <w:t>高安</w:t>
      </w:r>
      <w:r>
        <w:t>站泥沙观测资料。根据</w:t>
      </w:r>
      <w:r>
        <w:rPr>
          <w:rFonts w:hint="eastAsia"/>
        </w:rPr>
        <w:t>高安</w:t>
      </w:r>
      <w:r>
        <w:t>站资料统计，该站多年平均含沙量0.10</w:t>
      </w:r>
      <w:r>
        <w:rPr>
          <w:rFonts w:hint="eastAsia"/>
        </w:rPr>
        <w:t>0</w:t>
      </w:r>
      <w:r>
        <w:t>kg/m</w:t>
      </w:r>
      <w:r>
        <w:rPr>
          <w:vertAlign w:val="superscript"/>
        </w:rPr>
        <w:t>3</w:t>
      </w:r>
      <w:r>
        <w:t>，多年平均输沙量</w:t>
      </w:r>
      <w:r>
        <w:rPr>
          <w:rFonts w:hint="eastAsia"/>
        </w:rPr>
        <w:t>52.8</w:t>
      </w:r>
      <w:r>
        <w:t>万t，多年平均输沙模数</w:t>
      </w:r>
      <w:r>
        <w:rPr>
          <w:rFonts w:hint="eastAsia"/>
        </w:rPr>
        <w:t>90.1</w:t>
      </w:r>
      <w:r>
        <w:t>t/km</w:t>
      </w:r>
      <w:r>
        <w:rPr>
          <w:vertAlign w:val="superscript"/>
        </w:rPr>
        <w:t>2</w:t>
      </w:r>
      <w:r>
        <w:t>。以</w:t>
      </w:r>
      <w:r>
        <w:rPr>
          <w:rFonts w:hint="eastAsia"/>
        </w:rPr>
        <w:t>高安</w:t>
      </w:r>
      <w:r>
        <w:t>站为依据站推算</w:t>
      </w:r>
      <w:r>
        <w:rPr>
          <w:rFonts w:hint="eastAsia"/>
        </w:rPr>
        <w:t>毛家渡</w:t>
      </w:r>
      <w:r>
        <w:t>抬水坝断面泥沙年平均输沙量</w:t>
      </w:r>
      <w:r>
        <w:rPr>
          <w:rFonts w:hint="eastAsia"/>
        </w:rPr>
        <w:t>21.2</w:t>
      </w:r>
      <w:r>
        <w:t>万吨。</w:t>
      </w:r>
      <w:r>
        <w:rPr>
          <w:kern w:val="0"/>
          <w:szCs w:val="24"/>
        </w:rPr>
        <w:t>由泥沙淤积计算表明，河道泥沙较多。坝址下游河段由于平时来水含沙量减少，在</w:t>
      </w:r>
      <w:r>
        <w:rPr>
          <w:rFonts w:hint="eastAsia"/>
          <w:kern w:val="0"/>
          <w:szCs w:val="24"/>
        </w:rPr>
        <w:t>坝址上游</w:t>
      </w:r>
      <w:r>
        <w:rPr>
          <w:kern w:val="0"/>
          <w:szCs w:val="24"/>
        </w:rPr>
        <w:t>汛期泄洪时将受到水流的冲刷作用，冲刷区河段覆盖层被冲走，其总的演变趋势为河床高程逐渐降低。</w:t>
      </w:r>
      <w:r>
        <w:rPr>
          <w:rFonts w:hint="eastAsia"/>
          <w:kern w:val="0"/>
          <w:szCs w:val="24"/>
        </w:rPr>
        <w:t>锦河</w:t>
      </w:r>
      <w:r>
        <w:rPr>
          <w:kern w:val="0"/>
          <w:szCs w:val="24"/>
        </w:rPr>
        <w:t>河道下部岩体为硬质岩，抗冲刷能力较好，河床段冲刷降低至一定高程后将会停止下降达到平衡。</w:t>
      </w:r>
    </w:p>
    <w:p>
      <w:pPr>
        <w:ind w:firstLine="480"/>
      </w:pPr>
      <w:r>
        <w:rPr>
          <w:kern w:val="0"/>
          <w:szCs w:val="24"/>
        </w:rPr>
        <w:t>本</w:t>
      </w:r>
      <w:r>
        <w:t>工程为满足抬水、过流、冲砂、行洪、运行管理方便等综合要求，</w:t>
      </w:r>
      <w:r>
        <w:rPr>
          <w:rFonts w:hint="eastAsia"/>
        </w:rPr>
        <w:t>抬水工程</w:t>
      </w:r>
      <w:r>
        <w:t>中设一座冲砂闸。建坝后，水流与坝线基本垂直相交，为确保水流平顺，坝址上、下游各需疏挖保护约100m长河段，坝区河沙</w:t>
      </w:r>
      <w:r>
        <w:rPr>
          <w:kern w:val="0"/>
          <w:szCs w:val="24"/>
        </w:rPr>
        <w:t>淤积量较少，基本维持天然河道形态，</w:t>
      </w:r>
      <w:r>
        <w:t>不会对河势稳定产生不利影响。</w:t>
      </w:r>
    </w:p>
    <w:p>
      <w:pPr>
        <w:pStyle w:val="835"/>
        <w:spacing w:before="0" w:line="360" w:lineRule="auto"/>
      </w:pPr>
      <w:r>
        <w:rPr>
          <w:rFonts w:hint="eastAsia"/>
        </w:rPr>
        <w:t>5.2.6对河道行洪影响分析</w:t>
      </w:r>
    </w:p>
    <w:p>
      <w:pPr>
        <w:ind w:firstLine="480"/>
      </w:pPr>
      <w:r>
        <w:rPr>
          <w:rFonts w:hint="eastAsia"/>
        </w:rPr>
        <w:t>抬水工程枢纽布置紧凑，整个枢纽基本垂直水流方向呈直线分布，泄流总净宽195m，闸坝底板39.00m与河道天然枯水位（39.19m）基本持平，对河道行洪有一定影响，有必要定量分析抬水工程在汛期时对河道行洪能力的影响程度。</w:t>
      </w:r>
    </w:p>
    <w:p>
      <w:pPr>
        <w:ind w:firstLine="480"/>
      </w:pPr>
      <w:r>
        <w:rPr>
          <w:rFonts w:hint="eastAsia"/>
        </w:rPr>
        <w:t>经建坝前后洪水分析，50年一遇洪水条件下（P=2%），下坝线至其上游0.9km断面区间洪水水面线相差0.15～0m，0.9km以上不受影响。20年一遇洪水条件下（P=5%），上坝线至其上1.5km断面区间洪水水面线相差0.18～0m，1.km以上不受影响。抬水工程坝址上游两岸防洪堤（墙）已进行除险加固处理，均满足防洪要求。可见，毛家渡抬水工程在汛期时对河道行洪影响不大，工程建设从行洪角度可以满足相关规范要求。</w:t>
      </w:r>
    </w:p>
    <w:p>
      <w:pPr>
        <w:pStyle w:val="835"/>
        <w:spacing w:before="0" w:line="360" w:lineRule="auto"/>
      </w:pPr>
      <w:r>
        <w:rPr>
          <w:rFonts w:hint="eastAsia"/>
        </w:rPr>
        <w:t>5.2.7对锦江航运影响分析</w:t>
      </w:r>
    </w:p>
    <w:p>
      <w:pPr>
        <w:ind w:firstLine="480"/>
        <w:rPr>
          <w:color w:val="0000FF"/>
          <w:szCs w:val="24"/>
        </w:rPr>
      </w:pPr>
      <w:r>
        <w:rPr>
          <w:color w:val="0000FF"/>
          <w:szCs w:val="24"/>
        </w:rPr>
        <w:t>根据锦河航道规划，锦河干流上游规划的南田峡水库可作为航运流量的调节水库。同时对已建枢纽增设过坝设施，河道再进行适当疏浚整治，可恢复锦河万载至高安这段航运。</w:t>
      </w:r>
    </w:p>
    <w:p>
      <w:pPr>
        <w:ind w:firstLine="480"/>
        <w:rPr>
          <w:color w:val="0000FF"/>
          <w:szCs w:val="24"/>
        </w:rPr>
      </w:pPr>
      <w:r>
        <w:rPr>
          <w:color w:val="0000FF"/>
          <w:szCs w:val="24"/>
        </w:rPr>
        <w:t>在万载至高安的航道恢复后，通过本次毛家渡抬水工程的新建，可大大抬高锦河上高段约14km河道水位，主航道内水深普遍都在4m以上，远高于《内河通航标准》</w:t>
      </w:r>
      <w:r>
        <w:rPr>
          <w:rFonts w:hint="eastAsia"/>
          <w:color w:val="0000FF"/>
          <w:szCs w:val="24"/>
        </w:rPr>
        <w:t>（</w:t>
      </w:r>
      <w:r>
        <w:rPr>
          <w:color w:val="0000FF"/>
          <w:szCs w:val="24"/>
        </w:rPr>
        <w:t>GB 50139-2014</w:t>
      </w:r>
      <w:r>
        <w:rPr>
          <w:rFonts w:hint="eastAsia"/>
          <w:color w:val="0000FF"/>
          <w:szCs w:val="24"/>
        </w:rPr>
        <w:t>）</w:t>
      </w:r>
      <w:r>
        <w:rPr>
          <w:color w:val="0000FF"/>
          <w:szCs w:val="24"/>
        </w:rPr>
        <w:t xml:space="preserve"> 规范所规定的航道水深1.4m 的要求，且船舶通行河面宽度也大为拓宽，通航条件明显得到改善。</w:t>
      </w:r>
    </w:p>
    <w:p>
      <w:pPr>
        <w:ind w:firstLine="480"/>
        <w:rPr>
          <w:color w:val="0000FF"/>
          <w:szCs w:val="24"/>
        </w:rPr>
      </w:pPr>
      <w:r>
        <w:rPr>
          <w:rFonts w:hint="eastAsia"/>
          <w:color w:val="0000FF"/>
          <w:szCs w:val="24"/>
        </w:rPr>
        <w:t>综上，根据新形势下发展的需要，为了改善城市生态环境，营造城区河道水体景观，美化城市环境，提升城市形象和品位，改善航道，选择适当位置兴建抬水工程是非常迫切和必要的。</w:t>
      </w:r>
    </w:p>
    <w:p>
      <w:pPr>
        <w:pStyle w:val="835"/>
        <w:spacing w:before="0" w:line="360" w:lineRule="auto"/>
      </w:pPr>
      <w:r>
        <w:rPr>
          <w:rFonts w:hint="eastAsia"/>
        </w:rPr>
        <w:t>5.2.8对其它水利工程的影响</w:t>
      </w:r>
    </w:p>
    <w:p>
      <w:pPr>
        <w:ind w:firstLine="480"/>
        <w:rPr>
          <w:rFonts w:ascii="宋体" w:hAnsi="宋体" w:cs="宋体"/>
          <w:color w:val="0000FF"/>
        </w:rPr>
      </w:pPr>
      <w:r>
        <w:rPr>
          <w:rFonts w:hint="eastAsia" w:ascii="宋体" w:hAnsi="宋体" w:cs="宋体"/>
          <w:color w:val="0000FF"/>
        </w:rPr>
        <w:t>⑴</w:t>
      </w:r>
      <w:r>
        <w:rPr>
          <w:rFonts w:ascii="宋体" w:hAnsi="宋体" w:cs="宋体"/>
          <w:color w:val="0000FF"/>
        </w:rPr>
        <w:t>对上游电站的影响</w:t>
      </w:r>
    </w:p>
    <w:p>
      <w:pPr>
        <w:ind w:firstLine="480"/>
        <w:rPr>
          <w:color w:val="0000FF"/>
        </w:rPr>
      </w:pPr>
      <w:r>
        <w:rPr>
          <w:color w:val="0000FF"/>
        </w:rPr>
        <w:t>兴建</w:t>
      </w:r>
      <w:r>
        <w:rPr>
          <w:rFonts w:hint="eastAsia"/>
          <w:color w:val="0000FF"/>
        </w:rPr>
        <w:t>毛家渡</w:t>
      </w:r>
      <w:r>
        <w:rPr>
          <w:color w:val="0000FF"/>
        </w:rPr>
        <w:t>抬水工程会抬高工程断面至上游河道水位，即会抬高</w:t>
      </w:r>
      <w:r>
        <w:rPr>
          <w:rFonts w:hint="eastAsia"/>
          <w:color w:val="0000FF"/>
        </w:rPr>
        <w:t>团结</w:t>
      </w:r>
      <w:r>
        <w:rPr>
          <w:color w:val="0000FF"/>
        </w:rPr>
        <w:t>电站发电尾水位，有可能会对电站发电水头造成不利影响。</w:t>
      </w:r>
    </w:p>
    <w:p>
      <w:pPr>
        <w:ind w:firstLine="480"/>
        <w:rPr>
          <w:color w:val="0000FF"/>
        </w:rPr>
      </w:pPr>
      <w:r>
        <w:rPr>
          <w:rFonts w:hint="eastAsia"/>
          <w:color w:val="0000FF"/>
        </w:rPr>
        <w:t>拟建坝址上游约14km处建有团结电站，正常蓄水位为46.0m，尾水高程约41.00m。该抬水工程的主要任务是发电，现状城区河床高程大部分在37~42.20之间，因此要满足城市抬水景观，我们的抬水的正常蓄水位就宜在43.00m 以上，这样就会对团结电站尾水造成淹没。根据规划，上游团结电站将拆除。</w:t>
      </w:r>
    </w:p>
    <w:p>
      <w:pPr>
        <w:ind w:firstLine="480"/>
        <w:rPr>
          <w:color w:val="0000FF"/>
        </w:rPr>
      </w:pPr>
      <w:r>
        <w:rPr>
          <w:rFonts w:hint="eastAsia" w:ascii="宋体" w:hAnsi="宋体" w:cs="宋体"/>
          <w:color w:val="0000FF"/>
        </w:rPr>
        <w:t>⑵</w:t>
      </w:r>
      <w:r>
        <w:rPr>
          <w:color w:val="0000FF"/>
        </w:rPr>
        <w:t>对上游河段排水闸的影响</w:t>
      </w:r>
    </w:p>
    <w:p>
      <w:pPr>
        <w:ind w:firstLine="480"/>
        <w:rPr>
          <w:color w:val="0000FF"/>
        </w:rPr>
      </w:pPr>
      <w:r>
        <w:rPr>
          <w:rFonts w:hint="eastAsia"/>
          <w:color w:val="0000FF"/>
        </w:rPr>
        <w:t>经现场踏勘及调查，团结电站大坝</w:t>
      </w:r>
      <w:r>
        <w:rPr>
          <w:color w:val="0000FF"/>
        </w:rPr>
        <w:t>至</w:t>
      </w:r>
      <w:r>
        <w:rPr>
          <w:rFonts w:hint="eastAsia"/>
          <w:color w:val="0000FF"/>
        </w:rPr>
        <w:t>毛家渡</w:t>
      </w:r>
      <w:r>
        <w:rPr>
          <w:color w:val="0000FF"/>
        </w:rPr>
        <w:t>抬水工程区间范围内</w:t>
      </w:r>
      <w:r>
        <w:rPr>
          <w:rFonts w:hint="eastAsia"/>
          <w:color w:val="0000FF"/>
        </w:rPr>
        <w:t>的排水闸有石井泄洪闸</w:t>
      </w:r>
      <w:r>
        <w:rPr>
          <w:color w:val="0000FF"/>
        </w:rPr>
        <w:t>、</w:t>
      </w:r>
      <w:r>
        <w:rPr>
          <w:rFonts w:hint="eastAsia"/>
          <w:color w:val="0000FF"/>
        </w:rPr>
        <w:t>锦河</w:t>
      </w:r>
      <w:r>
        <w:rPr>
          <w:color w:val="0000FF"/>
        </w:rPr>
        <w:t>大桥自排闸</w:t>
      </w:r>
      <w:r>
        <w:rPr>
          <w:rFonts w:hint="eastAsia"/>
          <w:color w:val="0000FF"/>
        </w:rPr>
        <w:t>，锦河</w:t>
      </w:r>
      <w:r>
        <w:rPr>
          <w:color w:val="0000FF"/>
        </w:rPr>
        <w:t>大桥自排闸</w:t>
      </w:r>
      <w:r>
        <w:rPr>
          <w:rFonts w:hint="eastAsia"/>
          <w:color w:val="0000FF"/>
        </w:rPr>
        <w:t>排水闸</w:t>
      </w:r>
      <w:r>
        <w:rPr>
          <w:color w:val="0000FF"/>
        </w:rPr>
        <w:t>出口底板高程为</w:t>
      </w:r>
      <w:r>
        <w:rPr>
          <w:rFonts w:hint="eastAsia"/>
          <w:color w:val="0000FF"/>
        </w:rPr>
        <w:t>为39.97m～39.68m</w:t>
      </w:r>
      <w:r>
        <w:rPr>
          <w:color w:val="0000FF"/>
        </w:rPr>
        <w:t>，</w:t>
      </w:r>
      <w:r>
        <w:rPr>
          <w:rFonts w:hint="eastAsia"/>
          <w:color w:val="0000FF"/>
        </w:rPr>
        <w:t>毛家渡</w:t>
      </w:r>
      <w:r>
        <w:rPr>
          <w:color w:val="0000FF"/>
        </w:rPr>
        <w:t>抬水工程建成蓄水至</w:t>
      </w:r>
      <w:r>
        <w:rPr>
          <w:rFonts w:hint="eastAsia"/>
          <w:color w:val="0000FF"/>
        </w:rPr>
        <w:t>正常水位44.5</w:t>
      </w:r>
      <w:r>
        <w:rPr>
          <w:color w:val="0000FF"/>
        </w:rPr>
        <w:t>m时，将</w:t>
      </w:r>
      <w:r>
        <w:rPr>
          <w:rFonts w:hint="eastAsia"/>
          <w:color w:val="0000FF"/>
        </w:rPr>
        <w:t>会对2</w:t>
      </w:r>
      <w:r>
        <w:rPr>
          <w:color w:val="0000FF"/>
        </w:rPr>
        <w:t>座自排闸</w:t>
      </w:r>
      <w:r>
        <w:rPr>
          <w:rFonts w:hint="eastAsia"/>
          <w:color w:val="0000FF"/>
        </w:rPr>
        <w:t>出</w:t>
      </w:r>
      <w:r>
        <w:rPr>
          <w:color w:val="0000FF"/>
        </w:rPr>
        <w:t>口淹没，</w:t>
      </w:r>
      <w:r>
        <w:rPr>
          <w:rFonts w:hint="eastAsia"/>
          <w:color w:val="0000FF"/>
        </w:rPr>
        <w:t>因此，本工程对上游河段排水闸会产生一定的影响。建设单位需对自排</w:t>
      </w:r>
      <w:r>
        <w:rPr>
          <w:color w:val="0000FF"/>
        </w:rPr>
        <w:t>闸</w:t>
      </w:r>
      <w:r>
        <w:rPr>
          <w:rFonts w:hint="eastAsia"/>
          <w:color w:val="0000FF"/>
        </w:rPr>
        <w:t>出口</w:t>
      </w:r>
      <w:r>
        <w:rPr>
          <w:color w:val="0000FF"/>
        </w:rPr>
        <w:t>进行</w:t>
      </w:r>
      <w:r>
        <w:rPr>
          <w:rFonts w:hint="eastAsia"/>
          <w:color w:val="0000FF"/>
        </w:rPr>
        <w:t>论证和</w:t>
      </w:r>
      <w:r>
        <w:rPr>
          <w:color w:val="0000FF"/>
        </w:rPr>
        <w:t>加固处理</w:t>
      </w:r>
      <w:r>
        <w:rPr>
          <w:rFonts w:hint="eastAsia"/>
          <w:color w:val="0000FF"/>
        </w:rPr>
        <w:t>，</w:t>
      </w:r>
      <w:r>
        <w:rPr>
          <w:color w:val="0000FF"/>
        </w:rPr>
        <w:t>加固方案及投资由管理单位聘请有资质单位另案处理。</w:t>
      </w:r>
    </w:p>
    <w:p>
      <w:pPr>
        <w:ind w:firstLine="480"/>
        <w:rPr>
          <w:color w:val="0000FF"/>
        </w:rPr>
      </w:pPr>
      <w:r>
        <w:rPr>
          <w:rFonts w:hint="eastAsia" w:ascii="宋体" w:hAnsi="宋体" w:cs="宋体"/>
          <w:color w:val="0000FF"/>
        </w:rPr>
        <w:t>(3)</w:t>
      </w:r>
      <w:r>
        <w:rPr>
          <w:rFonts w:hint="eastAsia"/>
          <w:color w:val="0000FF"/>
        </w:rPr>
        <w:t>对上游上高水文站的影响</w:t>
      </w:r>
    </w:p>
    <w:p>
      <w:pPr>
        <w:ind w:firstLine="480"/>
        <w:rPr>
          <w:color w:val="0000FF"/>
        </w:rPr>
      </w:pPr>
      <w:r>
        <w:rPr>
          <w:rFonts w:hint="eastAsia"/>
          <w:color w:val="0000FF"/>
        </w:rPr>
        <w:t>兴建毛家渡抬水工程会抬高上高水文站测流断面小流量（850m</w:t>
      </w:r>
      <w:r>
        <w:rPr>
          <w:rFonts w:hint="eastAsia"/>
          <w:color w:val="0000FF"/>
          <w:vertAlign w:val="superscript"/>
        </w:rPr>
        <w:t>3</w:t>
      </w:r>
      <w:r>
        <w:rPr>
          <w:rFonts w:hint="eastAsia"/>
          <w:color w:val="0000FF"/>
        </w:rPr>
        <w:t>/s 以下）时河道水位，河道流速也会减小，会造成上高水文站小流量时，水位流量关系发生变化，因此本抬水工程对上游上高水文站测流有影响，上高水文站需重新分析计算，还原流量，或添加辅助断面，增设新的测流设施，以提高小流量的测验精度，需对其进行论证，具体由管理单位聘请有资质单位另案处理，建议相关部门尽快落实。</w:t>
      </w:r>
    </w:p>
    <w:p>
      <w:pPr>
        <w:ind w:firstLine="480"/>
        <w:rPr>
          <w:color w:val="0000FF"/>
        </w:rPr>
      </w:pPr>
      <w:r>
        <w:rPr>
          <w:rFonts w:hint="eastAsia"/>
          <w:color w:val="0000FF"/>
        </w:rPr>
        <w:t>(3)对下游电站的影响</w:t>
      </w:r>
    </w:p>
    <w:p>
      <w:pPr>
        <w:ind w:firstLine="480"/>
        <w:rPr>
          <w:snapToGrid w:val="0"/>
          <w:color w:val="0000FF"/>
        </w:rPr>
      </w:pPr>
      <w:r>
        <w:rPr>
          <w:color w:val="0000FF"/>
        </w:rPr>
        <w:t>兴建</w:t>
      </w:r>
      <w:r>
        <w:rPr>
          <w:rFonts w:hint="eastAsia"/>
          <w:color w:val="0000FF"/>
        </w:rPr>
        <w:t>毛家渡</w:t>
      </w:r>
      <w:r>
        <w:rPr>
          <w:color w:val="0000FF"/>
        </w:rPr>
        <w:t>抬水工程会抬高工程断面至上游河道水位，</w:t>
      </w:r>
      <w:r>
        <w:rPr>
          <w:rFonts w:hint="eastAsia"/>
          <w:color w:val="0000FF"/>
        </w:rPr>
        <w:t>下游水位降低。</w:t>
      </w:r>
      <w:r>
        <w:rPr>
          <w:rFonts w:hint="eastAsia"/>
          <w:snapToGrid w:val="0"/>
          <w:color w:val="0000FF"/>
        </w:rPr>
        <w:t>利高水电站拦河坝为橡胶</w:t>
      </w:r>
      <w:r>
        <w:rPr>
          <w:snapToGrid w:val="0"/>
          <w:color w:val="0000FF"/>
        </w:rPr>
        <w:t>坝，橡胶坝底板高程</w:t>
      </w:r>
      <w:r>
        <w:rPr>
          <w:rFonts w:hint="eastAsia"/>
          <w:snapToGrid w:val="0"/>
          <w:color w:val="0000FF"/>
        </w:rPr>
        <w:t>37.14</w:t>
      </w:r>
      <w:r>
        <w:rPr>
          <w:snapToGrid w:val="0"/>
          <w:color w:val="0000FF"/>
        </w:rPr>
        <w:t>m，坝顶高程</w:t>
      </w:r>
      <w:r>
        <w:rPr>
          <w:rFonts w:hint="eastAsia"/>
          <w:snapToGrid w:val="0"/>
          <w:color w:val="0000FF"/>
        </w:rPr>
        <w:t>40.64</w:t>
      </w:r>
      <w:r>
        <w:rPr>
          <w:snapToGrid w:val="0"/>
          <w:color w:val="0000FF"/>
        </w:rPr>
        <w:t>m</w:t>
      </w:r>
      <w:r>
        <w:rPr>
          <w:rFonts w:hint="eastAsia"/>
          <w:snapToGrid w:val="0"/>
          <w:color w:val="0000FF"/>
        </w:rPr>
        <w:t>，根据可行性研究报告，本坝址至团结水电站的河床高程为37m-42m左右，因此，利高水电站的回水会到达团结水电站附近，因此本抬水工程不会造成坝址下游减少段，因此对利高水电站发电影响不大。</w:t>
      </w:r>
    </w:p>
    <w:p>
      <w:pPr>
        <w:pStyle w:val="6"/>
        <w:spacing w:beforeLines="50" w:afterLines="50"/>
        <w:rPr>
          <w:szCs w:val="28"/>
        </w:rPr>
      </w:pPr>
      <w:bookmarkStart w:id="818" w:name="_Toc3903295"/>
      <w:bookmarkStart w:id="819" w:name="_Toc536265158"/>
      <w:bookmarkStart w:id="820" w:name="_Toc529279077"/>
      <w:bookmarkStart w:id="821" w:name="_Toc534807073"/>
      <w:bookmarkStart w:id="822" w:name="_Toc281507062"/>
      <w:bookmarkStart w:id="823" w:name="_Toc9995"/>
      <w:bookmarkStart w:id="824" w:name="_Toc534895290"/>
      <w:bookmarkStart w:id="825" w:name="_Toc334643185"/>
      <w:bookmarkStart w:id="826" w:name="_Toc534386314"/>
      <w:r>
        <w:rPr>
          <w:szCs w:val="28"/>
        </w:rPr>
        <w:t>5.</w:t>
      </w:r>
      <w:r>
        <w:rPr>
          <w:rFonts w:hint="eastAsia"/>
          <w:szCs w:val="28"/>
        </w:rPr>
        <w:t>3</w:t>
      </w:r>
      <w:r>
        <w:rPr>
          <w:szCs w:val="28"/>
        </w:rPr>
        <w:t>地表水环境影响评价</w:t>
      </w:r>
      <w:bookmarkEnd w:id="818"/>
      <w:bookmarkEnd w:id="819"/>
      <w:bookmarkEnd w:id="820"/>
      <w:bookmarkEnd w:id="821"/>
      <w:bookmarkEnd w:id="822"/>
      <w:bookmarkEnd w:id="823"/>
      <w:bookmarkEnd w:id="824"/>
      <w:bookmarkEnd w:id="825"/>
      <w:bookmarkEnd w:id="826"/>
    </w:p>
    <w:p>
      <w:pPr>
        <w:pStyle w:val="835"/>
        <w:spacing w:before="0" w:line="360" w:lineRule="auto"/>
      </w:pPr>
      <w:bookmarkStart w:id="827" w:name="_Toc534895291"/>
      <w:bookmarkStart w:id="828" w:name="_Toc536265159"/>
      <w:bookmarkStart w:id="829" w:name="_Toc3903296"/>
      <w:bookmarkStart w:id="830" w:name="_Toc534386315"/>
      <w:bookmarkStart w:id="831" w:name="_Toc529279078"/>
      <w:bookmarkStart w:id="832" w:name="_Toc534807074"/>
      <w:r>
        <w:t>5.</w:t>
      </w:r>
      <w:r>
        <w:rPr>
          <w:rFonts w:hint="eastAsia"/>
        </w:rPr>
        <w:t>3</w:t>
      </w:r>
      <w:r>
        <w:t>.1施工期水环境影响分析</w:t>
      </w:r>
      <w:bookmarkEnd w:id="827"/>
      <w:bookmarkEnd w:id="828"/>
      <w:bookmarkEnd w:id="829"/>
      <w:bookmarkEnd w:id="830"/>
      <w:bookmarkEnd w:id="831"/>
      <w:bookmarkEnd w:id="832"/>
    </w:p>
    <w:p>
      <w:pPr>
        <w:pStyle w:val="297"/>
        <w:spacing w:line="360" w:lineRule="auto"/>
        <w:rPr>
          <w:rFonts w:ascii="Times New Roman" w:hAnsi="Times New Roman"/>
          <w:color w:val="auto"/>
        </w:rPr>
      </w:pPr>
      <w:r>
        <w:rPr>
          <w:rFonts w:hint="eastAsia"/>
          <w:color w:val="auto"/>
        </w:rPr>
        <w:t>工程施工期废水包括生产废水和生活污水两部分</w:t>
      </w:r>
      <w:r>
        <w:rPr>
          <w:rFonts w:ascii="Times New Roman" w:hAnsi="Times New Roman"/>
          <w:color w:val="auto"/>
        </w:rPr>
        <w:t>，生产废水经处理后回用不外排，生活污水依托</w:t>
      </w:r>
      <w:r>
        <w:rPr>
          <w:rFonts w:hint="eastAsia" w:ascii="Times New Roman" w:hAnsi="Times New Roman"/>
          <w:color w:val="auto"/>
        </w:rPr>
        <w:t>租赁</w:t>
      </w:r>
      <w:r>
        <w:rPr>
          <w:rFonts w:hint="eastAsia"/>
          <w:color w:val="auto"/>
        </w:rPr>
        <w:t>房屋</w:t>
      </w:r>
      <w:r>
        <w:rPr>
          <w:color w:val="auto"/>
        </w:rPr>
        <w:t>现有的污水处理</w:t>
      </w:r>
      <w:r>
        <w:rPr>
          <w:rFonts w:hint="eastAsia"/>
          <w:color w:val="auto"/>
        </w:rPr>
        <w:t>设施</w:t>
      </w:r>
      <w:r>
        <w:rPr>
          <w:color w:val="auto"/>
        </w:rPr>
        <w:t>和排水系统</w:t>
      </w:r>
      <w:r>
        <w:rPr>
          <w:rFonts w:hint="eastAsia" w:ascii="Times New Roman" w:hAnsi="Times New Roman"/>
          <w:color w:val="auto"/>
        </w:rPr>
        <w:t>排放</w:t>
      </w:r>
      <w:r>
        <w:rPr>
          <w:rFonts w:ascii="Times New Roman" w:hAnsi="Times New Roman"/>
          <w:color w:val="auto"/>
        </w:rPr>
        <w:t>。</w:t>
      </w:r>
    </w:p>
    <w:p>
      <w:pPr>
        <w:pStyle w:val="297"/>
        <w:spacing w:line="360" w:lineRule="auto"/>
        <w:ind w:firstLine="0"/>
        <w:rPr>
          <w:rFonts w:ascii="Times New Roman" w:hAnsi="Times New Roman"/>
          <w:b/>
          <w:color w:val="auto"/>
        </w:rPr>
      </w:pPr>
      <w:r>
        <w:rPr>
          <w:rFonts w:ascii="Times New Roman" w:hAnsi="Times New Roman"/>
          <w:b/>
          <w:color w:val="auto"/>
        </w:rPr>
        <w:t>5.</w:t>
      </w:r>
      <w:r>
        <w:rPr>
          <w:rFonts w:hint="eastAsia" w:ascii="Times New Roman" w:hAnsi="Times New Roman"/>
          <w:b/>
          <w:color w:val="auto"/>
        </w:rPr>
        <w:t>3</w:t>
      </w:r>
      <w:r>
        <w:rPr>
          <w:rFonts w:ascii="Times New Roman" w:hAnsi="Times New Roman"/>
          <w:b/>
          <w:color w:val="auto"/>
        </w:rPr>
        <w:t>.1.1生产废水</w:t>
      </w:r>
    </w:p>
    <w:p>
      <w:pPr>
        <w:autoSpaceDE w:val="0"/>
        <w:autoSpaceDN w:val="0"/>
        <w:adjustRightInd w:val="0"/>
        <w:ind w:firstLine="480"/>
      </w:pPr>
      <w:r>
        <w:rPr>
          <w:rFonts w:hint="eastAsia"/>
        </w:rPr>
        <w:t>由于</w:t>
      </w:r>
      <w:r>
        <w:rPr>
          <w:rFonts w:hint="eastAsia" w:hAnsi="宋体"/>
          <w:szCs w:val="24"/>
        </w:rPr>
        <w:t>施工场地内不设砂石料加工及混凝土拌和系统，因此，</w:t>
      </w:r>
      <w:r>
        <w:rPr>
          <w:rFonts w:hint="eastAsia"/>
        </w:rPr>
        <w:t>生产废水主要来自大坝基坑废水、</w:t>
      </w:r>
      <w:r>
        <w:t>机械车辆维修</w:t>
      </w:r>
      <w:r>
        <w:rPr>
          <w:rFonts w:hint="eastAsia"/>
        </w:rPr>
        <w:t>及冲洗废水等</w:t>
      </w:r>
      <w:r>
        <w:t>。</w:t>
      </w:r>
    </w:p>
    <w:p>
      <w:pPr>
        <w:ind w:firstLine="480"/>
      </w:pPr>
      <w:r>
        <w:rPr>
          <w:rFonts w:hint="eastAsia"/>
        </w:rPr>
        <w:t>(1)</w:t>
      </w:r>
      <w:r>
        <w:t>养护等过程中产生的废水</w:t>
      </w:r>
    </w:p>
    <w:p>
      <w:pPr>
        <w:ind w:firstLine="480"/>
      </w:pPr>
      <w:r>
        <w:t>拟建项目混凝土量约为5.51万m</w:t>
      </w:r>
      <w:r>
        <w:rPr>
          <w:vertAlign w:val="superscript"/>
        </w:rPr>
        <w:t>3</w:t>
      </w:r>
      <w:r>
        <w:t>，养护1m</w:t>
      </w:r>
      <w:r>
        <w:rPr>
          <w:vertAlign w:val="superscript"/>
        </w:rPr>
        <w:t>3</w:t>
      </w:r>
      <w:r>
        <w:t>混凝土需水0.35m</w:t>
      </w:r>
      <w:r>
        <w:rPr>
          <w:vertAlign w:val="superscript"/>
        </w:rPr>
        <w:t>3</w:t>
      </w:r>
      <w:r>
        <w:t>，拟建项目养护水量共约</w:t>
      </w:r>
      <w:r>
        <w:rPr>
          <w:rFonts w:hint="eastAsia"/>
        </w:rPr>
        <w:t>1.93</w:t>
      </w:r>
      <w:r>
        <w:t>万m</w:t>
      </w:r>
      <w:r>
        <w:rPr>
          <w:vertAlign w:val="superscript"/>
        </w:rPr>
        <w:t>3</w:t>
      </w:r>
      <w:r>
        <w:t>。施工期按</w:t>
      </w:r>
      <w:r>
        <w:rPr>
          <w:rFonts w:hint="eastAsia"/>
        </w:rPr>
        <w:t>540</w:t>
      </w:r>
      <w:r>
        <w:t>天（</w:t>
      </w:r>
      <w:r>
        <w:rPr>
          <w:rFonts w:hint="eastAsia"/>
        </w:rPr>
        <w:t>18</w:t>
      </w:r>
      <w:r>
        <w:t>个月）计算，养护水量</w:t>
      </w:r>
      <w:r>
        <w:rPr>
          <w:rFonts w:hint="eastAsia"/>
        </w:rPr>
        <w:t>35.74</w:t>
      </w:r>
      <w:r>
        <w:t>m</w:t>
      </w:r>
      <w:r>
        <w:rPr>
          <w:vertAlign w:val="superscript"/>
        </w:rPr>
        <w:t>3</w:t>
      </w:r>
      <w:r>
        <w:t>/d，废水量为</w:t>
      </w:r>
      <w:r>
        <w:rPr>
          <w:rFonts w:hint="eastAsia"/>
        </w:rPr>
        <w:t>28.59</w:t>
      </w:r>
      <w:r>
        <w:t>m</w:t>
      </w:r>
      <w:r>
        <w:rPr>
          <w:vertAlign w:val="superscript"/>
        </w:rPr>
        <w:t>3</w:t>
      </w:r>
      <w:r>
        <w:t>/d，主要污染物为SS，经沉淀池沉淀后全部回用不外排</w:t>
      </w:r>
      <w:r>
        <w:rPr>
          <w:rFonts w:hint="eastAsia"/>
        </w:rPr>
        <w:t>，对地表水影响较小</w:t>
      </w:r>
    </w:p>
    <w:p>
      <w:pPr>
        <w:pStyle w:val="297"/>
        <w:spacing w:line="360" w:lineRule="auto"/>
        <w:rPr>
          <w:rFonts w:ascii="Times New Roman" w:hAnsi="Times New Roman"/>
          <w:color w:val="auto"/>
        </w:rPr>
      </w:pPr>
      <w:r>
        <w:rPr>
          <w:rFonts w:ascii="Times New Roman" w:hAnsi="Times New Roman"/>
          <w:color w:val="auto"/>
        </w:rPr>
        <w:t>(</w:t>
      </w:r>
      <w:r>
        <w:rPr>
          <w:rFonts w:hint="eastAsia" w:ascii="Times New Roman" w:hAnsi="Times New Roman"/>
          <w:color w:val="auto"/>
        </w:rPr>
        <w:t>2</w:t>
      </w:r>
      <w:r>
        <w:rPr>
          <w:rFonts w:ascii="Times New Roman" w:hAnsi="Times New Roman"/>
          <w:color w:val="auto"/>
        </w:rPr>
        <w:t>)基坑废水</w:t>
      </w:r>
    </w:p>
    <w:p>
      <w:pPr>
        <w:autoSpaceDE w:val="0"/>
        <w:autoSpaceDN w:val="0"/>
        <w:adjustRightInd w:val="0"/>
        <w:ind w:firstLine="480"/>
        <w:rPr>
          <w:szCs w:val="24"/>
        </w:rPr>
      </w:pPr>
      <w:r>
        <w:rPr>
          <w:szCs w:val="24"/>
        </w:rPr>
        <w:t>大坝基坑废水包括初期基坑废水和经常性废水等两部分，其中初期基坑废水量约655.4m³/d，其特点是以天然水体为主，污染物种类少、含量低，悬浮物浓度50~200mg/L，基坑内投加絮凝剂经沉淀处理后，上清液可回用于枢纽建筑物的生产用水，多余部分达标外排</w:t>
      </w:r>
      <w:r>
        <w:rPr>
          <w:rFonts w:hint="eastAsia"/>
          <w:szCs w:val="24"/>
        </w:rPr>
        <w:t>锦</w:t>
      </w:r>
      <w:r>
        <w:rPr>
          <w:szCs w:val="24"/>
        </w:rPr>
        <w:t>河。</w:t>
      </w:r>
    </w:p>
    <w:p>
      <w:pPr>
        <w:autoSpaceDE w:val="0"/>
        <w:autoSpaceDN w:val="0"/>
        <w:adjustRightInd w:val="0"/>
        <w:ind w:firstLine="480"/>
        <w:rPr>
          <w:szCs w:val="24"/>
        </w:rPr>
      </w:pPr>
      <w:r>
        <w:rPr>
          <w:szCs w:val="24"/>
        </w:rPr>
        <w:t>经常性废水产生于大坝基础开挖和混凝土填筑的过程中，由降水、渗水和施工用水（主要为混凝土养护水）组成，悬浮物浓度约2000mg/L、pH11～12。本工程经常性废水量较少，约48m³/d。采用在基坑内加絮凝剂沉淀的处理方法，悬浮物的浓度可降为70mg/L以下，经处理后的基坑废水可回用于生产或综合利用，不外排，对环境影响较小。</w:t>
      </w:r>
    </w:p>
    <w:p>
      <w:pPr>
        <w:autoSpaceDE w:val="0"/>
        <w:autoSpaceDN w:val="0"/>
        <w:adjustRightInd w:val="0"/>
        <w:ind w:firstLine="480"/>
        <w:rPr>
          <w:kern w:val="0"/>
          <w:szCs w:val="24"/>
        </w:rPr>
      </w:pPr>
      <w:r>
        <w:rPr>
          <w:rFonts w:hint="eastAsia"/>
        </w:rPr>
        <w:t>(3)</w:t>
      </w:r>
      <w:r>
        <w:rPr>
          <w:kern w:val="0"/>
          <w:szCs w:val="24"/>
        </w:rPr>
        <w:t>机械冲洗</w:t>
      </w:r>
      <w:r>
        <w:rPr>
          <w:rFonts w:hint="eastAsia"/>
          <w:kern w:val="0"/>
          <w:szCs w:val="24"/>
        </w:rPr>
        <w:t>维修</w:t>
      </w:r>
      <w:r>
        <w:rPr>
          <w:kern w:val="0"/>
          <w:szCs w:val="24"/>
        </w:rPr>
        <w:t>废水</w:t>
      </w:r>
    </w:p>
    <w:p>
      <w:pPr>
        <w:autoSpaceDE w:val="0"/>
        <w:autoSpaceDN w:val="0"/>
        <w:adjustRightInd w:val="0"/>
        <w:ind w:firstLine="480"/>
      </w:pPr>
      <w:r>
        <w:rPr>
          <w:szCs w:val="24"/>
        </w:rPr>
        <w:t>机械冲洗废水主要来源于机械设备修配与保养，位于机械维修站，只负责施工机械设备的定期保养和小修任务，废水排放量为10.8m³/次（830m³/施工期），废水中主要污染物为石油类和悬浮物，浓度分别为30mg/L、1000mg/L，若含油污水直接排入水体，在水体表面上形成油膜，使水中溶解氧不易恢复，影响水质，因此，机械冲洗维修废水经隔油沉淀池处理后，回用于机械冲洗，不外排</w:t>
      </w:r>
      <w:r>
        <w:rPr>
          <w:rFonts w:hint="eastAsia"/>
          <w:szCs w:val="24"/>
        </w:rPr>
        <w:t>，</w:t>
      </w:r>
      <w:r>
        <w:rPr>
          <w:rFonts w:hint="eastAsia"/>
        </w:rPr>
        <w:t>对地表水环境锦河影响很小。</w:t>
      </w:r>
    </w:p>
    <w:p>
      <w:pPr>
        <w:autoSpaceDE w:val="0"/>
        <w:autoSpaceDN w:val="0"/>
        <w:adjustRightInd w:val="0"/>
        <w:ind w:firstLine="480"/>
        <w:rPr>
          <w:rFonts w:ascii="宋体" w:hAnsi="宋体" w:cs="宋体"/>
        </w:rPr>
      </w:pPr>
      <w:r>
        <w:rPr>
          <w:rFonts w:hint="eastAsia"/>
        </w:rPr>
        <w:t>(4)</w:t>
      </w:r>
      <w:r>
        <w:rPr>
          <w:rFonts w:hint="eastAsia" w:ascii="宋体" w:hAnsi="宋体" w:cs="宋体"/>
        </w:rPr>
        <w:t>施工过程中对水体的扰动影响</w:t>
      </w:r>
    </w:p>
    <w:p>
      <w:pPr>
        <w:autoSpaceDE w:val="0"/>
        <w:autoSpaceDN w:val="0"/>
        <w:adjustRightInd w:val="0"/>
        <w:ind w:firstLine="480"/>
        <w:rPr>
          <w:rFonts w:ascii="宋体" w:hAnsi="宋体" w:cs="宋体"/>
        </w:rPr>
      </w:pPr>
      <w:r>
        <w:rPr>
          <w:rFonts w:hint="eastAsia" w:ascii="宋体" w:hAnsi="宋体" w:cs="宋体"/>
        </w:rPr>
        <w:t>围堰搭建、拆除、吊放钢筋骨架、灌注水下混凝等施工过程均会对施工区局部水域水质产生影响，施工过程中会引起河道底部淤泥搅动，会使局部区域的SS、总磷、总氮等污染物浓度升高，对河道水质会产生一定影响。</w:t>
      </w:r>
    </w:p>
    <w:p>
      <w:pPr>
        <w:autoSpaceDE w:val="0"/>
        <w:autoSpaceDN w:val="0"/>
        <w:adjustRightInd w:val="0"/>
        <w:ind w:firstLine="480"/>
        <w:rPr>
          <w:rFonts w:ascii="宋体" w:hAnsi="宋体" w:cs="宋体"/>
        </w:rPr>
      </w:pPr>
      <w:r>
        <w:rPr>
          <w:rFonts w:hint="eastAsia" w:ascii="宋体" w:hAnsi="宋体" w:cs="宋体"/>
        </w:rPr>
        <w:t>本工程施工过程中在闸址处采用分两期实施，第一期当年10月至次年2月利用</w:t>
      </w:r>
      <w:r>
        <w:rPr>
          <w:szCs w:val="28"/>
        </w:rPr>
        <w:t>利用左岸束窄河床导流，新建4跨泄洪闸和右岸护岸工程等项目</w:t>
      </w:r>
      <w:r>
        <w:rPr>
          <w:rFonts w:hint="eastAsia" w:ascii="宋体" w:hAnsi="宋体" w:cs="宋体"/>
        </w:rPr>
        <w:t>，第二期第二年10月至第三年2月底利用已建成泄水闸工程导流，仅围堰及导流渠施工过程中对河道水体产生一定不利影响，施工导流措施完成后对水体环境影响较小。</w:t>
      </w:r>
    </w:p>
    <w:p>
      <w:pPr>
        <w:autoSpaceDE w:val="0"/>
        <w:autoSpaceDN w:val="0"/>
        <w:adjustRightInd w:val="0"/>
        <w:ind w:firstLine="480"/>
        <w:rPr>
          <w:rFonts w:ascii="宋体" w:hAnsi="宋体" w:cs="宋体"/>
        </w:rPr>
      </w:pPr>
      <w:r>
        <w:rPr>
          <w:rFonts w:hint="eastAsia" w:ascii="宋体" w:hAnsi="宋体" w:cs="宋体"/>
        </w:rPr>
        <w:t>围堰搭建及拆除过程中对水体扰动较大，通过类比，悬浮物主要影响范围在拆除及搭建中心100m 区域内，100m 外水环境质量将基本接近本底浓度。通过作业期间加强监督管理，并由监测部门对泥沙悬浮物进行跟踪监测，避免发生施工区外环境破坏，加强与当地气象预报部门的联系，在恶劣天气条件下提前做好施工防护工作。施工过程对水体水质影响较小。</w:t>
      </w:r>
    </w:p>
    <w:p>
      <w:pPr>
        <w:autoSpaceDE w:val="0"/>
        <w:autoSpaceDN w:val="0"/>
        <w:adjustRightInd w:val="0"/>
        <w:ind w:firstLine="480"/>
        <w:rPr>
          <w:rFonts w:ascii="宋体" w:hAnsi="宋体" w:cs="宋体"/>
          <w:color w:val="0000FF"/>
        </w:rPr>
      </w:pPr>
      <w:r>
        <w:rPr>
          <w:rFonts w:hint="eastAsia"/>
          <w:color w:val="0000FF"/>
        </w:rPr>
        <w:t>(5)</w:t>
      </w:r>
      <w:r>
        <w:rPr>
          <w:rFonts w:hint="eastAsia" w:ascii="宋体" w:hAnsi="宋体" w:cs="宋体"/>
          <w:color w:val="0000FF"/>
        </w:rPr>
        <w:t>施工过程中</w:t>
      </w:r>
      <w:r>
        <w:rPr>
          <w:rFonts w:hint="eastAsia"/>
          <w:color w:val="0000FF"/>
          <w:szCs w:val="24"/>
        </w:rPr>
        <w:t>对下游良田村监控断面水质的影响</w:t>
      </w:r>
    </w:p>
    <w:p>
      <w:pPr>
        <w:ind w:firstLine="480"/>
        <w:jc w:val="left"/>
        <w:rPr>
          <w:rFonts w:ascii="宋体" w:hAnsi="宋体" w:cs="宋体"/>
          <w:color w:val="0000FF"/>
        </w:rPr>
      </w:pPr>
      <w:r>
        <w:rPr>
          <w:rFonts w:hint="eastAsia" w:ascii="宋体" w:hAnsi="宋体" w:cs="宋体"/>
          <w:color w:val="0000FF"/>
        </w:rPr>
        <w:t>根据上高县环境质量月报（9月）中，评价指标为PH值、溶解氧、高锰酸盐指数、化学需氧量、五日生化需氧量、氨氮、总磷、铜、锌、氟化物、硒、砷、汞、镉、六价铬、铅、氰化物、挥发酚、石油类、阴离子表面活性剂、硫化物共21项，</w:t>
      </w:r>
      <w:r>
        <w:rPr>
          <w:rFonts w:hint="eastAsia" w:ascii="宋体" w:hAnsi="宋体"/>
          <w:color w:val="0000FF"/>
          <w:sz w:val="21"/>
          <w:szCs w:val="24"/>
        </w:rPr>
        <w:t xml:space="preserve"> </w:t>
      </w:r>
      <w:r>
        <w:rPr>
          <w:rFonts w:hint="eastAsia" w:ascii="宋体" w:hAnsi="宋体" w:cs="宋体"/>
          <w:color w:val="0000FF"/>
        </w:rPr>
        <w:t>地表水断面中良田村（国考、县界）断面水质优良，达到地表水</w:t>
      </w:r>
      <w:r>
        <w:rPr>
          <w:rFonts w:hint="eastAsia" w:ascii="楷体" w:hAnsi="楷体" w:eastAsia="楷体" w:cs="楷体"/>
          <w:color w:val="0000FF"/>
        </w:rPr>
        <w:t>Ⅲ</w:t>
      </w:r>
      <w:r>
        <w:rPr>
          <w:rFonts w:hint="eastAsia" w:ascii="宋体" w:hAnsi="宋体" w:cs="宋体"/>
          <w:color w:val="0000FF"/>
        </w:rPr>
        <w:t>类水质标准。</w:t>
      </w:r>
    </w:p>
    <w:p>
      <w:pPr>
        <w:ind w:firstLine="480"/>
        <w:jc w:val="left"/>
        <w:rPr>
          <w:rFonts w:ascii="宋体" w:hAnsi="宋体" w:cs="宋体"/>
          <w:color w:val="0000FF"/>
        </w:rPr>
      </w:pPr>
      <w:r>
        <w:rPr>
          <w:rFonts w:hint="eastAsia" w:ascii="宋体" w:hAnsi="宋体" w:cs="宋体"/>
          <w:color w:val="0000FF"/>
        </w:rPr>
        <w:t>良田村（国考、县界）位于本工程坝址下游27km，距离本项目较远，位于本项目地表水评价范围之外，且位于利高水电站溢流坝的下游12.2km，主要是利高水电站对它的影响，本项目对良田村断面几乎无影响。</w:t>
      </w:r>
    </w:p>
    <w:p>
      <w:pPr>
        <w:pStyle w:val="297"/>
        <w:spacing w:line="360" w:lineRule="auto"/>
        <w:ind w:firstLine="0"/>
        <w:rPr>
          <w:rFonts w:ascii="Times New Roman" w:hAnsi="Times New Roman"/>
          <w:b/>
          <w:color w:val="auto"/>
        </w:rPr>
      </w:pPr>
      <w:r>
        <w:rPr>
          <w:rFonts w:ascii="Times New Roman" w:hAnsi="Times New Roman"/>
          <w:b/>
          <w:color w:val="auto"/>
        </w:rPr>
        <w:t>5.</w:t>
      </w:r>
      <w:r>
        <w:rPr>
          <w:rFonts w:hint="eastAsia" w:ascii="Times New Roman" w:hAnsi="Times New Roman"/>
          <w:b/>
          <w:color w:val="auto"/>
        </w:rPr>
        <w:t>3</w:t>
      </w:r>
      <w:r>
        <w:rPr>
          <w:rFonts w:ascii="Times New Roman" w:hAnsi="Times New Roman"/>
          <w:b/>
          <w:color w:val="auto"/>
        </w:rPr>
        <w:t>.1.2生活污水</w:t>
      </w:r>
    </w:p>
    <w:p>
      <w:pPr>
        <w:ind w:firstLine="480"/>
      </w:pPr>
      <w:r>
        <w:t>施工期生活污水来源于施工人员日常生活用水和餐饮用水，生活污水排放量为12960m</w:t>
      </w:r>
      <w:r>
        <w:rPr>
          <w:vertAlign w:val="superscript"/>
        </w:rPr>
        <w:t>3</w:t>
      </w:r>
      <w:r>
        <w:t>/施工期（19.2m</w:t>
      </w:r>
      <w:r>
        <w:rPr>
          <w:vertAlign w:val="superscript"/>
        </w:rPr>
        <w:t>3</w:t>
      </w:r>
      <w:r>
        <w:t>/d），特征污染物有COD、BOD</w:t>
      </w:r>
      <w:r>
        <w:rPr>
          <w:vertAlign w:val="subscript"/>
        </w:rPr>
        <w:t>5</w:t>
      </w:r>
      <w:r>
        <w:t>、SS 和NH</w:t>
      </w:r>
      <w:r>
        <w:rPr>
          <w:vertAlign w:val="subscript"/>
        </w:rPr>
        <w:t>3</w:t>
      </w:r>
      <w:r>
        <w:t>-N 等，浓度分别约为250mg/L、100mg/L、100mg/L 和25mg/L。根据建设单位对施工场地布置规划，施工场地内仅设1~2个看护人员，其他施工人员采用租用</w:t>
      </w:r>
      <w:r>
        <w:rPr>
          <w:rFonts w:hint="eastAsia"/>
        </w:rPr>
        <w:t>上高县城</w:t>
      </w:r>
      <w:r>
        <w:t>当地房屋方式，租赁施工人员生活污水排入</w:t>
      </w:r>
      <w:r>
        <w:rPr>
          <w:rFonts w:hint="eastAsia"/>
        </w:rPr>
        <w:t>上高县</w:t>
      </w:r>
      <w:r>
        <w:t>房屋现有的污水处理设施（化粪池）和排水系统（经污水管网排入</w:t>
      </w:r>
      <w:r>
        <w:rPr>
          <w:rFonts w:hint="eastAsia"/>
        </w:rPr>
        <w:t>上高县</w:t>
      </w:r>
      <w:r>
        <w:t>污水处理厂进一步处理后排放），因此，项目施工场地施工人员生活污水产生量很少，通过施工</w:t>
      </w:r>
      <w:r>
        <w:rPr>
          <w:rFonts w:hint="eastAsia"/>
        </w:rPr>
        <w:t>场地</w:t>
      </w:r>
      <w:r>
        <w:t>配备的简易厕所收集生活污水，污水经旱厕处理后用于肥田，不直接向地表水体排放，对地表水环境</w:t>
      </w:r>
      <w:r>
        <w:rPr>
          <w:rFonts w:hint="eastAsia"/>
        </w:rPr>
        <w:t>锦河</w:t>
      </w:r>
      <w:r>
        <w:t>影响很小。</w:t>
      </w:r>
    </w:p>
    <w:p>
      <w:pPr>
        <w:pStyle w:val="7"/>
        <w:spacing w:before="120" w:beforeLines="50"/>
        <w:jc w:val="both"/>
        <w:rPr>
          <w:szCs w:val="24"/>
        </w:rPr>
      </w:pPr>
      <w:bookmarkStart w:id="833" w:name="_Toc534895293"/>
      <w:bookmarkStart w:id="834" w:name="_Toc529279079"/>
      <w:bookmarkStart w:id="835" w:name="_Toc534807076"/>
      <w:bookmarkStart w:id="836" w:name="_Toc536265161"/>
      <w:bookmarkStart w:id="837" w:name="_Toc3903298"/>
      <w:bookmarkStart w:id="838" w:name="_Toc534386317"/>
      <w:r>
        <w:rPr>
          <w:szCs w:val="24"/>
        </w:rPr>
        <w:t>5.</w:t>
      </w:r>
      <w:r>
        <w:rPr>
          <w:rFonts w:hint="eastAsia"/>
          <w:szCs w:val="24"/>
        </w:rPr>
        <w:t>3.2</w:t>
      </w:r>
      <w:r>
        <w:rPr>
          <w:szCs w:val="24"/>
        </w:rPr>
        <w:t>运营期</w:t>
      </w:r>
      <w:r>
        <w:rPr>
          <w:rFonts w:hint="eastAsia"/>
          <w:szCs w:val="24"/>
        </w:rPr>
        <w:t>地表</w:t>
      </w:r>
      <w:r>
        <w:rPr>
          <w:szCs w:val="24"/>
        </w:rPr>
        <w:t>水环境影响分析</w:t>
      </w:r>
      <w:bookmarkEnd w:id="833"/>
      <w:bookmarkEnd w:id="834"/>
      <w:bookmarkEnd w:id="835"/>
      <w:bookmarkEnd w:id="836"/>
      <w:bookmarkEnd w:id="837"/>
      <w:bookmarkEnd w:id="838"/>
    </w:p>
    <w:p>
      <w:pPr>
        <w:pStyle w:val="729"/>
        <w:ind w:firstLine="0" w:firstLineChars="0"/>
        <w:rPr>
          <w:b/>
        </w:rPr>
      </w:pPr>
      <w:r>
        <w:rPr>
          <w:b/>
        </w:rPr>
        <w:t>5.</w:t>
      </w:r>
      <w:r>
        <w:rPr>
          <w:rFonts w:hint="eastAsia"/>
          <w:b/>
        </w:rPr>
        <w:t>3</w:t>
      </w:r>
      <w:r>
        <w:rPr>
          <w:b/>
        </w:rPr>
        <w:t>.</w:t>
      </w:r>
      <w:r>
        <w:rPr>
          <w:rFonts w:hint="eastAsia"/>
          <w:b/>
        </w:rPr>
        <w:t>2</w:t>
      </w:r>
      <w:r>
        <w:rPr>
          <w:b/>
        </w:rPr>
        <w:t>.</w:t>
      </w:r>
      <w:r>
        <w:rPr>
          <w:rFonts w:hint="eastAsia"/>
          <w:b/>
        </w:rPr>
        <w:t>1</w:t>
      </w:r>
      <w:r>
        <w:rPr>
          <w:b/>
        </w:rPr>
        <w:t>水温</w:t>
      </w:r>
    </w:p>
    <w:p>
      <w:pPr>
        <w:pStyle w:val="729"/>
        <w:ind w:firstLine="480"/>
        <w:rPr>
          <w:kern w:val="0"/>
        </w:rPr>
      </w:pPr>
      <w:r>
        <w:rPr>
          <w:kern w:val="0"/>
        </w:rPr>
        <w:t>采用我国通用的库水替换次数法（《水利水电工程水文计算规范》（SL278-2002）中推荐的判别公式）对本项目建成后</w:t>
      </w:r>
      <w:r>
        <w:rPr>
          <w:rFonts w:hint="eastAsia"/>
          <w:kern w:val="0"/>
        </w:rPr>
        <w:t>蓄水</w:t>
      </w:r>
      <w:r>
        <w:rPr>
          <w:kern w:val="0"/>
        </w:rPr>
        <w:t>水库水温结构进行判别。具体方法如下：先求α值，然后根据表5.</w:t>
      </w:r>
      <w:r>
        <w:rPr>
          <w:rFonts w:hint="eastAsia"/>
          <w:kern w:val="0"/>
        </w:rPr>
        <w:t>3</w:t>
      </w:r>
      <w:r>
        <w:rPr>
          <w:kern w:val="0"/>
        </w:rPr>
        <w:t>-</w:t>
      </w:r>
      <w:r>
        <w:rPr>
          <w:rFonts w:hint="eastAsia"/>
          <w:kern w:val="0"/>
        </w:rPr>
        <w:t>1</w:t>
      </w:r>
      <w:r>
        <w:rPr>
          <w:kern w:val="0"/>
        </w:rPr>
        <w:t>所列值判定其所属水温类型。若求得α＜10，再求β值：</w:t>
      </w:r>
    </w:p>
    <w:p>
      <w:pPr>
        <w:pStyle w:val="729"/>
        <w:ind w:firstLine="0" w:firstLineChars="0"/>
        <w:jc w:val="center"/>
      </w:pPr>
      <w:r>
        <w:t>α=多年平均年径流量/总库容</w:t>
      </w:r>
    </w:p>
    <w:p>
      <w:pPr>
        <w:pStyle w:val="729"/>
        <w:ind w:firstLine="0" w:firstLineChars="0"/>
        <w:jc w:val="center"/>
      </w:pPr>
      <w:r>
        <w:t>β=一次洪水量/总库容</w:t>
      </w:r>
    </w:p>
    <w:p>
      <w:pPr>
        <w:spacing w:before="120" w:beforeLines="50" w:line="240" w:lineRule="auto"/>
        <w:ind w:firstLine="480"/>
        <w:jc w:val="center"/>
        <w:rPr>
          <w:rFonts w:eastAsia="黑体"/>
        </w:rPr>
      </w:pPr>
      <w:r>
        <w:rPr>
          <w:rFonts w:eastAsia="黑体"/>
        </w:rPr>
        <w:t>表5.</w:t>
      </w:r>
      <w:r>
        <w:rPr>
          <w:rFonts w:hint="eastAsia" w:eastAsia="黑体"/>
        </w:rPr>
        <w:t>3</w:t>
      </w:r>
      <w:r>
        <w:rPr>
          <w:rFonts w:eastAsia="黑体"/>
        </w:rPr>
        <w:t>-</w:t>
      </w:r>
      <w:r>
        <w:rPr>
          <w:rFonts w:hint="eastAsia" w:eastAsia="黑体"/>
        </w:rPr>
        <w:t>1</w:t>
      </w:r>
      <w:r>
        <w:rPr>
          <w:rFonts w:eastAsia="黑体"/>
        </w:rPr>
        <w:t xml:space="preserve">  水库水文阈值</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2"/>
        <w:gridCol w:w="1512"/>
        <w:gridCol w:w="1512"/>
        <w:gridCol w:w="1512"/>
        <w:gridCol w:w="1512"/>
        <w:gridCol w:w="15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6" w:type="dxa"/>
            <w:gridSpan w:val="3"/>
            <w:vAlign w:val="center"/>
          </w:tcPr>
          <w:p>
            <w:pPr>
              <w:adjustRightInd w:val="0"/>
              <w:snapToGrid w:val="0"/>
              <w:spacing w:line="340" w:lineRule="exact"/>
              <w:ind w:firstLine="0" w:firstLineChars="0"/>
              <w:jc w:val="center"/>
              <w:rPr>
                <w:sz w:val="21"/>
                <w:szCs w:val="21"/>
              </w:rPr>
            </w:pPr>
            <w:r>
              <w:rPr>
                <w:sz w:val="21"/>
                <w:szCs w:val="21"/>
              </w:rPr>
              <w:t>α值（水温结构）</w:t>
            </w:r>
          </w:p>
        </w:tc>
        <w:tc>
          <w:tcPr>
            <w:tcW w:w="4536" w:type="dxa"/>
            <w:gridSpan w:val="3"/>
            <w:vAlign w:val="center"/>
          </w:tcPr>
          <w:p>
            <w:pPr>
              <w:adjustRightInd w:val="0"/>
              <w:snapToGrid w:val="0"/>
              <w:spacing w:line="340" w:lineRule="exact"/>
              <w:ind w:firstLine="0" w:firstLineChars="0"/>
              <w:jc w:val="center"/>
              <w:rPr>
                <w:sz w:val="21"/>
                <w:szCs w:val="21"/>
              </w:rPr>
            </w:pPr>
            <w:r>
              <w:rPr>
                <w:sz w:val="21"/>
                <w:szCs w:val="21"/>
              </w:rPr>
              <w:t>β值（洪水影响）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2" w:type="dxa"/>
            <w:vAlign w:val="center"/>
          </w:tcPr>
          <w:p>
            <w:pPr>
              <w:adjustRightInd w:val="0"/>
              <w:snapToGrid w:val="0"/>
              <w:spacing w:line="340" w:lineRule="exact"/>
              <w:ind w:firstLine="0" w:firstLineChars="0"/>
              <w:jc w:val="center"/>
              <w:rPr>
                <w:sz w:val="21"/>
                <w:szCs w:val="21"/>
              </w:rPr>
            </w:pPr>
            <w:r>
              <w:rPr>
                <w:sz w:val="21"/>
                <w:szCs w:val="21"/>
              </w:rPr>
              <w:t>＜10</w:t>
            </w:r>
          </w:p>
        </w:tc>
        <w:tc>
          <w:tcPr>
            <w:tcW w:w="1512" w:type="dxa"/>
            <w:vAlign w:val="center"/>
          </w:tcPr>
          <w:p>
            <w:pPr>
              <w:adjustRightInd w:val="0"/>
              <w:snapToGrid w:val="0"/>
              <w:spacing w:line="340" w:lineRule="exact"/>
              <w:ind w:firstLine="0" w:firstLineChars="0"/>
              <w:jc w:val="center"/>
              <w:rPr>
                <w:sz w:val="21"/>
                <w:szCs w:val="21"/>
              </w:rPr>
            </w:pPr>
            <w:r>
              <w:rPr>
                <w:sz w:val="21"/>
                <w:szCs w:val="21"/>
              </w:rPr>
              <w:t>10~20</w:t>
            </w:r>
          </w:p>
        </w:tc>
        <w:tc>
          <w:tcPr>
            <w:tcW w:w="1512" w:type="dxa"/>
            <w:vAlign w:val="center"/>
          </w:tcPr>
          <w:p>
            <w:pPr>
              <w:adjustRightInd w:val="0"/>
              <w:snapToGrid w:val="0"/>
              <w:spacing w:line="340" w:lineRule="exact"/>
              <w:ind w:firstLine="0" w:firstLineChars="0"/>
              <w:jc w:val="center"/>
              <w:rPr>
                <w:sz w:val="21"/>
                <w:szCs w:val="21"/>
              </w:rPr>
            </w:pPr>
            <w:r>
              <w:rPr>
                <w:sz w:val="21"/>
                <w:szCs w:val="21"/>
              </w:rPr>
              <w:t>＞20</w:t>
            </w:r>
          </w:p>
        </w:tc>
        <w:tc>
          <w:tcPr>
            <w:tcW w:w="1512" w:type="dxa"/>
            <w:vAlign w:val="center"/>
          </w:tcPr>
          <w:p>
            <w:pPr>
              <w:adjustRightInd w:val="0"/>
              <w:snapToGrid w:val="0"/>
              <w:spacing w:line="340" w:lineRule="exact"/>
              <w:ind w:firstLine="0" w:firstLineChars="0"/>
              <w:jc w:val="center"/>
              <w:rPr>
                <w:sz w:val="21"/>
                <w:szCs w:val="21"/>
              </w:rPr>
            </w:pPr>
            <w:r>
              <w:rPr>
                <w:sz w:val="21"/>
                <w:szCs w:val="21"/>
              </w:rPr>
              <w:t>＜0.5</w:t>
            </w:r>
          </w:p>
        </w:tc>
        <w:tc>
          <w:tcPr>
            <w:tcW w:w="1512" w:type="dxa"/>
            <w:vAlign w:val="center"/>
          </w:tcPr>
          <w:p>
            <w:pPr>
              <w:adjustRightInd w:val="0"/>
              <w:snapToGrid w:val="0"/>
              <w:spacing w:line="340" w:lineRule="exact"/>
              <w:ind w:firstLine="0" w:firstLineChars="0"/>
              <w:jc w:val="center"/>
              <w:rPr>
                <w:sz w:val="21"/>
                <w:szCs w:val="21"/>
              </w:rPr>
            </w:pPr>
            <w:r>
              <w:rPr>
                <w:sz w:val="21"/>
                <w:szCs w:val="21"/>
              </w:rPr>
              <w:t>0.5~1</w:t>
            </w:r>
          </w:p>
        </w:tc>
        <w:tc>
          <w:tcPr>
            <w:tcW w:w="1512" w:type="dxa"/>
            <w:vAlign w:val="center"/>
          </w:tcPr>
          <w:p>
            <w:pPr>
              <w:adjustRightInd w:val="0"/>
              <w:snapToGrid w:val="0"/>
              <w:spacing w:line="340" w:lineRule="exact"/>
              <w:ind w:firstLine="0" w:firstLineChars="0"/>
              <w:jc w:val="center"/>
              <w:rPr>
                <w:sz w:val="21"/>
                <w:szCs w:val="21"/>
              </w:rPr>
            </w:pPr>
            <w:r>
              <w:rPr>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2" w:type="dxa"/>
            <w:vAlign w:val="center"/>
          </w:tcPr>
          <w:p>
            <w:pPr>
              <w:adjustRightInd w:val="0"/>
              <w:snapToGrid w:val="0"/>
              <w:spacing w:line="340" w:lineRule="exact"/>
              <w:ind w:firstLine="0" w:firstLineChars="0"/>
              <w:jc w:val="center"/>
              <w:rPr>
                <w:sz w:val="21"/>
                <w:szCs w:val="21"/>
              </w:rPr>
            </w:pPr>
            <w:r>
              <w:rPr>
                <w:sz w:val="21"/>
                <w:szCs w:val="21"/>
              </w:rPr>
              <w:t>分层型</w:t>
            </w:r>
          </w:p>
        </w:tc>
        <w:tc>
          <w:tcPr>
            <w:tcW w:w="1512" w:type="dxa"/>
            <w:vAlign w:val="center"/>
          </w:tcPr>
          <w:p>
            <w:pPr>
              <w:adjustRightInd w:val="0"/>
              <w:snapToGrid w:val="0"/>
              <w:spacing w:line="340" w:lineRule="exact"/>
              <w:ind w:firstLine="0" w:firstLineChars="0"/>
              <w:jc w:val="center"/>
              <w:rPr>
                <w:sz w:val="21"/>
                <w:szCs w:val="21"/>
              </w:rPr>
            </w:pPr>
            <w:r>
              <w:rPr>
                <w:sz w:val="21"/>
                <w:szCs w:val="21"/>
              </w:rPr>
              <w:t>过渡型</w:t>
            </w:r>
          </w:p>
        </w:tc>
        <w:tc>
          <w:tcPr>
            <w:tcW w:w="1512" w:type="dxa"/>
            <w:vAlign w:val="center"/>
          </w:tcPr>
          <w:p>
            <w:pPr>
              <w:adjustRightInd w:val="0"/>
              <w:snapToGrid w:val="0"/>
              <w:spacing w:line="340" w:lineRule="exact"/>
              <w:ind w:firstLine="0" w:firstLineChars="0"/>
              <w:jc w:val="center"/>
              <w:rPr>
                <w:sz w:val="21"/>
                <w:szCs w:val="21"/>
              </w:rPr>
            </w:pPr>
            <w:r>
              <w:rPr>
                <w:sz w:val="21"/>
                <w:szCs w:val="21"/>
              </w:rPr>
              <w:t>混合型</w:t>
            </w:r>
          </w:p>
        </w:tc>
        <w:tc>
          <w:tcPr>
            <w:tcW w:w="1512" w:type="dxa"/>
            <w:vAlign w:val="center"/>
          </w:tcPr>
          <w:p>
            <w:pPr>
              <w:adjustRightInd w:val="0"/>
              <w:snapToGrid w:val="0"/>
              <w:spacing w:line="340" w:lineRule="exact"/>
              <w:ind w:firstLine="0" w:firstLineChars="0"/>
              <w:jc w:val="center"/>
              <w:rPr>
                <w:sz w:val="21"/>
                <w:szCs w:val="21"/>
              </w:rPr>
            </w:pPr>
            <w:r>
              <w:rPr>
                <w:sz w:val="21"/>
                <w:szCs w:val="21"/>
              </w:rPr>
              <w:t>无影响</w:t>
            </w:r>
          </w:p>
        </w:tc>
        <w:tc>
          <w:tcPr>
            <w:tcW w:w="1512" w:type="dxa"/>
            <w:vAlign w:val="center"/>
          </w:tcPr>
          <w:p>
            <w:pPr>
              <w:adjustRightInd w:val="0"/>
              <w:snapToGrid w:val="0"/>
              <w:spacing w:line="340" w:lineRule="exact"/>
              <w:ind w:firstLine="0" w:firstLineChars="0"/>
              <w:jc w:val="center"/>
              <w:rPr>
                <w:sz w:val="21"/>
                <w:szCs w:val="21"/>
              </w:rPr>
            </w:pPr>
            <w:r>
              <w:rPr>
                <w:sz w:val="21"/>
                <w:szCs w:val="21"/>
              </w:rPr>
              <w:t>呈过渡阶段</w:t>
            </w:r>
          </w:p>
        </w:tc>
        <w:tc>
          <w:tcPr>
            <w:tcW w:w="1512" w:type="dxa"/>
            <w:vAlign w:val="center"/>
          </w:tcPr>
          <w:p>
            <w:pPr>
              <w:adjustRightInd w:val="0"/>
              <w:snapToGrid w:val="0"/>
              <w:spacing w:line="340" w:lineRule="exact"/>
              <w:ind w:firstLine="0" w:firstLineChars="0"/>
              <w:jc w:val="center"/>
              <w:rPr>
                <w:sz w:val="21"/>
                <w:szCs w:val="21"/>
              </w:rPr>
            </w:pPr>
            <w:r>
              <w:rPr>
                <w:sz w:val="21"/>
                <w:szCs w:val="21"/>
              </w:rPr>
              <w:t>有影响</w:t>
            </w:r>
          </w:p>
        </w:tc>
      </w:tr>
    </w:tbl>
    <w:p>
      <w:pPr>
        <w:autoSpaceDE w:val="0"/>
        <w:autoSpaceDN w:val="0"/>
        <w:adjustRightInd w:val="0"/>
        <w:ind w:firstLine="480"/>
        <w:rPr>
          <w:kern w:val="0"/>
          <w:szCs w:val="24"/>
        </w:rPr>
      </w:pPr>
      <w:r>
        <w:rPr>
          <w:rFonts w:hint="eastAsia"/>
          <w:kern w:val="0"/>
          <w:szCs w:val="24"/>
        </w:rPr>
        <w:t>上高</w:t>
      </w:r>
      <w:r>
        <w:rPr>
          <w:kern w:val="0"/>
          <w:szCs w:val="24"/>
        </w:rPr>
        <w:t>县</w:t>
      </w:r>
      <w:r>
        <w:rPr>
          <w:rFonts w:hint="eastAsia"/>
          <w:kern w:val="0"/>
          <w:szCs w:val="24"/>
        </w:rPr>
        <w:t>毛家渡</w:t>
      </w:r>
      <w:r>
        <w:rPr>
          <w:kern w:val="0"/>
          <w:szCs w:val="24"/>
        </w:rPr>
        <w:t>抬水坝水温计算结果见表5.</w:t>
      </w:r>
      <w:r>
        <w:rPr>
          <w:rFonts w:hint="eastAsia"/>
          <w:kern w:val="0"/>
          <w:szCs w:val="24"/>
        </w:rPr>
        <w:t>3</w:t>
      </w:r>
      <w:r>
        <w:rPr>
          <w:kern w:val="0"/>
          <w:szCs w:val="24"/>
        </w:rPr>
        <w:t>-</w:t>
      </w:r>
      <w:r>
        <w:rPr>
          <w:rFonts w:hint="eastAsia"/>
          <w:kern w:val="0"/>
          <w:szCs w:val="24"/>
        </w:rPr>
        <w:t>2</w:t>
      </w:r>
      <w:r>
        <w:rPr>
          <w:kern w:val="0"/>
          <w:szCs w:val="24"/>
        </w:rPr>
        <w:t>。</w:t>
      </w:r>
    </w:p>
    <w:p>
      <w:pPr>
        <w:spacing w:before="120" w:beforeLines="50" w:line="240" w:lineRule="auto"/>
        <w:ind w:firstLine="480"/>
        <w:jc w:val="center"/>
        <w:rPr>
          <w:rFonts w:eastAsia="黑体"/>
        </w:rPr>
      </w:pPr>
      <w:r>
        <w:rPr>
          <w:rFonts w:eastAsia="黑体"/>
        </w:rPr>
        <w:t>表5.</w:t>
      </w:r>
      <w:r>
        <w:rPr>
          <w:rFonts w:hint="eastAsia" w:eastAsia="黑体"/>
        </w:rPr>
        <w:t>3</w:t>
      </w:r>
      <w:r>
        <w:rPr>
          <w:rFonts w:eastAsia="黑体"/>
        </w:rPr>
        <w:t>-</w:t>
      </w:r>
      <w:r>
        <w:rPr>
          <w:rFonts w:hint="eastAsia" w:eastAsia="黑体"/>
        </w:rPr>
        <w:t>2</w:t>
      </w:r>
      <w:r>
        <w:rPr>
          <w:rFonts w:eastAsia="黑体"/>
        </w:rPr>
        <w:t xml:space="preserve">  水温判别计算表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1843"/>
        <w:gridCol w:w="2693"/>
        <w:gridCol w:w="1162"/>
        <w:gridCol w:w="1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0" w:type="dxa"/>
            <w:vMerge w:val="restart"/>
            <w:vAlign w:val="center"/>
          </w:tcPr>
          <w:p>
            <w:pPr>
              <w:adjustRightInd w:val="0"/>
              <w:snapToGrid w:val="0"/>
              <w:spacing w:line="340" w:lineRule="exact"/>
              <w:ind w:firstLine="0" w:firstLineChars="0"/>
              <w:jc w:val="center"/>
              <w:rPr>
                <w:sz w:val="21"/>
                <w:szCs w:val="21"/>
              </w:rPr>
            </w:pPr>
            <w:r>
              <w:rPr>
                <w:rFonts w:hint="eastAsia"/>
                <w:sz w:val="21"/>
                <w:szCs w:val="21"/>
              </w:rPr>
              <w:t>上高</w:t>
            </w:r>
            <w:r>
              <w:rPr>
                <w:sz w:val="21"/>
                <w:szCs w:val="21"/>
              </w:rPr>
              <w:t>县</w:t>
            </w:r>
            <w:r>
              <w:rPr>
                <w:rFonts w:hint="eastAsia"/>
                <w:sz w:val="21"/>
                <w:szCs w:val="21"/>
              </w:rPr>
              <w:t>毛家渡</w:t>
            </w:r>
            <w:r>
              <w:rPr>
                <w:sz w:val="21"/>
                <w:szCs w:val="21"/>
              </w:rPr>
              <w:t>抬水坝</w:t>
            </w:r>
          </w:p>
        </w:tc>
        <w:tc>
          <w:tcPr>
            <w:tcW w:w="1843" w:type="dxa"/>
            <w:vAlign w:val="center"/>
          </w:tcPr>
          <w:p>
            <w:pPr>
              <w:adjustRightInd w:val="0"/>
              <w:snapToGrid w:val="0"/>
              <w:spacing w:line="340" w:lineRule="exact"/>
              <w:ind w:firstLine="0" w:firstLineChars="0"/>
              <w:jc w:val="center"/>
              <w:rPr>
                <w:sz w:val="21"/>
                <w:szCs w:val="21"/>
              </w:rPr>
            </w:pPr>
            <w:r>
              <w:rPr>
                <w:sz w:val="21"/>
                <w:szCs w:val="21"/>
              </w:rPr>
              <w:t>总库容（万m</w:t>
            </w:r>
            <w:r>
              <w:rPr>
                <w:sz w:val="21"/>
                <w:szCs w:val="21"/>
                <w:vertAlign w:val="superscript"/>
              </w:rPr>
              <w:t>3</w:t>
            </w:r>
            <w:r>
              <w:rPr>
                <w:sz w:val="21"/>
                <w:szCs w:val="21"/>
              </w:rPr>
              <w:t>）</w:t>
            </w:r>
          </w:p>
        </w:tc>
        <w:tc>
          <w:tcPr>
            <w:tcW w:w="2693" w:type="dxa"/>
            <w:vAlign w:val="center"/>
          </w:tcPr>
          <w:p>
            <w:pPr>
              <w:adjustRightInd w:val="0"/>
              <w:snapToGrid w:val="0"/>
              <w:spacing w:line="340" w:lineRule="exact"/>
              <w:ind w:firstLine="0" w:firstLineChars="0"/>
              <w:jc w:val="center"/>
              <w:rPr>
                <w:sz w:val="21"/>
                <w:szCs w:val="21"/>
              </w:rPr>
            </w:pPr>
            <w:r>
              <w:rPr>
                <w:sz w:val="21"/>
                <w:szCs w:val="21"/>
              </w:rPr>
              <w:t>多年平均年径流量（万m</w:t>
            </w:r>
            <w:r>
              <w:rPr>
                <w:sz w:val="21"/>
                <w:szCs w:val="21"/>
                <w:vertAlign w:val="superscript"/>
              </w:rPr>
              <w:t>3</w:t>
            </w:r>
            <w:r>
              <w:rPr>
                <w:sz w:val="21"/>
                <w:szCs w:val="21"/>
              </w:rPr>
              <w:t>）</w:t>
            </w:r>
          </w:p>
        </w:tc>
        <w:tc>
          <w:tcPr>
            <w:tcW w:w="1162" w:type="dxa"/>
            <w:vAlign w:val="center"/>
          </w:tcPr>
          <w:p>
            <w:pPr>
              <w:adjustRightInd w:val="0"/>
              <w:snapToGrid w:val="0"/>
              <w:spacing w:line="340" w:lineRule="exact"/>
              <w:ind w:firstLine="0" w:firstLineChars="0"/>
              <w:jc w:val="center"/>
              <w:rPr>
                <w:sz w:val="21"/>
                <w:szCs w:val="21"/>
              </w:rPr>
            </w:pPr>
            <w:r>
              <w:t>α</w:t>
            </w:r>
          </w:p>
        </w:tc>
        <w:tc>
          <w:tcPr>
            <w:tcW w:w="1814" w:type="dxa"/>
            <w:vAlign w:val="center"/>
          </w:tcPr>
          <w:p>
            <w:pPr>
              <w:adjustRightInd w:val="0"/>
              <w:snapToGrid w:val="0"/>
              <w:spacing w:line="340" w:lineRule="exact"/>
              <w:ind w:firstLine="0" w:firstLineChars="0"/>
              <w:jc w:val="center"/>
              <w:rPr>
                <w:sz w:val="21"/>
                <w:szCs w:val="21"/>
              </w:rPr>
            </w:pPr>
            <w:r>
              <w:rPr>
                <w:sz w:val="21"/>
                <w:szCs w:val="21"/>
              </w:rPr>
              <w:t>水温结构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60" w:type="dxa"/>
            <w:vMerge w:val="continue"/>
            <w:vAlign w:val="center"/>
          </w:tcPr>
          <w:p>
            <w:pPr>
              <w:adjustRightInd w:val="0"/>
              <w:snapToGrid w:val="0"/>
              <w:spacing w:line="340" w:lineRule="exact"/>
              <w:ind w:firstLine="0" w:firstLineChars="0"/>
              <w:jc w:val="center"/>
              <w:rPr>
                <w:sz w:val="21"/>
                <w:szCs w:val="21"/>
              </w:rPr>
            </w:pPr>
          </w:p>
        </w:tc>
        <w:tc>
          <w:tcPr>
            <w:tcW w:w="1843" w:type="dxa"/>
            <w:vAlign w:val="center"/>
          </w:tcPr>
          <w:p>
            <w:pPr>
              <w:adjustRightInd w:val="0"/>
              <w:snapToGrid w:val="0"/>
              <w:spacing w:line="340" w:lineRule="exact"/>
              <w:ind w:firstLine="0" w:firstLineChars="0"/>
              <w:jc w:val="center"/>
              <w:rPr>
                <w:sz w:val="21"/>
                <w:szCs w:val="21"/>
              </w:rPr>
            </w:pPr>
            <w:r>
              <w:rPr>
                <w:rFonts w:hint="eastAsia"/>
                <w:sz w:val="21"/>
                <w:szCs w:val="21"/>
              </w:rPr>
              <w:t>1221</w:t>
            </w:r>
          </w:p>
        </w:tc>
        <w:tc>
          <w:tcPr>
            <w:tcW w:w="2693" w:type="dxa"/>
            <w:vAlign w:val="center"/>
          </w:tcPr>
          <w:p>
            <w:pPr>
              <w:adjustRightInd w:val="0"/>
              <w:snapToGrid w:val="0"/>
              <w:spacing w:line="340" w:lineRule="exact"/>
              <w:ind w:firstLine="0" w:firstLineChars="0"/>
              <w:jc w:val="center"/>
              <w:rPr>
                <w:sz w:val="21"/>
                <w:szCs w:val="21"/>
              </w:rPr>
            </w:pPr>
            <w:r>
              <w:rPr>
                <w:rFonts w:hint="eastAsia"/>
                <w:sz w:val="21"/>
                <w:szCs w:val="21"/>
              </w:rPr>
              <w:t>381900.96</w:t>
            </w:r>
          </w:p>
        </w:tc>
        <w:tc>
          <w:tcPr>
            <w:tcW w:w="1162" w:type="dxa"/>
            <w:vAlign w:val="center"/>
          </w:tcPr>
          <w:p>
            <w:pPr>
              <w:adjustRightInd w:val="0"/>
              <w:snapToGrid w:val="0"/>
              <w:spacing w:line="340" w:lineRule="exact"/>
              <w:ind w:firstLine="0" w:firstLineChars="0"/>
              <w:jc w:val="center"/>
              <w:rPr>
                <w:sz w:val="21"/>
                <w:szCs w:val="21"/>
              </w:rPr>
            </w:pPr>
            <w:r>
              <w:rPr>
                <w:rFonts w:hint="eastAsia"/>
                <w:sz w:val="21"/>
                <w:szCs w:val="21"/>
              </w:rPr>
              <w:t>312.8</w:t>
            </w:r>
          </w:p>
        </w:tc>
        <w:tc>
          <w:tcPr>
            <w:tcW w:w="1814" w:type="dxa"/>
            <w:vAlign w:val="center"/>
          </w:tcPr>
          <w:p>
            <w:pPr>
              <w:adjustRightInd w:val="0"/>
              <w:snapToGrid w:val="0"/>
              <w:spacing w:line="340" w:lineRule="exact"/>
              <w:ind w:firstLine="0" w:firstLineChars="0"/>
              <w:jc w:val="center"/>
              <w:rPr>
                <w:sz w:val="21"/>
                <w:szCs w:val="21"/>
              </w:rPr>
            </w:pPr>
            <w:r>
              <w:rPr>
                <w:sz w:val="21"/>
                <w:szCs w:val="21"/>
              </w:rPr>
              <w:t>混合型</w:t>
            </w:r>
          </w:p>
        </w:tc>
      </w:tr>
    </w:tbl>
    <w:p>
      <w:pPr>
        <w:autoSpaceDE w:val="0"/>
        <w:autoSpaceDN w:val="0"/>
        <w:adjustRightInd w:val="0"/>
        <w:ind w:firstLine="480"/>
        <w:rPr>
          <w:kern w:val="0"/>
          <w:szCs w:val="24"/>
        </w:rPr>
      </w:pPr>
      <w:r>
        <w:rPr>
          <w:kern w:val="0"/>
          <w:szCs w:val="24"/>
        </w:rPr>
        <w:t>由上表可看出：</w:t>
      </w:r>
      <w:r>
        <w:rPr>
          <w:rFonts w:hint="eastAsia"/>
          <w:kern w:val="0"/>
          <w:szCs w:val="24"/>
        </w:rPr>
        <w:t>上高</w:t>
      </w:r>
      <w:r>
        <w:rPr>
          <w:kern w:val="0"/>
          <w:szCs w:val="24"/>
        </w:rPr>
        <w:t>县</w:t>
      </w:r>
      <w:r>
        <w:rPr>
          <w:rFonts w:hint="eastAsia"/>
          <w:kern w:val="0"/>
          <w:szCs w:val="24"/>
        </w:rPr>
        <w:t>毛家渡</w:t>
      </w:r>
      <w:r>
        <w:rPr>
          <w:kern w:val="0"/>
          <w:szCs w:val="24"/>
        </w:rPr>
        <w:t>抬水坝</w:t>
      </w:r>
      <w:r>
        <w:t>α</w:t>
      </w:r>
      <w:r>
        <w:rPr>
          <w:kern w:val="0"/>
          <w:szCs w:val="24"/>
        </w:rPr>
        <w:t>=</w:t>
      </w:r>
      <w:r>
        <w:rPr>
          <w:rFonts w:hint="eastAsia"/>
          <w:kern w:val="0"/>
          <w:szCs w:val="24"/>
        </w:rPr>
        <w:t>312.8</w:t>
      </w:r>
      <w:r>
        <w:rPr>
          <w:szCs w:val="24"/>
        </w:rPr>
        <w:t>＞20</w:t>
      </w:r>
      <w:r>
        <w:rPr>
          <w:kern w:val="0"/>
          <w:szCs w:val="24"/>
        </w:rPr>
        <w:t>，由此可见，本项目实施后坝址以上形成的水库水温结构为混合型，水库上下层水温相差较小，对</w:t>
      </w:r>
      <w:r>
        <w:rPr>
          <w:rFonts w:hint="eastAsia"/>
          <w:kern w:val="0"/>
          <w:szCs w:val="24"/>
        </w:rPr>
        <w:t>锦河</w:t>
      </w:r>
      <w:r>
        <w:rPr>
          <w:kern w:val="0"/>
          <w:szCs w:val="24"/>
        </w:rPr>
        <w:t>水温影响较小。同时坝址下游河段无鱼类“三场”分布，也无珍稀濒危特有鱼类，因此，项目不存在下泄低温水，但对下游鱼类的繁殖生长及生物量分布几乎无影响。</w:t>
      </w:r>
    </w:p>
    <w:p>
      <w:pPr>
        <w:pStyle w:val="729"/>
        <w:spacing w:before="0" w:line="360" w:lineRule="auto"/>
        <w:ind w:firstLine="0" w:firstLineChars="0"/>
        <w:rPr>
          <w:b/>
        </w:rPr>
      </w:pPr>
      <w:r>
        <w:rPr>
          <w:b/>
        </w:rPr>
        <w:t>5.</w:t>
      </w:r>
      <w:r>
        <w:rPr>
          <w:rFonts w:hint="eastAsia"/>
          <w:b/>
        </w:rPr>
        <w:t>3</w:t>
      </w:r>
      <w:r>
        <w:rPr>
          <w:b/>
        </w:rPr>
        <w:t>.</w:t>
      </w:r>
      <w:r>
        <w:rPr>
          <w:rFonts w:hint="eastAsia"/>
          <w:b/>
        </w:rPr>
        <w:t>2</w:t>
      </w:r>
      <w:r>
        <w:rPr>
          <w:b/>
        </w:rPr>
        <w:t>.2水质影响分析</w:t>
      </w:r>
    </w:p>
    <w:p>
      <w:pPr>
        <w:ind w:firstLine="480"/>
      </w:pPr>
      <w:r>
        <w:rPr>
          <w:rFonts w:hint="eastAsia"/>
        </w:rPr>
        <w:t>(1)初期蓄水对水质的影响</w:t>
      </w:r>
    </w:p>
    <w:p>
      <w:pPr>
        <w:autoSpaceDE w:val="0"/>
        <w:autoSpaceDN w:val="0"/>
        <w:adjustRightInd w:val="0"/>
        <w:ind w:firstLine="480"/>
        <w:rPr>
          <w:kern w:val="0"/>
          <w:szCs w:val="24"/>
        </w:rPr>
      </w:pPr>
      <w:r>
        <w:rPr>
          <w:kern w:val="0"/>
          <w:szCs w:val="24"/>
        </w:rPr>
        <w:t>蓄水初期，残留在</w:t>
      </w:r>
      <w:r>
        <w:rPr>
          <w:rFonts w:hint="eastAsia"/>
          <w:kern w:val="0"/>
          <w:szCs w:val="24"/>
        </w:rPr>
        <w:t>毛家渡</w:t>
      </w:r>
      <w:r>
        <w:rPr>
          <w:kern w:val="0"/>
          <w:szCs w:val="24"/>
        </w:rPr>
        <w:t>抬水坝正常蓄水位以下库区的人畜粪便、树木、杂草等因浸泡而使其中污染物释放，可能会引起水体中某些污染指标含量升高</w:t>
      </w:r>
      <w:r>
        <w:rPr>
          <w:rFonts w:hint="eastAsia"/>
          <w:kern w:val="0"/>
          <w:szCs w:val="24"/>
        </w:rPr>
        <w:t>；水库淹没耕地，将使耕地内化肥、农药浸出，发生二次污染，</w:t>
      </w:r>
      <w:r>
        <w:rPr>
          <w:kern w:val="0"/>
          <w:szCs w:val="24"/>
        </w:rPr>
        <w:t>在短时间内影响水库水质，随着时间的推移，此类影响会逐渐消失。因此，在水库蓄水前，须认真做好</w:t>
      </w:r>
      <w:r>
        <w:rPr>
          <w:rFonts w:hint="eastAsia"/>
          <w:kern w:val="0"/>
          <w:szCs w:val="24"/>
        </w:rPr>
        <w:t>毛家渡</w:t>
      </w:r>
      <w:r>
        <w:rPr>
          <w:kern w:val="0"/>
          <w:szCs w:val="24"/>
        </w:rPr>
        <w:t>抬水坝库底清理工作。</w:t>
      </w:r>
    </w:p>
    <w:p>
      <w:pPr>
        <w:ind w:firstLine="480"/>
      </w:pPr>
      <w:r>
        <w:rPr>
          <w:rFonts w:hint="eastAsia"/>
        </w:rPr>
        <w:t>(2)坝址上游水质影响分析</w:t>
      </w:r>
    </w:p>
    <w:p>
      <w:pPr>
        <w:ind w:firstLine="480"/>
      </w:pPr>
      <w:r>
        <w:rPr>
          <w:rFonts w:hint="eastAsia"/>
        </w:rPr>
        <w:t>根据本工程可行性研究报告，经调查在锦河右岸原种场附近有一自排涵，其进出口高程为39.97m～39.68m，</w:t>
      </w:r>
      <w:r>
        <w:t>毛家渡抬水工程建成蓄水至44.50m时，将自排闸</w:t>
      </w:r>
      <w:r>
        <w:rPr>
          <w:rFonts w:hint="eastAsia"/>
        </w:rPr>
        <w:t>出</w:t>
      </w:r>
      <w:r>
        <w:t>口淹没，两岸堤内农作物区在高程44.8m 以下</w:t>
      </w:r>
      <w:r>
        <w:rPr>
          <w:rFonts w:hint="eastAsia"/>
        </w:rPr>
        <w:t>、</w:t>
      </w:r>
      <w:r>
        <w:t>城镇房屋区在高程48.6 m</w:t>
      </w:r>
      <w:r>
        <w:rPr>
          <w:rFonts w:hint="eastAsia"/>
        </w:rPr>
        <w:t>、农村</w:t>
      </w:r>
      <w:r>
        <w:t>房屋区在高程47.6 m以下为浸没区。根据</w:t>
      </w:r>
      <w:r>
        <w:rPr>
          <w:rFonts w:hint="eastAsia"/>
        </w:rPr>
        <w:t>可研</w:t>
      </w:r>
      <w:r>
        <w:t>，</w:t>
      </w:r>
      <w:r>
        <w:rPr>
          <w:rFonts w:hint="eastAsia"/>
        </w:rPr>
        <w:t>锦河右侧原种场段(锦惠渠石井泄洪闸附近)有小块农田（25亩左右）存在浸没影响；田北村局部地面高程为46.33m左右，会产生浸没问题，会存在土地淹没带来的面源污染对沂河水质的影响，但淹没较小；城市大部分地段不会产生浸没问题；项目运行过程中管理人员产生的生活污水经配套化粪池处理后外运堆肥，不外排，不会对锦河水质产生不利影响；本工程为抬水坝上方不配套建设交通桥，不不涉及车辆通行，也不存在车辆故事漏油对水质的影响情况。因此，项目建设对项目所在区域河道水质影响较小。</w:t>
      </w:r>
    </w:p>
    <w:p>
      <w:pPr>
        <w:autoSpaceDE w:val="0"/>
        <w:autoSpaceDN w:val="0"/>
        <w:adjustRightInd w:val="0"/>
        <w:ind w:firstLine="480"/>
        <w:rPr>
          <w:kern w:val="0"/>
          <w:szCs w:val="24"/>
        </w:rPr>
      </w:pPr>
      <w:r>
        <w:rPr>
          <w:rFonts w:hint="eastAsia"/>
        </w:rPr>
        <w:t>项目毛家渡抬水坝采用完全年调节方式运行，运行期河道天然来水全部下泄且当天然来水不足时，保证下泄最小生态基流量，水体年交换量较大且交换较频繁，因此，根据水库现状水质，从水库特性和运行方式上分析，坝址上游总体不会向富营养程度状态转化。</w:t>
      </w:r>
      <w:r>
        <w:rPr>
          <w:rFonts w:hint="eastAsia"/>
          <w:kern w:val="0"/>
          <w:szCs w:val="24"/>
        </w:rPr>
        <w:t>毛家渡抬水工程建成后库区总体水质不易发生富营养化，但在营养物来源丰富、富集条件好的库湾，不排除出现富营养化的可能。因此，须严格控制水库流域氮、磷的排入量，加强污水处理厂污染控制以及水质监测，以便及时采取应对措施，严防水库向富营养化发展。</w:t>
      </w:r>
    </w:p>
    <w:p>
      <w:pPr>
        <w:numPr>
          <w:ilvl w:val="0"/>
          <w:numId w:val="11"/>
        </w:numPr>
        <w:ind w:firstLine="480"/>
      </w:pPr>
      <w:r>
        <w:rPr>
          <w:rFonts w:hint="eastAsia"/>
        </w:rPr>
        <w:t>坝址下游水质影响</w:t>
      </w:r>
    </w:p>
    <w:p>
      <w:pPr>
        <w:autoSpaceDE w:val="0"/>
        <w:autoSpaceDN w:val="0"/>
        <w:adjustRightInd w:val="0"/>
        <w:ind w:firstLine="480"/>
      </w:pPr>
      <w:r>
        <w:rPr>
          <w:rFonts w:hint="eastAsia"/>
        </w:rPr>
        <w:t>①预测断面</w:t>
      </w:r>
    </w:p>
    <w:p>
      <w:pPr>
        <w:autoSpaceDE w:val="0"/>
        <w:autoSpaceDN w:val="0"/>
        <w:adjustRightInd w:val="0"/>
        <w:ind w:firstLine="480"/>
      </w:pPr>
      <w:r>
        <w:rPr>
          <w:rFonts w:hint="eastAsia"/>
        </w:rPr>
        <w:t>锦河在坝址下游约1.9</w:t>
      </w:r>
      <w:r>
        <w:t>km</w:t>
      </w:r>
      <w:r>
        <w:rPr>
          <w:rFonts w:hint="eastAsia"/>
        </w:rPr>
        <w:t>处有野鸡河支流汇入，本次水质预测断面选为锦河与野鸡河汇合口前断面。</w:t>
      </w:r>
    </w:p>
    <w:p>
      <w:pPr>
        <w:autoSpaceDE w:val="0"/>
        <w:autoSpaceDN w:val="0"/>
        <w:adjustRightInd w:val="0"/>
        <w:ind w:firstLine="480"/>
        <w:rPr>
          <w:color w:val="0000FF"/>
          <w:kern w:val="0"/>
          <w:szCs w:val="24"/>
        </w:rPr>
      </w:pPr>
      <w:r>
        <w:rPr>
          <w:rFonts w:hAnsi="宋体"/>
          <w:color w:val="0000FF"/>
          <w:kern w:val="0"/>
          <w:szCs w:val="24"/>
        </w:rPr>
        <w:t>②污染源分析</w:t>
      </w:r>
    </w:p>
    <w:p>
      <w:pPr>
        <w:ind w:firstLine="480"/>
        <w:rPr>
          <w:kern w:val="0"/>
          <w:szCs w:val="24"/>
        </w:rPr>
      </w:pPr>
      <w:r>
        <w:rPr>
          <w:rFonts w:hint="eastAsia"/>
          <w:color w:val="0000FF"/>
        </w:rPr>
        <w:t>上高县毛家渡抬水工程位于上高县县城，根据工程周边污染源现状调查，工程周边的污染源主要上高县中心城区居民生活污水、工业园区企业生产废水以及工程周边农业面源。工程周边沿岸耕地资源甚少，再加上因工程建设会淹没部分耕地，毛家渡抬水工程建成后周农业面源污染负荷较现状将有所降低。据调查，工程建成后库区内的污染源主要为上高县城镇污水处理厂（排污口位于本坝址下游1.7km）和上高县工业园污水处理厂（排污口位于本坝址下游6.5km接官村），根据《上高县污水处理厂提标改造及扩容工程环境影响报告书》及《江西上高县工业园区污水处理厂变更项目环境影响报告书》，污水处理厂排放情况如表5.3-3~表5.3-4所示：</w:t>
      </w:r>
    </w:p>
    <w:p>
      <w:pPr>
        <w:spacing w:before="120" w:beforeLines="50" w:line="240" w:lineRule="auto"/>
        <w:ind w:firstLine="480"/>
        <w:jc w:val="center"/>
        <w:rPr>
          <w:rFonts w:ascii="黑体" w:hAnsi="黑体" w:eastAsia="黑体" w:cs="黑体"/>
          <w:color w:val="0000FF"/>
        </w:rPr>
      </w:pPr>
      <w:r>
        <w:rPr>
          <w:rFonts w:hint="eastAsia" w:ascii="黑体" w:hAnsi="黑体" w:eastAsia="黑体" w:cs="黑体"/>
          <w:color w:val="0000FF"/>
        </w:rPr>
        <w:t>表5.3-3  工业园污水处理厂排放源强</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692"/>
        <w:gridCol w:w="968"/>
        <w:gridCol w:w="999"/>
        <w:gridCol w:w="999"/>
        <w:gridCol w:w="1189"/>
        <w:gridCol w:w="101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top w:val="single" w:color="auto" w:sz="12" w:space="0"/>
              <w:left w:val="nil"/>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水污染指标</w:t>
            </w:r>
          </w:p>
        </w:tc>
        <w:tc>
          <w:tcPr>
            <w:tcW w:w="884"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废水量</w:t>
            </w:r>
          </w:p>
        </w:tc>
        <w:tc>
          <w:tcPr>
            <w:tcW w:w="506"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COD</w:t>
            </w:r>
          </w:p>
        </w:tc>
        <w:tc>
          <w:tcPr>
            <w:tcW w:w="522"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BOD</w:t>
            </w:r>
          </w:p>
        </w:tc>
        <w:tc>
          <w:tcPr>
            <w:tcW w:w="522"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SS</w:t>
            </w:r>
          </w:p>
        </w:tc>
        <w:tc>
          <w:tcPr>
            <w:tcW w:w="621"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NH</w:t>
            </w:r>
            <w:r>
              <w:rPr>
                <w:color w:val="0000FF"/>
                <w:sz w:val="21"/>
                <w:szCs w:val="21"/>
                <w:vertAlign w:val="subscript"/>
              </w:rPr>
              <w:t>3</w:t>
            </w:r>
            <w:r>
              <w:rPr>
                <w:color w:val="0000FF"/>
                <w:sz w:val="21"/>
                <w:szCs w:val="21"/>
              </w:rPr>
              <w:t>-N</w:t>
            </w:r>
          </w:p>
        </w:tc>
        <w:tc>
          <w:tcPr>
            <w:tcW w:w="528"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TN</w:t>
            </w:r>
          </w:p>
        </w:tc>
        <w:tc>
          <w:tcPr>
            <w:tcW w:w="447" w:type="pct"/>
            <w:tcBorders>
              <w:top w:val="single" w:color="auto" w:sz="12" w:space="0"/>
              <w:right w:val="nil"/>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left w:val="nil"/>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污染负荷</w:t>
            </w:r>
          </w:p>
        </w:tc>
        <w:tc>
          <w:tcPr>
            <w:tcW w:w="884"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1168</w:t>
            </w:r>
            <w:r>
              <w:rPr>
                <w:rFonts w:hint="eastAsia"/>
                <w:color w:val="0000FF"/>
                <w:sz w:val="21"/>
                <w:szCs w:val="21"/>
              </w:rPr>
              <w:t>万</w:t>
            </w:r>
            <w:r>
              <w:rPr>
                <w:color w:val="0000FF"/>
                <w:sz w:val="21"/>
                <w:szCs w:val="21"/>
              </w:rPr>
              <w:t>t/a</w:t>
            </w:r>
            <w:r>
              <w:rPr>
                <w:rFonts w:hint="eastAsia"/>
                <w:color w:val="0000FF"/>
                <w:sz w:val="21"/>
                <w:szCs w:val="21"/>
              </w:rPr>
              <w:t xml:space="preserve"> </w:t>
            </w:r>
          </w:p>
          <w:p>
            <w:pPr>
              <w:adjustRightInd w:val="0"/>
              <w:snapToGrid w:val="0"/>
              <w:spacing w:line="340" w:lineRule="exact"/>
              <w:ind w:firstLine="0" w:firstLineChars="0"/>
              <w:jc w:val="center"/>
              <w:rPr>
                <w:color w:val="0000FF"/>
                <w:sz w:val="21"/>
                <w:szCs w:val="21"/>
              </w:rPr>
            </w:pPr>
            <w:r>
              <w:rPr>
                <w:rFonts w:hint="eastAsia"/>
                <w:color w:val="0000FF"/>
                <w:sz w:val="21"/>
                <w:szCs w:val="21"/>
              </w:rPr>
              <w:t>(20</w:t>
            </w:r>
            <w:r>
              <w:rPr>
                <w:color w:val="0000FF"/>
                <w:sz w:val="21"/>
                <w:szCs w:val="21"/>
              </w:rPr>
              <w:t>00</w:t>
            </w:r>
            <w:r>
              <w:rPr>
                <w:rFonts w:hint="eastAsia"/>
                <w:color w:val="0000FF"/>
                <w:sz w:val="21"/>
                <w:szCs w:val="21"/>
              </w:rPr>
              <w:t>0</w:t>
            </w:r>
            <w:r>
              <w:rPr>
                <w:color w:val="0000FF"/>
                <w:sz w:val="21"/>
                <w:szCs w:val="21"/>
              </w:rPr>
              <w:t>t/d</w:t>
            </w:r>
            <w:r>
              <w:rPr>
                <w:rFonts w:hint="eastAsia"/>
                <w:color w:val="0000FF"/>
                <w:sz w:val="21"/>
                <w:szCs w:val="21"/>
              </w:rPr>
              <w:t>)</w:t>
            </w:r>
          </w:p>
        </w:tc>
        <w:tc>
          <w:tcPr>
            <w:tcW w:w="506"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p>
        </w:tc>
        <w:tc>
          <w:tcPr>
            <w:tcW w:w="522"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73</w:t>
            </w:r>
          </w:p>
        </w:tc>
        <w:tc>
          <w:tcPr>
            <w:tcW w:w="522"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73</w:t>
            </w:r>
          </w:p>
        </w:tc>
        <w:tc>
          <w:tcPr>
            <w:tcW w:w="621"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p>
        </w:tc>
        <w:tc>
          <w:tcPr>
            <w:tcW w:w="528"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109.5</w:t>
            </w:r>
          </w:p>
        </w:tc>
        <w:tc>
          <w:tcPr>
            <w:tcW w:w="447" w:type="pct"/>
            <w:tcBorders>
              <w:bottom w:val="single" w:color="auto" w:sz="12" w:space="0"/>
              <w:right w:val="nil"/>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p>
        </w:tc>
      </w:tr>
    </w:tbl>
    <w:p>
      <w:pPr>
        <w:autoSpaceDE w:val="0"/>
        <w:autoSpaceDN w:val="0"/>
        <w:adjustRightInd w:val="0"/>
        <w:spacing w:before="120" w:beforeLines="50" w:line="240" w:lineRule="auto"/>
        <w:ind w:firstLine="0" w:firstLineChars="0"/>
        <w:jc w:val="center"/>
        <w:rPr>
          <w:rFonts w:ascii="黑体" w:hAnsi="黑体" w:eastAsia="黑体"/>
          <w:bCs/>
          <w:color w:val="0000FF"/>
        </w:rPr>
      </w:pPr>
      <w:r>
        <w:rPr>
          <w:rFonts w:hint="eastAsia" w:ascii="黑体" w:hAnsi="黑体" w:eastAsia="黑体"/>
          <w:bCs/>
          <w:color w:val="0000FF"/>
        </w:rPr>
        <w:t>表5.3</w:t>
      </w:r>
      <w:r>
        <w:rPr>
          <w:rFonts w:ascii="黑体" w:hAnsi="黑体" w:eastAsia="黑体"/>
          <w:bCs/>
          <w:color w:val="0000FF"/>
        </w:rPr>
        <w:t>-</w:t>
      </w:r>
      <w:r>
        <w:rPr>
          <w:rFonts w:hint="eastAsia" w:ascii="黑体" w:hAnsi="黑体" w:eastAsia="黑体"/>
          <w:bCs/>
          <w:color w:val="0000FF"/>
        </w:rPr>
        <w:t>4</w:t>
      </w:r>
      <w:r>
        <w:rPr>
          <w:rFonts w:ascii="黑体" w:hAnsi="黑体" w:eastAsia="黑体"/>
          <w:bCs/>
          <w:color w:val="0000FF"/>
        </w:rPr>
        <w:t xml:space="preserve"> </w:t>
      </w:r>
      <w:r>
        <w:rPr>
          <w:rFonts w:hint="eastAsia" w:ascii="黑体" w:hAnsi="黑体" w:eastAsia="黑体"/>
          <w:bCs/>
          <w:color w:val="0000FF"/>
        </w:rPr>
        <w:t xml:space="preserve"> 城镇生活污水源污染负荷一览表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6"/>
        <w:gridCol w:w="1692"/>
        <w:gridCol w:w="968"/>
        <w:gridCol w:w="999"/>
        <w:gridCol w:w="999"/>
        <w:gridCol w:w="1189"/>
        <w:gridCol w:w="101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top w:val="single" w:color="auto" w:sz="12" w:space="0"/>
              <w:left w:val="nil"/>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水污染指标</w:t>
            </w:r>
          </w:p>
        </w:tc>
        <w:tc>
          <w:tcPr>
            <w:tcW w:w="884"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废水量</w:t>
            </w:r>
          </w:p>
        </w:tc>
        <w:tc>
          <w:tcPr>
            <w:tcW w:w="506"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COD</w:t>
            </w:r>
          </w:p>
        </w:tc>
        <w:tc>
          <w:tcPr>
            <w:tcW w:w="522"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BOD</w:t>
            </w:r>
          </w:p>
        </w:tc>
        <w:tc>
          <w:tcPr>
            <w:tcW w:w="522"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SS</w:t>
            </w:r>
          </w:p>
        </w:tc>
        <w:tc>
          <w:tcPr>
            <w:tcW w:w="621"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NH</w:t>
            </w:r>
            <w:r>
              <w:rPr>
                <w:color w:val="0000FF"/>
                <w:sz w:val="21"/>
                <w:szCs w:val="21"/>
                <w:vertAlign w:val="subscript"/>
              </w:rPr>
              <w:t>3</w:t>
            </w:r>
            <w:r>
              <w:rPr>
                <w:color w:val="0000FF"/>
                <w:sz w:val="21"/>
                <w:szCs w:val="21"/>
              </w:rPr>
              <w:t>-N</w:t>
            </w:r>
          </w:p>
        </w:tc>
        <w:tc>
          <w:tcPr>
            <w:tcW w:w="528" w:type="pct"/>
            <w:tcBorders>
              <w:top w:val="single" w:color="auto" w:sz="12"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TN</w:t>
            </w:r>
          </w:p>
        </w:tc>
        <w:tc>
          <w:tcPr>
            <w:tcW w:w="447" w:type="pct"/>
            <w:tcBorders>
              <w:top w:val="single" w:color="auto" w:sz="12" w:space="0"/>
              <w:right w:val="nil"/>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70" w:type="pct"/>
            <w:tcBorders>
              <w:left w:val="nil"/>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污染负荷（</w:t>
            </w:r>
            <w:r>
              <w:rPr>
                <w:color w:val="0000FF"/>
                <w:sz w:val="21"/>
                <w:szCs w:val="21"/>
              </w:rPr>
              <w:t>t/a</w:t>
            </w:r>
            <w:r>
              <w:rPr>
                <w:rFonts w:hint="eastAsia"/>
                <w:color w:val="0000FF"/>
                <w:sz w:val="21"/>
                <w:szCs w:val="21"/>
              </w:rPr>
              <w:t>）</w:t>
            </w:r>
          </w:p>
        </w:tc>
        <w:tc>
          <w:tcPr>
            <w:tcW w:w="884"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1642.5万</w:t>
            </w:r>
            <w:r>
              <w:rPr>
                <w:color w:val="0000FF"/>
                <w:sz w:val="21"/>
                <w:szCs w:val="21"/>
              </w:rPr>
              <w:t>t/a</w:t>
            </w:r>
            <w:r>
              <w:rPr>
                <w:rFonts w:hint="eastAsia"/>
                <w:color w:val="0000FF"/>
                <w:sz w:val="21"/>
                <w:szCs w:val="21"/>
              </w:rPr>
              <w:t xml:space="preserve"> </w:t>
            </w:r>
          </w:p>
          <w:p>
            <w:pPr>
              <w:adjustRightInd w:val="0"/>
              <w:snapToGrid w:val="0"/>
              <w:spacing w:line="340" w:lineRule="exact"/>
              <w:ind w:firstLine="0" w:firstLineChars="0"/>
              <w:jc w:val="center"/>
              <w:rPr>
                <w:color w:val="0000FF"/>
                <w:sz w:val="21"/>
                <w:szCs w:val="21"/>
              </w:rPr>
            </w:pPr>
            <w:r>
              <w:rPr>
                <w:rFonts w:hint="eastAsia"/>
                <w:color w:val="0000FF"/>
                <w:sz w:val="21"/>
                <w:szCs w:val="21"/>
              </w:rPr>
              <w:t>(450</w:t>
            </w:r>
            <w:r>
              <w:rPr>
                <w:color w:val="0000FF"/>
                <w:sz w:val="21"/>
                <w:szCs w:val="21"/>
              </w:rPr>
              <w:t>00t/d</w:t>
            </w:r>
            <w:r>
              <w:rPr>
                <w:rFonts w:hint="eastAsia"/>
                <w:color w:val="0000FF"/>
                <w:sz w:val="21"/>
                <w:szCs w:val="21"/>
              </w:rPr>
              <w:t>)</w:t>
            </w:r>
          </w:p>
        </w:tc>
        <w:tc>
          <w:tcPr>
            <w:tcW w:w="506"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821.25</w:t>
            </w:r>
          </w:p>
        </w:tc>
        <w:tc>
          <w:tcPr>
            <w:tcW w:w="522"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164.25</w:t>
            </w:r>
          </w:p>
        </w:tc>
        <w:tc>
          <w:tcPr>
            <w:tcW w:w="522"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164.25</w:t>
            </w:r>
          </w:p>
        </w:tc>
        <w:tc>
          <w:tcPr>
            <w:tcW w:w="621"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82.13</w:t>
            </w:r>
          </w:p>
        </w:tc>
        <w:tc>
          <w:tcPr>
            <w:tcW w:w="528" w:type="pct"/>
            <w:tcBorders>
              <w:bottom w:val="single" w:color="auto" w:sz="12"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246.38</w:t>
            </w:r>
          </w:p>
        </w:tc>
        <w:tc>
          <w:tcPr>
            <w:tcW w:w="447" w:type="pct"/>
            <w:tcBorders>
              <w:bottom w:val="single" w:color="auto" w:sz="12" w:space="0"/>
              <w:right w:val="nil"/>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8.21</w:t>
            </w:r>
          </w:p>
        </w:tc>
      </w:tr>
    </w:tbl>
    <w:p>
      <w:pPr>
        <w:autoSpaceDE w:val="0"/>
        <w:autoSpaceDN w:val="0"/>
        <w:adjustRightInd w:val="0"/>
        <w:spacing w:before="120" w:beforeLines="50"/>
        <w:ind w:firstLine="480"/>
        <w:rPr>
          <w:color w:val="0000FF"/>
        </w:rPr>
      </w:pPr>
      <w:r>
        <w:rPr>
          <w:rFonts w:hint="eastAsia"/>
          <w:color w:val="0000FF"/>
        </w:rPr>
        <w:t>②预测模型</w:t>
      </w:r>
    </w:p>
    <w:p>
      <w:pPr>
        <w:autoSpaceDE w:val="0"/>
        <w:autoSpaceDN w:val="0"/>
        <w:adjustRightInd w:val="0"/>
        <w:ind w:firstLine="480"/>
        <w:rPr>
          <w:color w:val="0000FF"/>
        </w:rPr>
      </w:pPr>
      <w:r>
        <w:drawing>
          <wp:anchor distT="0" distB="0" distL="114300" distR="114300" simplePos="0" relativeHeight="251711488" behindDoc="0" locked="0" layoutInCell="1" allowOverlap="1">
            <wp:simplePos x="0" y="0"/>
            <wp:positionH relativeFrom="column">
              <wp:posOffset>1735455</wp:posOffset>
            </wp:positionH>
            <wp:positionV relativeFrom="paragraph">
              <wp:posOffset>496570</wp:posOffset>
            </wp:positionV>
            <wp:extent cx="1885950" cy="666750"/>
            <wp:effectExtent l="0" t="0" r="0" b="0"/>
            <wp:wrapNone/>
            <wp:docPr id="93"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2"/>
                    <pic:cNvPicPr>
                      <a:picLocks noChangeAspect="1"/>
                    </pic:cNvPicPr>
                  </pic:nvPicPr>
                  <pic:blipFill>
                    <a:blip r:embed="rId75"/>
                    <a:stretch>
                      <a:fillRect/>
                    </a:stretch>
                  </pic:blipFill>
                  <pic:spPr>
                    <a:xfrm>
                      <a:off x="0" y="0"/>
                      <a:ext cx="1885950" cy="666750"/>
                    </a:xfrm>
                    <a:prstGeom prst="rect">
                      <a:avLst/>
                    </a:prstGeom>
                    <a:noFill/>
                    <a:ln>
                      <a:noFill/>
                    </a:ln>
                  </pic:spPr>
                </pic:pic>
              </a:graphicData>
            </a:graphic>
          </wp:anchor>
        </w:drawing>
      </w:r>
      <w:r>
        <w:rPr>
          <w:rFonts w:hint="eastAsia"/>
          <w:color w:val="0000FF"/>
        </w:rPr>
        <w:t>毛家渡抬水工程建成后，库区为狭长的河道型水库，根据河道型水库的特性，采用《环境影响评价技术导则</w:t>
      </w:r>
      <w:r>
        <w:rPr>
          <w:color w:val="0000FF"/>
        </w:rPr>
        <w:t xml:space="preserve"> </w:t>
      </w:r>
      <w:r>
        <w:rPr>
          <w:rFonts w:hint="eastAsia"/>
          <w:color w:val="0000FF"/>
        </w:rPr>
        <w:t>地表水环境》（</w:t>
      </w:r>
      <w:r>
        <w:rPr>
          <w:color w:val="0000FF"/>
        </w:rPr>
        <w:t>HJ2.3-2018</w:t>
      </w:r>
      <w:r>
        <w:rPr>
          <w:rFonts w:hint="eastAsia"/>
          <w:color w:val="0000FF"/>
        </w:rPr>
        <w:t>）推荐的一维水质模型进行抬水工程总体水质预测。</w:t>
      </w:r>
    </w:p>
    <w:p>
      <w:pPr>
        <w:autoSpaceDE w:val="0"/>
        <w:autoSpaceDN w:val="0"/>
        <w:adjustRightInd w:val="0"/>
        <w:ind w:firstLine="480"/>
        <w:rPr>
          <w:rFonts w:hAnsi="宋体"/>
          <w:color w:val="0000FF"/>
          <w:kern w:val="0"/>
          <w:szCs w:val="24"/>
        </w:rPr>
      </w:pPr>
    </w:p>
    <w:p>
      <w:pPr>
        <w:autoSpaceDE w:val="0"/>
        <w:autoSpaceDN w:val="0"/>
        <w:adjustRightInd w:val="0"/>
        <w:ind w:firstLine="480"/>
        <w:rPr>
          <w:color w:val="0000FF"/>
          <w:kern w:val="0"/>
          <w:szCs w:val="24"/>
        </w:rPr>
      </w:pPr>
      <w:r>
        <w:rPr>
          <w:rFonts w:hAnsi="宋体"/>
          <w:color w:val="0000FF"/>
          <w:kern w:val="0"/>
          <w:szCs w:val="24"/>
        </w:rPr>
        <w:t>式中：</w:t>
      </w:r>
      <w:r>
        <w:rPr>
          <w:color w:val="0000FF"/>
          <w:kern w:val="0"/>
          <w:szCs w:val="24"/>
        </w:rPr>
        <w:t>C——</w:t>
      </w:r>
      <w:r>
        <w:rPr>
          <w:rFonts w:hAnsi="宋体"/>
          <w:color w:val="0000FF"/>
          <w:kern w:val="0"/>
          <w:szCs w:val="24"/>
        </w:rPr>
        <w:t>污染物浓度，</w:t>
      </w:r>
      <w:r>
        <w:rPr>
          <w:color w:val="0000FF"/>
          <w:kern w:val="0"/>
          <w:szCs w:val="24"/>
        </w:rPr>
        <w:t>mg/L</w:t>
      </w:r>
      <w:r>
        <w:rPr>
          <w:rFonts w:hAnsi="宋体"/>
          <w:color w:val="0000FF"/>
          <w:kern w:val="0"/>
          <w:szCs w:val="24"/>
        </w:rPr>
        <w:t>；</w:t>
      </w:r>
      <w:r>
        <w:rPr>
          <w:color w:val="0000FF"/>
          <w:kern w:val="0"/>
          <w:szCs w:val="24"/>
        </w:rPr>
        <w:t>C</w:t>
      </w:r>
      <w:r>
        <w:rPr>
          <w:color w:val="0000FF"/>
          <w:kern w:val="0"/>
          <w:szCs w:val="24"/>
          <w:vertAlign w:val="subscript"/>
        </w:rPr>
        <w:t>0</w:t>
      </w:r>
      <w:r>
        <w:rPr>
          <w:color w:val="0000FF"/>
          <w:kern w:val="0"/>
          <w:szCs w:val="24"/>
        </w:rPr>
        <w:t xml:space="preserve"> ——</w:t>
      </w:r>
      <w:r>
        <w:rPr>
          <w:rFonts w:hAnsi="宋体"/>
          <w:color w:val="0000FF"/>
          <w:kern w:val="0"/>
          <w:szCs w:val="24"/>
        </w:rPr>
        <w:t>污染物混合浓度，</w:t>
      </w:r>
      <w:r>
        <w:rPr>
          <w:color w:val="0000FF"/>
          <w:kern w:val="0"/>
          <w:szCs w:val="24"/>
        </w:rPr>
        <w:t>mg/L</w:t>
      </w:r>
      <w:r>
        <w:rPr>
          <w:rFonts w:hAnsi="宋体"/>
          <w:color w:val="0000FF"/>
          <w:kern w:val="0"/>
          <w:szCs w:val="24"/>
        </w:rPr>
        <w:t>；</w:t>
      </w:r>
    </w:p>
    <w:p>
      <w:pPr>
        <w:autoSpaceDE w:val="0"/>
        <w:autoSpaceDN w:val="0"/>
        <w:adjustRightInd w:val="0"/>
        <w:ind w:firstLine="600" w:firstLineChars="250"/>
        <w:rPr>
          <w:color w:val="0000FF"/>
          <w:kern w:val="0"/>
          <w:szCs w:val="24"/>
        </w:rPr>
      </w:pPr>
      <w:r>
        <w:rPr>
          <w:color w:val="0000FF"/>
          <w:kern w:val="0"/>
          <w:szCs w:val="24"/>
        </w:rPr>
        <w:t>k——</w:t>
      </w:r>
      <w:r>
        <w:rPr>
          <w:rFonts w:hAnsi="宋体"/>
          <w:color w:val="0000FF"/>
          <w:kern w:val="0"/>
          <w:szCs w:val="24"/>
        </w:rPr>
        <w:t>污染物综合衰减系数，</w:t>
      </w:r>
      <w:r>
        <w:rPr>
          <w:color w:val="0000FF"/>
          <w:kern w:val="0"/>
          <w:szCs w:val="24"/>
        </w:rPr>
        <w:t>1/s</w:t>
      </w:r>
      <w:r>
        <w:rPr>
          <w:rFonts w:hint="eastAsia"/>
          <w:color w:val="0000FF"/>
          <w:kern w:val="0"/>
          <w:szCs w:val="24"/>
        </w:rPr>
        <w:t>；</w:t>
      </w:r>
      <w:r>
        <w:rPr>
          <w:color w:val="0000FF"/>
          <w:kern w:val="0"/>
          <w:szCs w:val="24"/>
        </w:rPr>
        <w:t xml:space="preserve"> COD</w:t>
      </w:r>
      <w:r>
        <w:rPr>
          <w:rFonts w:hAnsi="宋体"/>
          <w:color w:val="0000FF"/>
          <w:kern w:val="0"/>
          <w:szCs w:val="24"/>
        </w:rPr>
        <w:t>、氨氮、</w:t>
      </w:r>
      <w:r>
        <w:rPr>
          <w:color w:val="0000FF"/>
          <w:kern w:val="0"/>
          <w:szCs w:val="24"/>
        </w:rPr>
        <w:t xml:space="preserve">TP </w:t>
      </w:r>
      <w:r>
        <w:rPr>
          <w:rFonts w:hAnsi="宋体"/>
          <w:color w:val="0000FF"/>
          <w:kern w:val="0"/>
          <w:szCs w:val="24"/>
        </w:rPr>
        <w:t>污染物综合衰减系数分别为</w:t>
      </w:r>
      <w:r>
        <w:rPr>
          <w:color w:val="0000FF"/>
          <w:kern w:val="0"/>
          <w:szCs w:val="24"/>
        </w:rPr>
        <w:t>0.1/d</w:t>
      </w:r>
      <w:r>
        <w:rPr>
          <w:rFonts w:hAnsi="宋体"/>
          <w:color w:val="0000FF"/>
          <w:kern w:val="0"/>
          <w:szCs w:val="24"/>
        </w:rPr>
        <w:t>、</w:t>
      </w:r>
      <w:r>
        <w:rPr>
          <w:color w:val="0000FF"/>
          <w:kern w:val="0"/>
          <w:szCs w:val="24"/>
        </w:rPr>
        <w:t xml:space="preserve">0.08/d </w:t>
      </w:r>
      <w:r>
        <w:rPr>
          <w:rFonts w:hAnsi="宋体"/>
          <w:color w:val="0000FF"/>
          <w:kern w:val="0"/>
          <w:szCs w:val="24"/>
        </w:rPr>
        <w:t>和</w:t>
      </w:r>
      <w:r>
        <w:rPr>
          <w:color w:val="0000FF"/>
          <w:kern w:val="0"/>
          <w:szCs w:val="24"/>
        </w:rPr>
        <w:t>0.04/d</w:t>
      </w:r>
      <w:r>
        <w:rPr>
          <w:rFonts w:hAnsi="宋体"/>
          <w:color w:val="0000FF"/>
          <w:kern w:val="0"/>
          <w:szCs w:val="24"/>
        </w:rPr>
        <w:t>；</w:t>
      </w:r>
    </w:p>
    <w:p>
      <w:pPr>
        <w:autoSpaceDE w:val="0"/>
        <w:autoSpaceDN w:val="0"/>
        <w:adjustRightInd w:val="0"/>
        <w:ind w:firstLine="480"/>
        <w:rPr>
          <w:color w:val="0000FF"/>
          <w:kern w:val="0"/>
          <w:szCs w:val="24"/>
        </w:rPr>
      </w:pPr>
      <w:r>
        <w:rPr>
          <w:color w:val="0000FF"/>
          <w:kern w:val="0"/>
          <w:szCs w:val="24"/>
        </w:rPr>
        <w:t>x——</w:t>
      </w:r>
      <w:r>
        <w:rPr>
          <w:rFonts w:hAnsi="宋体"/>
          <w:color w:val="0000FF"/>
          <w:kern w:val="0"/>
          <w:szCs w:val="24"/>
        </w:rPr>
        <w:t>预测断面距起始断面的距离，</w:t>
      </w:r>
      <w:r>
        <w:rPr>
          <w:color w:val="0000FF"/>
          <w:kern w:val="0"/>
          <w:szCs w:val="24"/>
        </w:rPr>
        <w:t>m</w:t>
      </w:r>
      <w:r>
        <w:rPr>
          <w:rFonts w:hAnsi="宋体"/>
          <w:color w:val="0000FF"/>
          <w:kern w:val="0"/>
          <w:szCs w:val="24"/>
        </w:rPr>
        <w:t>；</w:t>
      </w:r>
      <w:r>
        <w:rPr>
          <w:color w:val="0000FF"/>
          <w:kern w:val="0"/>
          <w:szCs w:val="24"/>
        </w:rPr>
        <w:t xml:space="preserve">   u——</w:t>
      </w:r>
      <w:r>
        <w:rPr>
          <w:rFonts w:hAnsi="宋体"/>
          <w:color w:val="0000FF"/>
          <w:kern w:val="0"/>
          <w:szCs w:val="24"/>
        </w:rPr>
        <w:t>断面流速，</w:t>
      </w:r>
      <w:r>
        <w:rPr>
          <w:color w:val="0000FF"/>
          <w:kern w:val="0"/>
          <w:szCs w:val="24"/>
        </w:rPr>
        <w:t>m/s</w:t>
      </w:r>
      <w:r>
        <w:rPr>
          <w:rFonts w:hAnsi="宋体"/>
          <w:color w:val="0000FF"/>
          <w:kern w:val="0"/>
          <w:szCs w:val="24"/>
        </w:rPr>
        <w:t>；</w:t>
      </w:r>
    </w:p>
    <w:p>
      <w:pPr>
        <w:autoSpaceDE w:val="0"/>
        <w:autoSpaceDN w:val="0"/>
        <w:adjustRightInd w:val="0"/>
        <w:ind w:firstLine="480"/>
        <w:rPr>
          <w:rFonts w:hAnsi="宋体"/>
          <w:color w:val="0000FF"/>
          <w:kern w:val="0"/>
          <w:szCs w:val="24"/>
        </w:rPr>
      </w:pPr>
      <w:r>
        <w:rPr>
          <w:color w:val="0000FF"/>
          <w:kern w:val="0"/>
          <w:szCs w:val="24"/>
        </w:rPr>
        <w:t xml:space="preserve">C </w:t>
      </w:r>
      <w:r>
        <w:rPr>
          <w:color w:val="0000FF"/>
          <w:kern w:val="0"/>
          <w:szCs w:val="24"/>
          <w:vertAlign w:val="subscript"/>
        </w:rPr>
        <w:t>p</w:t>
      </w:r>
      <w:r>
        <w:rPr>
          <w:rFonts w:hAnsi="宋体"/>
          <w:color w:val="0000FF"/>
          <w:kern w:val="0"/>
          <w:szCs w:val="24"/>
        </w:rPr>
        <w:t>、</w:t>
      </w:r>
      <w:r>
        <w:rPr>
          <w:color w:val="0000FF"/>
          <w:kern w:val="0"/>
          <w:szCs w:val="24"/>
        </w:rPr>
        <w:t xml:space="preserve">Q </w:t>
      </w:r>
      <w:r>
        <w:rPr>
          <w:color w:val="0000FF"/>
          <w:kern w:val="0"/>
          <w:szCs w:val="24"/>
          <w:vertAlign w:val="subscript"/>
        </w:rPr>
        <w:t>p</w:t>
      </w:r>
      <w:r>
        <w:rPr>
          <w:color w:val="0000FF"/>
          <w:kern w:val="0"/>
          <w:szCs w:val="24"/>
        </w:rPr>
        <w:t xml:space="preserve"> ——</w:t>
      </w:r>
      <w:r>
        <w:rPr>
          <w:rFonts w:hAnsi="宋体"/>
          <w:color w:val="0000FF"/>
          <w:kern w:val="0"/>
          <w:szCs w:val="24"/>
        </w:rPr>
        <w:t>废水中污染物排放浓度、污染物排放量，</w:t>
      </w:r>
      <w:r>
        <w:rPr>
          <w:color w:val="0000FF"/>
          <w:kern w:val="0"/>
          <w:szCs w:val="24"/>
        </w:rPr>
        <w:t>mg/L</w:t>
      </w:r>
      <w:r>
        <w:rPr>
          <w:rFonts w:hAnsi="宋体"/>
          <w:color w:val="0000FF"/>
          <w:kern w:val="0"/>
          <w:szCs w:val="24"/>
        </w:rPr>
        <w:t>、</w:t>
      </w:r>
      <w:r>
        <w:rPr>
          <w:color w:val="0000FF"/>
          <w:kern w:val="0"/>
          <w:szCs w:val="24"/>
        </w:rPr>
        <w:t>m</w:t>
      </w:r>
      <w:r>
        <w:rPr>
          <w:color w:val="0000FF"/>
          <w:kern w:val="0"/>
          <w:szCs w:val="24"/>
          <w:vertAlign w:val="superscript"/>
        </w:rPr>
        <w:t>3</w:t>
      </w:r>
      <w:r>
        <w:rPr>
          <w:color w:val="0000FF"/>
          <w:kern w:val="0"/>
          <w:szCs w:val="24"/>
        </w:rPr>
        <w:t>/s</w:t>
      </w:r>
      <w:r>
        <w:rPr>
          <w:rFonts w:hAnsi="宋体"/>
          <w:color w:val="0000FF"/>
          <w:kern w:val="0"/>
          <w:szCs w:val="24"/>
        </w:rPr>
        <w:t>；</w:t>
      </w:r>
    </w:p>
    <w:p>
      <w:pPr>
        <w:autoSpaceDE w:val="0"/>
        <w:autoSpaceDN w:val="0"/>
        <w:adjustRightInd w:val="0"/>
        <w:ind w:firstLine="480"/>
        <w:rPr>
          <w:color w:val="0000FF"/>
          <w:szCs w:val="24"/>
        </w:rPr>
      </w:pPr>
      <w:r>
        <w:rPr>
          <w:color w:val="0000FF"/>
          <w:kern w:val="0"/>
          <w:szCs w:val="24"/>
        </w:rPr>
        <w:t xml:space="preserve">C </w:t>
      </w:r>
      <w:r>
        <w:rPr>
          <w:color w:val="0000FF"/>
          <w:kern w:val="0"/>
          <w:szCs w:val="24"/>
          <w:vertAlign w:val="subscript"/>
        </w:rPr>
        <w:t>h</w:t>
      </w:r>
      <w:r>
        <w:rPr>
          <w:rFonts w:hAnsi="宋体"/>
          <w:color w:val="0000FF"/>
          <w:kern w:val="0"/>
          <w:szCs w:val="24"/>
        </w:rPr>
        <w:t>、</w:t>
      </w:r>
      <w:r>
        <w:rPr>
          <w:color w:val="0000FF"/>
          <w:kern w:val="0"/>
          <w:szCs w:val="24"/>
        </w:rPr>
        <w:t>Q</w:t>
      </w:r>
      <w:r>
        <w:rPr>
          <w:color w:val="0000FF"/>
          <w:kern w:val="0"/>
          <w:szCs w:val="24"/>
          <w:vertAlign w:val="subscript"/>
        </w:rPr>
        <w:t xml:space="preserve"> h</w:t>
      </w:r>
      <w:r>
        <w:rPr>
          <w:color w:val="0000FF"/>
          <w:kern w:val="0"/>
          <w:szCs w:val="24"/>
        </w:rPr>
        <w:t xml:space="preserve"> ——</w:t>
      </w:r>
      <w:r>
        <w:rPr>
          <w:rFonts w:hAnsi="宋体"/>
          <w:color w:val="0000FF"/>
          <w:kern w:val="0"/>
          <w:szCs w:val="24"/>
        </w:rPr>
        <w:t>原河流上游污染物浓度、河流流量，</w:t>
      </w:r>
      <w:r>
        <w:rPr>
          <w:color w:val="0000FF"/>
          <w:kern w:val="0"/>
          <w:szCs w:val="24"/>
        </w:rPr>
        <w:t>mg/L</w:t>
      </w:r>
      <w:r>
        <w:rPr>
          <w:rFonts w:hAnsi="宋体"/>
          <w:color w:val="0000FF"/>
          <w:kern w:val="0"/>
          <w:szCs w:val="24"/>
        </w:rPr>
        <w:t>、</w:t>
      </w:r>
      <w:r>
        <w:rPr>
          <w:color w:val="0000FF"/>
          <w:kern w:val="0"/>
          <w:szCs w:val="24"/>
        </w:rPr>
        <w:t>m</w:t>
      </w:r>
      <w:r>
        <w:rPr>
          <w:color w:val="0000FF"/>
          <w:kern w:val="0"/>
          <w:szCs w:val="24"/>
          <w:vertAlign w:val="superscript"/>
        </w:rPr>
        <w:t>3</w:t>
      </w:r>
      <w:r>
        <w:rPr>
          <w:color w:val="0000FF"/>
          <w:kern w:val="0"/>
          <w:szCs w:val="24"/>
        </w:rPr>
        <w:t>/s</w:t>
      </w:r>
      <w:r>
        <w:rPr>
          <w:rFonts w:hAnsi="宋体"/>
          <w:color w:val="0000FF"/>
          <w:kern w:val="0"/>
          <w:szCs w:val="24"/>
        </w:rPr>
        <w:t>；</w:t>
      </w:r>
    </w:p>
    <w:p>
      <w:pPr>
        <w:pStyle w:val="297"/>
        <w:spacing w:line="360" w:lineRule="auto"/>
        <w:ind w:firstLine="480" w:firstLineChars="200"/>
        <w:rPr>
          <w:rFonts w:ascii="Times New Roman" w:hAnsi="Times New Roman"/>
          <w:color w:val="0000FF"/>
          <w:kern w:val="0"/>
          <w:szCs w:val="24"/>
        </w:rPr>
      </w:pPr>
      <w:r>
        <w:rPr>
          <w:rFonts w:ascii="Times New Roman" w:hAnsi="Times New Roman"/>
          <w:color w:val="0000FF"/>
          <w:kern w:val="0"/>
          <w:szCs w:val="24"/>
        </w:rPr>
        <w:t>③预测时期</w:t>
      </w:r>
    </w:p>
    <w:p>
      <w:pPr>
        <w:autoSpaceDE w:val="0"/>
        <w:autoSpaceDN w:val="0"/>
        <w:adjustRightInd w:val="0"/>
        <w:ind w:firstLine="480"/>
        <w:rPr>
          <w:color w:val="0000FF"/>
          <w:kern w:val="0"/>
          <w:szCs w:val="24"/>
        </w:rPr>
      </w:pPr>
      <w:r>
        <w:rPr>
          <w:color w:val="0000FF"/>
          <w:kern w:val="0"/>
          <w:szCs w:val="24"/>
        </w:rPr>
        <w:t>库区水质预测时期：枯水期</w:t>
      </w:r>
      <w:r>
        <w:rPr>
          <w:rFonts w:hint="eastAsia"/>
          <w:color w:val="0000FF"/>
          <w:kern w:val="0"/>
          <w:szCs w:val="24"/>
        </w:rPr>
        <w:t>，</w:t>
      </w:r>
      <w:r>
        <w:rPr>
          <w:rFonts w:hint="eastAsia"/>
          <w:color w:val="0000FF"/>
        </w:rPr>
        <w:t>其中枯水期采用河道内最小生态流量12.11m</w:t>
      </w:r>
      <w:r>
        <w:rPr>
          <w:rFonts w:hint="eastAsia"/>
          <w:color w:val="0000FF"/>
          <w:vertAlign w:val="superscript"/>
        </w:rPr>
        <w:t>3</w:t>
      </w:r>
      <w:r>
        <w:rPr>
          <w:rFonts w:hint="eastAsia"/>
          <w:color w:val="0000FF"/>
        </w:rPr>
        <w:t>/s</w:t>
      </w:r>
      <w:r>
        <w:rPr>
          <w:color w:val="0000FF"/>
          <w:kern w:val="0"/>
          <w:szCs w:val="24"/>
        </w:rPr>
        <w:t>。</w:t>
      </w:r>
    </w:p>
    <w:p>
      <w:pPr>
        <w:autoSpaceDE w:val="0"/>
        <w:autoSpaceDN w:val="0"/>
        <w:adjustRightInd w:val="0"/>
        <w:ind w:firstLine="480"/>
        <w:rPr>
          <w:color w:val="0000FF"/>
          <w:kern w:val="0"/>
          <w:szCs w:val="24"/>
        </w:rPr>
      </w:pPr>
      <w:r>
        <w:rPr>
          <w:rFonts w:hint="eastAsia"/>
          <w:color w:val="0000FF"/>
          <w:kern w:val="0"/>
          <w:szCs w:val="24"/>
        </w:rPr>
        <w:t>④参数确定</w:t>
      </w:r>
    </w:p>
    <w:p>
      <w:pPr>
        <w:autoSpaceDE w:val="0"/>
        <w:autoSpaceDN w:val="0"/>
        <w:adjustRightInd w:val="0"/>
        <w:ind w:firstLine="480"/>
        <w:rPr>
          <w:color w:val="0000FF"/>
        </w:rPr>
      </w:pPr>
      <w:r>
        <w:rPr>
          <w:rFonts w:hint="eastAsia"/>
          <w:color w:val="0000FF"/>
        </w:rPr>
        <w:t>根据排污口入锦河下游500m断面的监测数据作为本底值，详见表5.2-1，经查阅资料及参照《息烽县两岔河水库工程环境影响报告书》，COD、氨氮、TP污染物综合衰减系数分别为0.1/d、0.08/d 和0.04/d；流速约为0.0035m/s，监测断面距坝址断面约1.5km。</w:t>
      </w:r>
    </w:p>
    <w:p>
      <w:pPr>
        <w:autoSpaceDE w:val="0"/>
        <w:autoSpaceDN w:val="0"/>
        <w:adjustRightInd w:val="0"/>
        <w:ind w:firstLine="480"/>
        <w:rPr>
          <w:color w:val="0000FF"/>
          <w:kern w:val="0"/>
          <w:szCs w:val="24"/>
        </w:rPr>
      </w:pPr>
      <w:r>
        <w:rPr>
          <w:rFonts w:hint="eastAsia"/>
          <w:color w:val="0000FF"/>
          <w:kern w:val="0"/>
          <w:szCs w:val="24"/>
        </w:rPr>
        <w:t>⑤预测结果</w:t>
      </w:r>
    </w:p>
    <w:p>
      <w:pPr>
        <w:autoSpaceDE w:val="0"/>
        <w:autoSpaceDN w:val="0"/>
        <w:adjustRightInd w:val="0"/>
        <w:ind w:firstLine="480"/>
        <w:rPr>
          <w:color w:val="0000FF"/>
          <w:kern w:val="0"/>
          <w:szCs w:val="24"/>
        </w:rPr>
      </w:pPr>
      <w:r>
        <w:rPr>
          <w:rFonts w:hint="eastAsia"/>
          <w:color w:val="0000FF"/>
          <w:kern w:val="0"/>
          <w:szCs w:val="24"/>
        </w:rPr>
        <w:t>根据上述参数值，库区水质预测结果见</w:t>
      </w:r>
      <w:r>
        <w:rPr>
          <w:color w:val="0000FF"/>
          <w:kern w:val="0"/>
          <w:szCs w:val="24"/>
        </w:rPr>
        <w:t>见表5.</w:t>
      </w:r>
      <w:r>
        <w:rPr>
          <w:rFonts w:hint="eastAsia"/>
          <w:color w:val="0000FF"/>
          <w:kern w:val="0"/>
          <w:szCs w:val="24"/>
        </w:rPr>
        <w:t>3</w:t>
      </w:r>
      <w:r>
        <w:rPr>
          <w:color w:val="0000FF"/>
          <w:kern w:val="0"/>
          <w:szCs w:val="24"/>
        </w:rPr>
        <w:t>-</w:t>
      </w:r>
      <w:r>
        <w:rPr>
          <w:rFonts w:hint="eastAsia"/>
          <w:color w:val="0000FF"/>
          <w:kern w:val="0"/>
          <w:szCs w:val="24"/>
        </w:rPr>
        <w:t>5</w:t>
      </w:r>
      <w:r>
        <w:rPr>
          <w:color w:val="0000FF"/>
          <w:kern w:val="0"/>
          <w:szCs w:val="24"/>
        </w:rPr>
        <w:t>。</w:t>
      </w:r>
    </w:p>
    <w:p>
      <w:pPr>
        <w:pStyle w:val="284"/>
        <w:spacing w:before="120" w:beforeLines="50" w:line="240" w:lineRule="auto"/>
        <w:ind w:firstLine="482"/>
        <w:jc w:val="center"/>
        <w:rPr>
          <w:rFonts w:ascii="黑体" w:hAnsi="黑体" w:eastAsia="黑体"/>
          <w:color w:val="0000FF"/>
          <w:szCs w:val="24"/>
        </w:rPr>
      </w:pPr>
      <w:r>
        <w:rPr>
          <w:rFonts w:ascii="黑体" w:hAnsi="黑体" w:eastAsia="黑体"/>
          <w:color w:val="0000FF"/>
          <w:szCs w:val="24"/>
        </w:rPr>
        <w:t>表5.</w:t>
      </w:r>
      <w:r>
        <w:rPr>
          <w:rFonts w:hint="eastAsia" w:ascii="黑体" w:hAnsi="黑体" w:eastAsia="黑体"/>
          <w:color w:val="0000FF"/>
          <w:szCs w:val="24"/>
        </w:rPr>
        <w:t>3</w:t>
      </w:r>
      <w:r>
        <w:rPr>
          <w:rFonts w:ascii="黑体" w:hAnsi="黑体" w:eastAsia="黑体"/>
          <w:color w:val="0000FF"/>
          <w:szCs w:val="24"/>
        </w:rPr>
        <w:t>-</w:t>
      </w:r>
      <w:r>
        <w:rPr>
          <w:rFonts w:hint="eastAsia" w:ascii="黑体" w:hAnsi="黑体" w:eastAsia="黑体"/>
          <w:color w:val="0000FF"/>
          <w:szCs w:val="24"/>
        </w:rPr>
        <w:t>5</w:t>
      </w:r>
      <w:r>
        <w:rPr>
          <w:rFonts w:ascii="黑体" w:hAnsi="黑体" w:eastAsia="黑体"/>
          <w:color w:val="0000FF"/>
          <w:szCs w:val="24"/>
        </w:rPr>
        <w:t xml:space="preserve">  </w:t>
      </w:r>
      <w:r>
        <w:rPr>
          <w:rFonts w:hint="eastAsia" w:ascii="黑体" w:hAnsi="黑体" w:eastAsia="黑体" w:cs="CIDFont+F5"/>
          <w:color w:val="0000FF"/>
          <w:kern w:val="0"/>
          <w:szCs w:val="24"/>
        </w:rPr>
        <w:t>库区水质预测</w:t>
      </w:r>
      <w:r>
        <w:rPr>
          <w:rFonts w:hint="eastAsia" w:ascii="黑体" w:hAnsi="黑体" w:eastAsia="黑体"/>
          <w:color w:val="0000FF"/>
          <w:szCs w:val="24"/>
        </w:rPr>
        <w:t>一览</w:t>
      </w:r>
      <w:r>
        <w:rPr>
          <w:rFonts w:ascii="黑体" w:hAnsi="黑体" w:eastAsia="黑体"/>
          <w:color w:val="0000FF"/>
          <w:szCs w:val="24"/>
        </w:rPr>
        <w:t>表</w:t>
      </w:r>
    </w:p>
    <w:tbl>
      <w:tblPr>
        <w:tblStyle w:val="8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6"/>
        <w:gridCol w:w="809"/>
        <w:gridCol w:w="1397"/>
        <w:gridCol w:w="1352"/>
        <w:gridCol w:w="1176"/>
        <w:gridCol w:w="1119"/>
        <w:gridCol w:w="1100"/>
        <w:gridCol w:w="1091"/>
        <w:gridCol w:w="9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gridSpan w:val="2"/>
            <w:vAlign w:val="center"/>
          </w:tcPr>
          <w:p>
            <w:pPr>
              <w:adjustRightInd w:val="0"/>
              <w:snapToGrid w:val="0"/>
              <w:spacing w:line="340" w:lineRule="exact"/>
              <w:ind w:firstLine="0" w:firstLineChars="0"/>
              <w:jc w:val="center"/>
              <w:rPr>
                <w:color w:val="0000FF"/>
                <w:sz w:val="21"/>
                <w:szCs w:val="21"/>
              </w:rPr>
            </w:pPr>
            <w:r>
              <w:rPr>
                <w:color w:val="0000FF"/>
                <w:sz w:val="21"/>
                <w:szCs w:val="21"/>
              </w:rPr>
              <w:t>时段</w:t>
            </w:r>
          </w:p>
        </w:tc>
        <w:tc>
          <w:tcPr>
            <w:tcW w:w="1397" w:type="dxa"/>
            <w:vAlign w:val="center"/>
          </w:tcPr>
          <w:p>
            <w:pPr>
              <w:adjustRightInd w:val="0"/>
              <w:snapToGrid w:val="0"/>
              <w:spacing w:line="340" w:lineRule="exact"/>
              <w:ind w:firstLine="0" w:firstLineChars="0"/>
              <w:jc w:val="center"/>
              <w:rPr>
                <w:color w:val="0000FF"/>
                <w:sz w:val="21"/>
                <w:szCs w:val="21"/>
              </w:rPr>
            </w:pPr>
            <w:r>
              <w:rPr>
                <w:color w:val="0000FF"/>
                <w:sz w:val="21"/>
                <w:szCs w:val="21"/>
              </w:rPr>
              <w:t>受纳水体本底值（mg/L）</w:t>
            </w:r>
          </w:p>
        </w:tc>
        <w:tc>
          <w:tcPr>
            <w:tcW w:w="1352" w:type="dxa"/>
            <w:tcBorders>
              <w:righ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排放量</w:t>
            </w:r>
          </w:p>
          <w:p>
            <w:pPr>
              <w:adjustRightInd w:val="0"/>
              <w:snapToGrid w:val="0"/>
              <w:spacing w:line="340" w:lineRule="exact"/>
              <w:ind w:firstLine="0" w:firstLineChars="0"/>
              <w:jc w:val="center"/>
              <w:rPr>
                <w:color w:val="0000FF"/>
                <w:sz w:val="21"/>
                <w:szCs w:val="21"/>
              </w:rPr>
            </w:pPr>
            <w:r>
              <w:rPr>
                <w:rFonts w:hint="eastAsia"/>
                <w:color w:val="0000FF"/>
                <w:sz w:val="21"/>
                <w:szCs w:val="21"/>
              </w:rPr>
              <w:t>(</w:t>
            </w:r>
            <w:r>
              <w:rPr>
                <w:color w:val="0000FF"/>
                <w:sz w:val="21"/>
                <w:szCs w:val="21"/>
              </w:rPr>
              <w:t>生产废水</w:t>
            </w:r>
            <w:r>
              <w:rPr>
                <w:rFonts w:hint="eastAsia"/>
                <w:color w:val="0000FF"/>
                <w:sz w:val="21"/>
                <w:szCs w:val="21"/>
              </w:rPr>
              <w:t>)</w:t>
            </w:r>
            <w:r>
              <w:rPr>
                <w:color w:val="0000FF"/>
                <w:sz w:val="21"/>
                <w:szCs w:val="21"/>
              </w:rPr>
              <w:t xml:space="preserve"> </w:t>
            </w:r>
          </w:p>
        </w:tc>
        <w:tc>
          <w:tcPr>
            <w:tcW w:w="1176" w:type="dxa"/>
            <w:tcBorders>
              <w:lef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削减量(生活污水)</w:t>
            </w:r>
            <w:r>
              <w:rPr>
                <w:color w:val="0000FF"/>
                <w:sz w:val="21"/>
                <w:szCs w:val="21"/>
              </w:rPr>
              <w:t xml:space="preserve"> </w:t>
            </w:r>
          </w:p>
        </w:tc>
        <w:tc>
          <w:tcPr>
            <w:tcW w:w="1119" w:type="dxa"/>
            <w:tcBorders>
              <w:righ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最终排放量</w:t>
            </w:r>
            <w:r>
              <w:rPr>
                <w:color w:val="0000FF"/>
                <w:sz w:val="21"/>
                <w:szCs w:val="21"/>
              </w:rPr>
              <w:t>（</w:t>
            </w:r>
            <w:r>
              <w:rPr>
                <w:rFonts w:hint="eastAsia"/>
                <w:color w:val="0000FF"/>
                <w:sz w:val="21"/>
                <w:szCs w:val="21"/>
              </w:rPr>
              <w:t>t/a</w:t>
            </w:r>
            <w:r>
              <w:rPr>
                <w:color w:val="0000FF"/>
                <w:sz w:val="21"/>
                <w:szCs w:val="21"/>
              </w:rPr>
              <w:t>）</w:t>
            </w:r>
          </w:p>
        </w:tc>
        <w:tc>
          <w:tcPr>
            <w:tcW w:w="1100" w:type="dxa"/>
            <w:tcBorders>
              <w:lef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预测值</w:t>
            </w:r>
            <w:r>
              <w:rPr>
                <w:color w:val="0000FF"/>
                <w:sz w:val="21"/>
                <w:szCs w:val="21"/>
              </w:rPr>
              <w:t>（mg/L）</w:t>
            </w:r>
          </w:p>
        </w:tc>
        <w:tc>
          <w:tcPr>
            <w:tcW w:w="1091" w:type="dxa"/>
            <w:vAlign w:val="center"/>
          </w:tcPr>
          <w:p>
            <w:pPr>
              <w:adjustRightInd w:val="0"/>
              <w:snapToGrid w:val="0"/>
              <w:spacing w:line="340" w:lineRule="exact"/>
              <w:ind w:firstLine="0" w:firstLineChars="0"/>
              <w:jc w:val="center"/>
              <w:rPr>
                <w:color w:val="0000FF"/>
                <w:sz w:val="21"/>
                <w:szCs w:val="21"/>
              </w:rPr>
            </w:pPr>
            <w:r>
              <w:rPr>
                <w:color w:val="0000FF"/>
                <w:sz w:val="21"/>
                <w:szCs w:val="21"/>
              </w:rPr>
              <w:t>标准值（mg/L）</w:t>
            </w:r>
          </w:p>
        </w:tc>
        <w:tc>
          <w:tcPr>
            <w:tcW w:w="93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超标</w:t>
            </w:r>
            <w:r>
              <w:rPr>
                <w:rFonts w:hint="eastAsia"/>
                <w:color w:val="0000FF"/>
                <w:sz w:val="21"/>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vAlign w:val="center"/>
          </w:tcPr>
          <w:p>
            <w:pPr>
              <w:adjustRightInd w:val="0"/>
              <w:snapToGrid w:val="0"/>
              <w:spacing w:line="340" w:lineRule="exact"/>
              <w:ind w:firstLine="0" w:firstLineChars="0"/>
              <w:jc w:val="center"/>
              <w:rPr>
                <w:rFonts w:ascii="宋体" w:hAnsi="宋体"/>
                <w:color w:val="0000FF"/>
                <w:sz w:val="21"/>
                <w:szCs w:val="21"/>
              </w:rPr>
            </w:pPr>
            <w:r>
              <w:rPr>
                <w:rFonts w:hint="eastAsia" w:ascii="宋体" w:hAnsi="宋体" w:cs="CIDFont+F5"/>
                <w:color w:val="0000FF"/>
                <w:kern w:val="0"/>
                <w:sz w:val="21"/>
                <w:szCs w:val="21"/>
              </w:rPr>
              <w:t>枯水期</w:t>
            </w:r>
          </w:p>
        </w:tc>
        <w:tc>
          <w:tcPr>
            <w:tcW w:w="0" w:type="auto"/>
            <w:tcBorders>
              <w:bottom w:val="single" w:color="auto" w:sz="4"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COD</w:t>
            </w:r>
          </w:p>
        </w:tc>
        <w:tc>
          <w:tcPr>
            <w:tcW w:w="1397" w:type="dxa"/>
            <w:tcBorders>
              <w:bottom w:val="single" w:color="auto" w:sz="4"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1</w:t>
            </w:r>
            <w:r>
              <w:rPr>
                <w:rFonts w:hint="eastAsia"/>
                <w:color w:val="0000FF"/>
                <w:sz w:val="21"/>
                <w:szCs w:val="21"/>
              </w:rPr>
              <w:t>3.0</w:t>
            </w:r>
          </w:p>
        </w:tc>
        <w:tc>
          <w:tcPr>
            <w:tcW w:w="1352" w:type="dxa"/>
            <w:tcBorders>
              <w:bottom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584</w:t>
            </w:r>
            <w:r>
              <w:rPr>
                <w:color w:val="0000FF"/>
                <w:sz w:val="21"/>
                <w:szCs w:val="21"/>
              </w:rPr>
              <w:t>t/a</w:t>
            </w:r>
          </w:p>
        </w:tc>
        <w:tc>
          <w:tcPr>
            <w:tcW w:w="1176" w:type="dxa"/>
            <w:tcBorders>
              <w:bottom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r>
              <w:rPr>
                <w:color w:val="0000FF"/>
                <w:sz w:val="21"/>
                <w:szCs w:val="21"/>
              </w:rPr>
              <w:t>t/a</w:t>
            </w:r>
          </w:p>
        </w:tc>
        <w:tc>
          <w:tcPr>
            <w:tcW w:w="1119" w:type="dxa"/>
            <w:tcBorders>
              <w:righ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219</w:t>
            </w:r>
          </w:p>
        </w:tc>
        <w:tc>
          <w:tcPr>
            <w:tcW w:w="1100" w:type="dxa"/>
            <w:tcBorders>
              <w:lef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13.964</w:t>
            </w:r>
          </w:p>
        </w:tc>
        <w:tc>
          <w:tcPr>
            <w:tcW w:w="1091"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w:t>
            </w:r>
            <w:r>
              <w:rPr>
                <w:color w:val="0000FF"/>
                <w:sz w:val="21"/>
                <w:szCs w:val="21"/>
              </w:rPr>
              <w:t>0</w:t>
            </w:r>
          </w:p>
        </w:tc>
        <w:tc>
          <w:tcPr>
            <w:tcW w:w="93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adjustRightInd w:val="0"/>
              <w:snapToGrid w:val="0"/>
              <w:spacing w:line="340" w:lineRule="exact"/>
              <w:ind w:firstLine="0" w:firstLineChars="0"/>
              <w:jc w:val="center"/>
              <w:rPr>
                <w:rFonts w:ascii="宋体" w:hAnsi="宋体"/>
                <w:color w:val="0000FF"/>
                <w:sz w:val="21"/>
                <w:szCs w:val="21"/>
              </w:rPr>
            </w:pPr>
          </w:p>
        </w:tc>
        <w:tc>
          <w:tcPr>
            <w:tcW w:w="0" w:type="auto"/>
            <w:tcBorders>
              <w:top w:val="single" w:color="auto" w:sz="4" w:space="0"/>
              <w:bottom w:val="single" w:color="auto" w:sz="4"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NH</w:t>
            </w:r>
            <w:r>
              <w:rPr>
                <w:color w:val="0000FF"/>
                <w:sz w:val="21"/>
                <w:szCs w:val="21"/>
                <w:vertAlign w:val="subscript"/>
              </w:rPr>
              <w:t>3</w:t>
            </w:r>
            <w:r>
              <w:rPr>
                <w:color w:val="0000FF"/>
                <w:sz w:val="21"/>
                <w:szCs w:val="21"/>
              </w:rPr>
              <w:t>-N</w:t>
            </w:r>
          </w:p>
        </w:tc>
        <w:tc>
          <w:tcPr>
            <w:tcW w:w="1397" w:type="dxa"/>
            <w:tcBorders>
              <w:top w:val="single" w:color="auto" w:sz="4" w:space="0"/>
              <w:bottom w:val="single" w:color="auto"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0.227</w:t>
            </w:r>
          </w:p>
        </w:tc>
        <w:tc>
          <w:tcPr>
            <w:tcW w:w="1352" w:type="dxa"/>
            <w:tcBorders>
              <w:top w:val="single" w:color="000000" w:sz="4" w:space="0"/>
              <w:bottom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58.4</w:t>
            </w:r>
            <w:r>
              <w:rPr>
                <w:color w:val="0000FF"/>
                <w:sz w:val="21"/>
                <w:szCs w:val="21"/>
              </w:rPr>
              <w:t>t/a</w:t>
            </w:r>
          </w:p>
        </w:tc>
        <w:tc>
          <w:tcPr>
            <w:tcW w:w="1176" w:type="dxa"/>
            <w:tcBorders>
              <w:top w:val="single" w:color="000000" w:sz="4" w:space="0"/>
              <w:bottom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r>
              <w:rPr>
                <w:color w:val="0000FF"/>
                <w:sz w:val="21"/>
                <w:szCs w:val="21"/>
              </w:rPr>
              <w:t>t/a</w:t>
            </w:r>
          </w:p>
        </w:tc>
        <w:tc>
          <w:tcPr>
            <w:tcW w:w="1119" w:type="dxa"/>
            <w:tcBorders>
              <w:righ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21.9</w:t>
            </w:r>
          </w:p>
        </w:tc>
        <w:tc>
          <w:tcPr>
            <w:tcW w:w="1100" w:type="dxa"/>
            <w:tcBorders>
              <w:lef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0.506</w:t>
            </w:r>
          </w:p>
        </w:tc>
        <w:tc>
          <w:tcPr>
            <w:tcW w:w="1091"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1</w:t>
            </w:r>
          </w:p>
        </w:tc>
        <w:tc>
          <w:tcPr>
            <w:tcW w:w="93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adjustRightInd w:val="0"/>
              <w:snapToGrid w:val="0"/>
              <w:spacing w:line="340" w:lineRule="exact"/>
              <w:ind w:firstLine="0" w:firstLineChars="0"/>
              <w:jc w:val="center"/>
              <w:rPr>
                <w:rFonts w:ascii="宋体" w:hAnsi="宋体"/>
                <w:color w:val="0000FF"/>
                <w:sz w:val="21"/>
                <w:szCs w:val="21"/>
              </w:rPr>
            </w:pPr>
          </w:p>
        </w:tc>
        <w:tc>
          <w:tcPr>
            <w:tcW w:w="0" w:type="auto"/>
            <w:tcBorders>
              <w:top w:val="single" w:color="auto" w:sz="4" w:space="0"/>
            </w:tcBorders>
            <w:vAlign w:val="center"/>
          </w:tcPr>
          <w:p>
            <w:pPr>
              <w:adjustRightInd w:val="0"/>
              <w:snapToGrid w:val="0"/>
              <w:spacing w:line="340" w:lineRule="exact"/>
              <w:ind w:firstLine="0" w:firstLineChars="0"/>
              <w:jc w:val="center"/>
              <w:rPr>
                <w:color w:val="0000FF"/>
                <w:sz w:val="21"/>
                <w:szCs w:val="21"/>
              </w:rPr>
            </w:pPr>
            <w:r>
              <w:rPr>
                <w:color w:val="0000FF"/>
                <w:sz w:val="21"/>
                <w:szCs w:val="21"/>
              </w:rPr>
              <w:t>TP</w:t>
            </w:r>
          </w:p>
        </w:tc>
        <w:tc>
          <w:tcPr>
            <w:tcW w:w="1397" w:type="dxa"/>
            <w:tcBorders>
              <w:top w:val="single" w:color="auto"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0.03</w:t>
            </w:r>
          </w:p>
        </w:tc>
        <w:tc>
          <w:tcPr>
            <w:tcW w:w="1352" w:type="dxa"/>
            <w:tcBorders>
              <w:top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5.84</w:t>
            </w:r>
            <w:r>
              <w:rPr>
                <w:color w:val="0000FF"/>
                <w:sz w:val="21"/>
                <w:szCs w:val="21"/>
              </w:rPr>
              <w:t>t/a</w:t>
            </w:r>
          </w:p>
        </w:tc>
        <w:tc>
          <w:tcPr>
            <w:tcW w:w="1176" w:type="dxa"/>
            <w:tcBorders>
              <w:top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3.65</w:t>
            </w:r>
            <w:r>
              <w:rPr>
                <w:color w:val="0000FF"/>
                <w:sz w:val="21"/>
                <w:szCs w:val="21"/>
              </w:rPr>
              <w:t>t/a</w:t>
            </w:r>
          </w:p>
        </w:tc>
        <w:tc>
          <w:tcPr>
            <w:tcW w:w="1119" w:type="dxa"/>
            <w:tcBorders>
              <w:righ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2.19</w:t>
            </w:r>
          </w:p>
        </w:tc>
        <w:tc>
          <w:tcPr>
            <w:tcW w:w="1100" w:type="dxa"/>
            <w:tcBorders>
              <w:left w:val="single" w:color="000000" w:sz="4" w:space="0"/>
            </w:tcBorders>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0.0578</w:t>
            </w:r>
          </w:p>
        </w:tc>
        <w:tc>
          <w:tcPr>
            <w:tcW w:w="1091"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0.2</w:t>
            </w:r>
          </w:p>
        </w:tc>
        <w:tc>
          <w:tcPr>
            <w:tcW w:w="93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达标</w:t>
            </w:r>
          </w:p>
        </w:tc>
      </w:tr>
    </w:tbl>
    <w:p>
      <w:pPr>
        <w:ind w:firstLine="480"/>
        <w:jc w:val="left"/>
        <w:rPr>
          <w:color w:val="0000FF"/>
          <w:kern w:val="0"/>
          <w:szCs w:val="24"/>
        </w:rPr>
      </w:pPr>
      <w:r>
        <w:rPr>
          <w:rFonts w:hint="eastAsia"/>
          <w:color w:val="0000FF"/>
          <w:kern w:val="0"/>
          <w:szCs w:val="24"/>
        </w:rPr>
        <w:t>由表</w:t>
      </w:r>
      <w:r>
        <w:rPr>
          <w:color w:val="0000FF"/>
          <w:kern w:val="0"/>
          <w:szCs w:val="24"/>
        </w:rPr>
        <w:t>5.</w:t>
      </w:r>
      <w:r>
        <w:rPr>
          <w:rFonts w:hint="eastAsia"/>
          <w:color w:val="0000FF"/>
          <w:kern w:val="0"/>
          <w:szCs w:val="24"/>
        </w:rPr>
        <w:t>3</w:t>
      </w:r>
      <w:r>
        <w:rPr>
          <w:color w:val="0000FF"/>
          <w:kern w:val="0"/>
          <w:szCs w:val="24"/>
        </w:rPr>
        <w:t>-</w:t>
      </w:r>
      <w:r>
        <w:rPr>
          <w:rFonts w:hint="eastAsia"/>
          <w:color w:val="0000FF"/>
          <w:kern w:val="0"/>
          <w:szCs w:val="24"/>
        </w:rPr>
        <w:t>5可知，在枯水期毛家渡抬水工程建成后，库区水体中 COD、NH</w:t>
      </w:r>
      <w:r>
        <w:rPr>
          <w:rFonts w:hint="eastAsia"/>
          <w:color w:val="0000FF"/>
          <w:kern w:val="0"/>
          <w:szCs w:val="24"/>
          <w:vertAlign w:val="subscript"/>
        </w:rPr>
        <w:t>3</w:t>
      </w:r>
      <w:r>
        <w:rPr>
          <w:rFonts w:hint="eastAsia"/>
          <w:color w:val="0000FF"/>
          <w:kern w:val="0"/>
          <w:szCs w:val="24"/>
        </w:rPr>
        <w:t>-N 和TP浓度均所有增加，但水质依然满足Ⅲ类水质要求。所以，抬水工程建成后对库区水质影响较小。</w:t>
      </w:r>
    </w:p>
    <w:p>
      <w:pPr>
        <w:pStyle w:val="297"/>
        <w:spacing w:line="360" w:lineRule="auto"/>
        <w:ind w:firstLine="480"/>
        <w:rPr>
          <w:rFonts w:ascii="Times New Roman" w:hAnsi="Times New Roman"/>
          <w:color w:val="0000FF"/>
        </w:rPr>
      </w:pPr>
      <w:r>
        <w:rPr>
          <w:rFonts w:hint="eastAsia" w:ascii="Times New Roman" w:hAnsi="Times New Roman"/>
          <w:color w:val="0000FF"/>
        </w:rPr>
        <w:t>(3)富营养化分析</w:t>
      </w:r>
    </w:p>
    <w:p>
      <w:pPr>
        <w:autoSpaceDE w:val="0"/>
        <w:autoSpaceDN w:val="0"/>
        <w:adjustRightInd w:val="0"/>
        <w:ind w:firstLine="480"/>
        <w:rPr>
          <w:color w:val="0000FF"/>
        </w:rPr>
      </w:pPr>
      <w:r>
        <w:rPr>
          <w:rFonts w:hint="eastAsia"/>
          <w:color w:val="0000FF"/>
        </w:rPr>
        <w:t>本环评以污染现状水平作为预测基础，选用容易引起水库富营养化的</w:t>
      </w:r>
      <w:r>
        <w:rPr>
          <w:color w:val="0000FF"/>
        </w:rPr>
        <w:t>TN</w:t>
      </w:r>
      <w:r>
        <w:rPr>
          <w:rFonts w:hint="eastAsia"/>
          <w:color w:val="0000FF"/>
        </w:rPr>
        <w:t>、</w:t>
      </w:r>
      <w:r>
        <w:rPr>
          <w:color w:val="0000FF"/>
        </w:rPr>
        <w:t>TP</w:t>
      </w:r>
      <w:r>
        <w:rPr>
          <w:rFonts w:hint="eastAsia"/>
          <w:color w:val="0000FF"/>
        </w:rPr>
        <w:t>指标，对抬水工程锦河段河水库营养化趋势进行预测与评价。主要采用</w:t>
      </w:r>
      <w:r>
        <w:rPr>
          <w:color w:val="0000FF"/>
        </w:rPr>
        <w:t>坝址上游约800m</w:t>
      </w:r>
      <w:r>
        <w:rPr>
          <w:rFonts w:hint="eastAsia"/>
          <w:color w:val="0000FF"/>
        </w:rPr>
        <w:t>水质现状监测资料，数据中包含了库区及上游污染情况，完全可以代表水库水质污染的现状水平。采用《环境影响评价技术导则-地表水环境（</w:t>
      </w:r>
      <w:r>
        <w:rPr>
          <w:color w:val="0000FF"/>
        </w:rPr>
        <w:t>HJ2.3-2018</w:t>
      </w:r>
      <w:r>
        <w:rPr>
          <w:rFonts w:hint="eastAsia"/>
          <w:color w:val="0000FF"/>
        </w:rPr>
        <w:t>）》推荐的狄龙模式对本工程建成后库内</w:t>
      </w:r>
      <w:r>
        <w:rPr>
          <w:color w:val="0000FF"/>
        </w:rPr>
        <w:t>TN</w:t>
      </w:r>
      <w:r>
        <w:rPr>
          <w:rFonts w:hint="eastAsia"/>
          <w:color w:val="0000FF"/>
        </w:rPr>
        <w:t>、</w:t>
      </w:r>
      <w:r>
        <w:rPr>
          <w:color w:val="0000FF"/>
        </w:rPr>
        <w:t xml:space="preserve">TP </w:t>
      </w:r>
      <w:r>
        <w:rPr>
          <w:rFonts w:hint="eastAsia"/>
          <w:color w:val="0000FF"/>
        </w:rPr>
        <w:t>浓度是否会造成库区水体富营养化的预测分析，公式如下：</w:t>
      </w:r>
    </w:p>
    <w:p>
      <w:pPr>
        <w:ind w:firstLine="0" w:firstLineChars="0"/>
        <w:jc w:val="center"/>
        <w:rPr>
          <w:color w:val="0000FF"/>
        </w:rPr>
      </w:pPr>
      <w:r>
        <w:rPr>
          <w:color w:val="0000FF"/>
        </w:rPr>
        <w:drawing>
          <wp:inline distT="0" distB="0" distL="114300" distR="114300">
            <wp:extent cx="2385060" cy="1296670"/>
            <wp:effectExtent l="0" t="0" r="15240" b="17780"/>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76"/>
                    <a:stretch>
                      <a:fillRect/>
                    </a:stretch>
                  </pic:blipFill>
                  <pic:spPr>
                    <a:xfrm>
                      <a:off x="0" y="0"/>
                      <a:ext cx="2385060" cy="1296670"/>
                    </a:xfrm>
                    <a:prstGeom prst="rect">
                      <a:avLst/>
                    </a:prstGeom>
                    <a:noFill/>
                    <a:ln>
                      <a:noFill/>
                    </a:ln>
                  </pic:spPr>
                </pic:pic>
              </a:graphicData>
            </a:graphic>
          </wp:inline>
        </w:drawing>
      </w:r>
    </w:p>
    <w:p>
      <w:pPr>
        <w:ind w:firstLine="480"/>
        <w:jc w:val="center"/>
        <w:rPr>
          <w:color w:val="0000FF"/>
        </w:rPr>
      </w:pPr>
      <w:r>
        <w:rPr>
          <w:color w:val="0000FF"/>
        </w:rPr>
        <w:drawing>
          <wp:inline distT="0" distB="0" distL="114300" distR="114300">
            <wp:extent cx="723900" cy="280670"/>
            <wp:effectExtent l="0" t="0" r="0" b="5080"/>
            <wp:docPr id="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
                    <pic:cNvPicPr>
                      <a:picLocks noChangeAspect="1"/>
                    </pic:cNvPicPr>
                  </pic:nvPicPr>
                  <pic:blipFill>
                    <a:blip r:embed="rId77"/>
                    <a:stretch>
                      <a:fillRect/>
                    </a:stretch>
                  </pic:blipFill>
                  <pic:spPr>
                    <a:xfrm>
                      <a:off x="0" y="0"/>
                      <a:ext cx="723900" cy="280670"/>
                    </a:xfrm>
                    <a:prstGeom prst="rect">
                      <a:avLst/>
                    </a:prstGeom>
                    <a:noFill/>
                    <a:ln>
                      <a:noFill/>
                    </a:ln>
                  </pic:spPr>
                </pic:pic>
              </a:graphicData>
            </a:graphic>
          </wp:inline>
        </w:drawing>
      </w:r>
    </w:p>
    <w:p>
      <w:pPr>
        <w:ind w:left="480" w:firstLine="0" w:firstLineChars="0"/>
        <w:rPr>
          <w:color w:val="0000FF"/>
        </w:rPr>
      </w:pPr>
      <w:r>
        <w:rPr>
          <w:rFonts w:hint="eastAsia"/>
          <w:color w:val="0000FF"/>
        </w:rPr>
        <w:t>式中：</w:t>
      </w:r>
      <w:r>
        <w:rPr>
          <w:color w:val="0000FF"/>
        </w:rPr>
        <w:t>P</w:t>
      </w:r>
      <w:r>
        <w:rPr>
          <w:rFonts w:hint="eastAsia"/>
          <w:color w:val="0000FF"/>
        </w:rPr>
        <w:t>——湖库中</w:t>
      </w:r>
      <w:r>
        <w:rPr>
          <w:color w:val="0000FF"/>
        </w:rPr>
        <w:t>TN</w:t>
      </w:r>
      <w:r>
        <w:rPr>
          <w:rFonts w:hint="eastAsia"/>
          <w:color w:val="0000FF"/>
        </w:rPr>
        <w:t>、</w:t>
      </w:r>
      <w:r>
        <w:rPr>
          <w:color w:val="0000FF"/>
        </w:rPr>
        <w:t xml:space="preserve">TP </w:t>
      </w:r>
      <w:r>
        <w:rPr>
          <w:rFonts w:hint="eastAsia"/>
          <w:color w:val="0000FF"/>
        </w:rPr>
        <w:t>的平均浓度，</w:t>
      </w:r>
      <w:r>
        <w:rPr>
          <w:color w:val="0000FF"/>
        </w:rPr>
        <w:t>mg/L</w:t>
      </w:r>
      <w:r>
        <w:rPr>
          <w:rFonts w:hint="eastAsia"/>
          <w:color w:val="0000FF"/>
        </w:rPr>
        <w:t>；</w:t>
      </w:r>
    </w:p>
    <w:p>
      <w:pPr>
        <w:ind w:firstLine="1440" w:firstLineChars="600"/>
        <w:rPr>
          <w:color w:val="0000FF"/>
        </w:rPr>
      </w:pPr>
      <w:r>
        <w:rPr>
          <w:color w:val="0000FF"/>
        </w:rPr>
        <w:t>I</w:t>
      </w:r>
      <w:r>
        <w:rPr>
          <w:color w:val="0000FF"/>
          <w:vertAlign w:val="subscript"/>
        </w:rPr>
        <w:t>p</w:t>
      </w:r>
      <w:r>
        <w:rPr>
          <w:color w:val="0000FF"/>
        </w:rPr>
        <w:t xml:space="preserve"> </w:t>
      </w:r>
      <w:r>
        <w:rPr>
          <w:rFonts w:hint="eastAsia"/>
          <w:color w:val="0000FF"/>
        </w:rPr>
        <w:t>——单位时间进入湖库的</w:t>
      </w:r>
      <w:r>
        <w:rPr>
          <w:color w:val="0000FF"/>
        </w:rPr>
        <w:t>TN</w:t>
      </w:r>
      <w:r>
        <w:rPr>
          <w:rFonts w:hint="eastAsia"/>
          <w:color w:val="0000FF"/>
        </w:rPr>
        <w:t>、</w:t>
      </w:r>
      <w:r>
        <w:rPr>
          <w:color w:val="0000FF"/>
        </w:rPr>
        <w:t xml:space="preserve">TP </w:t>
      </w:r>
      <w:r>
        <w:rPr>
          <w:rFonts w:hint="eastAsia"/>
          <w:color w:val="0000FF"/>
        </w:rPr>
        <w:t>质量，</w:t>
      </w:r>
      <w:r>
        <w:rPr>
          <w:color w:val="0000FF"/>
        </w:rPr>
        <w:t>g/a</w:t>
      </w:r>
      <w:r>
        <w:rPr>
          <w:rFonts w:hint="eastAsia"/>
          <w:color w:val="0000FF"/>
        </w:rPr>
        <w:t>；</w:t>
      </w:r>
    </w:p>
    <w:p>
      <w:pPr>
        <w:ind w:firstLine="1440" w:firstLineChars="600"/>
        <w:rPr>
          <w:color w:val="0000FF"/>
        </w:rPr>
      </w:pPr>
      <w:r>
        <w:rPr>
          <w:color w:val="0000FF"/>
        </w:rPr>
        <w:t>L</w:t>
      </w:r>
      <w:r>
        <w:rPr>
          <w:color w:val="0000FF"/>
          <w:vertAlign w:val="subscript"/>
        </w:rPr>
        <w:t>p</w:t>
      </w:r>
      <w:r>
        <w:rPr>
          <w:color w:val="0000FF"/>
        </w:rPr>
        <w:t xml:space="preserve"> </w:t>
      </w:r>
      <w:r>
        <w:rPr>
          <w:rFonts w:hint="eastAsia"/>
          <w:color w:val="0000FF"/>
        </w:rPr>
        <w:t>——单位时间、单位面积进入湖库的</w:t>
      </w:r>
      <w:r>
        <w:rPr>
          <w:color w:val="0000FF"/>
        </w:rPr>
        <w:t>TN</w:t>
      </w:r>
      <w:r>
        <w:rPr>
          <w:rFonts w:hint="eastAsia"/>
          <w:color w:val="0000FF"/>
        </w:rPr>
        <w:t>、</w:t>
      </w:r>
      <w:r>
        <w:rPr>
          <w:color w:val="0000FF"/>
        </w:rPr>
        <w:t xml:space="preserve">TP </w:t>
      </w:r>
      <w:r>
        <w:rPr>
          <w:rFonts w:hint="eastAsia"/>
          <w:color w:val="0000FF"/>
        </w:rPr>
        <w:t>负荷量，</w:t>
      </w:r>
      <w:r>
        <w:rPr>
          <w:color w:val="0000FF"/>
        </w:rPr>
        <w:t>g/(m</w:t>
      </w:r>
      <w:r>
        <w:rPr>
          <w:color w:val="0000FF"/>
          <w:vertAlign w:val="superscript"/>
        </w:rPr>
        <w:t>2</w:t>
      </w:r>
      <w:r>
        <w:rPr>
          <w:rFonts w:hint="eastAsia"/>
          <w:color w:val="0000FF"/>
        </w:rPr>
        <w:t>·</w:t>
      </w:r>
      <w:r>
        <w:rPr>
          <w:color w:val="0000FF"/>
        </w:rPr>
        <w:t>a)</w:t>
      </w:r>
      <w:r>
        <w:rPr>
          <w:rFonts w:hint="eastAsia"/>
          <w:color w:val="0000FF"/>
        </w:rPr>
        <w:t>；</w:t>
      </w:r>
    </w:p>
    <w:p>
      <w:pPr>
        <w:ind w:firstLine="1440" w:firstLineChars="600"/>
        <w:rPr>
          <w:color w:val="0000FF"/>
        </w:rPr>
      </w:pPr>
      <w:r>
        <w:rPr>
          <w:color w:val="0000FF"/>
        </w:rPr>
        <w:t xml:space="preserve">H </w:t>
      </w:r>
      <w:r>
        <w:rPr>
          <w:rFonts w:hint="eastAsia"/>
          <w:color w:val="0000FF"/>
        </w:rPr>
        <w:t>——平均水深，</w:t>
      </w:r>
      <w:r>
        <w:rPr>
          <w:color w:val="0000FF"/>
        </w:rPr>
        <w:t>m</w:t>
      </w:r>
      <w:r>
        <w:rPr>
          <w:rFonts w:hint="eastAsia"/>
          <w:color w:val="0000FF"/>
        </w:rPr>
        <w:t>；</w:t>
      </w:r>
      <w:r>
        <w:rPr>
          <w:color w:val="0000FF"/>
        </w:rPr>
        <w:t xml:space="preserve">R </w:t>
      </w:r>
      <w:r>
        <w:rPr>
          <w:color w:val="0000FF"/>
          <w:vertAlign w:val="subscript"/>
        </w:rPr>
        <w:t>p</w:t>
      </w:r>
      <w:r>
        <w:rPr>
          <w:rFonts w:hint="eastAsia"/>
          <w:color w:val="0000FF"/>
        </w:rPr>
        <w:t>——</w:t>
      </w:r>
      <w:r>
        <w:rPr>
          <w:color w:val="0000FF"/>
        </w:rPr>
        <w:t>TN</w:t>
      </w:r>
      <w:r>
        <w:rPr>
          <w:rFonts w:hint="eastAsia"/>
          <w:color w:val="0000FF"/>
        </w:rPr>
        <w:t>、</w:t>
      </w:r>
      <w:r>
        <w:rPr>
          <w:color w:val="0000FF"/>
        </w:rPr>
        <w:t xml:space="preserve">TP </w:t>
      </w:r>
      <w:r>
        <w:rPr>
          <w:rFonts w:hint="eastAsia"/>
          <w:color w:val="0000FF"/>
        </w:rPr>
        <w:t>在湖库中的滞留率，</w:t>
      </w:r>
      <w:r>
        <w:rPr>
          <w:color w:val="0000FF"/>
        </w:rPr>
        <w:t>1</w:t>
      </w:r>
      <w:r>
        <w:rPr>
          <w:rFonts w:hint="eastAsia"/>
          <w:color w:val="0000FF"/>
        </w:rPr>
        <w:t>；</w:t>
      </w:r>
    </w:p>
    <w:p>
      <w:pPr>
        <w:ind w:firstLine="1440" w:firstLineChars="600"/>
        <w:rPr>
          <w:color w:val="0000FF"/>
        </w:rPr>
      </w:pPr>
      <w:r>
        <w:rPr>
          <w:rFonts w:hint="eastAsia"/>
          <w:color w:val="0000FF"/>
        </w:rPr>
        <w:t>q</w:t>
      </w:r>
      <w:r>
        <w:rPr>
          <w:color w:val="0000FF"/>
          <w:vertAlign w:val="subscript"/>
        </w:rPr>
        <w:t>a</w:t>
      </w:r>
      <w:r>
        <w:rPr>
          <w:rFonts w:hint="eastAsia"/>
          <w:color w:val="0000FF"/>
        </w:rPr>
        <w:t>——年出流的水量，</w:t>
      </w:r>
      <w:r>
        <w:rPr>
          <w:color w:val="0000FF"/>
        </w:rPr>
        <w:t>m</w:t>
      </w:r>
      <w:r>
        <w:rPr>
          <w:color w:val="0000FF"/>
          <w:vertAlign w:val="superscript"/>
        </w:rPr>
        <w:t>3</w:t>
      </w:r>
      <w:r>
        <w:rPr>
          <w:color w:val="0000FF"/>
        </w:rPr>
        <w:t>/a</w:t>
      </w:r>
      <w:r>
        <w:rPr>
          <w:rFonts w:hint="eastAsia"/>
          <w:color w:val="0000FF"/>
        </w:rPr>
        <w:t>；</w:t>
      </w:r>
      <w:r>
        <w:rPr>
          <w:color w:val="0000FF"/>
        </w:rPr>
        <w:t>q</w:t>
      </w:r>
      <w:r>
        <w:rPr>
          <w:color w:val="0000FF"/>
          <w:vertAlign w:val="subscript"/>
        </w:rPr>
        <w:t>i</w:t>
      </w:r>
      <w:r>
        <w:rPr>
          <w:rFonts w:hint="eastAsia"/>
          <w:color w:val="0000FF"/>
        </w:rPr>
        <w:t>——年入流的水量，</w:t>
      </w:r>
      <w:r>
        <w:rPr>
          <w:color w:val="0000FF"/>
        </w:rPr>
        <w:t>m</w:t>
      </w:r>
      <w:r>
        <w:rPr>
          <w:color w:val="0000FF"/>
          <w:vertAlign w:val="superscript"/>
        </w:rPr>
        <w:t>3</w:t>
      </w:r>
      <w:r>
        <w:rPr>
          <w:color w:val="0000FF"/>
        </w:rPr>
        <w:t>/a</w:t>
      </w:r>
      <w:r>
        <w:rPr>
          <w:rFonts w:hint="eastAsia"/>
          <w:color w:val="0000FF"/>
        </w:rPr>
        <w:t>；</w:t>
      </w:r>
    </w:p>
    <w:p>
      <w:pPr>
        <w:ind w:firstLine="480"/>
        <w:rPr>
          <w:color w:val="0000FF"/>
        </w:rPr>
      </w:pPr>
      <w:r>
        <w:rPr>
          <w:rFonts w:hint="eastAsia"/>
          <w:color w:val="0000FF"/>
        </w:rPr>
        <w:t></w:t>
      </w:r>
      <w:r>
        <w:rPr>
          <w:color w:val="0000FF"/>
        </w:rPr>
        <w:t xml:space="preserve"> </w:t>
      </w:r>
      <w:r>
        <w:rPr>
          <w:rFonts w:hint="eastAsia"/>
          <w:color w:val="0000FF"/>
        </w:rPr>
        <w:t xml:space="preserve">   </w:t>
      </w:r>
      <w:r>
        <w:rPr>
          <w:color w:val="0000FF"/>
        </w:rPr>
        <w:t>P</w:t>
      </w:r>
      <w:r>
        <w:rPr>
          <w:color w:val="0000FF"/>
          <w:vertAlign w:val="subscript"/>
        </w:rPr>
        <w:t>a</w:t>
      </w:r>
      <w:r>
        <w:rPr>
          <w:rFonts w:hint="eastAsia"/>
          <w:color w:val="0000FF"/>
        </w:rPr>
        <w:t>——年出流的</w:t>
      </w:r>
      <w:r>
        <w:rPr>
          <w:color w:val="0000FF"/>
        </w:rPr>
        <w:t>TN</w:t>
      </w:r>
      <w:r>
        <w:rPr>
          <w:rFonts w:hint="eastAsia"/>
          <w:color w:val="0000FF"/>
        </w:rPr>
        <w:t>（</w:t>
      </w:r>
      <w:r>
        <w:rPr>
          <w:color w:val="0000FF"/>
        </w:rPr>
        <w:t>TP</w:t>
      </w:r>
      <w:r>
        <w:rPr>
          <w:rFonts w:hint="eastAsia"/>
          <w:color w:val="0000FF"/>
        </w:rPr>
        <w:t>）平均浓度，</w:t>
      </w:r>
      <w:r>
        <w:rPr>
          <w:color w:val="0000FF"/>
        </w:rPr>
        <w:t>mg/L</w:t>
      </w:r>
      <w:r>
        <w:rPr>
          <w:rFonts w:hint="eastAsia"/>
          <w:color w:val="0000FF"/>
        </w:rPr>
        <w:t>；</w:t>
      </w:r>
    </w:p>
    <w:p>
      <w:pPr>
        <w:ind w:firstLine="480"/>
        <w:rPr>
          <w:color w:val="0000FF"/>
        </w:rPr>
      </w:pPr>
      <w:r>
        <w:rPr>
          <w:rFonts w:hint="eastAsia"/>
          <w:color w:val="0000FF"/>
        </w:rPr>
        <w:t></w:t>
      </w:r>
      <w:r>
        <w:rPr>
          <w:color w:val="0000FF"/>
        </w:rPr>
        <w:t xml:space="preserve"> </w:t>
      </w:r>
      <w:r>
        <w:rPr>
          <w:rFonts w:hint="eastAsia"/>
          <w:color w:val="0000FF"/>
        </w:rPr>
        <w:t xml:space="preserve">   </w:t>
      </w:r>
      <w:r>
        <w:rPr>
          <w:color w:val="0000FF"/>
        </w:rPr>
        <w:t xml:space="preserve">P </w:t>
      </w:r>
      <w:r>
        <w:rPr>
          <w:color w:val="0000FF"/>
          <w:vertAlign w:val="subscript"/>
        </w:rPr>
        <w:t>i</w:t>
      </w:r>
      <w:r>
        <w:rPr>
          <w:rFonts w:hint="eastAsia"/>
          <w:color w:val="0000FF"/>
        </w:rPr>
        <w:t>——年入流的</w:t>
      </w:r>
      <w:r>
        <w:rPr>
          <w:color w:val="0000FF"/>
        </w:rPr>
        <w:t>TN</w:t>
      </w:r>
      <w:r>
        <w:rPr>
          <w:rFonts w:hint="eastAsia"/>
          <w:color w:val="0000FF"/>
        </w:rPr>
        <w:t>（</w:t>
      </w:r>
      <w:r>
        <w:rPr>
          <w:color w:val="0000FF"/>
        </w:rPr>
        <w:t>TP</w:t>
      </w:r>
      <w:r>
        <w:rPr>
          <w:rFonts w:hint="eastAsia"/>
          <w:color w:val="0000FF"/>
        </w:rPr>
        <w:t>）平均浓度，</w:t>
      </w:r>
      <w:r>
        <w:rPr>
          <w:color w:val="0000FF"/>
        </w:rPr>
        <w:t>mg/L</w:t>
      </w:r>
      <w:r>
        <w:rPr>
          <w:rFonts w:hint="eastAsia"/>
          <w:color w:val="0000FF"/>
        </w:rPr>
        <w:t>；</w:t>
      </w:r>
    </w:p>
    <w:p>
      <w:pPr>
        <w:ind w:firstLine="1440" w:firstLineChars="600"/>
        <w:rPr>
          <w:color w:val="0000FF"/>
        </w:rPr>
      </w:pPr>
      <w:r>
        <w:rPr>
          <w:color w:val="0000FF"/>
        </w:rPr>
        <w:t>r</w:t>
      </w:r>
      <w:r>
        <w:rPr>
          <w:rFonts w:hint="eastAsia"/>
          <w:color w:val="0000FF"/>
        </w:rPr>
        <w:t>——水力冲刷系数，</w:t>
      </w:r>
      <w:r>
        <w:rPr>
          <w:color w:val="0000FF"/>
        </w:rPr>
        <w:t>1/a</w:t>
      </w:r>
      <w:r>
        <w:rPr>
          <w:rFonts w:hint="eastAsia"/>
          <w:color w:val="0000FF"/>
        </w:rPr>
        <w:t>；</w:t>
      </w:r>
      <w:r>
        <w:rPr>
          <w:color w:val="0000FF"/>
        </w:rPr>
        <w:t>Q</w:t>
      </w:r>
      <w:r>
        <w:rPr>
          <w:rFonts w:hint="eastAsia"/>
          <w:color w:val="0000FF"/>
        </w:rPr>
        <w:t>——湖库年出流水量，</w:t>
      </w:r>
      <w:r>
        <w:rPr>
          <w:color w:val="0000FF"/>
        </w:rPr>
        <w:t>m</w:t>
      </w:r>
      <w:r>
        <w:rPr>
          <w:color w:val="0000FF"/>
          <w:vertAlign w:val="superscript"/>
        </w:rPr>
        <w:t>3</w:t>
      </w:r>
      <w:r>
        <w:rPr>
          <w:color w:val="0000FF"/>
        </w:rPr>
        <w:t>/a</w:t>
      </w:r>
      <w:r>
        <w:rPr>
          <w:rFonts w:hint="eastAsia"/>
          <w:color w:val="0000FF"/>
        </w:rPr>
        <w:t>；</w:t>
      </w:r>
    </w:p>
    <w:p>
      <w:pPr>
        <w:ind w:firstLine="1320" w:firstLineChars="550"/>
        <w:rPr>
          <w:color w:val="0000FF"/>
        </w:rPr>
      </w:pPr>
      <w:r>
        <w:rPr>
          <w:color w:val="0000FF"/>
        </w:rPr>
        <w:t xml:space="preserve">V </w:t>
      </w:r>
      <w:r>
        <w:rPr>
          <w:rFonts w:hint="eastAsia"/>
          <w:color w:val="0000FF"/>
        </w:rPr>
        <w:t>——水体体积，即总库容，</w:t>
      </w:r>
      <w:r>
        <w:rPr>
          <w:color w:val="0000FF"/>
        </w:rPr>
        <w:t>m</w:t>
      </w:r>
      <w:r>
        <w:rPr>
          <w:color w:val="0000FF"/>
          <w:vertAlign w:val="superscript"/>
        </w:rPr>
        <w:t>3</w:t>
      </w:r>
      <w:r>
        <w:rPr>
          <w:rFonts w:hint="eastAsia"/>
          <w:color w:val="0000FF"/>
        </w:rPr>
        <w:t>；</w:t>
      </w:r>
      <w:r>
        <w:rPr>
          <w:color w:val="0000FF"/>
        </w:rPr>
        <w:t xml:space="preserve">A </w:t>
      </w:r>
      <w:r>
        <w:rPr>
          <w:rFonts w:hint="eastAsia"/>
          <w:color w:val="0000FF"/>
        </w:rPr>
        <w:t>——水库水面面积，</w:t>
      </w:r>
      <w:r>
        <w:rPr>
          <w:color w:val="0000FF"/>
        </w:rPr>
        <w:t>m</w:t>
      </w:r>
      <w:r>
        <w:rPr>
          <w:color w:val="0000FF"/>
          <w:vertAlign w:val="superscript"/>
        </w:rPr>
        <w:t>2</w:t>
      </w:r>
      <w:r>
        <w:rPr>
          <w:rFonts w:hint="eastAsia"/>
          <w:color w:val="0000FF"/>
        </w:rPr>
        <w:t>。</w:t>
      </w:r>
    </w:p>
    <w:p>
      <w:pPr>
        <w:autoSpaceDE w:val="0"/>
        <w:autoSpaceDN w:val="0"/>
        <w:adjustRightInd w:val="0"/>
        <w:ind w:firstLine="480" w:firstLineChars="0"/>
        <w:rPr>
          <w:color w:val="0000FF"/>
        </w:rPr>
      </w:pPr>
      <w:r>
        <w:rPr>
          <w:color w:val="0000FF"/>
        </w:rPr>
        <w:t>①参数值确定</w:t>
      </w:r>
    </w:p>
    <w:p>
      <w:pPr>
        <w:autoSpaceDE w:val="0"/>
        <w:autoSpaceDN w:val="0"/>
        <w:adjustRightInd w:val="0"/>
        <w:ind w:firstLine="480"/>
        <w:rPr>
          <w:color w:val="0000FF"/>
        </w:rPr>
      </w:pPr>
      <w:r>
        <w:rPr>
          <w:color w:val="0000FF"/>
        </w:rPr>
        <w:t>A</w:t>
      </w:r>
      <w:r>
        <w:rPr>
          <w:rFonts w:hint="eastAsia"/>
          <w:color w:val="0000FF"/>
        </w:rPr>
        <w:t>.</w:t>
      </w:r>
      <w:r>
        <w:rPr>
          <w:color w:val="0000FF"/>
        </w:rPr>
        <w:t>TN、TP负荷量</w:t>
      </w:r>
    </w:p>
    <w:p>
      <w:pPr>
        <w:autoSpaceDE w:val="0"/>
        <w:autoSpaceDN w:val="0"/>
        <w:adjustRightInd w:val="0"/>
        <w:ind w:firstLine="480"/>
        <w:rPr>
          <w:color w:val="0000FF"/>
        </w:rPr>
      </w:pPr>
      <w:r>
        <w:rPr>
          <w:color w:val="0000FF"/>
        </w:rPr>
        <w:t>根据工程坝址上游约</w:t>
      </w:r>
      <w:r>
        <w:rPr>
          <w:rFonts w:hint="eastAsia"/>
          <w:color w:val="0000FF"/>
        </w:rPr>
        <w:t>5</w:t>
      </w:r>
      <w:r>
        <w:rPr>
          <w:color w:val="0000FF"/>
        </w:rPr>
        <w:t>00m处现状监测结果，总磷浓度为0.0</w:t>
      </w:r>
      <w:r>
        <w:rPr>
          <w:rFonts w:hint="eastAsia"/>
          <w:color w:val="0000FF"/>
        </w:rPr>
        <w:t>4</w:t>
      </w:r>
      <w:r>
        <w:rPr>
          <w:color w:val="0000FF"/>
        </w:rPr>
        <w:t>~0.</w:t>
      </w:r>
      <w:r>
        <w:rPr>
          <w:rFonts w:hint="eastAsia"/>
          <w:color w:val="0000FF"/>
        </w:rPr>
        <w:t>07</w:t>
      </w:r>
      <w:r>
        <w:rPr>
          <w:color w:val="0000FF"/>
        </w:rPr>
        <w:t>mg/L，总氮浓度为0.64~0.</w:t>
      </w:r>
      <w:r>
        <w:rPr>
          <w:rFonts w:hint="eastAsia"/>
          <w:color w:val="0000FF"/>
        </w:rPr>
        <w:t>90</w:t>
      </w:r>
      <w:r>
        <w:rPr>
          <w:color w:val="0000FF"/>
        </w:rPr>
        <w:t>mg/L。</w:t>
      </w:r>
      <w:r>
        <w:rPr>
          <w:rFonts w:hAnsi="宋体"/>
          <w:color w:val="0000FF"/>
          <w:kern w:val="0"/>
          <w:szCs w:val="24"/>
        </w:rPr>
        <w:t>水面面积</w:t>
      </w:r>
      <w:r>
        <w:rPr>
          <w:rFonts w:hint="eastAsia"/>
          <w:color w:val="0000FF"/>
          <w:kern w:val="0"/>
          <w:szCs w:val="24"/>
        </w:rPr>
        <w:t>92.81</w:t>
      </w:r>
      <w:r>
        <w:rPr>
          <w:color w:val="0000FF"/>
          <w:kern w:val="0"/>
          <w:szCs w:val="24"/>
        </w:rPr>
        <w:t>km</w:t>
      </w:r>
      <w:r>
        <w:rPr>
          <w:color w:val="0000FF"/>
          <w:kern w:val="0"/>
          <w:szCs w:val="24"/>
          <w:vertAlign w:val="superscript"/>
        </w:rPr>
        <w:t>2</w:t>
      </w:r>
      <w:r>
        <w:rPr>
          <w:rFonts w:hAnsi="宋体"/>
          <w:color w:val="0000FF"/>
          <w:kern w:val="0"/>
          <w:szCs w:val="24"/>
        </w:rPr>
        <w:t>，</w:t>
      </w:r>
      <w:r>
        <w:rPr>
          <w:color w:val="0000FF"/>
        </w:rPr>
        <w:t>坝址处多年平均径流量</w:t>
      </w:r>
      <w:r>
        <w:rPr>
          <w:rFonts w:hint="eastAsia"/>
          <w:color w:val="0000FF"/>
        </w:rPr>
        <w:t>381900.96</w:t>
      </w:r>
      <w:r>
        <w:rPr>
          <w:color w:val="0000FF"/>
        </w:rPr>
        <w:t>万m</w:t>
      </w:r>
      <w:r>
        <w:rPr>
          <w:color w:val="0000FF"/>
          <w:vertAlign w:val="superscript"/>
        </w:rPr>
        <w:t>3</w:t>
      </w:r>
      <w:r>
        <w:rPr>
          <w:color w:val="0000FF"/>
        </w:rPr>
        <w:t>，经计算，工程建成后总磷负荷量为</w:t>
      </w:r>
      <w:r>
        <w:rPr>
          <w:rFonts w:hint="eastAsia"/>
          <w:color w:val="0000FF"/>
        </w:rPr>
        <w:t>2.88</w:t>
      </w:r>
      <w:r>
        <w:rPr>
          <w:color w:val="0000FF"/>
        </w:rPr>
        <w:t>g/(m</w:t>
      </w:r>
      <w:r>
        <w:rPr>
          <w:rFonts w:hint="eastAsia"/>
          <w:color w:val="0000FF"/>
          <w:vertAlign w:val="superscript"/>
        </w:rPr>
        <w:t>2</w:t>
      </w:r>
      <w:r>
        <w:rPr>
          <w:color w:val="0000FF"/>
        </w:rPr>
        <w:t>·a)，总氮负荷量为</w:t>
      </w:r>
      <w:r>
        <w:rPr>
          <w:rFonts w:hint="eastAsia"/>
          <w:color w:val="0000FF"/>
        </w:rPr>
        <w:t>37.03</w:t>
      </w:r>
      <w:r>
        <w:rPr>
          <w:color w:val="0000FF"/>
        </w:rPr>
        <w:t>g/(m</w:t>
      </w:r>
      <w:r>
        <w:rPr>
          <w:rFonts w:hint="eastAsia"/>
          <w:color w:val="0000FF"/>
          <w:vertAlign w:val="superscript"/>
        </w:rPr>
        <w:t>2</w:t>
      </w:r>
      <w:r>
        <w:rPr>
          <w:color w:val="0000FF"/>
        </w:rPr>
        <w:t>·a)。</w:t>
      </w:r>
    </w:p>
    <w:p>
      <w:pPr>
        <w:autoSpaceDE w:val="0"/>
        <w:autoSpaceDN w:val="0"/>
        <w:adjustRightInd w:val="0"/>
        <w:ind w:firstLine="480"/>
        <w:rPr>
          <w:color w:val="0000FF"/>
        </w:rPr>
      </w:pPr>
      <w:r>
        <w:rPr>
          <w:rFonts w:hint="eastAsia"/>
          <w:color w:val="0000FF"/>
        </w:rPr>
        <w:t>B.水力冲刷系数</w:t>
      </w:r>
    </w:p>
    <w:p>
      <w:pPr>
        <w:autoSpaceDE w:val="0"/>
        <w:autoSpaceDN w:val="0"/>
        <w:adjustRightInd w:val="0"/>
        <w:ind w:firstLine="480"/>
        <w:rPr>
          <w:color w:val="0000FF"/>
        </w:rPr>
      </w:pPr>
      <w:r>
        <w:rPr>
          <w:rFonts w:hint="eastAsia"/>
          <w:color w:val="0000FF"/>
        </w:rPr>
        <w:t>工程坝址处多年平均径流量381900.96万</w:t>
      </w:r>
      <w:r>
        <w:rPr>
          <w:color w:val="0000FF"/>
        </w:rPr>
        <w:t>m</w:t>
      </w:r>
      <w:r>
        <w:rPr>
          <w:color w:val="0000FF"/>
          <w:vertAlign w:val="superscript"/>
        </w:rPr>
        <w:t>3</w:t>
      </w:r>
      <w:r>
        <w:rPr>
          <w:rFonts w:hint="eastAsia"/>
          <w:color w:val="0000FF"/>
        </w:rPr>
        <w:t>，总库容项目</w:t>
      </w:r>
      <w:r>
        <w:rPr>
          <w:color w:val="0000FF"/>
        </w:rPr>
        <w:t>库容</w:t>
      </w:r>
      <w:r>
        <w:rPr>
          <w:rFonts w:hint="eastAsia"/>
          <w:color w:val="0000FF"/>
        </w:rPr>
        <w:t>量约</w:t>
      </w:r>
      <w:r>
        <w:rPr>
          <w:color w:val="0000FF"/>
        </w:rPr>
        <w:t>为</w:t>
      </w:r>
      <w:r>
        <w:rPr>
          <w:rFonts w:hint="eastAsia"/>
          <w:color w:val="0000FF"/>
        </w:rPr>
        <w:t>1221万</w:t>
      </w:r>
      <w:r>
        <w:rPr>
          <w:color w:val="0000FF"/>
        </w:rPr>
        <w:t>m</w:t>
      </w:r>
      <w:r>
        <w:rPr>
          <w:color w:val="0000FF"/>
          <w:vertAlign w:val="superscript"/>
        </w:rPr>
        <w:t>3</w:t>
      </w:r>
      <w:r>
        <w:rPr>
          <w:rFonts w:hint="eastAsia"/>
          <w:color w:val="0000FF"/>
        </w:rPr>
        <w:t>，计算得水力冲刷系数为312.8</w:t>
      </w:r>
      <w:r>
        <w:rPr>
          <w:color w:val="0000FF"/>
        </w:rPr>
        <w:t>/a</w:t>
      </w:r>
      <w:r>
        <w:rPr>
          <w:rFonts w:hint="eastAsia"/>
          <w:color w:val="0000FF"/>
        </w:rPr>
        <w:t>。</w:t>
      </w:r>
    </w:p>
    <w:p>
      <w:pPr>
        <w:autoSpaceDE w:val="0"/>
        <w:autoSpaceDN w:val="0"/>
        <w:adjustRightInd w:val="0"/>
        <w:ind w:firstLine="480"/>
        <w:rPr>
          <w:color w:val="0000FF"/>
        </w:rPr>
      </w:pPr>
      <w:r>
        <w:rPr>
          <w:rFonts w:hint="eastAsia"/>
          <w:color w:val="0000FF"/>
        </w:rPr>
        <w:t>C.滞留率</w:t>
      </w:r>
    </w:p>
    <w:p>
      <w:pPr>
        <w:ind w:firstLine="480"/>
        <w:rPr>
          <w:color w:val="0000FF"/>
        </w:rPr>
      </w:pPr>
      <w:r>
        <w:rPr>
          <w:rFonts w:hint="eastAsia"/>
          <w:color w:val="0000FF"/>
        </w:rPr>
        <w:t>一般由水库实测值确定，在无实测值情况下，可借用狄龙等人根据大量资料统计分析所得的经验方程进行计算：</w:t>
      </w:r>
    </w:p>
    <w:p>
      <w:pPr>
        <w:ind w:firstLine="480"/>
        <w:jc w:val="center"/>
        <w:rPr>
          <w:color w:val="0000FF"/>
        </w:rPr>
      </w:pPr>
      <w:r>
        <w:rPr>
          <w:color w:val="0000FF"/>
        </w:rPr>
        <w:drawing>
          <wp:inline distT="0" distB="0" distL="114300" distR="114300">
            <wp:extent cx="4255770" cy="430530"/>
            <wp:effectExtent l="0" t="0" r="11430" b="7620"/>
            <wp:docPr id="9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8"/>
                    <pic:cNvPicPr>
                      <a:picLocks noChangeAspect="1"/>
                    </pic:cNvPicPr>
                  </pic:nvPicPr>
                  <pic:blipFill>
                    <a:blip r:embed="rId78"/>
                    <a:stretch>
                      <a:fillRect/>
                    </a:stretch>
                  </pic:blipFill>
                  <pic:spPr>
                    <a:xfrm>
                      <a:off x="0" y="0"/>
                      <a:ext cx="4255770" cy="430530"/>
                    </a:xfrm>
                    <a:prstGeom prst="rect">
                      <a:avLst/>
                    </a:prstGeom>
                    <a:noFill/>
                    <a:ln>
                      <a:noFill/>
                    </a:ln>
                  </pic:spPr>
                </pic:pic>
              </a:graphicData>
            </a:graphic>
          </wp:inline>
        </w:drawing>
      </w:r>
    </w:p>
    <w:p>
      <w:pPr>
        <w:autoSpaceDE w:val="0"/>
        <w:autoSpaceDN w:val="0"/>
        <w:adjustRightInd w:val="0"/>
        <w:ind w:firstLine="480"/>
        <w:rPr>
          <w:color w:val="0000FF"/>
        </w:rPr>
      </w:pPr>
      <w:r>
        <w:rPr>
          <w:rFonts w:hint="eastAsia"/>
          <w:color w:val="0000FF"/>
        </w:rPr>
        <w:t>工程坝址处多年平均径流量381900.96万</w:t>
      </w:r>
      <w:r>
        <w:rPr>
          <w:color w:val="0000FF"/>
        </w:rPr>
        <w:t>m</w:t>
      </w:r>
      <w:r>
        <w:rPr>
          <w:color w:val="0000FF"/>
          <w:vertAlign w:val="superscript"/>
        </w:rPr>
        <w:t>3</w:t>
      </w:r>
      <w:r>
        <w:rPr>
          <w:rFonts w:hint="eastAsia"/>
          <w:color w:val="0000FF"/>
        </w:rPr>
        <w:t>，正常蓄水位水库水面面积92.81</w:t>
      </w:r>
      <w:r>
        <w:rPr>
          <w:color w:val="0000FF"/>
        </w:rPr>
        <w:t>km</w:t>
      </w:r>
      <w:r>
        <w:rPr>
          <w:color w:val="0000FF"/>
          <w:vertAlign w:val="superscript"/>
        </w:rPr>
        <w:t>2</w:t>
      </w:r>
      <w:r>
        <w:rPr>
          <w:rFonts w:hint="eastAsia"/>
          <w:color w:val="0000FF"/>
        </w:rPr>
        <w:t>，计算得水力负荷为41.15</w:t>
      </w:r>
      <w:r>
        <w:rPr>
          <w:color w:val="0000FF"/>
        </w:rPr>
        <w:t>m</w:t>
      </w:r>
      <w:r>
        <w:rPr>
          <w:color w:val="0000FF"/>
          <w:vertAlign w:val="superscript"/>
        </w:rPr>
        <w:t>3</w:t>
      </w:r>
      <w:r>
        <w:rPr>
          <w:color w:val="0000FF"/>
        </w:rPr>
        <w:t>/(m</w:t>
      </w:r>
      <w:r>
        <w:rPr>
          <w:color w:val="0000FF"/>
          <w:vertAlign w:val="superscript"/>
        </w:rPr>
        <w:t>2</w:t>
      </w:r>
      <w:r>
        <w:rPr>
          <w:rFonts w:hint="eastAsia"/>
          <w:color w:val="0000FF"/>
        </w:rPr>
        <w:t>·</w:t>
      </w:r>
      <w:r>
        <w:rPr>
          <w:color w:val="0000FF"/>
        </w:rPr>
        <w:t>a)</w:t>
      </w:r>
      <w:r>
        <w:rPr>
          <w:rFonts w:hint="eastAsia"/>
          <w:color w:val="0000FF"/>
        </w:rPr>
        <w:t>，滞留系数为</w:t>
      </w:r>
      <w:r>
        <w:rPr>
          <w:color w:val="0000FF"/>
        </w:rPr>
        <w:t>0.</w:t>
      </w:r>
      <w:r>
        <w:rPr>
          <w:rFonts w:hint="eastAsia"/>
          <w:color w:val="0000FF"/>
        </w:rPr>
        <w:t>303。</w:t>
      </w:r>
    </w:p>
    <w:p>
      <w:pPr>
        <w:autoSpaceDE w:val="0"/>
        <w:autoSpaceDN w:val="0"/>
        <w:adjustRightInd w:val="0"/>
        <w:ind w:firstLine="480"/>
        <w:rPr>
          <w:color w:val="0000FF"/>
          <w:szCs w:val="24"/>
        </w:rPr>
      </w:pPr>
      <w:r>
        <w:rPr>
          <w:color w:val="0000FF"/>
          <w:szCs w:val="24"/>
        </w:rPr>
        <w:t>D.</w:t>
      </w:r>
      <w:r>
        <w:rPr>
          <w:rFonts w:hAnsi="宋体"/>
          <w:color w:val="0000FF"/>
          <w:szCs w:val="24"/>
        </w:rPr>
        <w:t>平均水深</w:t>
      </w:r>
    </w:p>
    <w:p>
      <w:pPr>
        <w:autoSpaceDE w:val="0"/>
        <w:autoSpaceDN w:val="0"/>
        <w:adjustRightInd w:val="0"/>
        <w:ind w:firstLine="480"/>
        <w:rPr>
          <w:color w:val="0000FF"/>
          <w:kern w:val="0"/>
          <w:szCs w:val="24"/>
        </w:rPr>
      </w:pPr>
      <w:r>
        <w:rPr>
          <w:rFonts w:hAnsi="宋体"/>
          <w:color w:val="0000FF"/>
          <w:kern w:val="0"/>
          <w:szCs w:val="24"/>
        </w:rPr>
        <w:t>本工程总库容</w:t>
      </w:r>
      <w:r>
        <w:rPr>
          <w:rFonts w:hint="eastAsia"/>
          <w:color w:val="0000FF"/>
          <w:szCs w:val="24"/>
        </w:rPr>
        <w:t>1221</w:t>
      </w:r>
      <w:r>
        <w:rPr>
          <w:rFonts w:hAnsi="宋体"/>
          <w:color w:val="0000FF"/>
          <w:szCs w:val="24"/>
        </w:rPr>
        <w:t>万</w:t>
      </w:r>
      <w:r>
        <w:rPr>
          <w:color w:val="0000FF"/>
          <w:szCs w:val="24"/>
        </w:rPr>
        <w:t>m</w:t>
      </w:r>
      <w:r>
        <w:rPr>
          <w:color w:val="0000FF"/>
          <w:szCs w:val="24"/>
          <w:vertAlign w:val="superscript"/>
        </w:rPr>
        <w:t>3</w:t>
      </w:r>
      <w:r>
        <w:rPr>
          <w:rFonts w:hAnsi="宋体"/>
          <w:color w:val="0000FF"/>
          <w:kern w:val="0"/>
          <w:szCs w:val="24"/>
        </w:rPr>
        <w:t>，水面面积</w:t>
      </w:r>
      <w:r>
        <w:rPr>
          <w:rFonts w:hint="eastAsia"/>
          <w:color w:val="0000FF"/>
          <w:kern w:val="0"/>
          <w:szCs w:val="24"/>
        </w:rPr>
        <w:t>92.81</w:t>
      </w:r>
      <w:r>
        <w:rPr>
          <w:color w:val="0000FF"/>
          <w:kern w:val="0"/>
          <w:szCs w:val="24"/>
        </w:rPr>
        <w:t>km</w:t>
      </w:r>
      <w:r>
        <w:rPr>
          <w:color w:val="0000FF"/>
          <w:kern w:val="0"/>
          <w:szCs w:val="24"/>
          <w:vertAlign w:val="superscript"/>
        </w:rPr>
        <w:t>2</w:t>
      </w:r>
      <w:r>
        <w:rPr>
          <w:rFonts w:hAnsi="宋体"/>
          <w:color w:val="0000FF"/>
          <w:kern w:val="0"/>
          <w:szCs w:val="24"/>
        </w:rPr>
        <w:t>，计算得平均水深为</w:t>
      </w:r>
      <w:r>
        <w:rPr>
          <w:color w:val="0000FF"/>
          <w:kern w:val="0"/>
          <w:szCs w:val="24"/>
        </w:rPr>
        <w:t>0.13m</w:t>
      </w:r>
      <w:r>
        <w:rPr>
          <w:rFonts w:hAnsi="宋体"/>
          <w:color w:val="0000FF"/>
          <w:kern w:val="0"/>
          <w:szCs w:val="24"/>
        </w:rPr>
        <w:t>。</w:t>
      </w:r>
    </w:p>
    <w:p>
      <w:pPr>
        <w:autoSpaceDE w:val="0"/>
        <w:autoSpaceDN w:val="0"/>
        <w:adjustRightInd w:val="0"/>
        <w:ind w:firstLine="480"/>
        <w:rPr>
          <w:color w:val="0000FF"/>
          <w:kern w:val="0"/>
          <w:szCs w:val="24"/>
        </w:rPr>
      </w:pPr>
      <w:r>
        <w:rPr>
          <w:color w:val="0000FF"/>
          <w:kern w:val="0"/>
          <w:szCs w:val="24"/>
        </w:rPr>
        <w:fldChar w:fldCharType="begin"/>
      </w:r>
      <w:r>
        <w:rPr>
          <w:color w:val="0000FF"/>
          <w:kern w:val="0"/>
          <w:szCs w:val="24"/>
        </w:rPr>
        <w:instrText xml:space="preserve"> = 2 \* GB3 </w:instrText>
      </w:r>
      <w:r>
        <w:rPr>
          <w:color w:val="0000FF"/>
          <w:kern w:val="0"/>
          <w:szCs w:val="24"/>
        </w:rPr>
        <w:fldChar w:fldCharType="separate"/>
      </w:r>
      <w:r>
        <w:rPr>
          <w:color w:val="0000FF"/>
          <w:kern w:val="0"/>
          <w:szCs w:val="24"/>
        </w:rPr>
        <w:t>②</w:t>
      </w:r>
      <w:r>
        <w:rPr>
          <w:color w:val="0000FF"/>
          <w:kern w:val="0"/>
          <w:szCs w:val="24"/>
        </w:rPr>
        <w:fldChar w:fldCharType="end"/>
      </w:r>
      <w:r>
        <w:rPr>
          <w:color w:val="0000FF"/>
          <w:kern w:val="0"/>
          <w:szCs w:val="24"/>
        </w:rPr>
        <w:t>预测结果</w:t>
      </w:r>
    </w:p>
    <w:p>
      <w:pPr>
        <w:autoSpaceDE w:val="0"/>
        <w:autoSpaceDN w:val="0"/>
        <w:adjustRightInd w:val="0"/>
        <w:ind w:firstLine="480"/>
        <w:rPr>
          <w:color w:val="0000FF"/>
          <w:kern w:val="0"/>
          <w:szCs w:val="24"/>
        </w:rPr>
      </w:pPr>
      <w:r>
        <w:rPr>
          <w:color w:val="0000FF"/>
          <w:kern w:val="0"/>
          <w:szCs w:val="24"/>
        </w:rPr>
        <w:t>依据上述参数值，采用狄龙模型进行预测，预测结果见下表。</w:t>
      </w:r>
    </w:p>
    <w:p>
      <w:pPr>
        <w:pStyle w:val="284"/>
        <w:spacing w:before="120" w:beforeLines="50" w:line="240" w:lineRule="auto"/>
        <w:ind w:firstLine="482"/>
        <w:jc w:val="center"/>
        <w:rPr>
          <w:rFonts w:ascii="黑体" w:hAnsi="黑体" w:eastAsia="黑体"/>
          <w:color w:val="0000FF"/>
          <w:szCs w:val="24"/>
        </w:rPr>
      </w:pPr>
      <w:r>
        <w:rPr>
          <w:rFonts w:hint="eastAsia" w:ascii="黑体" w:hAnsi="黑体" w:eastAsia="黑体"/>
          <w:color w:val="0000FF"/>
          <w:szCs w:val="24"/>
        </w:rPr>
        <w:t>表</w:t>
      </w:r>
      <w:r>
        <w:rPr>
          <w:rFonts w:ascii="黑体" w:hAnsi="黑体" w:eastAsia="黑体"/>
          <w:color w:val="0000FF"/>
          <w:szCs w:val="24"/>
        </w:rPr>
        <w:t>5.3-</w:t>
      </w:r>
      <w:r>
        <w:rPr>
          <w:rFonts w:hint="eastAsia" w:ascii="黑体" w:hAnsi="黑体" w:eastAsia="黑体"/>
          <w:color w:val="0000FF"/>
          <w:szCs w:val="24"/>
        </w:rPr>
        <w:t>6</w:t>
      </w:r>
      <w:r>
        <w:rPr>
          <w:rFonts w:ascii="黑体" w:hAnsi="黑体" w:eastAsia="黑体"/>
          <w:color w:val="0000FF"/>
          <w:szCs w:val="24"/>
        </w:rPr>
        <w:t xml:space="preserve"> </w:t>
      </w:r>
      <w:r>
        <w:rPr>
          <w:rFonts w:hint="eastAsia" w:ascii="黑体" w:hAnsi="黑体" w:eastAsia="黑体"/>
          <w:color w:val="0000FF"/>
          <w:szCs w:val="24"/>
        </w:rPr>
        <w:t>水库富营养化预测参数及预测结果一览表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92"/>
        <w:gridCol w:w="2392"/>
        <w:gridCol w:w="2393"/>
        <w:gridCol w:w="23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84" w:type="dxa"/>
            <w:gridSpan w:val="2"/>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项目</w:t>
            </w:r>
          </w:p>
        </w:tc>
        <w:tc>
          <w:tcPr>
            <w:tcW w:w="2393" w:type="dxa"/>
            <w:vAlign w:val="center"/>
          </w:tcPr>
          <w:p>
            <w:pPr>
              <w:autoSpaceDE w:val="0"/>
              <w:autoSpaceDN w:val="0"/>
              <w:adjustRightInd w:val="0"/>
              <w:spacing w:line="340" w:lineRule="exact"/>
              <w:ind w:firstLine="420"/>
              <w:jc w:val="center"/>
              <w:rPr>
                <w:color w:val="0000FF"/>
                <w:kern w:val="0"/>
                <w:sz w:val="21"/>
                <w:szCs w:val="21"/>
              </w:rPr>
            </w:pPr>
            <w:r>
              <w:rPr>
                <w:rFonts w:hAnsi="宋体"/>
                <w:color w:val="0000FF"/>
                <w:kern w:val="0"/>
                <w:sz w:val="21"/>
                <w:szCs w:val="21"/>
              </w:rPr>
              <w:t>单位</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2" w:type="dxa"/>
            <w:vMerge w:val="restart"/>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入库年负荷量</w:t>
            </w:r>
            <w:r>
              <w:rPr>
                <w:color w:val="0000FF"/>
                <w:kern w:val="0"/>
                <w:sz w:val="21"/>
                <w:szCs w:val="21"/>
              </w:rPr>
              <w:t>Lp</w:t>
            </w:r>
          </w:p>
        </w:tc>
        <w:tc>
          <w:tcPr>
            <w:tcW w:w="2392"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TP</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g/(m</w:t>
            </w:r>
            <w:r>
              <w:rPr>
                <w:color w:val="0000FF"/>
                <w:kern w:val="0"/>
                <w:sz w:val="21"/>
                <w:szCs w:val="21"/>
                <w:vertAlign w:val="superscript"/>
              </w:rPr>
              <w:t>2</w:t>
            </w:r>
            <w:r>
              <w:rPr>
                <w:color w:val="0000FF"/>
                <w:kern w:val="0"/>
                <w:sz w:val="21"/>
                <w:szCs w:val="21"/>
              </w:rPr>
              <w:t>•a)</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2.88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2" w:type="dxa"/>
            <w:vMerge w:val="continue"/>
            <w:vAlign w:val="center"/>
          </w:tcPr>
          <w:p>
            <w:pPr>
              <w:autoSpaceDE w:val="0"/>
              <w:autoSpaceDN w:val="0"/>
              <w:adjustRightInd w:val="0"/>
              <w:spacing w:line="340" w:lineRule="exact"/>
              <w:ind w:firstLine="0" w:firstLineChars="0"/>
              <w:jc w:val="center"/>
              <w:rPr>
                <w:color w:val="0000FF"/>
                <w:kern w:val="0"/>
                <w:sz w:val="21"/>
                <w:szCs w:val="21"/>
              </w:rPr>
            </w:pPr>
          </w:p>
        </w:tc>
        <w:tc>
          <w:tcPr>
            <w:tcW w:w="2392"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TN</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g/(m</w:t>
            </w:r>
            <w:r>
              <w:rPr>
                <w:color w:val="0000FF"/>
                <w:kern w:val="0"/>
                <w:sz w:val="21"/>
                <w:szCs w:val="21"/>
                <w:vertAlign w:val="superscript"/>
              </w:rPr>
              <w:t>2</w:t>
            </w:r>
            <w:r>
              <w:rPr>
                <w:color w:val="0000FF"/>
                <w:kern w:val="0"/>
                <w:sz w:val="21"/>
                <w:szCs w:val="21"/>
              </w:rPr>
              <w:t>•a)</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37.03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84" w:type="dxa"/>
            <w:gridSpan w:val="2"/>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水力冲刷系数</w:t>
            </w:r>
            <w:r>
              <w:rPr>
                <w:color w:val="0000FF"/>
                <w:kern w:val="0"/>
                <w:sz w:val="21"/>
                <w:szCs w:val="21"/>
              </w:rPr>
              <w:t>r</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1/a</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312.8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84" w:type="dxa"/>
            <w:gridSpan w:val="2"/>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滞留率</w:t>
            </w:r>
            <w:r>
              <w:rPr>
                <w:color w:val="0000FF"/>
                <w:kern w:val="0"/>
                <w:sz w:val="21"/>
                <w:szCs w:val="21"/>
              </w:rPr>
              <w:t>Rp</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1</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0.303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84" w:type="dxa"/>
            <w:gridSpan w:val="2"/>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平均水深</w:t>
            </w:r>
            <w:r>
              <w:rPr>
                <w:color w:val="0000FF"/>
                <w:kern w:val="0"/>
                <w:sz w:val="21"/>
                <w:szCs w:val="21"/>
              </w:rPr>
              <w:t>H</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m</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rFonts w:hint="eastAsia"/>
                <w:color w:val="0000FF"/>
                <w:kern w:val="0"/>
                <w:sz w:val="21"/>
                <w:szCs w:val="21"/>
              </w:rPr>
              <w:t>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2" w:type="dxa"/>
            <w:vMerge w:val="restart"/>
            <w:vAlign w:val="center"/>
          </w:tcPr>
          <w:p>
            <w:pPr>
              <w:autoSpaceDE w:val="0"/>
              <w:autoSpaceDN w:val="0"/>
              <w:adjustRightInd w:val="0"/>
              <w:spacing w:line="340" w:lineRule="exact"/>
              <w:ind w:firstLine="0" w:firstLineChars="0"/>
              <w:jc w:val="center"/>
              <w:rPr>
                <w:color w:val="0000FF"/>
                <w:kern w:val="0"/>
                <w:sz w:val="21"/>
                <w:szCs w:val="21"/>
              </w:rPr>
            </w:pPr>
            <w:r>
              <w:rPr>
                <w:rFonts w:hAnsi="宋体"/>
                <w:color w:val="0000FF"/>
                <w:kern w:val="0"/>
                <w:sz w:val="21"/>
                <w:szCs w:val="21"/>
              </w:rPr>
              <w:t>预测结果</w:t>
            </w:r>
          </w:p>
        </w:tc>
        <w:tc>
          <w:tcPr>
            <w:tcW w:w="2392"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TP</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mg/L</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w:t>
            </w:r>
            <w:r>
              <w:rPr>
                <w:rFonts w:hint="eastAsia"/>
                <w:color w:val="0000FF"/>
                <w:kern w:val="0"/>
                <w:sz w:val="21"/>
                <w:szCs w:val="21"/>
              </w:rPr>
              <w:t>0323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2" w:type="dxa"/>
            <w:vMerge w:val="continue"/>
            <w:vAlign w:val="center"/>
          </w:tcPr>
          <w:p>
            <w:pPr>
              <w:autoSpaceDE w:val="0"/>
              <w:autoSpaceDN w:val="0"/>
              <w:adjustRightInd w:val="0"/>
              <w:spacing w:line="340" w:lineRule="exact"/>
              <w:ind w:firstLine="0" w:firstLineChars="0"/>
              <w:jc w:val="center"/>
              <w:rPr>
                <w:color w:val="0000FF"/>
                <w:kern w:val="0"/>
                <w:sz w:val="21"/>
                <w:szCs w:val="21"/>
              </w:rPr>
            </w:pPr>
          </w:p>
        </w:tc>
        <w:tc>
          <w:tcPr>
            <w:tcW w:w="2392"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TN</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mg/L</w:t>
            </w:r>
          </w:p>
        </w:tc>
        <w:tc>
          <w:tcPr>
            <w:tcW w:w="2393" w:type="dxa"/>
            <w:vAlign w:val="center"/>
          </w:tcPr>
          <w:p>
            <w:pPr>
              <w:autoSpaceDE w:val="0"/>
              <w:autoSpaceDN w:val="0"/>
              <w:adjustRightInd w:val="0"/>
              <w:spacing w:line="340" w:lineRule="exact"/>
              <w:ind w:firstLine="0" w:firstLineChars="0"/>
              <w:jc w:val="center"/>
              <w:rPr>
                <w:color w:val="0000FF"/>
                <w:kern w:val="0"/>
                <w:sz w:val="21"/>
                <w:szCs w:val="21"/>
              </w:rPr>
            </w:pPr>
            <w:r>
              <w:rPr>
                <w:color w:val="0000FF"/>
                <w:kern w:val="0"/>
                <w:sz w:val="21"/>
                <w:szCs w:val="21"/>
              </w:rPr>
              <w:t>0.</w:t>
            </w:r>
            <w:r>
              <w:rPr>
                <w:rFonts w:hint="eastAsia"/>
                <w:color w:val="0000FF"/>
                <w:kern w:val="0"/>
                <w:sz w:val="21"/>
                <w:szCs w:val="21"/>
              </w:rPr>
              <w:t>384</w:t>
            </w:r>
          </w:p>
        </w:tc>
      </w:tr>
    </w:tbl>
    <w:p>
      <w:pPr>
        <w:autoSpaceDE w:val="0"/>
        <w:autoSpaceDN w:val="0"/>
        <w:adjustRightInd w:val="0"/>
        <w:spacing w:before="120" w:beforeLines="50"/>
        <w:ind w:firstLine="480"/>
        <w:rPr>
          <w:color w:val="0000FF"/>
          <w:kern w:val="0"/>
          <w:szCs w:val="24"/>
        </w:rPr>
      </w:pPr>
      <w:r>
        <w:rPr>
          <w:color w:val="0000FF"/>
          <w:kern w:val="0"/>
          <w:szCs w:val="24"/>
        </w:rPr>
        <w:fldChar w:fldCharType="begin"/>
      </w:r>
      <w:r>
        <w:rPr>
          <w:color w:val="0000FF"/>
          <w:kern w:val="0"/>
          <w:szCs w:val="24"/>
        </w:rPr>
        <w:instrText xml:space="preserve"> </w:instrText>
      </w:r>
      <w:r>
        <w:rPr>
          <w:rFonts w:hint="eastAsia"/>
          <w:color w:val="0000FF"/>
          <w:kern w:val="0"/>
          <w:szCs w:val="24"/>
        </w:rPr>
        <w:instrText xml:space="preserve">= 3 \* GB3</w:instrText>
      </w:r>
      <w:r>
        <w:rPr>
          <w:color w:val="0000FF"/>
          <w:kern w:val="0"/>
          <w:szCs w:val="24"/>
        </w:rPr>
        <w:instrText xml:space="preserve"> </w:instrText>
      </w:r>
      <w:r>
        <w:rPr>
          <w:color w:val="0000FF"/>
          <w:kern w:val="0"/>
          <w:szCs w:val="24"/>
        </w:rPr>
        <w:fldChar w:fldCharType="separate"/>
      </w:r>
      <w:r>
        <w:rPr>
          <w:rFonts w:hint="eastAsia"/>
          <w:color w:val="0000FF"/>
          <w:kern w:val="0"/>
          <w:szCs w:val="24"/>
        </w:rPr>
        <w:t>③</w:t>
      </w:r>
      <w:r>
        <w:rPr>
          <w:color w:val="0000FF"/>
          <w:kern w:val="0"/>
          <w:szCs w:val="24"/>
        </w:rPr>
        <w:fldChar w:fldCharType="end"/>
      </w:r>
      <w:r>
        <w:rPr>
          <w:rFonts w:hint="eastAsia"/>
          <w:color w:val="0000FF"/>
          <w:kern w:val="0"/>
          <w:szCs w:val="24"/>
        </w:rPr>
        <w:t>营养状态分级</w:t>
      </w:r>
    </w:p>
    <w:p>
      <w:pPr>
        <w:autoSpaceDE w:val="0"/>
        <w:autoSpaceDN w:val="0"/>
        <w:adjustRightInd w:val="0"/>
        <w:ind w:firstLine="480"/>
        <w:rPr>
          <w:color w:val="0000FF"/>
          <w:kern w:val="0"/>
          <w:szCs w:val="24"/>
        </w:rPr>
      </w:pPr>
      <w:r>
        <w:rPr>
          <w:rFonts w:hint="eastAsia"/>
          <w:color w:val="0000FF"/>
          <w:kern w:val="0"/>
          <w:szCs w:val="24"/>
        </w:rPr>
        <w:t>根据《地表水资源质量评价技术规程》（</w:t>
      </w:r>
      <w:r>
        <w:rPr>
          <w:color w:val="0000FF"/>
          <w:kern w:val="0"/>
          <w:szCs w:val="24"/>
        </w:rPr>
        <w:t>SL395-2007</w:t>
      </w:r>
      <w:r>
        <w:rPr>
          <w:rFonts w:hint="eastAsia"/>
          <w:color w:val="0000FF"/>
          <w:kern w:val="0"/>
          <w:szCs w:val="24"/>
        </w:rPr>
        <w:t>），水库营养状态评价标准及分级方法见下表。</w:t>
      </w:r>
    </w:p>
    <w:p>
      <w:pPr>
        <w:autoSpaceDE w:val="0"/>
        <w:autoSpaceDN w:val="0"/>
        <w:adjustRightInd w:val="0"/>
        <w:spacing w:line="240" w:lineRule="auto"/>
        <w:ind w:firstLine="0" w:firstLineChars="0"/>
        <w:jc w:val="center"/>
        <w:rPr>
          <w:rFonts w:ascii="黑体" w:hAnsi="黑体" w:eastAsia="黑体"/>
          <w:color w:val="0000FF"/>
          <w:szCs w:val="24"/>
        </w:rPr>
      </w:pPr>
      <w:r>
        <w:rPr>
          <w:rFonts w:hint="eastAsia" w:ascii="黑体" w:hAnsi="黑体" w:eastAsia="黑体"/>
          <w:color w:val="0000FF"/>
          <w:szCs w:val="24"/>
        </w:rPr>
        <w:t>表</w:t>
      </w:r>
      <w:r>
        <w:rPr>
          <w:rFonts w:ascii="黑体" w:hAnsi="黑体" w:eastAsia="黑体"/>
          <w:color w:val="0000FF"/>
          <w:szCs w:val="24"/>
        </w:rPr>
        <w:t xml:space="preserve"> 5.3-</w:t>
      </w:r>
      <w:r>
        <w:rPr>
          <w:rFonts w:hint="eastAsia" w:ascii="黑体" w:hAnsi="黑体" w:eastAsia="黑体"/>
          <w:color w:val="0000FF"/>
          <w:szCs w:val="24"/>
        </w:rPr>
        <w:t>7</w:t>
      </w:r>
      <w:r>
        <w:rPr>
          <w:rFonts w:ascii="黑体" w:hAnsi="黑体" w:eastAsia="黑体"/>
          <w:color w:val="0000FF"/>
          <w:szCs w:val="24"/>
        </w:rPr>
        <w:t xml:space="preserve"> </w:t>
      </w:r>
      <w:r>
        <w:rPr>
          <w:rFonts w:hint="eastAsia" w:ascii="黑体" w:hAnsi="黑体" w:eastAsia="黑体"/>
          <w:color w:val="0000FF"/>
          <w:szCs w:val="24"/>
        </w:rPr>
        <w:t>水库营养状态评价标准及分级方法</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3150"/>
        <w:gridCol w:w="2509"/>
        <w:gridCol w:w="1426"/>
        <w:gridCol w:w="13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营养状态分级</w:t>
            </w:r>
            <w:r>
              <w:rPr>
                <w:rFonts w:hAnsi="宋体"/>
                <w:color w:val="0000FF"/>
                <w:kern w:val="0"/>
                <w:sz w:val="21"/>
                <w:szCs w:val="21"/>
              </w:rPr>
              <w:t>EI=</w:t>
            </w:r>
            <w:r>
              <w:rPr>
                <w:rFonts w:hint="eastAsia" w:hAnsi="宋体"/>
                <w:color w:val="0000FF"/>
                <w:kern w:val="0"/>
                <w:sz w:val="21"/>
                <w:szCs w:val="21"/>
              </w:rPr>
              <w:t>营养状态指数</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评价项目赋分值</w:t>
            </w:r>
            <w:r>
              <w:rPr>
                <w:rFonts w:hAnsi="宋体"/>
                <w:color w:val="0000FF"/>
                <w:kern w:val="0"/>
                <w:sz w:val="21"/>
                <w:szCs w:val="21"/>
              </w:rPr>
              <w:t>En</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Ansi="宋体"/>
                <w:color w:val="0000FF"/>
                <w:kern w:val="0"/>
                <w:sz w:val="21"/>
                <w:szCs w:val="21"/>
              </w:rPr>
              <w:t>TN(mg/L)</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Ansi="宋体"/>
                <w:color w:val="0000FF"/>
                <w:kern w:val="0"/>
                <w:sz w:val="21"/>
                <w:szCs w:val="21"/>
              </w:rPr>
              <w:t>TP(mg/L)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Merge w:val="restar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贫营养</w:t>
            </w:r>
            <w:r>
              <w:rPr>
                <w:rFonts w:hAnsi="宋体"/>
                <w:color w:val="0000FF"/>
                <w:kern w:val="0"/>
                <w:sz w:val="21"/>
                <w:szCs w:val="21"/>
              </w:rPr>
              <w:t>0</w:t>
            </w:r>
            <w:r>
              <w:rPr>
                <w:rFonts w:hint="eastAsia" w:hAnsi="宋体"/>
                <w:color w:val="0000FF"/>
                <w:kern w:val="0"/>
                <w:sz w:val="21"/>
                <w:szCs w:val="21"/>
              </w:rPr>
              <w:t>≤</w:t>
            </w:r>
            <w:r>
              <w:rPr>
                <w:rFonts w:hAnsi="宋体"/>
                <w:color w:val="0000FF"/>
                <w:kern w:val="0"/>
                <w:sz w:val="21"/>
                <w:szCs w:val="21"/>
              </w:rPr>
              <w:t>EI</w:t>
            </w:r>
            <w:r>
              <w:rPr>
                <w:rFonts w:hint="eastAsia" w:hAnsi="宋体"/>
                <w:color w:val="0000FF"/>
                <w:kern w:val="0"/>
                <w:sz w:val="21"/>
                <w:szCs w:val="21"/>
              </w:rPr>
              <w:t>≤</w:t>
            </w:r>
            <w:r>
              <w:rPr>
                <w:rFonts w:hAnsi="宋体"/>
                <w:color w:val="0000FF"/>
                <w:kern w:val="0"/>
                <w:sz w:val="21"/>
                <w:szCs w:val="21"/>
              </w:rPr>
              <w:t>20</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Ansi="宋体"/>
                <w:color w:val="0000FF"/>
                <w:kern w:val="0"/>
                <w:sz w:val="21"/>
                <w:szCs w:val="21"/>
              </w:rPr>
              <w:t>10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Ansi="宋体"/>
                <w:color w:val="0000FF"/>
                <w:kern w:val="0"/>
                <w:sz w:val="21"/>
                <w:szCs w:val="21"/>
              </w:rPr>
              <w:t>0.02</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20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0.05</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Merge w:val="restar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中营养</w:t>
            </w:r>
            <w:r>
              <w:rPr>
                <w:rFonts w:hAnsi="宋体"/>
                <w:color w:val="0000FF"/>
                <w:kern w:val="0"/>
                <w:sz w:val="21"/>
                <w:szCs w:val="21"/>
              </w:rPr>
              <w:t>20</w:t>
            </w:r>
            <w:r>
              <w:rPr>
                <w:rFonts w:hint="eastAsia" w:hAnsi="宋体"/>
                <w:color w:val="0000FF"/>
                <w:kern w:val="0"/>
                <w:sz w:val="21"/>
                <w:szCs w:val="21"/>
              </w:rPr>
              <w:t>＜</w:t>
            </w:r>
            <w:r>
              <w:rPr>
                <w:rFonts w:hAnsi="宋体"/>
                <w:color w:val="0000FF"/>
                <w:kern w:val="0"/>
                <w:sz w:val="21"/>
                <w:szCs w:val="21"/>
              </w:rPr>
              <w:t>EI</w:t>
            </w:r>
            <w:r>
              <w:rPr>
                <w:rFonts w:hint="eastAsia" w:hAnsi="宋体"/>
                <w:color w:val="0000FF"/>
                <w:kern w:val="0"/>
                <w:sz w:val="21"/>
                <w:szCs w:val="21"/>
              </w:rPr>
              <w:t>≤</w:t>
            </w:r>
            <w:r>
              <w:rPr>
                <w:rFonts w:hAnsi="宋体"/>
                <w:color w:val="0000FF"/>
                <w:kern w:val="0"/>
                <w:sz w:val="21"/>
                <w:szCs w:val="21"/>
              </w:rPr>
              <w:t>50</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30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0.10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40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0.30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3" w:type="pct"/>
            <w:gridSpan w:val="2"/>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50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0.50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Merge w:val="restar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富营养</w:t>
            </w:r>
          </w:p>
        </w:tc>
        <w:tc>
          <w:tcPr>
            <w:tcW w:w="1646"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轻度富营养</w:t>
            </w:r>
            <w:r>
              <w:rPr>
                <w:rFonts w:hAnsi="宋体"/>
                <w:color w:val="0000FF"/>
                <w:kern w:val="0"/>
                <w:sz w:val="21"/>
                <w:szCs w:val="21"/>
              </w:rPr>
              <w:t>50</w:t>
            </w:r>
            <w:r>
              <w:rPr>
                <w:rFonts w:hint="eastAsia" w:hAnsi="宋体"/>
                <w:color w:val="0000FF"/>
                <w:kern w:val="0"/>
                <w:sz w:val="21"/>
                <w:szCs w:val="21"/>
              </w:rPr>
              <w:t>＜</w:t>
            </w:r>
            <w:r>
              <w:rPr>
                <w:rFonts w:hAnsi="宋体"/>
                <w:color w:val="0000FF"/>
                <w:kern w:val="0"/>
                <w:sz w:val="21"/>
                <w:szCs w:val="21"/>
              </w:rPr>
              <w:t>EI</w:t>
            </w:r>
            <w:r>
              <w:rPr>
                <w:rFonts w:hint="eastAsia" w:hAnsi="宋体"/>
                <w:color w:val="0000FF"/>
                <w:kern w:val="0"/>
                <w:sz w:val="21"/>
                <w:szCs w:val="21"/>
              </w:rPr>
              <w:t>≤</w:t>
            </w:r>
            <w:r>
              <w:rPr>
                <w:rFonts w:hAnsi="宋体"/>
                <w:color w:val="0000FF"/>
                <w:kern w:val="0"/>
                <w:sz w:val="21"/>
                <w:szCs w:val="21"/>
              </w:rPr>
              <w:t>60</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60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1.0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646" w:type="pct"/>
            <w:vMerge w:val="restar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中度富营养</w:t>
            </w:r>
            <w:r>
              <w:rPr>
                <w:rFonts w:hAnsi="宋体"/>
                <w:color w:val="0000FF"/>
                <w:kern w:val="0"/>
                <w:sz w:val="21"/>
                <w:szCs w:val="21"/>
              </w:rPr>
              <w:t>60</w:t>
            </w:r>
            <w:r>
              <w:rPr>
                <w:rFonts w:hint="eastAsia" w:hAnsi="宋体"/>
                <w:color w:val="0000FF"/>
                <w:kern w:val="0"/>
                <w:sz w:val="21"/>
                <w:szCs w:val="21"/>
              </w:rPr>
              <w:t>＜</w:t>
            </w:r>
            <w:r>
              <w:rPr>
                <w:rFonts w:hAnsi="宋体"/>
                <w:color w:val="0000FF"/>
                <w:kern w:val="0"/>
                <w:sz w:val="21"/>
                <w:szCs w:val="21"/>
              </w:rPr>
              <w:t>EI</w:t>
            </w:r>
            <w:r>
              <w:rPr>
                <w:rFonts w:hint="eastAsia" w:hAnsi="宋体"/>
                <w:color w:val="0000FF"/>
                <w:kern w:val="0"/>
                <w:sz w:val="21"/>
                <w:szCs w:val="21"/>
              </w:rPr>
              <w:t>≤</w:t>
            </w:r>
            <w:r>
              <w:rPr>
                <w:rFonts w:hAnsi="宋体"/>
                <w:color w:val="0000FF"/>
                <w:kern w:val="0"/>
                <w:sz w:val="21"/>
                <w:szCs w:val="21"/>
              </w:rPr>
              <w:t>80</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70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2.0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646"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80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6.0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646" w:type="pct"/>
            <w:vMerge w:val="restar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重度富营养</w:t>
            </w:r>
            <w:r>
              <w:rPr>
                <w:rFonts w:hAnsi="宋体"/>
                <w:color w:val="0000FF"/>
                <w:kern w:val="0"/>
                <w:sz w:val="21"/>
                <w:szCs w:val="21"/>
              </w:rPr>
              <w:t>80</w:t>
            </w:r>
            <w:r>
              <w:rPr>
                <w:rFonts w:hint="eastAsia" w:hAnsi="宋体"/>
                <w:color w:val="0000FF"/>
                <w:kern w:val="0"/>
                <w:sz w:val="21"/>
                <w:szCs w:val="21"/>
              </w:rPr>
              <w:t>＜</w:t>
            </w:r>
            <w:r>
              <w:rPr>
                <w:rFonts w:hAnsi="宋体"/>
                <w:color w:val="0000FF"/>
                <w:kern w:val="0"/>
                <w:sz w:val="21"/>
                <w:szCs w:val="21"/>
              </w:rPr>
              <w:t>EI</w:t>
            </w:r>
            <w:r>
              <w:rPr>
                <w:rFonts w:hint="eastAsia" w:hAnsi="宋体"/>
                <w:color w:val="0000FF"/>
                <w:kern w:val="0"/>
                <w:sz w:val="21"/>
                <w:szCs w:val="21"/>
              </w:rPr>
              <w:t>≤</w:t>
            </w:r>
            <w:r>
              <w:rPr>
                <w:rFonts w:hAnsi="宋体"/>
                <w:color w:val="0000FF"/>
                <w:kern w:val="0"/>
                <w:sz w:val="21"/>
                <w:szCs w:val="21"/>
              </w:rPr>
              <w:t>100</w:t>
            </w: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90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9.0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0.900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8"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646" w:type="pct"/>
            <w:vMerge w:val="continue"/>
            <w:vAlign w:val="center"/>
          </w:tcPr>
          <w:p>
            <w:pPr>
              <w:autoSpaceDE w:val="0"/>
              <w:autoSpaceDN w:val="0"/>
              <w:adjustRightInd w:val="0"/>
              <w:spacing w:line="340" w:lineRule="exact"/>
              <w:ind w:firstLine="0" w:firstLineChars="0"/>
              <w:jc w:val="center"/>
              <w:rPr>
                <w:rFonts w:hAnsi="宋体"/>
                <w:color w:val="0000FF"/>
                <w:kern w:val="0"/>
                <w:sz w:val="21"/>
                <w:szCs w:val="21"/>
              </w:rPr>
            </w:pPr>
          </w:p>
        </w:tc>
        <w:tc>
          <w:tcPr>
            <w:tcW w:w="131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100</w:t>
            </w:r>
          </w:p>
        </w:tc>
        <w:tc>
          <w:tcPr>
            <w:tcW w:w="745"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16.0</w:t>
            </w:r>
          </w:p>
        </w:tc>
        <w:tc>
          <w:tcPr>
            <w:tcW w:w="721" w:type="pct"/>
            <w:vAlign w:val="center"/>
          </w:tcPr>
          <w:p>
            <w:pPr>
              <w:autoSpaceDE w:val="0"/>
              <w:autoSpaceDN w:val="0"/>
              <w:adjustRightInd w:val="0"/>
              <w:spacing w:line="340" w:lineRule="exact"/>
              <w:ind w:firstLine="0" w:firstLineChars="0"/>
              <w:jc w:val="center"/>
              <w:rPr>
                <w:rFonts w:hAnsi="宋体"/>
                <w:color w:val="0000FF"/>
                <w:kern w:val="0"/>
                <w:sz w:val="21"/>
                <w:szCs w:val="21"/>
              </w:rPr>
            </w:pPr>
            <w:r>
              <w:rPr>
                <w:rFonts w:hint="eastAsia" w:hAnsi="宋体"/>
                <w:color w:val="0000FF"/>
                <w:kern w:val="0"/>
                <w:sz w:val="21"/>
                <w:szCs w:val="21"/>
              </w:rPr>
              <w:t>1.300</w:t>
            </w:r>
          </w:p>
        </w:tc>
      </w:tr>
    </w:tbl>
    <w:p>
      <w:pPr>
        <w:autoSpaceDE w:val="0"/>
        <w:autoSpaceDN w:val="0"/>
        <w:adjustRightInd w:val="0"/>
        <w:spacing w:before="120" w:beforeLines="50"/>
        <w:ind w:firstLine="480"/>
        <w:rPr>
          <w:color w:val="0000FF"/>
          <w:kern w:val="0"/>
          <w:szCs w:val="24"/>
        </w:rPr>
      </w:pPr>
      <w:r>
        <w:rPr>
          <w:rFonts w:hint="eastAsia"/>
          <w:color w:val="0000FF"/>
          <w:kern w:val="0"/>
          <w:szCs w:val="24"/>
        </w:rPr>
        <w:t>采用指数法进行湖库营养状态评价，计算公式如下：</w:t>
      </w:r>
    </w:p>
    <w:p>
      <w:pPr>
        <w:autoSpaceDE w:val="0"/>
        <w:autoSpaceDN w:val="0"/>
        <w:adjustRightInd w:val="0"/>
        <w:spacing w:line="240" w:lineRule="auto"/>
        <w:ind w:firstLine="0" w:firstLineChars="0"/>
        <w:jc w:val="center"/>
        <w:rPr>
          <w:rFonts w:ascii="CIDFont+F5" w:eastAsia="CIDFont+F5" w:cs="CIDFont+F5"/>
          <w:color w:val="0000FF"/>
          <w:kern w:val="0"/>
          <w:szCs w:val="24"/>
        </w:rPr>
      </w:pPr>
      <w:r>
        <w:rPr>
          <w:rFonts w:hint="eastAsia" w:ascii="CIDFont+F5" w:eastAsia="CIDFont+F5" w:cs="CIDFont+F5"/>
          <w:color w:val="0000FF"/>
          <w:kern w:val="0"/>
          <w:szCs w:val="24"/>
        </w:rPr>
        <w:drawing>
          <wp:inline distT="0" distB="0" distL="114300" distR="114300">
            <wp:extent cx="1390650" cy="665480"/>
            <wp:effectExtent l="0" t="0" r="0" b="1270"/>
            <wp:docPr id="9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9"/>
                    <pic:cNvPicPr>
                      <a:picLocks noChangeAspect="1"/>
                    </pic:cNvPicPr>
                  </pic:nvPicPr>
                  <pic:blipFill>
                    <a:blip r:embed="rId79"/>
                    <a:stretch>
                      <a:fillRect/>
                    </a:stretch>
                  </pic:blipFill>
                  <pic:spPr>
                    <a:xfrm>
                      <a:off x="0" y="0"/>
                      <a:ext cx="1390650" cy="665480"/>
                    </a:xfrm>
                    <a:prstGeom prst="rect">
                      <a:avLst/>
                    </a:prstGeom>
                    <a:noFill/>
                    <a:ln>
                      <a:noFill/>
                    </a:ln>
                  </pic:spPr>
                </pic:pic>
              </a:graphicData>
            </a:graphic>
          </wp:inline>
        </w:drawing>
      </w:r>
    </w:p>
    <w:p>
      <w:pPr>
        <w:autoSpaceDE w:val="0"/>
        <w:autoSpaceDN w:val="0"/>
        <w:adjustRightInd w:val="0"/>
        <w:ind w:firstLine="480"/>
        <w:rPr>
          <w:color w:val="0000FF"/>
          <w:kern w:val="0"/>
          <w:szCs w:val="24"/>
        </w:rPr>
      </w:pPr>
      <w:r>
        <w:rPr>
          <w:rFonts w:hint="eastAsia"/>
          <w:color w:val="0000FF"/>
          <w:kern w:val="0"/>
          <w:szCs w:val="24"/>
        </w:rPr>
        <w:t>式中：</w:t>
      </w:r>
      <w:r>
        <w:rPr>
          <w:color w:val="0000FF"/>
          <w:kern w:val="0"/>
          <w:szCs w:val="24"/>
        </w:rPr>
        <w:t xml:space="preserve"> EI </w:t>
      </w:r>
      <w:r>
        <w:rPr>
          <w:rFonts w:hint="eastAsia"/>
          <w:color w:val="0000FF"/>
          <w:kern w:val="0"/>
          <w:szCs w:val="24"/>
        </w:rPr>
        <w:t>——营养状态指数；</w:t>
      </w:r>
      <w:r>
        <w:rPr>
          <w:color w:val="0000FF"/>
          <w:kern w:val="0"/>
          <w:szCs w:val="24"/>
        </w:rPr>
        <w:t xml:space="preserve">N </w:t>
      </w:r>
      <w:r>
        <w:rPr>
          <w:rFonts w:hint="eastAsia"/>
          <w:color w:val="0000FF"/>
          <w:kern w:val="0"/>
          <w:szCs w:val="24"/>
        </w:rPr>
        <w:t>——评价项目个数；</w:t>
      </w:r>
    </w:p>
    <w:p>
      <w:pPr>
        <w:autoSpaceDE w:val="0"/>
        <w:autoSpaceDN w:val="0"/>
        <w:adjustRightInd w:val="0"/>
        <w:ind w:firstLine="1320" w:firstLineChars="550"/>
        <w:rPr>
          <w:color w:val="0000FF"/>
          <w:kern w:val="0"/>
          <w:szCs w:val="24"/>
        </w:rPr>
      </w:pPr>
      <w:r>
        <w:rPr>
          <w:color w:val="0000FF"/>
          <w:kern w:val="0"/>
          <w:szCs w:val="24"/>
        </w:rPr>
        <w:t xml:space="preserve">E </w:t>
      </w:r>
      <w:r>
        <w:rPr>
          <w:color w:val="0000FF"/>
          <w:kern w:val="0"/>
          <w:szCs w:val="24"/>
          <w:vertAlign w:val="subscript"/>
        </w:rPr>
        <w:t>n</w:t>
      </w:r>
      <w:r>
        <w:rPr>
          <w:rFonts w:hint="eastAsia"/>
          <w:color w:val="0000FF"/>
          <w:kern w:val="0"/>
          <w:szCs w:val="24"/>
        </w:rPr>
        <w:t>——评价项目赋分值，需线性插值法计算赋分值；</w:t>
      </w:r>
    </w:p>
    <w:p>
      <w:pPr>
        <w:autoSpaceDE w:val="0"/>
        <w:autoSpaceDN w:val="0"/>
        <w:adjustRightInd w:val="0"/>
        <w:ind w:firstLine="480"/>
        <w:rPr>
          <w:color w:val="0000FF"/>
          <w:kern w:val="0"/>
          <w:szCs w:val="24"/>
        </w:rPr>
      </w:pPr>
      <w:r>
        <w:rPr>
          <w:rFonts w:hint="eastAsia"/>
          <w:color w:val="0000FF"/>
          <w:kern w:val="0"/>
          <w:szCs w:val="24"/>
        </w:rPr>
        <w:t>由预测分析可知，年</w:t>
      </w:r>
      <w:r>
        <w:rPr>
          <w:color w:val="0000FF"/>
          <w:kern w:val="0"/>
          <w:szCs w:val="24"/>
        </w:rPr>
        <w:t>TN</w:t>
      </w:r>
      <w:r>
        <w:rPr>
          <w:rFonts w:hint="eastAsia"/>
          <w:color w:val="0000FF"/>
          <w:kern w:val="0"/>
          <w:szCs w:val="24"/>
        </w:rPr>
        <w:t>浓度为</w:t>
      </w:r>
      <w:r>
        <w:rPr>
          <w:color w:val="0000FF"/>
          <w:kern w:val="0"/>
          <w:szCs w:val="24"/>
        </w:rPr>
        <w:t>0.</w:t>
      </w:r>
      <w:r>
        <w:rPr>
          <w:rFonts w:hint="eastAsia"/>
          <w:color w:val="0000FF"/>
          <w:kern w:val="0"/>
          <w:szCs w:val="24"/>
        </w:rPr>
        <w:t>384</w:t>
      </w:r>
      <w:r>
        <w:rPr>
          <w:color w:val="0000FF"/>
          <w:kern w:val="0"/>
          <w:szCs w:val="24"/>
        </w:rPr>
        <w:t>mg/L</w:t>
      </w:r>
      <w:r>
        <w:rPr>
          <w:rFonts w:hint="eastAsia"/>
          <w:color w:val="0000FF"/>
          <w:kern w:val="0"/>
          <w:szCs w:val="24"/>
        </w:rPr>
        <w:t>，年</w:t>
      </w:r>
      <w:r>
        <w:rPr>
          <w:color w:val="0000FF"/>
          <w:kern w:val="0"/>
          <w:szCs w:val="24"/>
        </w:rPr>
        <w:t>TP</w:t>
      </w:r>
      <w:r>
        <w:rPr>
          <w:rFonts w:hint="eastAsia"/>
          <w:color w:val="0000FF"/>
          <w:kern w:val="0"/>
          <w:szCs w:val="24"/>
        </w:rPr>
        <w:t>浓度为</w:t>
      </w:r>
      <w:r>
        <w:rPr>
          <w:color w:val="0000FF"/>
          <w:kern w:val="0"/>
          <w:szCs w:val="24"/>
        </w:rPr>
        <w:t>0.0</w:t>
      </w:r>
      <w:r>
        <w:rPr>
          <w:rFonts w:hint="eastAsia"/>
          <w:color w:val="0000FF"/>
          <w:kern w:val="0"/>
          <w:szCs w:val="24"/>
        </w:rPr>
        <w:t>323</w:t>
      </w:r>
      <w:r>
        <w:rPr>
          <w:color w:val="0000FF"/>
          <w:kern w:val="0"/>
          <w:szCs w:val="24"/>
        </w:rPr>
        <w:t>mg/L</w:t>
      </w:r>
      <w:r>
        <w:rPr>
          <w:rFonts w:hint="eastAsia"/>
          <w:color w:val="0000FF"/>
          <w:kern w:val="0"/>
          <w:szCs w:val="24"/>
        </w:rPr>
        <w:t>。根据湖库富营养化评分与分级标准，毛家渡抬水工程建成后</w:t>
      </w:r>
      <w:r>
        <w:rPr>
          <w:color w:val="0000FF"/>
          <w:kern w:val="0"/>
          <w:szCs w:val="24"/>
        </w:rPr>
        <w:t>TN</w:t>
      </w:r>
      <w:r>
        <w:rPr>
          <w:rFonts w:hint="eastAsia"/>
          <w:color w:val="0000FF"/>
          <w:kern w:val="0"/>
          <w:szCs w:val="24"/>
        </w:rPr>
        <w:t>赋分值为41.7，</w:t>
      </w:r>
      <w:r>
        <w:rPr>
          <w:color w:val="0000FF"/>
          <w:kern w:val="0"/>
          <w:szCs w:val="24"/>
        </w:rPr>
        <w:t xml:space="preserve">TP </w:t>
      </w:r>
      <w:r>
        <w:rPr>
          <w:rFonts w:hint="eastAsia"/>
          <w:color w:val="0000FF"/>
          <w:kern w:val="0"/>
          <w:szCs w:val="24"/>
        </w:rPr>
        <w:t>赋分值为54.7，营养化指数为</w:t>
      </w:r>
      <w:r>
        <w:rPr>
          <w:color w:val="0000FF"/>
          <w:kern w:val="0"/>
          <w:szCs w:val="24"/>
        </w:rPr>
        <w:t>4</w:t>
      </w:r>
      <w:r>
        <w:rPr>
          <w:rFonts w:hint="eastAsia"/>
          <w:color w:val="0000FF"/>
          <w:kern w:val="0"/>
          <w:szCs w:val="24"/>
        </w:rPr>
        <w:t>8.2，富营养化程度为中营养。</w:t>
      </w:r>
    </w:p>
    <w:p>
      <w:pPr>
        <w:autoSpaceDE w:val="0"/>
        <w:autoSpaceDN w:val="0"/>
        <w:adjustRightInd w:val="0"/>
        <w:ind w:firstLine="480"/>
        <w:rPr>
          <w:color w:val="0000FF"/>
          <w:kern w:val="0"/>
          <w:szCs w:val="24"/>
        </w:rPr>
      </w:pPr>
      <w:r>
        <w:rPr>
          <w:rFonts w:hint="eastAsia"/>
          <w:color w:val="0000FF"/>
          <w:kern w:val="0"/>
          <w:szCs w:val="24"/>
        </w:rPr>
        <w:t>毛家渡抬水工程建成后库区总体水质不易发生富营养化，但在营养物来源丰富、富集条件好的库湾，不排除出现富营养化的可能。因此，须严格控制水库流域氮、磷的排入量，加强污水处理厂污染控制以及水质监测，以便及时采取应对措施，严防水库向富营养化发展。</w:t>
      </w:r>
    </w:p>
    <w:p>
      <w:pPr>
        <w:pStyle w:val="297"/>
        <w:spacing w:line="360" w:lineRule="auto"/>
        <w:ind w:firstLine="480"/>
        <w:rPr>
          <w:rFonts w:ascii="Times New Roman" w:hAnsi="Times New Roman"/>
          <w:color w:val="auto"/>
        </w:rPr>
      </w:pPr>
      <w:r>
        <w:rPr>
          <w:rFonts w:hint="eastAsia" w:ascii="Times New Roman" w:hAnsi="Times New Roman"/>
          <w:color w:val="auto"/>
        </w:rPr>
        <w:t>(4)管理人员生活污水</w:t>
      </w:r>
    </w:p>
    <w:p>
      <w:pPr>
        <w:ind w:firstLine="480"/>
      </w:pPr>
      <w:r>
        <w:rPr>
          <w:rFonts w:hint="eastAsia"/>
        </w:rPr>
        <w:t>运营期生活污水为管理站职工值班产生的生活污水，每次</w:t>
      </w:r>
      <w:r>
        <w:t>值班为</w:t>
      </w:r>
      <w:r>
        <w:rPr>
          <w:rFonts w:hint="eastAsia"/>
        </w:rPr>
        <w:t>1人</w:t>
      </w:r>
      <w:r>
        <w:t>，</w:t>
      </w:r>
      <w:r>
        <w:rPr>
          <w:rFonts w:hint="eastAsia"/>
        </w:rPr>
        <w:t>不住宿，</w:t>
      </w:r>
      <w:r>
        <w:t>按《江西省生活用水定额》（DB36/T419-2017）所制定的用水定额核算该项目给排水量，员工人均用水量按</w:t>
      </w:r>
      <w:r>
        <w:rPr>
          <w:rFonts w:hint="eastAsia"/>
        </w:rPr>
        <w:t>10</w:t>
      </w:r>
      <w:r>
        <w:t>0L/d计，排放系数按0.8计，则生活污水排放量为0.08t/d（29.2t/a）。生活污水主要污染物产生浓度为COD：250mg/L、BOD：100mg/L、SS：150mg/L、氨氮：25mg/L。</w:t>
      </w:r>
      <w:r>
        <w:rPr>
          <w:rFonts w:hint="eastAsia"/>
        </w:rPr>
        <w:t>建设单位拟在管理站设置化粪池1套，生活污水</w:t>
      </w:r>
      <w:r>
        <w:rPr>
          <w:rFonts w:hint="eastAsia" w:ascii="宋体" w:cs="宋体"/>
          <w:kern w:val="0"/>
          <w:szCs w:val="24"/>
        </w:rPr>
        <w:t>经</w:t>
      </w:r>
      <w:r>
        <w:rPr>
          <w:rFonts w:hint="eastAsia"/>
        </w:rPr>
        <w:t>化粪池处理</w:t>
      </w:r>
      <w:r>
        <w:rPr>
          <w:rFonts w:hint="eastAsia" w:hAnsi="宋体"/>
        </w:rPr>
        <w:t>达</w:t>
      </w:r>
      <w:r>
        <w:t>《农田灌溉水质标准》（GB5084-2005）中旱作标准</w:t>
      </w:r>
      <w:r>
        <w:rPr>
          <w:rFonts w:hAnsi="宋体"/>
          <w:kern w:val="10"/>
        </w:rPr>
        <w:t>后</w:t>
      </w:r>
      <w:r>
        <w:t>用于周边农田菜地施肥，</w:t>
      </w:r>
      <w:r>
        <w:rPr>
          <w:rFonts w:hint="eastAsia" w:hAnsi="宋体"/>
          <w:kern w:val="10"/>
        </w:rPr>
        <w:t>不外排，</w:t>
      </w:r>
      <w:r>
        <w:rPr>
          <w:rFonts w:hint="eastAsia"/>
        </w:rPr>
        <w:t>对地表水环境影响很小。</w:t>
      </w:r>
    </w:p>
    <w:p>
      <w:pPr>
        <w:pStyle w:val="6"/>
        <w:spacing w:beforeLines="50" w:afterLines="50"/>
        <w:rPr>
          <w:szCs w:val="28"/>
        </w:rPr>
      </w:pPr>
      <w:bookmarkStart w:id="839" w:name="_Toc529279080"/>
      <w:bookmarkStart w:id="840" w:name="_Toc534895294"/>
      <w:bookmarkStart w:id="841" w:name="_Toc32360"/>
      <w:bookmarkStart w:id="842" w:name="_Toc3903299"/>
      <w:bookmarkStart w:id="843" w:name="_Toc534807077"/>
      <w:bookmarkStart w:id="844" w:name="_Toc534386318"/>
      <w:bookmarkStart w:id="845" w:name="_Toc334643186"/>
      <w:bookmarkStart w:id="846" w:name="_Toc536265162"/>
      <w:bookmarkStart w:id="847" w:name="_Toc237249010"/>
      <w:bookmarkStart w:id="848" w:name="_Toc238817944"/>
      <w:r>
        <w:rPr>
          <w:szCs w:val="28"/>
        </w:rPr>
        <w:t>5.</w:t>
      </w:r>
      <w:r>
        <w:rPr>
          <w:rFonts w:hint="eastAsia"/>
          <w:szCs w:val="28"/>
        </w:rPr>
        <w:t>4</w:t>
      </w:r>
      <w:r>
        <w:rPr>
          <w:szCs w:val="28"/>
        </w:rPr>
        <w:t>地下水环境影响分析</w:t>
      </w:r>
      <w:bookmarkEnd w:id="839"/>
      <w:bookmarkEnd w:id="840"/>
      <w:bookmarkEnd w:id="841"/>
      <w:bookmarkEnd w:id="842"/>
      <w:bookmarkEnd w:id="843"/>
      <w:bookmarkEnd w:id="844"/>
      <w:bookmarkEnd w:id="845"/>
      <w:bookmarkEnd w:id="846"/>
    </w:p>
    <w:p>
      <w:pPr>
        <w:autoSpaceDE w:val="0"/>
        <w:autoSpaceDN w:val="0"/>
        <w:adjustRightInd w:val="0"/>
        <w:ind w:firstLine="0" w:firstLineChars="0"/>
        <w:rPr>
          <w:b/>
        </w:rPr>
      </w:pPr>
      <w:bookmarkStart w:id="849" w:name="_Toc534807078"/>
      <w:bookmarkStart w:id="850" w:name="_Toc534895295"/>
      <w:bookmarkStart w:id="851" w:name="_Toc529279081"/>
      <w:bookmarkStart w:id="852" w:name="_Toc534386319"/>
      <w:bookmarkStart w:id="853" w:name="_Toc3903300"/>
      <w:bookmarkStart w:id="854" w:name="_Toc536265163"/>
      <w:r>
        <w:rPr>
          <w:b/>
        </w:rPr>
        <w:t>5.</w:t>
      </w:r>
      <w:r>
        <w:rPr>
          <w:rFonts w:hint="eastAsia"/>
          <w:b/>
        </w:rPr>
        <w:t>4</w:t>
      </w:r>
      <w:r>
        <w:rPr>
          <w:b/>
        </w:rPr>
        <w:t>. 1坝区水文地质</w:t>
      </w:r>
      <w:r>
        <w:rPr>
          <w:rFonts w:hint="eastAsia"/>
          <w:b/>
        </w:rPr>
        <w:t>及</w:t>
      </w:r>
      <w:r>
        <w:rPr>
          <w:b/>
        </w:rPr>
        <w:t>补径排条件</w:t>
      </w:r>
    </w:p>
    <w:p>
      <w:pPr>
        <w:ind w:firstLine="480"/>
      </w:pPr>
      <w:r>
        <w:rPr>
          <w:rFonts w:hint="eastAsia"/>
        </w:rPr>
        <w:t>(1)水文地质</w:t>
      </w:r>
    </w:p>
    <w:p>
      <w:pPr>
        <w:autoSpaceDE w:val="0"/>
        <w:autoSpaceDN w:val="0"/>
        <w:adjustRightInd w:val="0"/>
        <w:ind w:firstLine="480"/>
        <w:rPr>
          <w:kern w:val="0"/>
          <w:szCs w:val="24"/>
        </w:rPr>
      </w:pPr>
      <w:r>
        <w:rPr>
          <w:rFonts w:hint="eastAsia"/>
          <w:kern w:val="0"/>
          <w:szCs w:val="24"/>
        </w:rPr>
        <w:t>本项目区主要地貌类型为河流冲积漫滩、阶地及构造剥蚀丘陵地形。地势自北向南倾斜，在锦河的一侧往往发育新月形的基座型冲积堆积阶地，阶地宽约300～500m，沿江形成条状狭长地带；构造剥蚀丘陵分布于四周，山顶标高大多为70~100m，山顶多呈馒头状，相对高差较小。地表踏勘中未发现大的滑坡、崩塌、泥石流、地面塌陷、落水洞等不良物理地质现象。根据《中国地震动参数区划图》GB18306-2015，区内地震动峰值加速度为0.05g，相应的地震基本烈度为Ⅵ度，区域稳定性较好。</w:t>
      </w:r>
    </w:p>
    <w:p>
      <w:pPr>
        <w:autoSpaceDE w:val="0"/>
        <w:autoSpaceDN w:val="0"/>
        <w:adjustRightInd w:val="0"/>
        <w:ind w:firstLine="480"/>
        <w:rPr>
          <w:kern w:val="0"/>
          <w:szCs w:val="24"/>
        </w:rPr>
      </w:pPr>
      <w:r>
        <w:rPr>
          <w:rFonts w:hint="eastAsia"/>
          <w:kern w:val="0"/>
          <w:szCs w:val="24"/>
        </w:rPr>
        <w:t>区内地下水类型主要为松散地层的孔隙潜水及基岩裂隙水，主要含水层为第四系冲洪积层的砂壤土、细砂层、砂卵砾石层，含水量丰富，透水性较强～强。壤土及残坡积层的水量贫乏，透水性较弱，板岩及变质砂岩基岩裂隙水不发育，透水性亦较弱；未见岩溶水发育。地下水的补给、迳流、排泄受大气降水影响明显，平枯水期地下水位略高于河水位，地下水排泄于河流沟谷中，汛期河水补给地下水。</w:t>
      </w:r>
    </w:p>
    <w:p>
      <w:pPr>
        <w:autoSpaceDE w:val="0"/>
        <w:autoSpaceDN w:val="0"/>
        <w:adjustRightInd w:val="0"/>
        <w:ind w:firstLine="480"/>
        <w:rPr>
          <w:kern w:val="0"/>
          <w:szCs w:val="24"/>
        </w:rPr>
      </w:pPr>
      <w:r>
        <w:rPr>
          <w:rFonts w:hint="eastAsia"/>
          <w:kern w:val="0"/>
          <w:szCs w:val="24"/>
        </w:rPr>
        <w:t>上坝址坝基位于弱风化变质砂岩上，地基承载力满足要求，抗滑条件较好，不存在不均匀沉降问题，存在坝基浅层渗漏问题；下坝址坝基位于弱风化板岩或弱风化变质砂岩上，应采取相应措施防坝基产生不均匀沉降；坝基局部存在浅层渗漏问题。</w:t>
      </w:r>
    </w:p>
    <w:p>
      <w:pPr>
        <w:autoSpaceDE w:val="0"/>
        <w:autoSpaceDN w:val="0"/>
        <w:adjustRightInd w:val="0"/>
        <w:ind w:firstLine="480"/>
        <w:rPr>
          <w:kern w:val="0"/>
          <w:szCs w:val="24"/>
        </w:rPr>
      </w:pPr>
      <w:r>
        <w:rPr>
          <w:rFonts w:hint="eastAsia"/>
          <w:kern w:val="0"/>
          <w:szCs w:val="24"/>
        </w:rPr>
        <w:t>下坝址坝基位于弱风化板岩或弱风化变质砂岩上，应采取相应措施防坝基产生不均匀沉降；坝基局部存在浅层渗漏问题，左岸绕渗问题小，右岸存在绕渗问题。</w:t>
      </w:r>
    </w:p>
    <w:p>
      <w:pPr>
        <w:ind w:firstLine="480"/>
      </w:pPr>
      <w:r>
        <w:rPr>
          <w:rFonts w:hint="eastAsia"/>
        </w:rPr>
        <w:t>(2)</w:t>
      </w:r>
      <w:r>
        <w:t>地下水补径排条件</w:t>
      </w:r>
    </w:p>
    <w:p>
      <w:pPr>
        <w:ind w:firstLine="480"/>
      </w:pPr>
      <w:r>
        <w:t>区内地下水主要赋存于第四系地层中，地下水类型主要为第四系孔隙潜水，主要含水层为</w:t>
      </w:r>
      <w:r>
        <w:rPr>
          <w:rFonts w:hint="eastAsia"/>
          <w:kern w:val="0"/>
          <w:szCs w:val="24"/>
        </w:rPr>
        <w:t>第四系冲洪积层的砂壤土、细砂层、砂卵砾石层</w:t>
      </w:r>
      <w:r>
        <w:t>。地下水主要接受大气降水补给和河水补给，地下水和河水水力联系密切，枯水期地下水补给河水，汛期河水补给地下水。</w:t>
      </w:r>
    </w:p>
    <w:p>
      <w:pPr>
        <w:pStyle w:val="835"/>
        <w:spacing w:before="0" w:line="360" w:lineRule="auto"/>
      </w:pPr>
      <w:r>
        <w:t>5.</w:t>
      </w:r>
      <w:r>
        <w:rPr>
          <w:rFonts w:hint="eastAsia"/>
        </w:rPr>
        <w:t>4</w:t>
      </w:r>
      <w:r>
        <w:t>.</w:t>
      </w:r>
      <w:r>
        <w:rPr>
          <w:rFonts w:hint="eastAsia"/>
        </w:rPr>
        <w:t>2</w:t>
      </w:r>
      <w:r>
        <w:t>施工期地下水环境影响分析</w:t>
      </w:r>
      <w:bookmarkEnd w:id="849"/>
      <w:bookmarkEnd w:id="850"/>
      <w:bookmarkEnd w:id="851"/>
      <w:bookmarkEnd w:id="852"/>
      <w:bookmarkEnd w:id="853"/>
      <w:bookmarkEnd w:id="854"/>
    </w:p>
    <w:p>
      <w:pPr>
        <w:autoSpaceDE w:val="0"/>
        <w:autoSpaceDN w:val="0"/>
        <w:adjustRightInd w:val="0"/>
        <w:ind w:firstLine="480"/>
      </w:pPr>
      <w:r>
        <w:t>本项目施工期对地下水环境的影响主要有两个方面：</w:t>
      </w:r>
      <w:r>
        <w:rPr>
          <w:rFonts w:hint="eastAsia"/>
        </w:rPr>
        <w:t>①导流工程建设</w:t>
      </w:r>
      <w:r>
        <w:t>可能局部改变地下水径流途径；</w:t>
      </w:r>
      <w:r>
        <w:rPr>
          <w:rFonts w:hint="eastAsia"/>
        </w:rPr>
        <w:t>②</w:t>
      </w:r>
      <w:r>
        <w:t>施工废水下渗可能对地下水水质产生影响。</w:t>
      </w:r>
    </w:p>
    <w:p>
      <w:pPr>
        <w:autoSpaceDE w:val="0"/>
        <w:autoSpaceDN w:val="0"/>
        <w:adjustRightInd w:val="0"/>
        <w:ind w:firstLine="480"/>
      </w:pPr>
      <w:r>
        <w:rPr>
          <w:rFonts w:hint="eastAsia"/>
        </w:rPr>
        <w:t>(1)导流工程建设</w:t>
      </w:r>
      <w:r>
        <w:t>对地下水的影响</w:t>
      </w:r>
    </w:p>
    <w:p>
      <w:pPr>
        <w:autoSpaceDE w:val="0"/>
        <w:autoSpaceDN w:val="0"/>
        <w:adjustRightInd w:val="0"/>
        <w:ind w:firstLine="480"/>
      </w:pPr>
      <w:r>
        <w:rPr>
          <w:rFonts w:hint="eastAsia"/>
        </w:rPr>
        <w:t>抬水工程锦河为工程区最低排泄基准面，区内地下水多以泉水的形式排泄于锦河及其上游支沟中，土料场位于坝址下游</w:t>
      </w:r>
      <w:r>
        <w:t>7～8km</w:t>
      </w:r>
      <w:r>
        <w:rPr>
          <w:rFonts w:hint="eastAsia"/>
        </w:rPr>
        <w:t>，</w:t>
      </w:r>
      <w:r>
        <w:t xml:space="preserve"> </w:t>
      </w:r>
      <w:r>
        <w:rPr>
          <w:rFonts w:hint="eastAsia"/>
        </w:rPr>
        <w:t>由于开挖的高程较高，土料场开采对当地地下水基本没有影响。</w:t>
      </w:r>
    </w:p>
    <w:p>
      <w:pPr>
        <w:autoSpaceDE w:val="0"/>
        <w:autoSpaceDN w:val="0"/>
        <w:adjustRightInd w:val="0"/>
        <w:ind w:firstLine="480"/>
      </w:pPr>
      <w:r>
        <w:rPr>
          <w:rFonts w:hint="eastAsia"/>
        </w:rPr>
        <w:t>导流闸门进出口高程与坝址处河床高程基本一致，虽然导流工程施工过中可能会有大量地下水流出，改变了小范围的地下水径流关系，但由于导流位置基本和河床位置相当，已经处于地下水的最低排泄位置，地下水的涌出不会引起区域地表和地下水出露点的径流情况，对区域地下水的影响较小。</w:t>
      </w:r>
    </w:p>
    <w:p>
      <w:pPr>
        <w:pStyle w:val="217"/>
        <w:spacing w:line="360" w:lineRule="auto"/>
        <w:ind w:firstLine="480"/>
        <w:rPr>
          <w:rFonts w:eastAsia="宋体"/>
          <w:sz w:val="24"/>
          <w:szCs w:val="20"/>
        </w:rPr>
      </w:pPr>
      <w:r>
        <w:rPr>
          <w:rFonts w:hint="eastAsia" w:eastAsia="宋体"/>
          <w:sz w:val="24"/>
          <w:szCs w:val="20"/>
        </w:rPr>
        <w:t>⑵</w:t>
      </w:r>
      <w:r>
        <w:rPr>
          <w:rFonts w:eastAsia="宋体"/>
          <w:sz w:val="24"/>
          <w:szCs w:val="20"/>
        </w:rPr>
        <w:t>施工废水、生活污水对地下水的影响</w:t>
      </w:r>
    </w:p>
    <w:p>
      <w:pPr>
        <w:ind w:firstLine="480"/>
      </w:pPr>
      <w:bookmarkStart w:id="855" w:name="_Toc534895296"/>
      <w:bookmarkStart w:id="856" w:name="_Toc536265164"/>
      <w:bookmarkStart w:id="857" w:name="_Toc534386320"/>
      <w:bookmarkStart w:id="858" w:name="_Toc529279082"/>
      <w:bookmarkStart w:id="859" w:name="_Toc534807079"/>
      <w:bookmarkStart w:id="860" w:name="_Toc3903301"/>
      <w:r>
        <w:rPr>
          <w:rFonts w:hint="eastAsia"/>
        </w:rPr>
        <w:t>施工期间，地下水污染源主要来源于施工生产废水和生活污水。由于工程施工期废污水产生量少、污染物简单，其中部分基坑废水经处理达标排入下游河道；冲洗水主要污染物为悬浮物， 生活污水主要污染物为COD、BOD</w:t>
      </w:r>
      <w:r>
        <w:rPr>
          <w:rFonts w:hint="eastAsia"/>
          <w:vertAlign w:val="subscript"/>
        </w:rPr>
        <w:t>5</w:t>
      </w:r>
      <w:r>
        <w:rPr>
          <w:rFonts w:hint="eastAsia"/>
        </w:rPr>
        <w:t>、氨氮。评价要求各冲洗废水经沉淀池沉淀后回用，不外排，且沉淀池池低和池壁采取防渗措施，防止施工废水下渗污染地下水；</w:t>
      </w:r>
      <w:r>
        <w:t>施工场地内仅设1~2个看护人员，其他施工人员采用租用</w:t>
      </w:r>
      <w:r>
        <w:rPr>
          <w:rFonts w:hint="eastAsia"/>
        </w:rPr>
        <w:t>上高</w:t>
      </w:r>
      <w:r>
        <w:t>县成当地房屋方式，</w:t>
      </w:r>
      <w:r>
        <w:rPr>
          <w:rFonts w:hint="eastAsia"/>
        </w:rPr>
        <w:t>因此，施工场地施工人员生活污水产生量较少，</w:t>
      </w:r>
      <w:r>
        <w:t>污水经旱厕处理后用于肥田</w:t>
      </w:r>
      <w:r>
        <w:rPr>
          <w:rFonts w:hint="eastAsia"/>
        </w:rPr>
        <w:t>。 采取上述措施后， 施工期废水不会对地下水产生不利影响。</w:t>
      </w:r>
    </w:p>
    <w:p>
      <w:pPr>
        <w:pStyle w:val="835"/>
        <w:spacing w:before="0" w:line="360" w:lineRule="auto"/>
      </w:pPr>
      <w:r>
        <w:t>5.</w:t>
      </w:r>
      <w:r>
        <w:rPr>
          <w:rFonts w:hint="eastAsia"/>
        </w:rPr>
        <w:t>4</w:t>
      </w:r>
      <w:r>
        <w:t>.</w:t>
      </w:r>
      <w:r>
        <w:rPr>
          <w:rFonts w:hint="eastAsia"/>
        </w:rPr>
        <w:t>3</w:t>
      </w:r>
      <w:r>
        <w:t>运营期地下水环境影响分析</w:t>
      </w:r>
      <w:bookmarkEnd w:id="855"/>
      <w:bookmarkEnd w:id="856"/>
      <w:bookmarkEnd w:id="857"/>
      <w:bookmarkEnd w:id="858"/>
      <w:bookmarkEnd w:id="859"/>
      <w:bookmarkEnd w:id="860"/>
    </w:p>
    <w:bookmarkEnd w:id="847"/>
    <w:bookmarkEnd w:id="848"/>
    <w:p>
      <w:pPr>
        <w:autoSpaceDE w:val="0"/>
        <w:autoSpaceDN w:val="0"/>
        <w:adjustRightInd w:val="0"/>
        <w:ind w:firstLine="0" w:firstLineChars="0"/>
        <w:rPr>
          <w:b/>
        </w:rPr>
      </w:pPr>
      <w:r>
        <w:rPr>
          <w:b/>
        </w:rPr>
        <w:t>5.</w:t>
      </w:r>
      <w:r>
        <w:rPr>
          <w:rFonts w:hint="eastAsia"/>
          <w:b/>
        </w:rPr>
        <w:t>4</w:t>
      </w:r>
      <w:r>
        <w:rPr>
          <w:b/>
        </w:rPr>
        <w:t>.2.3对地下水水量的影响分析</w:t>
      </w:r>
    </w:p>
    <w:p>
      <w:pPr>
        <w:autoSpaceDE w:val="0"/>
        <w:autoSpaceDN w:val="0"/>
        <w:adjustRightInd w:val="0"/>
        <w:ind w:firstLine="480"/>
      </w:pPr>
      <w:r>
        <w:t>水库蓄水后，水面由原来的河流型变为湖泊型，水位抬高，水面面积增大。当地下水位低于水库正常高水位，且岩层有一定的透水性时，水库会发生渗漏，使地下水位升高；当库岸比较低，水库正常高水位与地下水位相差不大，若库岸由松散岩类组成时，水库水位的抬高可能使地下水位大幅雍高，产生土壤浸没。</w:t>
      </w:r>
    </w:p>
    <w:p>
      <w:pPr>
        <w:autoSpaceDE w:val="0"/>
        <w:autoSpaceDN w:val="0"/>
        <w:adjustRightInd w:val="0"/>
        <w:ind w:firstLine="480"/>
      </w:pPr>
      <w:r>
        <w:t>水文地质资料表明，坝址左右岸下游有冲沟分布，冲沟下部与上游河流近于平行发育，且沟底高程比正常蓄水位低，两岸坡节理裂隙较发育，强风化层厚度较大，局部岩体透水率较大，存在沿强、弱风化带向下游发生裂隙性及溶隙性绕坝渗漏问题，可结合大坝帷幕灌浆进行防渗处理，经处理后，不存在水库渗漏问题。</w:t>
      </w:r>
    </w:p>
    <w:p>
      <w:pPr>
        <w:autoSpaceDE w:val="0"/>
        <w:autoSpaceDN w:val="0"/>
        <w:adjustRightInd w:val="0"/>
        <w:ind w:firstLine="480"/>
      </w:pPr>
      <w:r>
        <w:t>库区两岸地形坡度较平缓，第四系覆盖层厚度不大，无集中成片的耕地分布，河流、溪沟常年有水，呈树枝状向建库河流径流、排泄，建库蓄水不会出现大的浸没问题，不存在水库浸没、引起沼泽化等环境水文地质问题。</w:t>
      </w:r>
    </w:p>
    <w:p>
      <w:pPr>
        <w:autoSpaceDE w:val="0"/>
        <w:autoSpaceDN w:val="0"/>
        <w:adjustRightInd w:val="0"/>
        <w:ind w:firstLine="480"/>
      </w:pPr>
      <w:r>
        <w:t>水文地质勘查结果表明，流域内地下水主要由大气降水补给，通过松散地层孔隙</w:t>
      </w:r>
      <w:r>
        <w:rPr>
          <w:rFonts w:hint="eastAsia"/>
        </w:rPr>
        <w:t>、</w:t>
      </w:r>
      <w:r>
        <w:t>基岩裂隙向河谷排泄。坝址以下河谷形态为横向谷，</w:t>
      </w:r>
      <w:r>
        <w:rPr>
          <w:rFonts w:hint="eastAsia"/>
        </w:rPr>
        <w:t>锦河</w:t>
      </w:r>
      <w:r>
        <w:t>为流域内地下水排泄基准面，水库两岸地下水主要向</w:t>
      </w:r>
      <w:r>
        <w:rPr>
          <w:rFonts w:hint="eastAsia"/>
        </w:rPr>
        <w:t>锦河</w:t>
      </w:r>
      <w:r>
        <w:t>河谷排泄。水库建成蓄水后，抬高了</w:t>
      </w:r>
      <w:r>
        <w:rPr>
          <w:rFonts w:hint="eastAsia"/>
        </w:rPr>
        <w:t>锦河</w:t>
      </w:r>
      <w:r>
        <w:t>库区段河床水位，地下水位虽然有一定壅高，但地下水位升幅小，依然保持地下水补给河水的水动力条件，地表水体与地下水之间不会互相交替，因此</w:t>
      </w:r>
      <w:r>
        <w:rPr>
          <w:rFonts w:hint="eastAsia"/>
        </w:rPr>
        <w:t>，工程</w:t>
      </w:r>
      <w:r>
        <w:t>建成后不会改变流域内地下水、地表水的补排关系，不会对上下游地区地下水水位、水质产生不利影响，仅对近岸坡地带地下水的流速有一定影响。</w:t>
      </w:r>
    </w:p>
    <w:p>
      <w:pPr>
        <w:pStyle w:val="6"/>
        <w:spacing w:beforeLines="50" w:afterLines="50"/>
        <w:rPr>
          <w:szCs w:val="28"/>
        </w:rPr>
      </w:pPr>
      <w:bookmarkStart w:id="861" w:name="_Toc281507059"/>
      <w:bookmarkStart w:id="862" w:name="_Toc334643184"/>
      <w:bookmarkStart w:id="863" w:name="_Toc536265165"/>
      <w:bookmarkStart w:id="864" w:name="_Toc529279074"/>
      <w:bookmarkStart w:id="865" w:name="_Toc2775"/>
      <w:bookmarkStart w:id="866" w:name="_Toc534895297"/>
      <w:bookmarkStart w:id="867" w:name="_Toc534386321"/>
      <w:bookmarkStart w:id="868" w:name="_Toc3903302"/>
      <w:bookmarkStart w:id="869" w:name="_Toc534807080"/>
      <w:bookmarkStart w:id="870" w:name="_Toc529279071"/>
      <w:r>
        <w:rPr>
          <w:szCs w:val="28"/>
        </w:rPr>
        <w:t>5.</w:t>
      </w:r>
      <w:bookmarkEnd w:id="861"/>
      <w:bookmarkEnd w:id="862"/>
      <w:r>
        <w:rPr>
          <w:rFonts w:hint="eastAsia"/>
          <w:szCs w:val="28"/>
        </w:rPr>
        <w:t>5</w:t>
      </w:r>
      <w:r>
        <w:rPr>
          <w:szCs w:val="28"/>
        </w:rPr>
        <w:t>大气环境影响分析与评价</w:t>
      </w:r>
      <w:bookmarkEnd w:id="863"/>
      <w:bookmarkEnd w:id="864"/>
      <w:bookmarkEnd w:id="865"/>
      <w:bookmarkEnd w:id="866"/>
      <w:bookmarkEnd w:id="867"/>
      <w:bookmarkEnd w:id="868"/>
      <w:bookmarkEnd w:id="869"/>
    </w:p>
    <w:p>
      <w:pPr>
        <w:ind w:firstLine="480"/>
      </w:pPr>
      <w:bookmarkStart w:id="871" w:name="_Toc534386322"/>
      <w:bookmarkStart w:id="872" w:name="_Toc529279075"/>
      <w:r>
        <w:rPr>
          <w:rFonts w:hint="eastAsia"/>
        </w:rPr>
        <w:t>上高</w:t>
      </w:r>
      <w:r>
        <w:t>县</w:t>
      </w:r>
      <w:r>
        <w:rPr>
          <w:rFonts w:hint="eastAsia"/>
        </w:rPr>
        <w:t>毛家渡</w:t>
      </w:r>
      <w:r>
        <w:t>抬水工程对大气环境的影响主要表现在施工期，运行期基本无影响。施工期大气污染主要为施工扬尘和施工废气，主要来源于</w:t>
      </w:r>
      <w:bookmarkStart w:id="873" w:name="_Toc536265166"/>
      <w:bookmarkStart w:id="874" w:name="_Toc534895298"/>
      <w:bookmarkStart w:id="875" w:name="_Toc3903303"/>
      <w:bookmarkStart w:id="876" w:name="_Toc534807081"/>
      <w:r>
        <w:rPr>
          <w:rFonts w:hint="eastAsia"/>
        </w:rPr>
        <w:t>土石方开挖与回填、机械设备运行及车辆运输等过程，主要污染物为</w:t>
      </w:r>
      <w:r>
        <w:t>TSP</w:t>
      </w:r>
      <w:r>
        <w:rPr>
          <w:rFonts w:hint="eastAsia"/>
        </w:rPr>
        <w:t>。</w:t>
      </w:r>
    </w:p>
    <w:p>
      <w:pPr>
        <w:pStyle w:val="835"/>
        <w:spacing w:before="0" w:line="360" w:lineRule="auto"/>
      </w:pPr>
      <w:r>
        <w:t>5.</w:t>
      </w:r>
      <w:r>
        <w:rPr>
          <w:rFonts w:hint="eastAsia"/>
        </w:rPr>
        <w:t>5</w:t>
      </w:r>
      <w:r>
        <w:t>.1施工扬尘影响分析</w:t>
      </w:r>
      <w:bookmarkEnd w:id="871"/>
      <w:bookmarkEnd w:id="872"/>
      <w:bookmarkEnd w:id="873"/>
      <w:bookmarkEnd w:id="874"/>
      <w:bookmarkEnd w:id="875"/>
      <w:bookmarkEnd w:id="876"/>
    </w:p>
    <w:p>
      <w:pPr>
        <w:autoSpaceDE w:val="0"/>
        <w:autoSpaceDN w:val="0"/>
        <w:adjustRightInd w:val="0"/>
        <w:ind w:firstLine="480"/>
      </w:pPr>
      <w:r>
        <w:rPr>
          <w:rFonts w:hint="eastAsia"/>
        </w:rPr>
        <w:t>施工扬尘主要来源于基础开挖，以及土石方料和建筑材料运输和装卸时产生的二次扬尘。爆破产生的粉尘与装卸和运输产生的情况相比，虽然与人接触的时间较短，但数量较大。同时，爆破粉尘扩散范围大，不仅可以影响工作面的人员，还可能影响其他附近的人员。本项目施工放炮为间断性，且采用微量爆破技术，放炮时产生的粉尘量相对较小，开采作业时须做好施工人员防护工作，并采用湿式作业方式。</w:t>
      </w:r>
    </w:p>
    <w:p>
      <w:pPr>
        <w:ind w:firstLine="480"/>
      </w:pPr>
      <w:r>
        <w:rPr>
          <w:rFonts w:hint="eastAsia"/>
        </w:rPr>
        <w:t>(1)</w:t>
      </w:r>
      <w:r>
        <w:t>裸露施工场地的风力起尘</w:t>
      </w:r>
    </w:p>
    <w:p>
      <w:pPr>
        <w:autoSpaceDE w:val="0"/>
        <w:autoSpaceDN w:val="0"/>
        <w:adjustRightInd w:val="0"/>
        <w:ind w:firstLine="480"/>
      </w:pPr>
      <w:r>
        <w:rPr>
          <w:rFonts w:hint="eastAsia"/>
        </w:rPr>
        <w:t>由于施工需要，建筑材料需露天堆放，部分施工作业点表层土壤需人工开挖且临时堆放，在气候干燥又有风的情况下，会产生扬尘，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表</w:t>
      </w:r>
      <w:r>
        <w:t>5.</w:t>
      </w:r>
      <w:r>
        <w:rPr>
          <w:rFonts w:hint="eastAsia"/>
        </w:rPr>
        <w:t>5</w:t>
      </w:r>
      <w:r>
        <w:t>-1</w:t>
      </w:r>
      <w:r>
        <w:rPr>
          <w:rFonts w:hint="eastAsia"/>
        </w:rPr>
        <w:t>。</w:t>
      </w:r>
    </w:p>
    <w:p>
      <w:pPr>
        <w:autoSpaceDE w:val="0"/>
        <w:autoSpaceDN w:val="0"/>
        <w:adjustRightInd w:val="0"/>
        <w:spacing w:line="240" w:lineRule="auto"/>
        <w:ind w:firstLine="0" w:firstLineChars="0"/>
        <w:jc w:val="center"/>
        <w:rPr>
          <w:rFonts w:ascii="黑体" w:hAnsi="黑体" w:eastAsia="黑体"/>
          <w:szCs w:val="24"/>
        </w:rPr>
      </w:pPr>
      <w:r>
        <w:rPr>
          <w:rFonts w:hint="eastAsia" w:ascii="黑体" w:hAnsi="黑体" w:eastAsia="黑体"/>
          <w:szCs w:val="24"/>
        </w:rPr>
        <w:t>表</w:t>
      </w:r>
      <w:r>
        <w:rPr>
          <w:rFonts w:ascii="黑体" w:hAnsi="黑体" w:eastAsia="黑体"/>
          <w:szCs w:val="24"/>
        </w:rPr>
        <w:t xml:space="preserve"> 5.</w:t>
      </w:r>
      <w:r>
        <w:rPr>
          <w:rFonts w:hint="eastAsia" w:ascii="黑体" w:hAnsi="黑体" w:eastAsia="黑体"/>
          <w:szCs w:val="24"/>
        </w:rPr>
        <w:t>5</w:t>
      </w:r>
      <w:r>
        <w:rPr>
          <w:rFonts w:ascii="黑体" w:hAnsi="黑体" w:eastAsia="黑体"/>
          <w:szCs w:val="24"/>
        </w:rPr>
        <w:t xml:space="preserve">-1 </w:t>
      </w:r>
      <w:r>
        <w:rPr>
          <w:rFonts w:hint="eastAsia" w:ascii="黑体" w:hAnsi="黑体" w:eastAsia="黑体"/>
          <w:szCs w:val="24"/>
        </w:rPr>
        <w:t>不同粒径尘粒的沉降速度</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8"/>
        <w:gridCol w:w="1026"/>
        <w:gridCol w:w="1026"/>
        <w:gridCol w:w="1026"/>
        <w:gridCol w:w="1026"/>
        <w:gridCol w:w="1026"/>
        <w:gridCol w:w="1026"/>
        <w:gridCol w:w="10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粉尘粒径 (m)</w:t>
            </w:r>
          </w:p>
        </w:tc>
        <w:tc>
          <w:tcPr>
            <w:tcW w:w="536" w:type="pct"/>
            <w:vAlign w:val="center"/>
          </w:tcPr>
          <w:p>
            <w:pPr>
              <w:adjustRightInd w:val="0"/>
              <w:snapToGrid w:val="0"/>
              <w:spacing w:line="340" w:lineRule="exact"/>
              <w:ind w:firstLine="0" w:firstLineChars="0"/>
              <w:jc w:val="center"/>
              <w:rPr>
                <w:sz w:val="21"/>
                <w:szCs w:val="21"/>
              </w:rPr>
            </w:pPr>
            <w:r>
              <w:rPr>
                <w:sz w:val="21"/>
                <w:szCs w:val="21"/>
              </w:rPr>
              <w:t>10</w:t>
            </w:r>
          </w:p>
        </w:tc>
        <w:tc>
          <w:tcPr>
            <w:tcW w:w="536" w:type="pct"/>
            <w:vAlign w:val="center"/>
          </w:tcPr>
          <w:p>
            <w:pPr>
              <w:adjustRightInd w:val="0"/>
              <w:snapToGrid w:val="0"/>
              <w:spacing w:line="340" w:lineRule="exact"/>
              <w:ind w:firstLine="0" w:firstLineChars="0"/>
              <w:jc w:val="center"/>
              <w:rPr>
                <w:sz w:val="21"/>
                <w:szCs w:val="21"/>
              </w:rPr>
            </w:pPr>
            <w:r>
              <w:rPr>
                <w:sz w:val="21"/>
                <w:szCs w:val="21"/>
              </w:rPr>
              <w:t>20</w:t>
            </w:r>
          </w:p>
        </w:tc>
        <w:tc>
          <w:tcPr>
            <w:tcW w:w="536" w:type="pct"/>
            <w:vAlign w:val="center"/>
          </w:tcPr>
          <w:p>
            <w:pPr>
              <w:adjustRightInd w:val="0"/>
              <w:snapToGrid w:val="0"/>
              <w:spacing w:line="340" w:lineRule="exact"/>
              <w:ind w:firstLine="0" w:firstLineChars="0"/>
              <w:jc w:val="center"/>
              <w:rPr>
                <w:sz w:val="21"/>
                <w:szCs w:val="21"/>
              </w:rPr>
            </w:pPr>
            <w:r>
              <w:rPr>
                <w:sz w:val="21"/>
                <w:szCs w:val="21"/>
              </w:rPr>
              <w:t>30</w:t>
            </w:r>
          </w:p>
        </w:tc>
        <w:tc>
          <w:tcPr>
            <w:tcW w:w="536" w:type="pct"/>
            <w:vAlign w:val="center"/>
          </w:tcPr>
          <w:p>
            <w:pPr>
              <w:adjustRightInd w:val="0"/>
              <w:snapToGrid w:val="0"/>
              <w:spacing w:line="340" w:lineRule="exact"/>
              <w:ind w:firstLine="0" w:firstLineChars="0"/>
              <w:jc w:val="center"/>
              <w:rPr>
                <w:sz w:val="21"/>
                <w:szCs w:val="21"/>
              </w:rPr>
            </w:pPr>
            <w:r>
              <w:rPr>
                <w:sz w:val="21"/>
                <w:szCs w:val="21"/>
              </w:rPr>
              <w:t>40</w:t>
            </w:r>
          </w:p>
        </w:tc>
        <w:tc>
          <w:tcPr>
            <w:tcW w:w="536" w:type="pct"/>
            <w:vAlign w:val="center"/>
          </w:tcPr>
          <w:p>
            <w:pPr>
              <w:adjustRightInd w:val="0"/>
              <w:snapToGrid w:val="0"/>
              <w:spacing w:line="340" w:lineRule="exact"/>
              <w:ind w:firstLine="0" w:firstLineChars="0"/>
              <w:jc w:val="center"/>
              <w:rPr>
                <w:sz w:val="21"/>
                <w:szCs w:val="21"/>
              </w:rPr>
            </w:pPr>
            <w:r>
              <w:rPr>
                <w:sz w:val="21"/>
                <w:szCs w:val="21"/>
              </w:rPr>
              <w:t>50</w:t>
            </w:r>
          </w:p>
        </w:tc>
        <w:tc>
          <w:tcPr>
            <w:tcW w:w="536" w:type="pct"/>
            <w:vAlign w:val="center"/>
          </w:tcPr>
          <w:p>
            <w:pPr>
              <w:adjustRightInd w:val="0"/>
              <w:snapToGrid w:val="0"/>
              <w:spacing w:line="340" w:lineRule="exact"/>
              <w:ind w:firstLine="0" w:firstLineChars="0"/>
              <w:jc w:val="center"/>
              <w:rPr>
                <w:sz w:val="21"/>
                <w:szCs w:val="21"/>
              </w:rPr>
            </w:pPr>
            <w:r>
              <w:rPr>
                <w:sz w:val="21"/>
                <w:szCs w:val="21"/>
              </w:rPr>
              <w:t>60</w:t>
            </w:r>
          </w:p>
        </w:tc>
        <w:tc>
          <w:tcPr>
            <w:tcW w:w="536" w:type="pct"/>
            <w:vAlign w:val="center"/>
          </w:tcPr>
          <w:p>
            <w:pPr>
              <w:adjustRightInd w:val="0"/>
              <w:snapToGrid w:val="0"/>
              <w:spacing w:line="340" w:lineRule="exact"/>
              <w:ind w:firstLine="0" w:firstLineChars="0"/>
              <w:jc w:val="center"/>
              <w:rPr>
                <w:sz w:val="21"/>
                <w:szCs w:val="21"/>
              </w:rPr>
            </w:pPr>
            <w:r>
              <w:rPr>
                <w:sz w:val="21"/>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沉降速度 (m/s)</w:t>
            </w:r>
          </w:p>
        </w:tc>
        <w:tc>
          <w:tcPr>
            <w:tcW w:w="536" w:type="pct"/>
            <w:vAlign w:val="center"/>
          </w:tcPr>
          <w:p>
            <w:pPr>
              <w:adjustRightInd w:val="0"/>
              <w:snapToGrid w:val="0"/>
              <w:spacing w:line="340" w:lineRule="exact"/>
              <w:ind w:firstLine="0" w:firstLineChars="0"/>
              <w:jc w:val="center"/>
              <w:rPr>
                <w:sz w:val="21"/>
                <w:szCs w:val="21"/>
              </w:rPr>
            </w:pPr>
            <w:r>
              <w:rPr>
                <w:sz w:val="21"/>
                <w:szCs w:val="21"/>
              </w:rPr>
              <w:t>0.003</w:t>
            </w:r>
          </w:p>
        </w:tc>
        <w:tc>
          <w:tcPr>
            <w:tcW w:w="536" w:type="pct"/>
            <w:vAlign w:val="center"/>
          </w:tcPr>
          <w:p>
            <w:pPr>
              <w:adjustRightInd w:val="0"/>
              <w:snapToGrid w:val="0"/>
              <w:spacing w:line="340" w:lineRule="exact"/>
              <w:ind w:firstLine="0" w:firstLineChars="0"/>
              <w:jc w:val="center"/>
              <w:rPr>
                <w:sz w:val="21"/>
                <w:szCs w:val="21"/>
              </w:rPr>
            </w:pPr>
            <w:r>
              <w:rPr>
                <w:sz w:val="21"/>
                <w:szCs w:val="21"/>
              </w:rPr>
              <w:t>0.012</w:t>
            </w:r>
          </w:p>
        </w:tc>
        <w:tc>
          <w:tcPr>
            <w:tcW w:w="536" w:type="pct"/>
            <w:vAlign w:val="center"/>
          </w:tcPr>
          <w:p>
            <w:pPr>
              <w:adjustRightInd w:val="0"/>
              <w:snapToGrid w:val="0"/>
              <w:spacing w:line="340" w:lineRule="exact"/>
              <w:ind w:firstLine="0" w:firstLineChars="0"/>
              <w:jc w:val="center"/>
              <w:rPr>
                <w:sz w:val="21"/>
                <w:szCs w:val="21"/>
              </w:rPr>
            </w:pPr>
            <w:r>
              <w:rPr>
                <w:sz w:val="21"/>
                <w:szCs w:val="21"/>
              </w:rPr>
              <w:t>0.027</w:t>
            </w:r>
          </w:p>
        </w:tc>
        <w:tc>
          <w:tcPr>
            <w:tcW w:w="536" w:type="pct"/>
            <w:vAlign w:val="center"/>
          </w:tcPr>
          <w:p>
            <w:pPr>
              <w:adjustRightInd w:val="0"/>
              <w:snapToGrid w:val="0"/>
              <w:spacing w:line="340" w:lineRule="exact"/>
              <w:ind w:firstLine="0" w:firstLineChars="0"/>
              <w:jc w:val="center"/>
              <w:rPr>
                <w:sz w:val="21"/>
                <w:szCs w:val="21"/>
              </w:rPr>
            </w:pPr>
            <w:r>
              <w:rPr>
                <w:sz w:val="21"/>
                <w:szCs w:val="21"/>
              </w:rPr>
              <w:t>0.048</w:t>
            </w:r>
          </w:p>
        </w:tc>
        <w:tc>
          <w:tcPr>
            <w:tcW w:w="536" w:type="pct"/>
            <w:vAlign w:val="center"/>
          </w:tcPr>
          <w:p>
            <w:pPr>
              <w:adjustRightInd w:val="0"/>
              <w:snapToGrid w:val="0"/>
              <w:spacing w:line="340" w:lineRule="exact"/>
              <w:ind w:firstLine="0" w:firstLineChars="0"/>
              <w:jc w:val="center"/>
              <w:rPr>
                <w:sz w:val="21"/>
                <w:szCs w:val="21"/>
              </w:rPr>
            </w:pPr>
            <w:r>
              <w:rPr>
                <w:sz w:val="21"/>
                <w:szCs w:val="21"/>
              </w:rPr>
              <w:t>0.075</w:t>
            </w:r>
          </w:p>
        </w:tc>
        <w:tc>
          <w:tcPr>
            <w:tcW w:w="536" w:type="pct"/>
            <w:vAlign w:val="center"/>
          </w:tcPr>
          <w:p>
            <w:pPr>
              <w:adjustRightInd w:val="0"/>
              <w:snapToGrid w:val="0"/>
              <w:spacing w:line="340" w:lineRule="exact"/>
              <w:ind w:firstLine="0" w:firstLineChars="0"/>
              <w:jc w:val="center"/>
              <w:rPr>
                <w:sz w:val="21"/>
                <w:szCs w:val="21"/>
              </w:rPr>
            </w:pPr>
            <w:r>
              <w:rPr>
                <w:sz w:val="21"/>
                <w:szCs w:val="21"/>
              </w:rPr>
              <w:t>0.108</w:t>
            </w:r>
          </w:p>
        </w:tc>
        <w:tc>
          <w:tcPr>
            <w:tcW w:w="536" w:type="pct"/>
            <w:vAlign w:val="center"/>
          </w:tcPr>
          <w:p>
            <w:pPr>
              <w:adjustRightInd w:val="0"/>
              <w:snapToGrid w:val="0"/>
              <w:spacing w:line="340" w:lineRule="exact"/>
              <w:ind w:firstLine="0" w:firstLineChars="0"/>
              <w:jc w:val="center"/>
              <w:rPr>
                <w:sz w:val="21"/>
                <w:szCs w:val="21"/>
              </w:rPr>
            </w:pPr>
            <w:r>
              <w:rPr>
                <w:sz w:val="21"/>
                <w:szCs w:val="21"/>
              </w:rPr>
              <w:t>0.147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粉尘粒径 (m)</w:t>
            </w:r>
          </w:p>
        </w:tc>
        <w:tc>
          <w:tcPr>
            <w:tcW w:w="536" w:type="pct"/>
            <w:vAlign w:val="center"/>
          </w:tcPr>
          <w:p>
            <w:pPr>
              <w:adjustRightInd w:val="0"/>
              <w:snapToGrid w:val="0"/>
              <w:spacing w:line="340" w:lineRule="exact"/>
              <w:ind w:firstLine="0" w:firstLineChars="0"/>
              <w:jc w:val="center"/>
              <w:rPr>
                <w:sz w:val="21"/>
                <w:szCs w:val="21"/>
              </w:rPr>
            </w:pPr>
            <w:r>
              <w:rPr>
                <w:sz w:val="21"/>
                <w:szCs w:val="21"/>
              </w:rPr>
              <w:t>80</w:t>
            </w:r>
          </w:p>
        </w:tc>
        <w:tc>
          <w:tcPr>
            <w:tcW w:w="536" w:type="pct"/>
            <w:vAlign w:val="center"/>
          </w:tcPr>
          <w:p>
            <w:pPr>
              <w:adjustRightInd w:val="0"/>
              <w:snapToGrid w:val="0"/>
              <w:spacing w:line="340" w:lineRule="exact"/>
              <w:ind w:firstLine="0" w:firstLineChars="0"/>
              <w:jc w:val="center"/>
              <w:rPr>
                <w:sz w:val="21"/>
                <w:szCs w:val="21"/>
              </w:rPr>
            </w:pPr>
            <w:r>
              <w:rPr>
                <w:sz w:val="21"/>
                <w:szCs w:val="21"/>
              </w:rPr>
              <w:t>90</w:t>
            </w:r>
          </w:p>
        </w:tc>
        <w:tc>
          <w:tcPr>
            <w:tcW w:w="536" w:type="pct"/>
            <w:vAlign w:val="center"/>
          </w:tcPr>
          <w:p>
            <w:pPr>
              <w:adjustRightInd w:val="0"/>
              <w:snapToGrid w:val="0"/>
              <w:spacing w:line="340" w:lineRule="exact"/>
              <w:ind w:firstLine="0" w:firstLineChars="0"/>
              <w:jc w:val="center"/>
              <w:rPr>
                <w:sz w:val="21"/>
                <w:szCs w:val="21"/>
              </w:rPr>
            </w:pPr>
            <w:r>
              <w:rPr>
                <w:sz w:val="21"/>
                <w:szCs w:val="21"/>
              </w:rPr>
              <w:t>100</w:t>
            </w:r>
          </w:p>
        </w:tc>
        <w:tc>
          <w:tcPr>
            <w:tcW w:w="536" w:type="pct"/>
            <w:vAlign w:val="center"/>
          </w:tcPr>
          <w:p>
            <w:pPr>
              <w:adjustRightInd w:val="0"/>
              <w:snapToGrid w:val="0"/>
              <w:spacing w:line="340" w:lineRule="exact"/>
              <w:ind w:firstLine="0" w:firstLineChars="0"/>
              <w:jc w:val="center"/>
              <w:rPr>
                <w:sz w:val="21"/>
                <w:szCs w:val="21"/>
              </w:rPr>
            </w:pPr>
            <w:r>
              <w:rPr>
                <w:sz w:val="21"/>
                <w:szCs w:val="21"/>
              </w:rPr>
              <w:t>150</w:t>
            </w:r>
          </w:p>
        </w:tc>
        <w:tc>
          <w:tcPr>
            <w:tcW w:w="536" w:type="pct"/>
            <w:vAlign w:val="center"/>
          </w:tcPr>
          <w:p>
            <w:pPr>
              <w:adjustRightInd w:val="0"/>
              <w:snapToGrid w:val="0"/>
              <w:spacing w:line="340" w:lineRule="exact"/>
              <w:ind w:firstLine="0" w:firstLineChars="0"/>
              <w:jc w:val="center"/>
              <w:rPr>
                <w:sz w:val="21"/>
                <w:szCs w:val="21"/>
              </w:rPr>
            </w:pPr>
            <w:r>
              <w:rPr>
                <w:sz w:val="21"/>
                <w:szCs w:val="21"/>
              </w:rPr>
              <w:t>200</w:t>
            </w:r>
          </w:p>
        </w:tc>
        <w:tc>
          <w:tcPr>
            <w:tcW w:w="536" w:type="pct"/>
            <w:vAlign w:val="center"/>
          </w:tcPr>
          <w:p>
            <w:pPr>
              <w:adjustRightInd w:val="0"/>
              <w:snapToGrid w:val="0"/>
              <w:spacing w:line="340" w:lineRule="exact"/>
              <w:ind w:firstLine="0" w:firstLineChars="0"/>
              <w:jc w:val="center"/>
              <w:rPr>
                <w:sz w:val="21"/>
                <w:szCs w:val="21"/>
              </w:rPr>
            </w:pPr>
            <w:r>
              <w:rPr>
                <w:sz w:val="21"/>
                <w:szCs w:val="21"/>
              </w:rPr>
              <w:t>250</w:t>
            </w:r>
          </w:p>
        </w:tc>
        <w:tc>
          <w:tcPr>
            <w:tcW w:w="536" w:type="pct"/>
            <w:vAlign w:val="center"/>
          </w:tcPr>
          <w:p>
            <w:pPr>
              <w:adjustRightInd w:val="0"/>
              <w:snapToGrid w:val="0"/>
              <w:spacing w:line="340" w:lineRule="exact"/>
              <w:ind w:firstLine="0" w:firstLineChars="0"/>
              <w:jc w:val="center"/>
              <w:rPr>
                <w:sz w:val="21"/>
                <w:szCs w:val="21"/>
              </w:rPr>
            </w:pPr>
            <w:r>
              <w:rPr>
                <w:sz w:val="21"/>
                <w:szCs w:val="21"/>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沉降速度 (m/s)</w:t>
            </w:r>
          </w:p>
        </w:tc>
        <w:tc>
          <w:tcPr>
            <w:tcW w:w="536" w:type="pct"/>
            <w:vAlign w:val="center"/>
          </w:tcPr>
          <w:p>
            <w:pPr>
              <w:adjustRightInd w:val="0"/>
              <w:snapToGrid w:val="0"/>
              <w:spacing w:line="340" w:lineRule="exact"/>
              <w:ind w:firstLine="0" w:firstLineChars="0"/>
              <w:jc w:val="center"/>
              <w:rPr>
                <w:sz w:val="21"/>
                <w:szCs w:val="21"/>
              </w:rPr>
            </w:pPr>
            <w:r>
              <w:rPr>
                <w:sz w:val="21"/>
                <w:szCs w:val="21"/>
              </w:rPr>
              <w:t>0.158</w:t>
            </w:r>
          </w:p>
        </w:tc>
        <w:tc>
          <w:tcPr>
            <w:tcW w:w="536" w:type="pct"/>
            <w:vAlign w:val="center"/>
          </w:tcPr>
          <w:p>
            <w:pPr>
              <w:adjustRightInd w:val="0"/>
              <w:snapToGrid w:val="0"/>
              <w:spacing w:line="340" w:lineRule="exact"/>
              <w:ind w:firstLine="0" w:firstLineChars="0"/>
              <w:jc w:val="center"/>
              <w:rPr>
                <w:sz w:val="21"/>
                <w:szCs w:val="21"/>
              </w:rPr>
            </w:pPr>
            <w:r>
              <w:rPr>
                <w:sz w:val="21"/>
                <w:szCs w:val="21"/>
              </w:rPr>
              <w:t>0.170</w:t>
            </w:r>
          </w:p>
        </w:tc>
        <w:tc>
          <w:tcPr>
            <w:tcW w:w="536" w:type="pct"/>
            <w:vAlign w:val="center"/>
          </w:tcPr>
          <w:p>
            <w:pPr>
              <w:adjustRightInd w:val="0"/>
              <w:snapToGrid w:val="0"/>
              <w:spacing w:line="340" w:lineRule="exact"/>
              <w:ind w:firstLine="0" w:firstLineChars="0"/>
              <w:jc w:val="center"/>
              <w:rPr>
                <w:sz w:val="21"/>
                <w:szCs w:val="21"/>
              </w:rPr>
            </w:pPr>
            <w:r>
              <w:rPr>
                <w:sz w:val="21"/>
                <w:szCs w:val="21"/>
              </w:rPr>
              <w:t>0.182</w:t>
            </w:r>
          </w:p>
        </w:tc>
        <w:tc>
          <w:tcPr>
            <w:tcW w:w="536" w:type="pct"/>
            <w:vAlign w:val="center"/>
          </w:tcPr>
          <w:p>
            <w:pPr>
              <w:adjustRightInd w:val="0"/>
              <w:snapToGrid w:val="0"/>
              <w:spacing w:line="340" w:lineRule="exact"/>
              <w:ind w:firstLine="0" w:firstLineChars="0"/>
              <w:jc w:val="center"/>
              <w:rPr>
                <w:sz w:val="21"/>
                <w:szCs w:val="21"/>
              </w:rPr>
            </w:pPr>
            <w:r>
              <w:rPr>
                <w:sz w:val="21"/>
                <w:szCs w:val="21"/>
              </w:rPr>
              <w:t>0.239</w:t>
            </w:r>
          </w:p>
        </w:tc>
        <w:tc>
          <w:tcPr>
            <w:tcW w:w="536" w:type="pct"/>
            <w:vAlign w:val="center"/>
          </w:tcPr>
          <w:p>
            <w:pPr>
              <w:adjustRightInd w:val="0"/>
              <w:snapToGrid w:val="0"/>
              <w:spacing w:line="340" w:lineRule="exact"/>
              <w:ind w:firstLine="0" w:firstLineChars="0"/>
              <w:jc w:val="center"/>
              <w:rPr>
                <w:sz w:val="21"/>
                <w:szCs w:val="21"/>
              </w:rPr>
            </w:pPr>
            <w:r>
              <w:rPr>
                <w:sz w:val="21"/>
                <w:szCs w:val="21"/>
              </w:rPr>
              <w:t>0.804</w:t>
            </w:r>
          </w:p>
        </w:tc>
        <w:tc>
          <w:tcPr>
            <w:tcW w:w="536" w:type="pct"/>
            <w:vAlign w:val="center"/>
          </w:tcPr>
          <w:p>
            <w:pPr>
              <w:adjustRightInd w:val="0"/>
              <w:snapToGrid w:val="0"/>
              <w:spacing w:line="340" w:lineRule="exact"/>
              <w:ind w:firstLine="0" w:firstLineChars="0"/>
              <w:jc w:val="center"/>
              <w:rPr>
                <w:sz w:val="21"/>
                <w:szCs w:val="21"/>
              </w:rPr>
            </w:pPr>
            <w:r>
              <w:rPr>
                <w:sz w:val="21"/>
                <w:szCs w:val="21"/>
              </w:rPr>
              <w:t>1.005</w:t>
            </w:r>
          </w:p>
        </w:tc>
        <w:tc>
          <w:tcPr>
            <w:tcW w:w="536" w:type="pct"/>
            <w:vAlign w:val="center"/>
          </w:tcPr>
          <w:p>
            <w:pPr>
              <w:adjustRightInd w:val="0"/>
              <w:snapToGrid w:val="0"/>
              <w:spacing w:line="340" w:lineRule="exact"/>
              <w:ind w:firstLine="0" w:firstLineChars="0"/>
              <w:jc w:val="center"/>
              <w:rPr>
                <w:sz w:val="21"/>
                <w:szCs w:val="21"/>
              </w:rPr>
            </w:pPr>
            <w:r>
              <w:rPr>
                <w:sz w:val="21"/>
                <w:szCs w:val="21"/>
              </w:rPr>
              <w:t>1.829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粉尘粒径 (m)</w:t>
            </w:r>
          </w:p>
        </w:tc>
        <w:tc>
          <w:tcPr>
            <w:tcW w:w="536" w:type="pct"/>
            <w:vAlign w:val="center"/>
          </w:tcPr>
          <w:p>
            <w:pPr>
              <w:adjustRightInd w:val="0"/>
              <w:snapToGrid w:val="0"/>
              <w:spacing w:line="340" w:lineRule="exact"/>
              <w:ind w:firstLine="0" w:firstLineChars="0"/>
              <w:jc w:val="center"/>
              <w:rPr>
                <w:sz w:val="21"/>
                <w:szCs w:val="21"/>
              </w:rPr>
            </w:pPr>
            <w:r>
              <w:rPr>
                <w:sz w:val="21"/>
                <w:szCs w:val="21"/>
              </w:rPr>
              <w:t>450</w:t>
            </w:r>
          </w:p>
        </w:tc>
        <w:tc>
          <w:tcPr>
            <w:tcW w:w="536" w:type="pct"/>
            <w:vAlign w:val="center"/>
          </w:tcPr>
          <w:p>
            <w:pPr>
              <w:adjustRightInd w:val="0"/>
              <w:snapToGrid w:val="0"/>
              <w:spacing w:line="340" w:lineRule="exact"/>
              <w:ind w:firstLine="0" w:firstLineChars="0"/>
              <w:jc w:val="center"/>
              <w:rPr>
                <w:sz w:val="21"/>
                <w:szCs w:val="21"/>
              </w:rPr>
            </w:pPr>
            <w:r>
              <w:rPr>
                <w:sz w:val="21"/>
                <w:szCs w:val="21"/>
              </w:rPr>
              <w:t>550</w:t>
            </w:r>
          </w:p>
        </w:tc>
        <w:tc>
          <w:tcPr>
            <w:tcW w:w="536" w:type="pct"/>
            <w:vAlign w:val="center"/>
          </w:tcPr>
          <w:p>
            <w:pPr>
              <w:adjustRightInd w:val="0"/>
              <w:snapToGrid w:val="0"/>
              <w:spacing w:line="340" w:lineRule="exact"/>
              <w:ind w:firstLine="0" w:firstLineChars="0"/>
              <w:jc w:val="center"/>
              <w:rPr>
                <w:sz w:val="21"/>
                <w:szCs w:val="21"/>
              </w:rPr>
            </w:pPr>
            <w:r>
              <w:rPr>
                <w:sz w:val="21"/>
                <w:szCs w:val="21"/>
              </w:rPr>
              <w:t>650</w:t>
            </w:r>
          </w:p>
        </w:tc>
        <w:tc>
          <w:tcPr>
            <w:tcW w:w="536" w:type="pct"/>
            <w:vAlign w:val="center"/>
          </w:tcPr>
          <w:p>
            <w:pPr>
              <w:adjustRightInd w:val="0"/>
              <w:snapToGrid w:val="0"/>
              <w:spacing w:line="340" w:lineRule="exact"/>
              <w:ind w:firstLine="0" w:firstLineChars="0"/>
              <w:jc w:val="center"/>
              <w:rPr>
                <w:sz w:val="21"/>
                <w:szCs w:val="21"/>
              </w:rPr>
            </w:pPr>
            <w:r>
              <w:rPr>
                <w:sz w:val="21"/>
                <w:szCs w:val="21"/>
              </w:rPr>
              <w:t>750</w:t>
            </w:r>
          </w:p>
        </w:tc>
        <w:tc>
          <w:tcPr>
            <w:tcW w:w="536" w:type="pct"/>
            <w:vAlign w:val="center"/>
          </w:tcPr>
          <w:p>
            <w:pPr>
              <w:adjustRightInd w:val="0"/>
              <w:snapToGrid w:val="0"/>
              <w:spacing w:line="340" w:lineRule="exact"/>
              <w:ind w:firstLine="0" w:firstLineChars="0"/>
              <w:jc w:val="center"/>
              <w:rPr>
                <w:sz w:val="21"/>
                <w:szCs w:val="21"/>
              </w:rPr>
            </w:pPr>
            <w:r>
              <w:rPr>
                <w:sz w:val="21"/>
                <w:szCs w:val="21"/>
              </w:rPr>
              <w:t>850</w:t>
            </w:r>
          </w:p>
        </w:tc>
        <w:tc>
          <w:tcPr>
            <w:tcW w:w="536" w:type="pct"/>
            <w:vAlign w:val="center"/>
          </w:tcPr>
          <w:p>
            <w:pPr>
              <w:adjustRightInd w:val="0"/>
              <w:snapToGrid w:val="0"/>
              <w:spacing w:line="340" w:lineRule="exact"/>
              <w:ind w:firstLine="0" w:firstLineChars="0"/>
              <w:jc w:val="center"/>
              <w:rPr>
                <w:sz w:val="21"/>
                <w:szCs w:val="21"/>
              </w:rPr>
            </w:pPr>
            <w:r>
              <w:rPr>
                <w:sz w:val="21"/>
                <w:szCs w:val="21"/>
              </w:rPr>
              <w:t>950</w:t>
            </w:r>
          </w:p>
        </w:tc>
        <w:tc>
          <w:tcPr>
            <w:tcW w:w="536" w:type="pct"/>
            <w:vAlign w:val="center"/>
          </w:tcPr>
          <w:p>
            <w:pPr>
              <w:adjustRightInd w:val="0"/>
              <w:snapToGrid w:val="0"/>
              <w:spacing w:line="340" w:lineRule="exact"/>
              <w:ind w:firstLine="0" w:firstLineChars="0"/>
              <w:jc w:val="center"/>
              <w:rPr>
                <w:sz w:val="21"/>
                <w:szCs w:val="21"/>
              </w:rPr>
            </w:pPr>
            <w:r>
              <w:rPr>
                <w:sz w:val="21"/>
                <w:szCs w:val="21"/>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8" w:type="pct"/>
            <w:vAlign w:val="center"/>
          </w:tcPr>
          <w:p>
            <w:pPr>
              <w:adjustRightInd w:val="0"/>
              <w:snapToGrid w:val="0"/>
              <w:spacing w:line="340" w:lineRule="exact"/>
              <w:ind w:firstLine="0" w:firstLineChars="0"/>
              <w:jc w:val="center"/>
              <w:rPr>
                <w:sz w:val="21"/>
                <w:szCs w:val="21"/>
              </w:rPr>
            </w:pPr>
            <w:r>
              <w:rPr>
                <w:sz w:val="21"/>
                <w:szCs w:val="21"/>
              </w:rPr>
              <w:t>沉降速度 (m/s)</w:t>
            </w:r>
          </w:p>
        </w:tc>
        <w:tc>
          <w:tcPr>
            <w:tcW w:w="536" w:type="pct"/>
            <w:vAlign w:val="center"/>
          </w:tcPr>
          <w:p>
            <w:pPr>
              <w:adjustRightInd w:val="0"/>
              <w:snapToGrid w:val="0"/>
              <w:spacing w:line="340" w:lineRule="exact"/>
              <w:ind w:firstLine="0" w:firstLineChars="0"/>
              <w:jc w:val="center"/>
              <w:rPr>
                <w:sz w:val="21"/>
                <w:szCs w:val="21"/>
              </w:rPr>
            </w:pPr>
            <w:r>
              <w:rPr>
                <w:sz w:val="21"/>
                <w:szCs w:val="21"/>
              </w:rPr>
              <w:t>2.211</w:t>
            </w:r>
          </w:p>
        </w:tc>
        <w:tc>
          <w:tcPr>
            <w:tcW w:w="536" w:type="pct"/>
            <w:vAlign w:val="center"/>
          </w:tcPr>
          <w:p>
            <w:pPr>
              <w:adjustRightInd w:val="0"/>
              <w:snapToGrid w:val="0"/>
              <w:spacing w:line="340" w:lineRule="exact"/>
              <w:ind w:firstLine="0" w:firstLineChars="0"/>
              <w:jc w:val="center"/>
              <w:rPr>
                <w:sz w:val="21"/>
                <w:szCs w:val="21"/>
              </w:rPr>
            </w:pPr>
            <w:r>
              <w:rPr>
                <w:sz w:val="21"/>
                <w:szCs w:val="21"/>
              </w:rPr>
              <w:t>2.614</w:t>
            </w:r>
          </w:p>
        </w:tc>
        <w:tc>
          <w:tcPr>
            <w:tcW w:w="536" w:type="pct"/>
            <w:vAlign w:val="center"/>
          </w:tcPr>
          <w:p>
            <w:pPr>
              <w:adjustRightInd w:val="0"/>
              <w:snapToGrid w:val="0"/>
              <w:spacing w:line="340" w:lineRule="exact"/>
              <w:ind w:firstLine="0" w:firstLineChars="0"/>
              <w:jc w:val="center"/>
              <w:rPr>
                <w:sz w:val="21"/>
                <w:szCs w:val="21"/>
              </w:rPr>
            </w:pPr>
            <w:r>
              <w:rPr>
                <w:sz w:val="21"/>
                <w:szCs w:val="21"/>
              </w:rPr>
              <w:t>3.016</w:t>
            </w:r>
          </w:p>
        </w:tc>
        <w:tc>
          <w:tcPr>
            <w:tcW w:w="536" w:type="pct"/>
            <w:vAlign w:val="center"/>
          </w:tcPr>
          <w:p>
            <w:pPr>
              <w:adjustRightInd w:val="0"/>
              <w:snapToGrid w:val="0"/>
              <w:spacing w:line="340" w:lineRule="exact"/>
              <w:ind w:firstLine="0" w:firstLineChars="0"/>
              <w:jc w:val="center"/>
              <w:rPr>
                <w:sz w:val="21"/>
                <w:szCs w:val="21"/>
              </w:rPr>
            </w:pPr>
            <w:r>
              <w:rPr>
                <w:sz w:val="21"/>
                <w:szCs w:val="21"/>
              </w:rPr>
              <w:t>3.418</w:t>
            </w:r>
          </w:p>
        </w:tc>
        <w:tc>
          <w:tcPr>
            <w:tcW w:w="536" w:type="pct"/>
            <w:vAlign w:val="center"/>
          </w:tcPr>
          <w:p>
            <w:pPr>
              <w:adjustRightInd w:val="0"/>
              <w:snapToGrid w:val="0"/>
              <w:spacing w:line="340" w:lineRule="exact"/>
              <w:ind w:firstLine="0" w:firstLineChars="0"/>
              <w:jc w:val="center"/>
              <w:rPr>
                <w:sz w:val="21"/>
                <w:szCs w:val="21"/>
              </w:rPr>
            </w:pPr>
            <w:r>
              <w:rPr>
                <w:sz w:val="21"/>
                <w:szCs w:val="21"/>
              </w:rPr>
              <w:t>3.820</w:t>
            </w:r>
          </w:p>
        </w:tc>
        <w:tc>
          <w:tcPr>
            <w:tcW w:w="536" w:type="pct"/>
            <w:vAlign w:val="center"/>
          </w:tcPr>
          <w:p>
            <w:pPr>
              <w:adjustRightInd w:val="0"/>
              <w:snapToGrid w:val="0"/>
              <w:spacing w:line="340" w:lineRule="exact"/>
              <w:ind w:firstLine="0" w:firstLineChars="0"/>
              <w:jc w:val="center"/>
              <w:rPr>
                <w:sz w:val="21"/>
                <w:szCs w:val="21"/>
              </w:rPr>
            </w:pPr>
            <w:r>
              <w:rPr>
                <w:sz w:val="21"/>
                <w:szCs w:val="21"/>
              </w:rPr>
              <w:t>4.222</w:t>
            </w:r>
          </w:p>
        </w:tc>
        <w:tc>
          <w:tcPr>
            <w:tcW w:w="536" w:type="pct"/>
            <w:vAlign w:val="center"/>
          </w:tcPr>
          <w:p>
            <w:pPr>
              <w:adjustRightInd w:val="0"/>
              <w:snapToGrid w:val="0"/>
              <w:spacing w:line="340" w:lineRule="exact"/>
              <w:ind w:firstLine="0" w:firstLineChars="0"/>
              <w:jc w:val="center"/>
              <w:rPr>
                <w:sz w:val="21"/>
                <w:szCs w:val="21"/>
              </w:rPr>
            </w:pPr>
            <w:r>
              <w:rPr>
                <w:sz w:val="21"/>
                <w:szCs w:val="21"/>
              </w:rPr>
              <w:t>4.624</w:t>
            </w:r>
          </w:p>
        </w:tc>
      </w:tr>
    </w:tbl>
    <w:p>
      <w:pPr>
        <w:autoSpaceDE w:val="0"/>
        <w:autoSpaceDN w:val="0"/>
        <w:adjustRightInd w:val="0"/>
        <w:spacing w:before="120" w:beforeLines="50"/>
        <w:ind w:firstLine="480"/>
        <w:rPr>
          <w:szCs w:val="24"/>
        </w:rPr>
      </w:pPr>
      <w:r>
        <w:rPr>
          <w:rFonts w:hint="eastAsia"/>
          <w:szCs w:val="24"/>
        </w:rPr>
        <w:t>由表</w:t>
      </w:r>
      <w:r>
        <w:rPr>
          <w:szCs w:val="24"/>
        </w:rPr>
        <w:t>5.5-1</w:t>
      </w:r>
      <w:r>
        <w:rPr>
          <w:rFonts w:hint="eastAsia"/>
          <w:szCs w:val="24"/>
        </w:rPr>
        <w:t>可知，粉尘的沉降速度随粒径的增大而迅速增大。当粒径为</w:t>
      </w:r>
      <w:r>
        <w:rPr>
          <w:szCs w:val="24"/>
        </w:rPr>
        <w:t>250mm</w:t>
      </w:r>
      <w:r>
        <w:rPr>
          <w:rFonts w:hint="eastAsia"/>
          <w:szCs w:val="24"/>
        </w:rPr>
        <w:t>时，沉降速度为</w:t>
      </w:r>
      <w:r>
        <w:rPr>
          <w:szCs w:val="24"/>
        </w:rPr>
        <w:t>1.005m/s</w:t>
      </w:r>
      <w:r>
        <w:rPr>
          <w:rFonts w:hint="eastAsia"/>
          <w:szCs w:val="24"/>
        </w:rPr>
        <w:t>，因此可以认为当尘粒大于</w:t>
      </w:r>
      <w:r>
        <w:rPr>
          <w:szCs w:val="24"/>
        </w:rPr>
        <w:t xml:space="preserve">250mm </w:t>
      </w:r>
      <w:r>
        <w:rPr>
          <w:rFonts w:hint="eastAsia"/>
          <w:szCs w:val="24"/>
        </w:rPr>
        <w:t>时，主要影响范围在扬尘点下风向近距离范围内，而真正对外环境产生影响的是一些微小粒径的粉尘。</w:t>
      </w:r>
    </w:p>
    <w:p>
      <w:pPr>
        <w:autoSpaceDE w:val="0"/>
        <w:autoSpaceDN w:val="0"/>
        <w:adjustRightInd w:val="0"/>
        <w:ind w:firstLine="480"/>
        <w:rPr>
          <w:szCs w:val="24"/>
        </w:rPr>
      </w:pPr>
      <w:r>
        <w:rPr>
          <w:rFonts w:hint="eastAsia"/>
          <w:szCs w:val="24"/>
        </w:rPr>
        <w:t>根据同类工程施工现场的扬尘监测资料作类比分析，施工区附近相距</w:t>
      </w:r>
      <w:r>
        <w:rPr>
          <w:szCs w:val="24"/>
        </w:rPr>
        <w:t>5m</w:t>
      </w:r>
      <w:r>
        <w:rPr>
          <w:rFonts w:hint="eastAsia"/>
          <w:szCs w:val="24"/>
        </w:rPr>
        <w:t>下风向</w:t>
      </w:r>
      <w:r>
        <w:rPr>
          <w:szCs w:val="24"/>
        </w:rPr>
        <w:t xml:space="preserve">TSP </w:t>
      </w:r>
      <w:r>
        <w:rPr>
          <w:rFonts w:hint="eastAsia"/>
          <w:szCs w:val="24"/>
        </w:rPr>
        <w:t>小时浓度为</w:t>
      </w:r>
      <w:r>
        <w:rPr>
          <w:szCs w:val="24"/>
        </w:rPr>
        <w:t>8.100mg/m</w:t>
      </w:r>
      <w:r>
        <w:rPr>
          <w:szCs w:val="24"/>
          <w:vertAlign w:val="superscript"/>
        </w:rPr>
        <w:t>3</w:t>
      </w:r>
      <w:r>
        <w:rPr>
          <w:rFonts w:hint="eastAsia"/>
          <w:szCs w:val="24"/>
        </w:rPr>
        <w:t>；相距</w:t>
      </w:r>
      <w:r>
        <w:rPr>
          <w:szCs w:val="24"/>
        </w:rPr>
        <w:t>100m</w:t>
      </w:r>
      <w:r>
        <w:rPr>
          <w:rFonts w:hint="eastAsia"/>
          <w:szCs w:val="24"/>
        </w:rPr>
        <w:t>处，浓度为</w:t>
      </w:r>
      <w:r>
        <w:rPr>
          <w:szCs w:val="24"/>
        </w:rPr>
        <w:t>1.65mg/m</w:t>
      </w:r>
      <w:r>
        <w:rPr>
          <w:szCs w:val="24"/>
          <w:vertAlign w:val="superscript"/>
        </w:rPr>
        <w:t>3</w:t>
      </w:r>
      <w:r>
        <w:rPr>
          <w:rFonts w:hint="eastAsia"/>
          <w:szCs w:val="24"/>
        </w:rPr>
        <w:t>；相距</w:t>
      </w:r>
      <w:r>
        <w:rPr>
          <w:szCs w:val="24"/>
        </w:rPr>
        <w:t>150m</w:t>
      </w:r>
      <w:r>
        <w:rPr>
          <w:rFonts w:hint="eastAsia"/>
          <w:szCs w:val="24"/>
        </w:rPr>
        <w:t>已基本无影响，当施工场地洒水频率为</w:t>
      </w:r>
      <w:r>
        <w:rPr>
          <w:szCs w:val="24"/>
        </w:rPr>
        <w:t>4</w:t>
      </w:r>
      <w:r>
        <w:rPr>
          <w:rFonts w:hint="eastAsia"/>
          <w:szCs w:val="24"/>
        </w:rPr>
        <w:t>～</w:t>
      </w:r>
      <w:r>
        <w:rPr>
          <w:szCs w:val="24"/>
        </w:rPr>
        <w:t xml:space="preserve">5 </w:t>
      </w:r>
      <w:r>
        <w:rPr>
          <w:rFonts w:hint="eastAsia"/>
          <w:szCs w:val="24"/>
        </w:rPr>
        <w:t>次</w:t>
      </w:r>
      <w:r>
        <w:rPr>
          <w:szCs w:val="24"/>
        </w:rPr>
        <w:t>/</w:t>
      </w:r>
      <w:r>
        <w:rPr>
          <w:rFonts w:hint="eastAsia"/>
          <w:szCs w:val="24"/>
        </w:rPr>
        <w:t>天时，扬尘造成的粉尘污染距离可缩小到</w:t>
      </w:r>
      <w:r>
        <w:rPr>
          <w:szCs w:val="24"/>
        </w:rPr>
        <w:t>20</w:t>
      </w:r>
      <w:r>
        <w:rPr>
          <w:rFonts w:hint="eastAsia"/>
          <w:szCs w:val="24"/>
        </w:rPr>
        <w:t>～</w:t>
      </w:r>
      <w:r>
        <w:rPr>
          <w:szCs w:val="24"/>
        </w:rPr>
        <w:t>50m</w:t>
      </w:r>
      <w:r>
        <w:rPr>
          <w:rFonts w:hint="eastAsia"/>
          <w:szCs w:val="24"/>
        </w:rPr>
        <w:t>范围内，降低扬尘量</w:t>
      </w:r>
      <w:r>
        <w:rPr>
          <w:szCs w:val="24"/>
        </w:rPr>
        <w:t>30%</w:t>
      </w:r>
      <w:r>
        <w:rPr>
          <w:rFonts w:hint="eastAsia"/>
          <w:szCs w:val="24"/>
        </w:rPr>
        <w:t>～</w:t>
      </w:r>
      <w:r>
        <w:rPr>
          <w:szCs w:val="24"/>
        </w:rPr>
        <w:t>80%</w:t>
      </w:r>
      <w:r>
        <w:rPr>
          <w:rFonts w:hint="eastAsia"/>
          <w:szCs w:val="24"/>
        </w:rPr>
        <w:t>。</w:t>
      </w:r>
    </w:p>
    <w:p>
      <w:pPr>
        <w:autoSpaceDE w:val="0"/>
        <w:autoSpaceDN w:val="0"/>
        <w:adjustRightInd w:val="0"/>
        <w:ind w:firstLine="480"/>
        <w:rPr>
          <w:szCs w:val="24"/>
        </w:rPr>
      </w:pPr>
      <w:r>
        <w:rPr>
          <w:rFonts w:hint="eastAsia"/>
          <w:szCs w:val="24"/>
        </w:rPr>
        <w:t>结合工程大气环境保护目标可知，工程施工区域渣场与最近的敏感点白溪距离为442m，且所有敏感点均位于主导风向上风向，因此施工对其影响相对较小；在采取洒水抑尘、水土保持措施情况下施工粉尘环境保护目标影响相对较小。</w:t>
      </w:r>
    </w:p>
    <w:p>
      <w:pPr>
        <w:ind w:firstLine="480"/>
      </w:pPr>
      <w:r>
        <w:rPr>
          <w:rFonts w:hint="eastAsia"/>
        </w:rPr>
        <w:t>(2)</w:t>
      </w:r>
      <w:r>
        <w:t>施工车辆行驶扬尘</w:t>
      </w:r>
    </w:p>
    <w:p>
      <w:pPr>
        <w:ind w:firstLine="480"/>
      </w:pPr>
      <w:r>
        <w:t>根据有关文献资料，施工过程中，车辆行驶产生的扬尘约占施工总扬尘量的60%以上。道路扬尘量与路面清洁程度、车速、载重量成正比，减少扬尘污染也需从这三项指标着手。施工过程中的运输量是相对恒定的，汽车的载重量和行车速度减少势必增加车辆数量，不能达到减低扬尘的目的，因此减少扬尘的唯一途径就是保持路面清洁，降低粉尘量。</w:t>
      </w:r>
    </w:p>
    <w:p>
      <w:pPr>
        <w:ind w:firstLine="480"/>
      </w:pPr>
      <w:r>
        <w:t>根据有关研究成果，如果施工阶段对车辆行驶路面勤洒水，每天4～5次，可使空气粉尘量减少70%左右，达到较好的降尘效果。此外，当施工场地洒水频率为4～5次/d时，扬尘造成的TSP污染距离可缩小到20～50m范围内。</w:t>
      </w:r>
    </w:p>
    <w:p>
      <w:pPr>
        <w:ind w:firstLine="480"/>
      </w:pPr>
      <w:r>
        <w:t>坝址两侧均有现有道路经过，对外交通可以利用现有道路，施工临时道路经过沿线，在采取洒水抑尘措施的条件下，车辆行驶扬尘对紧靠施工道路两侧的民居将产生轻微影响。</w:t>
      </w:r>
    </w:p>
    <w:p>
      <w:pPr>
        <w:pStyle w:val="835"/>
        <w:spacing w:before="0" w:line="360" w:lineRule="auto"/>
      </w:pPr>
      <w:bookmarkStart w:id="877" w:name="_Toc534807082"/>
      <w:bookmarkStart w:id="878" w:name="_Toc3903304"/>
      <w:bookmarkStart w:id="879" w:name="_Toc536265167"/>
      <w:bookmarkStart w:id="880" w:name="_Toc534895299"/>
      <w:r>
        <w:t>5.</w:t>
      </w:r>
      <w:r>
        <w:rPr>
          <w:rFonts w:hint="eastAsia"/>
        </w:rPr>
        <w:t>5</w:t>
      </w:r>
      <w:r>
        <w:t>.2施工废气的影响</w:t>
      </w:r>
      <w:bookmarkEnd w:id="877"/>
      <w:bookmarkEnd w:id="878"/>
      <w:bookmarkEnd w:id="879"/>
      <w:bookmarkEnd w:id="880"/>
    </w:p>
    <w:p>
      <w:pPr>
        <w:ind w:firstLine="480"/>
      </w:pPr>
      <w:bookmarkStart w:id="881" w:name="_Toc109205227"/>
      <w:r>
        <w:t>施工期废气污染物主要来自施工机械和车辆等燃油燃烧排放的废气、炸药爆炸废气。本项目建设工程所有施工机械主要以柴油为燃料，施工期环境空气污染物主要是施工机械设备燃油排出的</w:t>
      </w:r>
      <w:r>
        <w:rPr>
          <w:szCs w:val="24"/>
        </w:rPr>
        <w:t>CO、SO</w:t>
      </w:r>
      <w:r>
        <w:rPr>
          <w:szCs w:val="24"/>
          <w:vertAlign w:val="subscript"/>
        </w:rPr>
        <w:t>2</w:t>
      </w:r>
      <w:r>
        <w:rPr>
          <w:szCs w:val="24"/>
        </w:rPr>
        <w:t>、NO</w:t>
      </w:r>
      <w:r>
        <w:rPr>
          <w:szCs w:val="24"/>
          <w:vertAlign w:val="subscript"/>
        </w:rPr>
        <w:t>2</w:t>
      </w:r>
      <w:r>
        <w:t>等污染物。由于工程施工时间不长，施工机械数量有限，尾气排放量较小</w:t>
      </w:r>
      <w:r>
        <w:rPr>
          <w:kern w:val="0"/>
          <w:lang w:val="zh-CN"/>
        </w:rPr>
        <w:t>且呈面源污染形式，尾气扩散范围有限</w:t>
      </w:r>
      <w:r>
        <w:t>，施工机械设备施工作业时对环境空气的影响范围主要局限于施工区内。预计工程施工作业时对局地区域环境空气影响范围仅限于下风向20～30m范围内，不过这种影响时间短，并随施工的完成而消失。其余地区环境空气质量将维持现有水平，预计施工机械废气对环境空气影响小。</w:t>
      </w:r>
    </w:p>
    <w:bookmarkEnd w:id="881"/>
    <w:p>
      <w:pPr>
        <w:pStyle w:val="6"/>
        <w:spacing w:beforeLines="50" w:afterLines="50"/>
        <w:rPr>
          <w:b w:val="0"/>
          <w:szCs w:val="28"/>
        </w:rPr>
      </w:pPr>
      <w:bookmarkStart w:id="882" w:name="_Toc536265168"/>
      <w:bookmarkStart w:id="883" w:name="_Toc534807083"/>
      <w:bookmarkStart w:id="884" w:name="_Toc3903305"/>
      <w:bookmarkStart w:id="885" w:name="_Toc534386324"/>
      <w:bookmarkStart w:id="886" w:name="_Toc4522"/>
      <w:bookmarkStart w:id="887" w:name="_Toc534895300"/>
      <w:r>
        <w:rPr>
          <w:szCs w:val="28"/>
        </w:rPr>
        <w:t>5.</w:t>
      </w:r>
      <w:r>
        <w:rPr>
          <w:rFonts w:hint="eastAsia"/>
          <w:szCs w:val="28"/>
        </w:rPr>
        <w:t>6</w:t>
      </w:r>
      <w:r>
        <w:rPr>
          <w:szCs w:val="28"/>
        </w:rPr>
        <w:t>噪声环境影响评价</w:t>
      </w:r>
      <w:bookmarkEnd w:id="870"/>
      <w:bookmarkEnd w:id="882"/>
      <w:bookmarkEnd w:id="883"/>
      <w:bookmarkEnd w:id="884"/>
      <w:bookmarkEnd w:id="885"/>
      <w:bookmarkEnd w:id="886"/>
      <w:bookmarkEnd w:id="887"/>
    </w:p>
    <w:p>
      <w:pPr>
        <w:pStyle w:val="835"/>
        <w:spacing w:before="0" w:line="360" w:lineRule="auto"/>
      </w:pPr>
      <w:bookmarkStart w:id="888" w:name="_Toc529279072"/>
      <w:r>
        <w:rPr>
          <w:rFonts w:hint="eastAsia"/>
        </w:rPr>
        <w:t>5.6.1施工期场界噪声影响预测</w:t>
      </w:r>
    </w:p>
    <w:p>
      <w:pPr>
        <w:ind w:firstLine="480"/>
      </w:pPr>
      <w:r>
        <w:t>根据前述工程分析，项目对声环境的影响主要集中在施工期，运行期对声环境基本无影响，本次环评将重点对施工期声环境影响作预测及评价。</w:t>
      </w:r>
      <w:r>
        <w:rPr>
          <w:rFonts w:hint="eastAsia"/>
        </w:rPr>
        <w:t>工程施工期固定噪声源主要来自施工机械，如</w:t>
      </w:r>
      <w:r>
        <w:t>推土机、挖掘机、装卸机、钻机、</w:t>
      </w:r>
      <w:r>
        <w:rPr>
          <w:rFonts w:hint="eastAsia"/>
        </w:rPr>
        <w:t>空压机等，噪声级一般在86</w:t>
      </w:r>
      <w:r>
        <w:t>~1</w:t>
      </w:r>
      <w:r>
        <w:rPr>
          <w:rFonts w:hint="eastAsia"/>
        </w:rPr>
        <w:t>0</w:t>
      </w:r>
      <w:r>
        <w:t>0dB</w:t>
      </w:r>
      <w:r>
        <w:rPr>
          <w:rFonts w:hint="eastAsia"/>
        </w:rPr>
        <w:t>（</w:t>
      </w:r>
      <w:r>
        <w:t>A</w:t>
      </w:r>
      <w:r>
        <w:rPr>
          <w:rFonts w:hint="eastAsia"/>
        </w:rPr>
        <w:t>）之间；流动噪声源主要来自施工运输车辆，噪声级一般在88</w:t>
      </w:r>
      <w:r>
        <w:t>~90dB</w:t>
      </w:r>
      <w:r>
        <w:rPr>
          <w:rFonts w:hint="eastAsia"/>
        </w:rPr>
        <w:t>（</w:t>
      </w:r>
      <w:r>
        <w:t>A</w:t>
      </w:r>
      <w:r>
        <w:rPr>
          <w:rFonts w:hint="eastAsia"/>
        </w:rPr>
        <w:t>）之间。</w:t>
      </w:r>
    </w:p>
    <w:p>
      <w:pPr>
        <w:autoSpaceDE w:val="0"/>
        <w:autoSpaceDN w:val="0"/>
        <w:adjustRightInd w:val="0"/>
        <w:ind w:firstLine="480"/>
      </w:pPr>
      <w:r>
        <w:rPr>
          <w:rFonts w:hint="eastAsia"/>
        </w:rPr>
        <w:t>根据《环境影响评价技术导则声环境》（</w:t>
      </w:r>
      <w:r>
        <w:t>HJ2.4-2009</w:t>
      </w:r>
      <w:r>
        <w:rPr>
          <w:rFonts w:hint="eastAsia"/>
        </w:rPr>
        <w:t>），各类型噪声源计算公式如下：</w:t>
      </w:r>
    </w:p>
    <w:p>
      <w:pPr>
        <w:autoSpaceDE w:val="0"/>
        <w:autoSpaceDN w:val="0"/>
        <w:adjustRightInd w:val="0"/>
        <w:ind w:firstLine="480"/>
      </w:pPr>
      <w:r>
        <w:rPr>
          <w:rFonts w:hint="eastAsia"/>
        </w:rPr>
        <w:t>(1)固定源噪声预测模式</w:t>
      </w:r>
    </w:p>
    <w:p>
      <w:pPr>
        <w:autoSpaceDE w:val="0"/>
        <w:autoSpaceDN w:val="0"/>
        <w:adjustRightInd w:val="0"/>
        <w:ind w:firstLine="480"/>
      </w:pPr>
      <w:r>
        <w:rPr>
          <w:rFonts w:hint="eastAsia"/>
        </w:rPr>
        <w:t>固定源噪声预测模式采用点声源的几何发散衰减，其中无指向性点声源几何发散衰减的基本公式：</w:t>
      </w:r>
    </w:p>
    <w:bookmarkEnd w:id="888"/>
    <w:p>
      <w:pPr>
        <w:ind w:firstLine="0" w:firstLineChars="0"/>
        <w:jc w:val="center"/>
      </w:pPr>
      <w:r>
        <w:t>L</w:t>
      </w:r>
      <w:r>
        <w:rPr>
          <w:vertAlign w:val="subscript"/>
        </w:rPr>
        <w:t>A</w:t>
      </w:r>
      <w:r>
        <w:t>（r）=L</w:t>
      </w:r>
      <w:r>
        <w:rPr>
          <w:vertAlign w:val="subscript"/>
        </w:rPr>
        <w:t>A</w:t>
      </w:r>
      <w:r>
        <w:t>（r</w:t>
      </w:r>
      <w:r>
        <w:rPr>
          <w:vertAlign w:val="subscript"/>
        </w:rPr>
        <w:t>0</w:t>
      </w:r>
      <w:r>
        <w:t>）-20lg（r/r</w:t>
      </w:r>
      <w:r>
        <w:rPr>
          <w:vertAlign w:val="subscript"/>
        </w:rPr>
        <w:t>0</w:t>
      </w:r>
      <w:r>
        <w:t>）</w:t>
      </w:r>
    </w:p>
    <w:p>
      <w:pPr>
        <w:ind w:firstLine="480"/>
      </w:pPr>
      <w:r>
        <w:t>式中：L</w:t>
      </w:r>
      <w:r>
        <w:rPr>
          <w:vertAlign w:val="subscript"/>
        </w:rPr>
        <w:t>A</w:t>
      </w:r>
      <w:r>
        <w:t>（r）—距离声源r处的A声级，dB(A)；</w:t>
      </w:r>
    </w:p>
    <w:p>
      <w:pPr>
        <w:ind w:firstLine="1200" w:firstLineChars="500"/>
      </w:pPr>
      <w:r>
        <w:t>L</w:t>
      </w:r>
      <w:r>
        <w:rPr>
          <w:vertAlign w:val="subscript"/>
        </w:rPr>
        <w:t>A</w:t>
      </w:r>
      <w:r>
        <w:t>（r</w:t>
      </w:r>
      <w:r>
        <w:rPr>
          <w:vertAlign w:val="subscript"/>
        </w:rPr>
        <w:t>0</w:t>
      </w:r>
      <w:r>
        <w:t>）—参考位置r</w:t>
      </w:r>
      <w:r>
        <w:rPr>
          <w:vertAlign w:val="subscript"/>
        </w:rPr>
        <w:t>0</w:t>
      </w:r>
      <w:r>
        <w:t>处的A声级，dB(A)；</w:t>
      </w:r>
    </w:p>
    <w:p>
      <w:pPr>
        <w:ind w:firstLine="1200" w:firstLineChars="500"/>
      </w:pPr>
      <w:r>
        <w:t>r、r</w:t>
      </w:r>
      <w:r>
        <w:rPr>
          <w:vertAlign w:val="subscript"/>
        </w:rPr>
        <w:t>0</w:t>
      </w:r>
      <w:r>
        <w:t>—均为接受点距声源的距离，m。</w:t>
      </w:r>
    </w:p>
    <w:p>
      <w:pPr>
        <w:autoSpaceDE w:val="0"/>
        <w:autoSpaceDN w:val="0"/>
        <w:adjustRightInd w:val="0"/>
        <w:ind w:firstLine="480"/>
      </w:pPr>
      <w:r>
        <w:rPr>
          <w:rFonts w:hint="eastAsia"/>
        </w:rPr>
        <w:t>(2)施工厂界噪声影响</w:t>
      </w:r>
    </w:p>
    <w:p>
      <w:pPr>
        <w:autoSpaceDE w:val="0"/>
        <w:autoSpaceDN w:val="0"/>
        <w:adjustRightInd w:val="0"/>
        <w:ind w:firstLine="480"/>
      </w:pPr>
      <w:r>
        <w:rPr>
          <w:rFonts w:hint="eastAsia"/>
        </w:rPr>
        <w:t>经模式计算，主要施工机械在不同施工阶段、不同距离处的噪声贡献值见表</w:t>
      </w:r>
      <w:r>
        <w:t>5.</w:t>
      </w:r>
      <w:r>
        <w:rPr>
          <w:rFonts w:hint="eastAsia"/>
        </w:rPr>
        <w:t>6</w:t>
      </w:r>
      <w:r>
        <w:t>-</w:t>
      </w:r>
      <w:r>
        <w:rPr>
          <w:rFonts w:hint="eastAsia"/>
        </w:rPr>
        <w:t>1。</w:t>
      </w:r>
    </w:p>
    <w:p>
      <w:pPr>
        <w:keepNext w:val="0"/>
        <w:keepLines w:val="0"/>
        <w:pageBreakBefore w:val="0"/>
        <w:widowControl w:val="0"/>
        <w:kinsoku/>
        <w:wordWrap/>
        <w:overflowPunct/>
        <w:topLinePunct w:val="0"/>
        <w:autoSpaceDE/>
        <w:autoSpaceDN/>
        <w:bidi w:val="0"/>
        <w:adjustRightInd/>
        <w:snapToGrid/>
        <w:spacing w:before="120" w:beforeLines="50" w:line="240" w:lineRule="auto"/>
        <w:ind w:firstLine="480"/>
        <w:jc w:val="center"/>
        <w:textAlignment w:val="auto"/>
        <w:rPr>
          <w:rFonts w:ascii="黑体" w:hAnsi="黑体" w:eastAsia="黑体" w:cs="黑体"/>
          <w:szCs w:val="24"/>
        </w:rPr>
      </w:pPr>
      <w:r>
        <w:rPr>
          <w:rFonts w:hint="eastAsia" w:ascii="黑体" w:hAnsi="黑体" w:eastAsia="黑体" w:cs="黑体"/>
          <w:szCs w:val="24"/>
        </w:rPr>
        <w:t>表5.6-1 主要施工机械不同距离处的噪声预测值</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88"/>
        <w:gridCol w:w="593"/>
        <w:gridCol w:w="399"/>
        <w:gridCol w:w="597"/>
        <w:gridCol w:w="597"/>
        <w:gridCol w:w="597"/>
        <w:gridCol w:w="728"/>
        <w:gridCol w:w="728"/>
        <w:gridCol w:w="728"/>
        <w:gridCol w:w="728"/>
        <w:gridCol w:w="732"/>
        <w:gridCol w:w="593"/>
        <w:gridCol w:w="625"/>
        <w:gridCol w:w="7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Merge w:val="restar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噪声源</w:t>
            </w:r>
          </w:p>
        </w:tc>
        <w:tc>
          <w:tcPr>
            <w:tcW w:w="315" w:type="pct"/>
            <w:vMerge w:val="restar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源强</w:t>
            </w:r>
          </w:p>
          <w:p>
            <w:pPr>
              <w:autoSpaceDE w:val="0"/>
              <w:autoSpaceDN w:val="0"/>
              <w:adjustRightInd w:val="0"/>
              <w:spacing w:line="340" w:lineRule="exact"/>
              <w:ind w:firstLine="0" w:firstLineChars="0"/>
              <w:jc w:val="center"/>
              <w:rPr>
                <w:kern w:val="0"/>
                <w:sz w:val="21"/>
                <w:szCs w:val="21"/>
              </w:rPr>
            </w:pPr>
            <w:r>
              <w:rPr>
                <w:kern w:val="0"/>
                <w:sz w:val="21"/>
                <w:szCs w:val="21"/>
              </w:rPr>
              <w:t>dB(A)</w:t>
            </w:r>
          </w:p>
        </w:tc>
        <w:tc>
          <w:tcPr>
            <w:tcW w:w="3100" w:type="pct"/>
            <w:gridSpan w:val="9"/>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与声源不同距离的噪声值</w:t>
            </w:r>
            <w:r>
              <w:rPr>
                <w:kern w:val="0"/>
                <w:sz w:val="21"/>
                <w:szCs w:val="21"/>
              </w:rPr>
              <w:t>dB(A)</w:t>
            </w:r>
          </w:p>
        </w:tc>
        <w:tc>
          <w:tcPr>
            <w:tcW w:w="315" w:type="pct"/>
            <w:vMerge w:val="restar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标准</w:t>
            </w:r>
          </w:p>
          <w:p>
            <w:pPr>
              <w:autoSpaceDE w:val="0"/>
              <w:autoSpaceDN w:val="0"/>
              <w:adjustRightInd w:val="0"/>
              <w:spacing w:line="340" w:lineRule="exact"/>
              <w:ind w:firstLine="0" w:firstLineChars="0"/>
              <w:jc w:val="center"/>
              <w:rPr>
                <w:kern w:val="0"/>
                <w:sz w:val="21"/>
                <w:szCs w:val="21"/>
              </w:rPr>
            </w:pPr>
            <w:r>
              <w:rPr>
                <w:kern w:val="0"/>
                <w:sz w:val="21"/>
                <w:szCs w:val="21"/>
              </w:rPr>
              <w:t>dB(A)</w:t>
            </w:r>
          </w:p>
        </w:tc>
        <w:tc>
          <w:tcPr>
            <w:tcW w:w="745" w:type="pct"/>
            <w:gridSpan w:val="2"/>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达标距离（</w:t>
            </w:r>
            <w:r>
              <w:rPr>
                <w:kern w:val="0"/>
                <w:sz w:val="21"/>
                <w:szCs w:val="21"/>
              </w:rPr>
              <w:t>m</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5m</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 m</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20 m</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50 m</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100 m</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150 m</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200 m</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300 m</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500 m</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昼间</w:t>
            </w:r>
          </w:p>
        </w:tc>
        <w:tc>
          <w:tcPr>
            <w:tcW w:w="413"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挖掘机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84</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70</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58</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50</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40</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38</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34</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30</w:t>
            </w:r>
          </w:p>
        </w:tc>
        <w:tc>
          <w:tcPr>
            <w:tcW w:w="315" w:type="pct"/>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昼</w:t>
            </w:r>
            <w:r>
              <w:rPr>
                <w:kern w:val="0"/>
                <w:sz w:val="21"/>
                <w:szCs w:val="21"/>
              </w:rPr>
              <w:t>70</w:t>
            </w:r>
          </w:p>
          <w:p>
            <w:pPr>
              <w:autoSpaceDE w:val="0"/>
              <w:autoSpaceDN w:val="0"/>
              <w:adjustRightInd w:val="0"/>
              <w:spacing w:line="340" w:lineRule="exact"/>
              <w:ind w:firstLine="0" w:firstLineChars="0"/>
              <w:jc w:val="center"/>
              <w:rPr>
                <w:kern w:val="0"/>
                <w:sz w:val="21"/>
                <w:szCs w:val="21"/>
              </w:rPr>
            </w:pPr>
            <w:r>
              <w:rPr>
                <w:rFonts w:hint="eastAsia"/>
                <w:kern w:val="0"/>
                <w:sz w:val="21"/>
                <w:szCs w:val="21"/>
              </w:rPr>
              <w:t>夜</w:t>
            </w:r>
            <w:r>
              <w:rPr>
                <w:kern w:val="0"/>
                <w:sz w:val="21"/>
                <w:szCs w:val="21"/>
              </w:rPr>
              <w:t>55</w:t>
            </w: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5.0</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推土机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86</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72</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66</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60</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46</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40</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36</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32</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6.3</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钻机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90</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85</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73</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53</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45</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28.2</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起重机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93</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73</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67</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53</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47</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43</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39</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14.1</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卷扬机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88</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68</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62</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48</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38</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34</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锻钎机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88</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68</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62</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48</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38</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34</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切断机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95</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81</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75</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61</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51</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45</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41</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17.8</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切割机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100</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86</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80</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66</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60</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56</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50</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46</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31.6</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177.8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sz w:val="21"/>
                <w:szCs w:val="21"/>
              </w:rPr>
            </w:pPr>
            <w:r>
              <w:rPr>
                <w:rFonts w:hAnsi="宋体"/>
                <w:sz w:val="21"/>
                <w:szCs w:val="21"/>
              </w:rPr>
              <w:t>潜水泵</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90</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85</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73</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53</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45</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28.2</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sz w:val="21"/>
                <w:szCs w:val="21"/>
              </w:rPr>
            </w:pPr>
            <w:r>
              <w:rPr>
                <w:rFonts w:hAnsi="宋体"/>
                <w:kern w:val="0"/>
                <w:sz w:val="21"/>
                <w:szCs w:val="21"/>
              </w:rPr>
              <w:t>空压机</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95</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81</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75</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61</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51</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45</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41</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17.8</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kern w:val="0"/>
                <w:sz w:val="21"/>
                <w:szCs w:val="21"/>
              </w:rPr>
              <w:t>载重汽车</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88</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68</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62</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48</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38</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34</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kern w:val="0"/>
                <w:sz w:val="21"/>
                <w:szCs w:val="21"/>
              </w:rPr>
            </w:pPr>
            <w:r>
              <w:rPr>
                <w:rFonts w:hAnsi="宋体"/>
                <w:sz w:val="21"/>
                <w:szCs w:val="21"/>
              </w:rPr>
              <w:t>自卸汽车</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88</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74</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68</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62</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48</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42</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38</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34</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525" w:type="pct"/>
            <w:vAlign w:val="center"/>
          </w:tcPr>
          <w:p>
            <w:pPr>
              <w:autoSpaceDE w:val="0"/>
              <w:autoSpaceDN w:val="0"/>
              <w:adjustRightInd w:val="0"/>
              <w:spacing w:line="340" w:lineRule="exact"/>
              <w:ind w:firstLine="0" w:firstLineChars="0"/>
              <w:jc w:val="center"/>
              <w:rPr>
                <w:sz w:val="21"/>
                <w:szCs w:val="21"/>
              </w:rPr>
            </w:pPr>
            <w:r>
              <w:rPr>
                <w:rFonts w:hAnsi="宋体"/>
                <w:sz w:val="21"/>
                <w:szCs w:val="21"/>
              </w:rPr>
              <w:t>平板车</w:t>
            </w:r>
          </w:p>
        </w:tc>
        <w:tc>
          <w:tcPr>
            <w:tcW w:w="315"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90</w:t>
            </w:r>
          </w:p>
        </w:tc>
        <w:tc>
          <w:tcPr>
            <w:tcW w:w="21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85</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79</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73</w:t>
            </w:r>
          </w:p>
        </w:tc>
        <w:tc>
          <w:tcPr>
            <w:tcW w:w="31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59</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55</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53</w:t>
            </w:r>
          </w:p>
        </w:tc>
        <w:tc>
          <w:tcPr>
            <w:tcW w:w="38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49</w:t>
            </w:r>
          </w:p>
        </w:tc>
        <w:tc>
          <w:tcPr>
            <w:tcW w:w="3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45</w:t>
            </w:r>
          </w:p>
        </w:tc>
        <w:tc>
          <w:tcPr>
            <w:tcW w:w="315"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332"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28.2</w:t>
            </w:r>
          </w:p>
        </w:tc>
        <w:tc>
          <w:tcPr>
            <w:tcW w:w="413"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158.5</w:t>
            </w:r>
          </w:p>
        </w:tc>
      </w:tr>
    </w:tbl>
    <w:p>
      <w:pPr>
        <w:autoSpaceDE w:val="0"/>
        <w:autoSpaceDN w:val="0"/>
        <w:adjustRightInd w:val="0"/>
        <w:ind w:firstLine="480"/>
      </w:pPr>
      <w:r>
        <w:rPr>
          <w:rFonts w:hint="eastAsia"/>
        </w:rPr>
        <w:t>(3)施工场界噪声影响分析</w:t>
      </w:r>
    </w:p>
    <w:p>
      <w:pPr>
        <w:autoSpaceDE w:val="0"/>
        <w:autoSpaceDN w:val="0"/>
        <w:adjustRightInd w:val="0"/>
        <w:ind w:firstLine="480"/>
      </w:pPr>
      <w:r>
        <w:rPr>
          <w:rFonts w:hint="eastAsia"/>
        </w:rPr>
        <w:t>由表</w:t>
      </w:r>
      <w:r>
        <w:t>5.</w:t>
      </w:r>
      <w:r>
        <w:rPr>
          <w:rFonts w:hint="eastAsia"/>
        </w:rPr>
        <w:t>6</w:t>
      </w:r>
      <w:r>
        <w:t>-</w:t>
      </w:r>
      <w:r>
        <w:rPr>
          <w:rFonts w:hint="eastAsia"/>
        </w:rPr>
        <w:t>1可知，施工机械按照《建筑施工场界环境噪声排放标准》（</w:t>
      </w:r>
      <w:r>
        <w:t>GB12523-2011</w:t>
      </w:r>
      <w:r>
        <w:rPr>
          <w:rFonts w:hint="eastAsia"/>
        </w:rPr>
        <w:t>）昼间</w:t>
      </w:r>
      <w:r>
        <w:t>70dB</w:t>
      </w:r>
      <w:r>
        <w:rPr>
          <w:rFonts w:hint="eastAsia"/>
        </w:rPr>
        <w:t>（</w:t>
      </w:r>
      <w:r>
        <w:t>A</w:t>
      </w:r>
      <w:r>
        <w:rPr>
          <w:rFonts w:hint="eastAsia"/>
        </w:rPr>
        <w:t>）和夜间</w:t>
      </w:r>
      <w:r>
        <w:t>55dB</w:t>
      </w:r>
      <w:r>
        <w:rPr>
          <w:rFonts w:hint="eastAsia"/>
        </w:rPr>
        <w:t>（</w:t>
      </w:r>
      <w:r>
        <w:t>A</w:t>
      </w:r>
      <w:r>
        <w:rPr>
          <w:rFonts w:hint="eastAsia"/>
        </w:rPr>
        <w:t>）的要求，在噪声不叠加、不考虑衰减，只考虑机械噪声持续排放的情况下，昼间距施工现场</w:t>
      </w:r>
      <w:r>
        <w:t>32m</w:t>
      </w:r>
      <w:r>
        <w:rPr>
          <w:rFonts w:hint="eastAsia"/>
        </w:rPr>
        <w:t>处可达到施工场界噪声限值要求，夜间需</w:t>
      </w:r>
      <w:r>
        <w:t>178m</w:t>
      </w:r>
      <w:r>
        <w:rPr>
          <w:rFonts w:hint="eastAsia"/>
        </w:rPr>
        <w:t>衰减方可达标。</w:t>
      </w:r>
    </w:p>
    <w:p>
      <w:pPr>
        <w:autoSpaceDE w:val="0"/>
        <w:autoSpaceDN w:val="0"/>
        <w:adjustRightInd w:val="0"/>
        <w:ind w:firstLine="480"/>
      </w:pPr>
      <w:r>
        <w:rPr>
          <w:rFonts w:hint="eastAsia"/>
        </w:rPr>
        <w:t>在各施工点噪声预测过程中采用常用机械进行噪声叠加，多声源对预测点的贡献值叠加公式如下：</w:t>
      </w:r>
    </w:p>
    <w:p>
      <w:pPr>
        <w:ind w:firstLine="0" w:firstLineChars="0"/>
        <w:jc w:val="center"/>
      </w:pPr>
      <w:r>
        <w:drawing>
          <wp:inline distT="0" distB="0" distL="114300" distR="114300">
            <wp:extent cx="1743075" cy="447675"/>
            <wp:effectExtent l="0" t="0" r="0"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80"/>
                    <a:stretch>
                      <a:fillRect/>
                    </a:stretch>
                  </pic:blipFill>
                  <pic:spPr>
                    <a:xfrm>
                      <a:off x="0" y="0"/>
                      <a:ext cx="1743075" cy="447675"/>
                    </a:xfrm>
                    <a:prstGeom prst="rect">
                      <a:avLst/>
                    </a:prstGeom>
                    <a:noFill/>
                    <a:ln>
                      <a:noFill/>
                    </a:ln>
                  </pic:spPr>
                </pic:pic>
              </a:graphicData>
            </a:graphic>
          </wp:inline>
        </w:drawing>
      </w:r>
    </w:p>
    <w:p>
      <w:pPr>
        <w:ind w:firstLine="480"/>
      </w:pPr>
      <w:r>
        <w:t>式中：L</w:t>
      </w:r>
      <w:r>
        <w:rPr>
          <w:vertAlign w:val="subscript"/>
        </w:rPr>
        <w:t>eqg</w:t>
      </w:r>
      <w:r>
        <w:t>—建设项目声源在预测点的等效声级贡献值，dB(A)；</w:t>
      </w:r>
    </w:p>
    <w:p>
      <w:pPr>
        <w:ind w:firstLine="1200" w:firstLineChars="500"/>
      </w:pPr>
      <w:r>
        <w:t>L</w:t>
      </w:r>
      <w:r>
        <w:rPr>
          <w:vertAlign w:val="subscript"/>
        </w:rPr>
        <w:t>Ai</w:t>
      </w:r>
      <w:r>
        <w:t>—i声源在预测点产生的A声级，dB(A)；</w:t>
      </w:r>
    </w:p>
    <w:p>
      <w:pPr>
        <w:ind w:firstLine="1200" w:firstLineChars="500"/>
      </w:pPr>
      <w:r>
        <w:t>t</w:t>
      </w:r>
      <w:r>
        <w:rPr>
          <w:vertAlign w:val="subscript"/>
        </w:rPr>
        <w:t>i</w:t>
      </w:r>
      <w:r>
        <w:t>—i声源在T时段内的运行时间，s。</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工程枢纽区主要考虑挖掘机、推土机、自卸汽车、钻机、空压机等施工机械的噪声影响，其中挖掘机、推土机、自卸汽车、空压机、钻机使用频率最高，考虑这5种机械声源叠加影响；</w:t>
      </w:r>
      <w:r>
        <w:t xml:space="preserve"> </w:t>
      </w:r>
    </w:p>
    <w:p>
      <w:pPr>
        <w:autoSpaceDE w:val="0"/>
        <w:autoSpaceDN w:val="0"/>
        <w:adjustRightInd w:val="0"/>
        <w:ind w:firstLine="480"/>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综合加工厂内常用主要机械设备是钢筋切断机、电焊切割机。</w:t>
      </w:r>
    </w:p>
    <w:p>
      <w:pPr>
        <w:autoSpaceDE w:val="0"/>
        <w:autoSpaceDN w:val="0"/>
        <w:adjustRightIn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料场主要考虑挖掘机、推土机、自卸汽车等施工机械的噪声影响，同时考虑这3种机械声源叠加影响。</w:t>
      </w:r>
    </w:p>
    <w:p>
      <w:pPr>
        <w:keepNext w:val="0"/>
        <w:keepLines w:val="0"/>
        <w:pageBreakBefore w:val="0"/>
        <w:widowControl w:val="0"/>
        <w:kinsoku/>
        <w:wordWrap/>
        <w:overflowPunct/>
        <w:topLinePunct w:val="0"/>
        <w:autoSpaceDE/>
        <w:autoSpaceDN/>
        <w:bidi w:val="0"/>
        <w:adjustRightInd/>
        <w:snapToGrid/>
        <w:spacing w:before="120" w:beforeLines="50" w:line="240" w:lineRule="auto"/>
        <w:ind w:firstLine="199" w:firstLineChars="83"/>
        <w:jc w:val="center"/>
        <w:textAlignment w:val="auto"/>
        <w:rPr>
          <w:rFonts w:hint="eastAsia" w:ascii="黑体" w:hAnsi="黑体" w:eastAsia="黑体" w:cs="黑体"/>
        </w:rPr>
      </w:pPr>
      <w:r>
        <w:rPr>
          <w:rFonts w:hint="eastAsia" w:ascii="黑体" w:hAnsi="黑体" w:eastAsia="黑体" w:cs="黑体"/>
        </w:rPr>
        <w:t>表5.6-2  各施工阶段联合施工设备噪声源强一览表</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1702"/>
        <w:gridCol w:w="2220"/>
        <w:gridCol w:w="2111"/>
        <w:gridCol w:w="20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6" w:type="pct"/>
            <w:gridSpan w:val="2"/>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噪声源</w:t>
            </w:r>
          </w:p>
        </w:tc>
        <w:tc>
          <w:tcPr>
            <w:tcW w:w="1160" w:type="pct"/>
            <w:vMerge w:val="restart"/>
            <w:vAlign w:val="center"/>
          </w:tcPr>
          <w:p>
            <w:pPr>
              <w:autoSpaceDE w:val="0"/>
              <w:autoSpaceDN w:val="0"/>
              <w:adjustRightInd w:val="0"/>
              <w:spacing w:line="340" w:lineRule="exact"/>
              <w:ind w:firstLine="0" w:firstLineChars="0"/>
              <w:jc w:val="center"/>
              <w:rPr>
                <w:kern w:val="0"/>
                <w:sz w:val="21"/>
                <w:szCs w:val="21"/>
              </w:rPr>
            </w:pPr>
            <w:r>
              <w:rPr>
                <w:sz w:val="21"/>
                <w:szCs w:val="21"/>
              </w:rPr>
              <w:t>测点与声源距离（m）</w:t>
            </w:r>
          </w:p>
        </w:tc>
        <w:tc>
          <w:tcPr>
            <w:tcW w:w="1103" w:type="pct"/>
            <w:vMerge w:val="restar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源强</w:t>
            </w:r>
            <w:r>
              <w:rPr>
                <w:kern w:val="0"/>
                <w:sz w:val="21"/>
                <w:szCs w:val="21"/>
              </w:rPr>
              <w:t>dB(A)</w:t>
            </w:r>
          </w:p>
        </w:tc>
        <w:tc>
          <w:tcPr>
            <w:tcW w:w="1051" w:type="pct"/>
            <w:vMerge w:val="restar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sz w:val="21"/>
                <w:szCs w:val="21"/>
              </w:rPr>
              <w:t>联合噪声值（dB (A)）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86" w:type="pct"/>
            <w:gridSpan w:val="2"/>
            <w:vMerge w:val="continue"/>
            <w:vAlign w:val="center"/>
          </w:tcPr>
          <w:p>
            <w:pPr>
              <w:autoSpaceDE w:val="0"/>
              <w:autoSpaceDN w:val="0"/>
              <w:adjustRightInd w:val="0"/>
              <w:spacing w:line="340" w:lineRule="exact"/>
              <w:ind w:firstLine="0" w:firstLineChars="0"/>
              <w:jc w:val="center"/>
              <w:rPr>
                <w:kern w:val="0"/>
                <w:sz w:val="21"/>
                <w:szCs w:val="21"/>
              </w:rPr>
            </w:pPr>
          </w:p>
        </w:tc>
        <w:tc>
          <w:tcPr>
            <w:tcW w:w="1160"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1103" w:type="pct"/>
            <w:vMerge w:val="continue"/>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工程枢纽区</w:t>
            </w: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挖掘机</w:t>
            </w:r>
          </w:p>
        </w:tc>
        <w:tc>
          <w:tcPr>
            <w:tcW w:w="116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84</w:t>
            </w:r>
          </w:p>
        </w:tc>
        <w:tc>
          <w:tcPr>
            <w:tcW w:w="1051" w:type="pct"/>
            <w:vMerge w:val="restar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推土机</w:t>
            </w:r>
          </w:p>
        </w:tc>
        <w:tc>
          <w:tcPr>
            <w:tcW w:w="1160" w:type="pct"/>
            <w:vAlign w:val="center"/>
          </w:tcPr>
          <w:p>
            <w:pPr>
              <w:ind w:left="0" w:leftChars="0" w:firstLine="0" w:firstLineChars="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86</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自卸汽车</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88</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钻机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95</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空压机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95</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综合</w:t>
            </w:r>
          </w:p>
          <w:p>
            <w:pPr>
              <w:autoSpaceDE w:val="0"/>
              <w:autoSpaceDN w:val="0"/>
              <w:adjustRightInd w:val="0"/>
              <w:spacing w:line="340" w:lineRule="exact"/>
              <w:ind w:firstLine="0" w:firstLineChars="0"/>
              <w:jc w:val="center"/>
              <w:rPr>
                <w:kern w:val="0"/>
                <w:sz w:val="21"/>
                <w:szCs w:val="21"/>
              </w:rPr>
            </w:pPr>
            <w:r>
              <w:rPr>
                <w:rFonts w:hint="eastAsia"/>
                <w:kern w:val="0"/>
                <w:sz w:val="21"/>
                <w:szCs w:val="21"/>
              </w:rPr>
              <w:t>加工厂</w:t>
            </w:r>
          </w:p>
        </w:tc>
        <w:tc>
          <w:tcPr>
            <w:tcW w:w="8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切断机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kern w:val="0"/>
                <w:sz w:val="21"/>
                <w:szCs w:val="21"/>
              </w:rPr>
              <w:t>95</w:t>
            </w:r>
          </w:p>
        </w:tc>
        <w:tc>
          <w:tcPr>
            <w:tcW w:w="1051" w:type="pct"/>
            <w:vMerge w:val="restar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切割机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kern w:val="0"/>
                <w:sz w:val="21"/>
                <w:szCs w:val="21"/>
              </w:rPr>
              <w:t>100</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料场</w:t>
            </w: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挖掘机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84</w:t>
            </w:r>
          </w:p>
        </w:tc>
        <w:tc>
          <w:tcPr>
            <w:tcW w:w="1051" w:type="pct"/>
            <w:vMerge w:val="restar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推土机</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86</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88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自卸汽车</w:t>
            </w:r>
          </w:p>
        </w:tc>
        <w:tc>
          <w:tcPr>
            <w:tcW w:w="1160" w:type="pct"/>
            <w:vAlign w:val="center"/>
          </w:tcPr>
          <w:p>
            <w:pPr>
              <w:ind w:firstLine="420"/>
              <w:jc w:val="center"/>
            </w:pPr>
            <w:r>
              <w:rPr>
                <w:rFonts w:hint="eastAsia"/>
                <w:kern w:val="0"/>
                <w:sz w:val="21"/>
                <w:szCs w:val="21"/>
              </w:rPr>
              <w:t>1</w:t>
            </w:r>
          </w:p>
        </w:tc>
        <w:tc>
          <w:tcPr>
            <w:tcW w:w="1103" w:type="pct"/>
            <w:tcBorders>
              <w:righ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88</w:t>
            </w:r>
          </w:p>
        </w:tc>
        <w:tc>
          <w:tcPr>
            <w:tcW w:w="1051"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r>
    </w:tbl>
    <w:p>
      <w:pPr>
        <w:autoSpaceDE w:val="0"/>
        <w:autoSpaceDN w:val="0"/>
        <w:adjustRightInd w:val="0"/>
        <w:ind w:firstLine="480"/>
      </w:pPr>
      <w:r>
        <w:rPr>
          <w:rFonts w:hint="eastAsia"/>
        </w:rPr>
        <w:t>各施工场界固定连续噪声点源叠加预测结果见表</w:t>
      </w:r>
      <w:r>
        <w:t>5.</w:t>
      </w:r>
      <w:r>
        <w:rPr>
          <w:rFonts w:hint="eastAsia"/>
        </w:rPr>
        <w:t>6</w:t>
      </w:r>
      <w:r>
        <w:t>-</w:t>
      </w:r>
      <w:r>
        <w:rPr>
          <w:rFonts w:hint="eastAsia"/>
        </w:rPr>
        <w:t>3。</w:t>
      </w:r>
    </w:p>
    <w:p>
      <w:pPr>
        <w:autoSpaceDE w:val="0"/>
        <w:autoSpaceDN w:val="0"/>
        <w:adjustRightInd w:val="0"/>
        <w:spacing w:line="240" w:lineRule="auto"/>
        <w:ind w:firstLine="0" w:firstLineChars="0"/>
        <w:jc w:val="center"/>
        <w:rPr>
          <w:rFonts w:eastAsia="黑体"/>
          <w:sz w:val="26"/>
          <w:szCs w:val="26"/>
        </w:rPr>
      </w:pPr>
      <w:r>
        <w:rPr>
          <w:rFonts w:hint="eastAsia" w:eastAsia="黑体"/>
          <w:sz w:val="26"/>
          <w:szCs w:val="26"/>
        </w:rPr>
        <w:t>表</w:t>
      </w:r>
      <w:r>
        <w:rPr>
          <w:rFonts w:eastAsia="黑体"/>
          <w:sz w:val="26"/>
          <w:szCs w:val="26"/>
        </w:rPr>
        <w:t>5.</w:t>
      </w:r>
      <w:r>
        <w:rPr>
          <w:rFonts w:hint="eastAsia" w:eastAsia="黑体"/>
          <w:sz w:val="26"/>
          <w:szCs w:val="26"/>
        </w:rPr>
        <w:t>6</w:t>
      </w:r>
      <w:r>
        <w:rPr>
          <w:rFonts w:eastAsia="黑体"/>
          <w:sz w:val="26"/>
          <w:szCs w:val="26"/>
        </w:rPr>
        <w:t>-</w:t>
      </w:r>
      <w:r>
        <w:rPr>
          <w:rFonts w:hint="eastAsia" w:eastAsia="黑体"/>
          <w:sz w:val="26"/>
          <w:szCs w:val="26"/>
        </w:rPr>
        <w:t>3</w:t>
      </w:r>
      <w:r>
        <w:rPr>
          <w:rFonts w:eastAsia="黑体"/>
          <w:sz w:val="26"/>
          <w:szCs w:val="26"/>
        </w:rPr>
        <w:t xml:space="preserve"> </w:t>
      </w:r>
      <w:r>
        <w:rPr>
          <w:rFonts w:hint="eastAsia" w:eastAsia="黑体"/>
          <w:sz w:val="26"/>
          <w:szCs w:val="26"/>
        </w:rPr>
        <w:t>各施工场界固定连续噪声点源预测值</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82"/>
        <w:gridCol w:w="1045"/>
        <w:gridCol w:w="562"/>
        <w:gridCol w:w="543"/>
        <w:gridCol w:w="519"/>
        <w:gridCol w:w="828"/>
        <w:gridCol w:w="615"/>
        <w:gridCol w:w="644"/>
        <w:gridCol w:w="631"/>
        <w:gridCol w:w="593"/>
        <w:gridCol w:w="625"/>
        <w:gridCol w:w="998"/>
        <w:gridCol w:w="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66" w:type="pct"/>
            <w:vMerge w:val="restar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噪声源</w:t>
            </w:r>
          </w:p>
        </w:tc>
        <w:tc>
          <w:tcPr>
            <w:tcW w:w="552" w:type="pct"/>
            <w:vMerge w:val="restar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sz w:val="21"/>
                <w:szCs w:val="21"/>
              </w:rPr>
              <w:t>联合噪声值dB (A)</w:t>
            </w:r>
          </w:p>
        </w:tc>
        <w:tc>
          <w:tcPr>
            <w:tcW w:w="2936" w:type="pct"/>
            <w:gridSpan w:val="9"/>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与声源不同距离的噪声值</w:t>
            </w:r>
            <w:r>
              <w:rPr>
                <w:kern w:val="0"/>
                <w:sz w:val="21"/>
                <w:szCs w:val="21"/>
              </w:rPr>
              <w:t>dB(A)</w:t>
            </w:r>
          </w:p>
        </w:tc>
        <w:tc>
          <w:tcPr>
            <w:tcW w:w="1046" w:type="pct"/>
            <w:gridSpan w:val="2"/>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达标距离（</w:t>
            </w:r>
            <w:r>
              <w:rPr>
                <w:kern w:val="0"/>
                <w:sz w:val="21"/>
                <w:szCs w:val="21"/>
              </w:rPr>
              <w:t>m</w:t>
            </w: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66" w:type="pct"/>
            <w:vMerge w:val="continue"/>
            <w:vAlign w:val="center"/>
          </w:tcPr>
          <w:p>
            <w:pPr>
              <w:autoSpaceDE w:val="0"/>
              <w:autoSpaceDN w:val="0"/>
              <w:adjustRightInd w:val="0"/>
              <w:spacing w:line="340" w:lineRule="exact"/>
              <w:ind w:firstLine="0" w:firstLineChars="0"/>
              <w:jc w:val="center"/>
              <w:rPr>
                <w:kern w:val="0"/>
                <w:sz w:val="21"/>
                <w:szCs w:val="21"/>
              </w:rPr>
            </w:pPr>
          </w:p>
        </w:tc>
        <w:tc>
          <w:tcPr>
            <w:tcW w:w="552" w:type="pct"/>
            <w:vMerge w:val="continue"/>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p>
        </w:tc>
        <w:tc>
          <w:tcPr>
            <w:tcW w:w="29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5m</w:t>
            </w:r>
          </w:p>
        </w:tc>
        <w:tc>
          <w:tcPr>
            <w:tcW w:w="28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10m</w:t>
            </w:r>
          </w:p>
        </w:tc>
        <w:tc>
          <w:tcPr>
            <w:tcW w:w="274"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20m</w:t>
            </w:r>
          </w:p>
        </w:tc>
        <w:tc>
          <w:tcPr>
            <w:tcW w:w="43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50m</w:t>
            </w:r>
          </w:p>
        </w:tc>
        <w:tc>
          <w:tcPr>
            <w:tcW w:w="325"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70m</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100m</w:t>
            </w:r>
          </w:p>
        </w:tc>
        <w:tc>
          <w:tcPr>
            <w:tcW w:w="33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140m</w:t>
            </w:r>
          </w:p>
        </w:tc>
        <w:tc>
          <w:tcPr>
            <w:tcW w:w="31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160m</w:t>
            </w:r>
          </w:p>
        </w:tc>
        <w:tc>
          <w:tcPr>
            <w:tcW w:w="33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250m</w:t>
            </w:r>
          </w:p>
        </w:tc>
        <w:tc>
          <w:tcPr>
            <w:tcW w:w="52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昼间：</w:t>
            </w:r>
            <w:r>
              <w:rPr>
                <w:kern w:val="0"/>
                <w:sz w:val="21"/>
                <w:szCs w:val="21"/>
              </w:rPr>
              <w:t xml:space="preserve"> 70dB(A)</w:t>
            </w:r>
          </w:p>
        </w:tc>
        <w:tc>
          <w:tcPr>
            <w:tcW w:w="51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夜间：</w:t>
            </w:r>
            <w:r>
              <w:rPr>
                <w:kern w:val="0"/>
                <w:sz w:val="21"/>
                <w:szCs w:val="21"/>
              </w:rPr>
              <w:t xml:space="preserve"> 55dB</w:t>
            </w:r>
            <w:r>
              <w:rPr>
                <w:rFonts w:hint="eastAsia"/>
                <w:kern w:val="0"/>
                <w:sz w:val="21"/>
                <w:szCs w:val="21"/>
              </w:rPr>
              <w:t>（</w:t>
            </w:r>
            <w:r>
              <w:rPr>
                <w:kern w:val="0"/>
                <w:sz w:val="21"/>
                <w:szCs w:val="21"/>
              </w:rPr>
              <w:t>A</w:t>
            </w:r>
            <w:r>
              <w:rPr>
                <w:rFonts w:hint="eastAsia"/>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66"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工程枢纽区</w:t>
            </w:r>
          </w:p>
        </w:tc>
        <w:tc>
          <w:tcPr>
            <w:tcW w:w="552" w:type="pc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98.8</w:t>
            </w:r>
          </w:p>
        </w:tc>
        <w:tc>
          <w:tcPr>
            <w:tcW w:w="29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84.8</w:t>
            </w:r>
          </w:p>
        </w:tc>
        <w:tc>
          <w:tcPr>
            <w:tcW w:w="28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78.8</w:t>
            </w:r>
          </w:p>
        </w:tc>
        <w:tc>
          <w:tcPr>
            <w:tcW w:w="274"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72.8</w:t>
            </w:r>
          </w:p>
        </w:tc>
        <w:tc>
          <w:tcPr>
            <w:tcW w:w="43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64.8</w:t>
            </w:r>
          </w:p>
        </w:tc>
        <w:tc>
          <w:tcPr>
            <w:tcW w:w="325"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61.9</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58.8</w:t>
            </w:r>
          </w:p>
        </w:tc>
        <w:tc>
          <w:tcPr>
            <w:tcW w:w="33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55.8</w:t>
            </w:r>
          </w:p>
        </w:tc>
        <w:tc>
          <w:tcPr>
            <w:tcW w:w="31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54.7</w:t>
            </w:r>
          </w:p>
        </w:tc>
        <w:tc>
          <w:tcPr>
            <w:tcW w:w="33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50.8</w:t>
            </w:r>
          </w:p>
        </w:tc>
        <w:tc>
          <w:tcPr>
            <w:tcW w:w="52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50</w:t>
            </w:r>
          </w:p>
        </w:tc>
        <w:tc>
          <w:tcPr>
            <w:tcW w:w="51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66"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综合</w:t>
            </w:r>
          </w:p>
          <w:p>
            <w:pPr>
              <w:autoSpaceDE w:val="0"/>
              <w:autoSpaceDN w:val="0"/>
              <w:adjustRightInd w:val="0"/>
              <w:spacing w:line="340" w:lineRule="exact"/>
              <w:ind w:firstLine="0" w:firstLineChars="0"/>
              <w:jc w:val="center"/>
              <w:rPr>
                <w:kern w:val="0"/>
                <w:sz w:val="21"/>
                <w:szCs w:val="21"/>
              </w:rPr>
            </w:pPr>
            <w:r>
              <w:rPr>
                <w:rFonts w:hint="eastAsia"/>
                <w:kern w:val="0"/>
                <w:sz w:val="21"/>
                <w:szCs w:val="21"/>
              </w:rPr>
              <w:t>加工厂</w:t>
            </w:r>
          </w:p>
        </w:tc>
        <w:tc>
          <w:tcPr>
            <w:tcW w:w="552" w:type="pc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103.0</w:t>
            </w:r>
          </w:p>
        </w:tc>
        <w:tc>
          <w:tcPr>
            <w:tcW w:w="29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8</w:t>
            </w:r>
            <w:r>
              <w:rPr>
                <w:rFonts w:hint="eastAsia"/>
                <w:kern w:val="0"/>
                <w:sz w:val="21"/>
                <w:szCs w:val="21"/>
              </w:rPr>
              <w:t>9.0</w:t>
            </w:r>
          </w:p>
        </w:tc>
        <w:tc>
          <w:tcPr>
            <w:tcW w:w="28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83</w:t>
            </w:r>
          </w:p>
        </w:tc>
        <w:tc>
          <w:tcPr>
            <w:tcW w:w="274"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77.0</w:t>
            </w:r>
          </w:p>
        </w:tc>
        <w:tc>
          <w:tcPr>
            <w:tcW w:w="437" w:type="pct"/>
            <w:vAlign w:val="center"/>
          </w:tcPr>
          <w:p>
            <w:pPr>
              <w:autoSpaceDE w:val="0"/>
              <w:autoSpaceDN w:val="0"/>
              <w:adjustRightInd w:val="0"/>
              <w:spacing w:line="340" w:lineRule="exact"/>
              <w:ind w:firstLine="0" w:firstLineChars="0"/>
              <w:jc w:val="center"/>
              <w:rPr>
                <w:kern w:val="0"/>
                <w:sz w:val="21"/>
                <w:szCs w:val="21"/>
              </w:rPr>
            </w:pPr>
            <w:r>
              <w:rPr>
                <w:kern w:val="0"/>
                <w:sz w:val="21"/>
                <w:szCs w:val="21"/>
              </w:rPr>
              <w:t>6</w:t>
            </w:r>
            <w:r>
              <w:rPr>
                <w:rFonts w:hint="eastAsia"/>
                <w:kern w:val="0"/>
                <w:sz w:val="21"/>
                <w:szCs w:val="21"/>
              </w:rPr>
              <w:t>9.0</w:t>
            </w:r>
          </w:p>
        </w:tc>
        <w:tc>
          <w:tcPr>
            <w:tcW w:w="325"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66.1</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63</w:t>
            </w:r>
          </w:p>
        </w:tc>
        <w:tc>
          <w:tcPr>
            <w:tcW w:w="33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60.1</w:t>
            </w:r>
          </w:p>
        </w:tc>
        <w:tc>
          <w:tcPr>
            <w:tcW w:w="31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58.9</w:t>
            </w:r>
          </w:p>
        </w:tc>
        <w:tc>
          <w:tcPr>
            <w:tcW w:w="33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55.0</w:t>
            </w:r>
          </w:p>
        </w:tc>
        <w:tc>
          <w:tcPr>
            <w:tcW w:w="52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50</w:t>
            </w:r>
          </w:p>
        </w:tc>
        <w:tc>
          <w:tcPr>
            <w:tcW w:w="51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66"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料场</w:t>
            </w:r>
          </w:p>
        </w:tc>
        <w:tc>
          <w:tcPr>
            <w:tcW w:w="552" w:type="pct"/>
            <w:tcBorders>
              <w:left w:val="single" w:color="auto" w:sz="4" w:space="0"/>
            </w:tcBorders>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91.1</w:t>
            </w:r>
          </w:p>
        </w:tc>
        <w:tc>
          <w:tcPr>
            <w:tcW w:w="29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77.1</w:t>
            </w:r>
          </w:p>
        </w:tc>
        <w:tc>
          <w:tcPr>
            <w:tcW w:w="28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71.1</w:t>
            </w:r>
          </w:p>
        </w:tc>
        <w:tc>
          <w:tcPr>
            <w:tcW w:w="274"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65.1</w:t>
            </w:r>
          </w:p>
        </w:tc>
        <w:tc>
          <w:tcPr>
            <w:tcW w:w="43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57.1</w:t>
            </w:r>
          </w:p>
        </w:tc>
        <w:tc>
          <w:tcPr>
            <w:tcW w:w="325"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54.2</w:t>
            </w:r>
          </w:p>
        </w:tc>
        <w:tc>
          <w:tcPr>
            <w:tcW w:w="34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51.1</w:t>
            </w:r>
          </w:p>
        </w:tc>
        <w:tc>
          <w:tcPr>
            <w:tcW w:w="33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48.2</w:t>
            </w:r>
          </w:p>
        </w:tc>
        <w:tc>
          <w:tcPr>
            <w:tcW w:w="313"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47.0</w:t>
            </w:r>
          </w:p>
        </w:tc>
        <w:tc>
          <w:tcPr>
            <w:tcW w:w="330"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43.1</w:t>
            </w:r>
          </w:p>
        </w:tc>
        <w:tc>
          <w:tcPr>
            <w:tcW w:w="527"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20</w:t>
            </w:r>
          </w:p>
        </w:tc>
        <w:tc>
          <w:tcPr>
            <w:tcW w:w="519" w:type="pct"/>
            <w:vAlign w:val="center"/>
          </w:tcPr>
          <w:p>
            <w:pPr>
              <w:autoSpaceDE w:val="0"/>
              <w:autoSpaceDN w:val="0"/>
              <w:adjustRightInd w:val="0"/>
              <w:spacing w:line="340" w:lineRule="exact"/>
              <w:ind w:firstLine="0" w:firstLineChars="0"/>
              <w:jc w:val="center"/>
              <w:rPr>
                <w:kern w:val="0"/>
                <w:sz w:val="21"/>
                <w:szCs w:val="21"/>
              </w:rPr>
            </w:pPr>
            <w:r>
              <w:rPr>
                <w:rFonts w:hint="eastAsia"/>
                <w:kern w:val="0"/>
                <w:sz w:val="21"/>
                <w:szCs w:val="21"/>
              </w:rPr>
              <w:t>70</w:t>
            </w:r>
          </w:p>
        </w:tc>
      </w:tr>
    </w:tbl>
    <w:p>
      <w:pPr>
        <w:autoSpaceDE w:val="0"/>
        <w:autoSpaceDN w:val="0"/>
        <w:adjustRightInd w:val="0"/>
        <w:spacing w:before="120" w:beforeLines="50"/>
        <w:ind w:firstLine="480"/>
        <w:rPr>
          <w:rFonts w:ascii="宋体" w:hAnsi="宋体"/>
        </w:rPr>
      </w:pPr>
      <w:r>
        <w:rPr>
          <w:rFonts w:ascii="宋体" w:hAnsi="宋体"/>
        </w:rPr>
        <w:t>由表</w:t>
      </w:r>
      <w:r>
        <w:rPr>
          <w:rFonts w:hint="eastAsia" w:ascii="宋体" w:hAnsi="宋体"/>
        </w:rPr>
        <w:t>5.6-3</w:t>
      </w:r>
      <w:r>
        <w:rPr>
          <w:rFonts w:ascii="宋体" w:hAnsi="宋体"/>
        </w:rPr>
        <w:t>可知，在多台设备联合作业的情况下，</w:t>
      </w:r>
      <w:r>
        <w:rPr>
          <w:rFonts w:hint="eastAsia" w:ascii="宋体" w:hAnsi="宋体"/>
        </w:rPr>
        <w:t>工程枢纽区施工</w:t>
      </w:r>
      <w:r>
        <w:rPr>
          <w:rFonts w:ascii="宋体" w:hAnsi="宋体"/>
        </w:rPr>
        <w:t>昼间在</w:t>
      </w:r>
      <w:r>
        <w:rPr>
          <w:rFonts w:hint="eastAsia" w:ascii="宋体" w:hAnsi="宋体"/>
        </w:rPr>
        <w:t>5</w:t>
      </w:r>
      <w:r>
        <w:rPr>
          <w:rFonts w:ascii="宋体" w:hAnsi="宋体"/>
        </w:rPr>
        <w:t>0m以外，夜间在</w:t>
      </w:r>
      <w:r>
        <w:rPr>
          <w:rFonts w:hint="eastAsia" w:ascii="宋体" w:hAnsi="宋体"/>
        </w:rPr>
        <w:t>160</w:t>
      </w:r>
      <w:r>
        <w:rPr>
          <w:rFonts w:ascii="宋体" w:hAnsi="宋体"/>
        </w:rPr>
        <w:t>m外可满足《建筑施工场界环境噪声排放标准》</w:t>
      </w:r>
      <w:r>
        <w:rPr>
          <w:rFonts w:hint="eastAsia" w:ascii="宋体" w:hAnsi="宋体"/>
        </w:rPr>
        <w:t>(</w:t>
      </w:r>
      <w:r>
        <w:rPr>
          <w:rFonts w:ascii="宋体" w:hAnsi="宋体"/>
        </w:rPr>
        <w:t>GB12523-2011</w:t>
      </w:r>
      <w:r>
        <w:rPr>
          <w:rFonts w:hint="eastAsia" w:ascii="宋体" w:hAnsi="宋体"/>
        </w:rPr>
        <w:t>)</w:t>
      </w:r>
      <w:r>
        <w:rPr>
          <w:rFonts w:ascii="宋体" w:hAnsi="宋体"/>
        </w:rPr>
        <w:t>要求；</w:t>
      </w:r>
      <w:r>
        <w:rPr>
          <w:rFonts w:hint="eastAsia" w:ascii="宋体" w:hAnsi="宋体"/>
        </w:rPr>
        <w:t>综合加工厂</w:t>
      </w:r>
      <w:r>
        <w:rPr>
          <w:rFonts w:ascii="宋体" w:hAnsi="宋体"/>
        </w:rPr>
        <w:t>昼间</w:t>
      </w:r>
      <w:r>
        <w:rPr>
          <w:rFonts w:hint="eastAsia" w:ascii="宋体" w:hAnsi="宋体"/>
        </w:rPr>
        <w:t>5</w:t>
      </w:r>
      <w:r>
        <w:rPr>
          <w:rFonts w:ascii="宋体" w:hAnsi="宋体"/>
        </w:rPr>
        <w:t>0m范围外达到标准要求，夜间</w:t>
      </w:r>
      <w:r>
        <w:rPr>
          <w:rFonts w:hint="eastAsia" w:ascii="宋体" w:hAnsi="宋体"/>
        </w:rPr>
        <w:t>2</w:t>
      </w:r>
      <w:r>
        <w:rPr>
          <w:rFonts w:ascii="宋体" w:hAnsi="宋体"/>
        </w:rPr>
        <w:t>50m以外可满足《建筑施工场界环境噪声排放标准》（GB12523-2011）要求。</w:t>
      </w:r>
      <w:r>
        <w:rPr>
          <w:rFonts w:hint="eastAsia" w:ascii="宋体" w:hAnsi="宋体"/>
        </w:rPr>
        <w:t>料场</w:t>
      </w:r>
      <w:r>
        <w:rPr>
          <w:rFonts w:ascii="宋体" w:hAnsi="宋体"/>
        </w:rPr>
        <w:t>昼间在</w:t>
      </w:r>
      <w:r>
        <w:rPr>
          <w:rFonts w:hint="eastAsia" w:ascii="宋体" w:hAnsi="宋体"/>
        </w:rPr>
        <w:t>2</w:t>
      </w:r>
      <w:r>
        <w:rPr>
          <w:rFonts w:ascii="宋体" w:hAnsi="宋体"/>
        </w:rPr>
        <w:t>0m以外，夜间在</w:t>
      </w:r>
      <w:r>
        <w:rPr>
          <w:rFonts w:hint="eastAsia" w:ascii="宋体" w:hAnsi="宋体"/>
        </w:rPr>
        <w:t>70</w:t>
      </w:r>
      <w:r>
        <w:rPr>
          <w:rFonts w:ascii="宋体" w:hAnsi="宋体"/>
        </w:rPr>
        <w:t>m以外可满足《建筑施工场界环境噪声排放标准》（GB12523-2011）要求。</w:t>
      </w:r>
      <w:r>
        <w:rPr>
          <w:rFonts w:hint="eastAsia" w:ascii="宋体" w:hAnsi="宋体"/>
        </w:rPr>
        <w:t>本工程250m范围内无敏感点。</w:t>
      </w:r>
    </w:p>
    <w:p>
      <w:pPr>
        <w:pStyle w:val="835"/>
        <w:spacing w:before="0" w:line="360" w:lineRule="auto"/>
      </w:pPr>
      <w:r>
        <w:t>5.</w:t>
      </w:r>
      <w:r>
        <w:rPr>
          <w:rFonts w:hint="eastAsia"/>
        </w:rPr>
        <w:t>6.2交通</w:t>
      </w:r>
      <w:r>
        <w:t>噪声影响预测评价</w:t>
      </w:r>
    </w:p>
    <w:p>
      <w:pPr>
        <w:ind w:firstLine="503"/>
        <w:rPr>
          <w:w w:val="105"/>
          <w:szCs w:val="24"/>
        </w:rPr>
      </w:pPr>
      <w:bookmarkStart w:id="889" w:name="_Toc534807086"/>
      <w:bookmarkStart w:id="890" w:name="_Toc536265171"/>
      <w:bookmarkStart w:id="891" w:name="_Toc334643187"/>
      <w:bookmarkStart w:id="892" w:name="_Toc534386327"/>
      <w:bookmarkStart w:id="893" w:name="_Toc3903308"/>
      <w:bookmarkStart w:id="894" w:name="_Toc534895303"/>
      <w:bookmarkStart w:id="895" w:name="_Toc529279083"/>
      <w:bookmarkStart w:id="896" w:name="_Toc281507065"/>
      <w:r>
        <w:rPr>
          <w:rFonts w:hint="eastAsia"/>
          <w:w w:val="105"/>
          <w:szCs w:val="24"/>
        </w:rPr>
        <w:t>（1）</w:t>
      </w:r>
      <w:r>
        <w:rPr>
          <w:w w:val="105"/>
          <w:szCs w:val="24"/>
        </w:rPr>
        <w:t>预测模式</w:t>
      </w:r>
    </w:p>
    <w:p>
      <w:pPr>
        <w:ind w:firstLine="503"/>
        <w:rPr>
          <w:w w:val="105"/>
          <w:szCs w:val="24"/>
        </w:rPr>
      </w:pPr>
      <w:r>
        <w:rPr>
          <w:w w:val="105"/>
          <w:szCs w:val="24"/>
        </w:rPr>
        <w:t>根据《环境影响评价技术导则声环境》(HJ2.4-20</w:t>
      </w:r>
      <w:r>
        <w:rPr>
          <w:rFonts w:hint="eastAsia"/>
          <w:w w:val="105"/>
          <w:szCs w:val="24"/>
        </w:rPr>
        <w:t>21</w:t>
      </w:r>
      <w:r>
        <w:rPr>
          <w:w w:val="105"/>
          <w:szCs w:val="24"/>
        </w:rPr>
        <w:t>），本次声环境影响评价选用如下预测模式：</w:t>
      </w:r>
    </w:p>
    <w:p>
      <w:pPr>
        <w:ind w:firstLine="503"/>
        <w:rPr>
          <w:w w:val="105"/>
          <w:szCs w:val="24"/>
        </w:rPr>
      </w:pPr>
      <w:r>
        <w:rPr>
          <w:w w:val="105"/>
          <w:position w:val="-32"/>
          <w:szCs w:val="24"/>
        </w:rPr>
        <w:object>
          <v:shape id="_x0000_i1034" o:spt="75" type="#_x0000_t75" style="height:38pt;width:333pt;" o:ole="t" filled="f" coordsize="21600,21600">
            <v:path/>
            <v:fill on="f" focussize="0,0"/>
            <v:stroke/>
            <v:imagedata r:id="rId82" o:title=""/>
            <o:lock v:ext="edit" aspectratio="t"/>
            <w10:wrap type="none"/>
            <w10:anchorlock/>
          </v:shape>
          <o:OLEObject Type="Embed" ProgID="Equation.3" ShapeID="_x0000_i1034" DrawAspect="Content" ObjectID="_1468075734" r:id="rId81">
            <o:LockedField>false</o:LockedField>
          </o:OLEObject>
        </w:object>
      </w:r>
    </w:p>
    <w:p>
      <w:pPr>
        <w:ind w:firstLine="503"/>
        <w:rPr>
          <w:w w:val="105"/>
          <w:szCs w:val="24"/>
        </w:rPr>
      </w:pPr>
      <w:r>
        <w:rPr>
          <w:w w:val="105"/>
          <w:szCs w:val="24"/>
        </w:rPr>
        <w:t>式中：</w:t>
      </w:r>
      <w:r>
        <w:rPr>
          <w:w w:val="105"/>
          <w:position w:val="-14"/>
          <w:szCs w:val="24"/>
        </w:rPr>
        <w:object>
          <v:shape id="_x0000_i1035" o:spt="75" type="#_x0000_t75" style="height:19pt;width:35pt;" o:ole="t" filled="f" coordsize="21600,21600">
            <v:path/>
            <v:fill on="f" focussize="0,0"/>
            <v:stroke/>
            <v:imagedata r:id="rId84" o:title=""/>
            <o:lock v:ext="edit" aspectratio="t"/>
            <w10:wrap type="none"/>
            <w10:anchorlock/>
          </v:shape>
          <o:OLEObject Type="Embed" ProgID="Equation.3" ShapeID="_x0000_i1035" DrawAspect="Content" ObjectID="_1468075735" r:id="rId83">
            <o:LockedField>false</o:LockedField>
          </o:OLEObject>
        </w:object>
      </w:r>
      <w:r>
        <w:rPr>
          <w:rFonts w:hint="eastAsia" w:ascii="宋体" w:hAnsi="宋体" w:cs="宋体"/>
          <w:w w:val="105"/>
          <w:szCs w:val="24"/>
        </w:rPr>
        <w:t>━</w:t>
      </w:r>
      <w:r>
        <w:rPr>
          <w:w w:val="105"/>
          <w:szCs w:val="24"/>
        </w:rPr>
        <w:t>第I类车的小时等效声级，dB(A)；</w:t>
      </w:r>
    </w:p>
    <w:p>
      <w:pPr>
        <w:ind w:left="1759" w:hanging="1764" w:hangingChars="700"/>
        <w:rPr>
          <w:w w:val="105"/>
          <w:szCs w:val="24"/>
        </w:rPr>
      </w:pPr>
      <w:r>
        <w:rPr>
          <w:w w:val="105"/>
          <w:szCs w:val="24"/>
        </w:rPr>
        <w:t xml:space="preserve">      </w:t>
      </w:r>
      <w:r>
        <w:rPr>
          <w:w w:val="105"/>
          <w:position w:val="-12"/>
          <w:szCs w:val="24"/>
        </w:rPr>
        <w:object>
          <v:shape id="_x0000_i1036" o:spt="75" type="#_x0000_t75" style="height:20pt;width:31pt;" o:ole="t" filled="f" coordsize="21600,21600">
            <v:path/>
            <v:fill on="f" focussize="0,0"/>
            <v:stroke/>
            <v:imagedata r:id="rId86" o:title=""/>
            <o:lock v:ext="edit" aspectratio="t"/>
            <w10:wrap type="none"/>
            <w10:anchorlock/>
          </v:shape>
          <o:OLEObject Type="Embed" ProgID="Equation.3" ShapeID="_x0000_i1036" DrawAspect="Content" ObjectID="_1468075736" r:id="rId85">
            <o:LockedField>false</o:LockedField>
          </o:OLEObject>
        </w:object>
      </w:r>
      <w:r>
        <w:rPr>
          <w:rFonts w:hint="eastAsia" w:ascii="宋体" w:hAnsi="宋体" w:cs="宋体"/>
          <w:w w:val="105"/>
          <w:szCs w:val="24"/>
        </w:rPr>
        <w:t>━</w:t>
      </w:r>
      <w:r>
        <w:rPr>
          <w:w w:val="105"/>
          <w:szCs w:val="24"/>
        </w:rPr>
        <w:t>第I类车的速度为Vi(km/h)，水平距离为7.5m处的能量平均A声级，dB(A)；</w:t>
      </w:r>
    </w:p>
    <w:p>
      <w:pPr>
        <w:ind w:left="1759" w:hanging="1764" w:hangingChars="700"/>
        <w:rPr>
          <w:w w:val="105"/>
          <w:szCs w:val="24"/>
        </w:rPr>
      </w:pPr>
      <w:r>
        <w:rPr>
          <w:w w:val="105"/>
          <w:szCs w:val="24"/>
        </w:rPr>
        <w:t xml:space="preserve">       N</w:t>
      </w:r>
      <w:r>
        <w:rPr>
          <w:w w:val="105"/>
          <w:szCs w:val="24"/>
          <w:vertAlign w:val="subscript"/>
        </w:rPr>
        <w:t>i</w:t>
      </w:r>
      <w:r>
        <w:rPr>
          <w:rFonts w:hint="eastAsia" w:ascii="宋体" w:hAnsi="宋体" w:cs="宋体"/>
          <w:w w:val="105"/>
          <w:szCs w:val="24"/>
        </w:rPr>
        <w:t>━</w:t>
      </w:r>
      <w:r>
        <w:rPr>
          <w:w w:val="105"/>
          <w:szCs w:val="24"/>
        </w:rPr>
        <w:t>昼夜通过某个预测点第I类车平均小时车流量，辆/h；</w:t>
      </w:r>
    </w:p>
    <w:p>
      <w:pPr>
        <w:ind w:left="1759" w:hanging="1764" w:hangingChars="700"/>
        <w:rPr>
          <w:w w:val="105"/>
          <w:szCs w:val="24"/>
        </w:rPr>
      </w:pPr>
      <w:r>
        <w:rPr>
          <w:w w:val="105"/>
          <w:szCs w:val="24"/>
        </w:rPr>
        <w:t xml:space="preserve">       r</w:t>
      </w:r>
      <w:r>
        <w:rPr>
          <w:rFonts w:hint="eastAsia" w:ascii="宋体" w:hAnsi="宋体" w:cs="宋体"/>
          <w:w w:val="105"/>
          <w:szCs w:val="24"/>
        </w:rPr>
        <w:t>━</w:t>
      </w:r>
      <w:r>
        <w:rPr>
          <w:w w:val="105"/>
          <w:szCs w:val="24"/>
        </w:rPr>
        <w:t>从车道中心线到预测点的距离，m；r＞7.5m；</w:t>
      </w:r>
    </w:p>
    <w:p>
      <w:pPr>
        <w:ind w:firstLine="503"/>
        <w:rPr>
          <w:w w:val="105"/>
          <w:szCs w:val="24"/>
        </w:rPr>
      </w:pPr>
      <w:r>
        <w:rPr>
          <w:w w:val="105"/>
          <w:szCs w:val="24"/>
        </w:rPr>
        <w:t xml:space="preserve">  Vi</w:t>
      </w:r>
      <w:r>
        <w:rPr>
          <w:rFonts w:hint="eastAsia" w:ascii="宋体" w:hAnsi="宋体" w:cs="宋体"/>
          <w:w w:val="105"/>
          <w:szCs w:val="24"/>
        </w:rPr>
        <w:t>━</w:t>
      </w:r>
      <w:r>
        <w:rPr>
          <w:w w:val="105"/>
          <w:szCs w:val="24"/>
        </w:rPr>
        <w:t>第I类车平均车速，km/h；</w:t>
      </w:r>
    </w:p>
    <w:p>
      <w:pPr>
        <w:ind w:firstLine="756" w:firstLineChars="300"/>
        <w:rPr>
          <w:w w:val="105"/>
          <w:szCs w:val="24"/>
        </w:rPr>
      </w:pPr>
      <w:r>
        <w:rPr>
          <w:w w:val="105"/>
          <w:szCs w:val="24"/>
        </w:rPr>
        <w:t xml:space="preserve"> T</w:t>
      </w:r>
      <w:r>
        <w:rPr>
          <w:rFonts w:hint="eastAsia" w:ascii="宋体" w:hAnsi="宋体" w:cs="宋体"/>
          <w:w w:val="105"/>
          <w:szCs w:val="24"/>
        </w:rPr>
        <w:t>━</w:t>
      </w:r>
      <w:r>
        <w:rPr>
          <w:w w:val="105"/>
          <w:szCs w:val="24"/>
        </w:rPr>
        <w:t>计算等效声级的时间，1h；</w:t>
      </w:r>
    </w:p>
    <w:p>
      <w:pPr>
        <w:ind w:firstLine="756" w:firstLineChars="300"/>
        <w:rPr>
          <w:w w:val="105"/>
          <w:szCs w:val="24"/>
        </w:rPr>
      </w:pPr>
      <w:r>
        <w:rPr>
          <w:w w:val="105"/>
          <w:szCs w:val="24"/>
        </w:rPr>
        <w:t xml:space="preserve"> </w:t>
      </w:r>
      <w:r>
        <w:rPr>
          <w:w w:val="105"/>
          <w:position w:val="-10"/>
          <w:szCs w:val="24"/>
        </w:rPr>
        <w:object>
          <v:shape id="_x0000_i1037" o:spt="75" type="#_x0000_t75" style="height:17pt;width:39pt;" o:ole="t" filled="f" coordsize="21600,21600">
            <v:path/>
            <v:fill on="f" focussize="0,0"/>
            <v:stroke/>
            <v:imagedata r:id="rId88" o:title=""/>
            <o:lock v:ext="edit" aspectratio="t"/>
            <w10:wrap type="none"/>
            <w10:anchorlock/>
          </v:shape>
          <o:OLEObject Type="Embed" ProgID="Equation.3" ShapeID="_x0000_i1037" DrawAspect="Content" ObjectID="_1468075737" r:id="rId87">
            <o:LockedField>false</o:LockedField>
          </o:OLEObject>
        </w:object>
      </w:r>
      <w:r>
        <w:rPr>
          <w:rFonts w:hint="eastAsia" w:ascii="宋体" w:hAnsi="宋体" w:cs="宋体"/>
          <w:w w:val="105"/>
          <w:szCs w:val="24"/>
        </w:rPr>
        <w:t>━</w:t>
      </w:r>
      <w:r>
        <w:rPr>
          <w:w w:val="105"/>
          <w:szCs w:val="24"/>
        </w:rPr>
        <w:t>预测点到有限长路段两端的张角，弧度。</w:t>
      </w:r>
    </w:p>
    <w:p>
      <w:pPr>
        <w:ind w:firstLine="756" w:firstLineChars="300"/>
        <w:rPr>
          <w:w w:val="105"/>
          <w:szCs w:val="24"/>
        </w:rPr>
      </w:pPr>
      <w:r>
        <w:rPr>
          <w:w w:val="105"/>
          <w:szCs w:val="24"/>
        </w:rPr>
        <w:t xml:space="preserve"> </w:t>
      </w:r>
      <w:r>
        <w:rPr>
          <w:w w:val="105"/>
          <w:position w:val="-4"/>
          <w:szCs w:val="24"/>
        </w:rPr>
        <w:object>
          <v:shape id="_x0000_i1038" o:spt="75" type="#_x0000_t75" style="height:13pt;width:18pt;" o:ole="t" filled="f" coordsize="21600,21600">
            <v:path/>
            <v:fill on="f" focussize="0,0"/>
            <v:stroke/>
            <v:imagedata r:id="rId90" o:title=""/>
            <o:lock v:ext="edit" aspectratio="t"/>
            <w10:wrap type="none"/>
            <w10:anchorlock/>
          </v:shape>
          <o:OLEObject Type="Embed" ProgID="Equation.3" ShapeID="_x0000_i1038" DrawAspect="Content" ObjectID="_1468075738" r:id="rId89">
            <o:LockedField>false</o:LockedField>
          </o:OLEObject>
        </w:object>
      </w:r>
      <w:r>
        <w:rPr>
          <w:rFonts w:hint="eastAsia" w:ascii="宋体" w:hAnsi="宋体" w:cs="宋体"/>
          <w:w w:val="105"/>
          <w:szCs w:val="24"/>
        </w:rPr>
        <w:t>━</w:t>
      </w:r>
      <w:r>
        <w:rPr>
          <w:w w:val="105"/>
          <w:szCs w:val="24"/>
        </w:rPr>
        <w:t>由其它因素引起的修正量，dB(A)，</w:t>
      </w:r>
    </w:p>
    <w:p>
      <w:pPr>
        <w:ind w:firstLine="503"/>
        <w:rPr>
          <w:w w:val="105"/>
          <w:szCs w:val="24"/>
        </w:rPr>
      </w:pPr>
      <w:r>
        <w:rPr>
          <w:w w:val="105"/>
          <w:szCs w:val="24"/>
        </w:rPr>
        <w:t xml:space="preserve">   </w:t>
      </w:r>
      <w:r>
        <w:rPr>
          <w:w w:val="105"/>
          <w:position w:val="-12"/>
          <w:szCs w:val="24"/>
        </w:rPr>
        <w:object>
          <v:shape id="_x0000_i1039" o:spt="75" type="#_x0000_t75" style="height:18pt;width:103.95pt;" o:ole="t" filled="f" coordsize="21600,21600">
            <v:path/>
            <v:fill on="f" focussize="0,0"/>
            <v:stroke/>
            <v:imagedata r:id="rId92" o:title=""/>
            <o:lock v:ext="edit" aspectratio="t"/>
            <w10:wrap type="none"/>
            <w10:anchorlock/>
          </v:shape>
          <o:OLEObject Type="Embed" ProgID="Equation.3" ShapeID="_x0000_i1039" DrawAspect="Content" ObjectID="_1468075739" r:id="rId91">
            <o:LockedField>false</o:LockedField>
          </o:OLEObject>
        </w:object>
      </w:r>
    </w:p>
    <w:p>
      <w:pPr>
        <w:ind w:firstLine="503"/>
        <w:rPr>
          <w:w w:val="105"/>
          <w:szCs w:val="24"/>
        </w:rPr>
      </w:pPr>
      <w:r>
        <w:rPr>
          <w:w w:val="105"/>
          <w:szCs w:val="24"/>
        </w:rPr>
        <w:t xml:space="preserve">   </w:t>
      </w:r>
      <w:r>
        <w:rPr>
          <w:w w:val="105"/>
          <w:position w:val="-14"/>
          <w:szCs w:val="24"/>
        </w:rPr>
        <w:object>
          <v:shape id="_x0000_i1040" o:spt="75" type="#_x0000_t75" style="height:19pt;width:100pt;" o:ole="t" filled="f" coordsize="21600,21600">
            <v:path/>
            <v:fill on="f" focussize="0,0"/>
            <v:stroke/>
            <v:imagedata r:id="rId94" o:title=""/>
            <o:lock v:ext="edit" aspectratio="t"/>
            <w10:wrap type="none"/>
            <w10:anchorlock/>
          </v:shape>
          <o:OLEObject Type="Embed" ProgID="Equation.3" ShapeID="_x0000_i1040" DrawAspect="Content" ObjectID="_1468075740" r:id="rId93">
            <o:LockedField>false</o:LockedField>
          </o:OLEObject>
        </w:object>
      </w:r>
    </w:p>
    <w:p>
      <w:pPr>
        <w:ind w:firstLine="503"/>
        <w:rPr>
          <w:w w:val="105"/>
          <w:szCs w:val="24"/>
        </w:rPr>
      </w:pPr>
      <w:r>
        <w:rPr>
          <w:w w:val="105"/>
          <w:szCs w:val="24"/>
        </w:rPr>
        <w:t xml:space="preserve">   </w:t>
      </w:r>
      <w:r>
        <w:rPr>
          <w:w w:val="105"/>
          <w:position w:val="-14"/>
          <w:szCs w:val="24"/>
        </w:rPr>
        <w:object>
          <v:shape id="_x0000_i1041" o:spt="75" type="#_x0000_t75" style="height:19pt;width:141pt;" o:ole="t" filled="f" coordsize="21600,21600">
            <v:path/>
            <v:fill on="f" focussize="0,0"/>
            <v:stroke/>
            <v:imagedata r:id="rId96" o:title=""/>
            <o:lock v:ext="edit" aspectratio="t"/>
            <w10:wrap type="none"/>
            <w10:anchorlock/>
          </v:shape>
          <o:OLEObject Type="Embed" ProgID="Equation.3" ShapeID="_x0000_i1041" DrawAspect="Content" ObjectID="_1468075741" r:id="rId95">
            <o:LockedField>false</o:LockedField>
          </o:OLEObject>
        </w:object>
      </w:r>
    </w:p>
    <w:p>
      <w:pPr>
        <w:ind w:firstLine="503"/>
        <w:rPr>
          <w:w w:val="105"/>
          <w:szCs w:val="24"/>
        </w:rPr>
      </w:pPr>
      <w:r>
        <w:rPr>
          <w:w w:val="105"/>
          <w:szCs w:val="24"/>
        </w:rPr>
        <w:t xml:space="preserve">   式中：</w:t>
      </w:r>
      <w:r>
        <w:rPr>
          <w:w w:val="105"/>
          <w:position w:val="-10"/>
          <w:szCs w:val="24"/>
        </w:rPr>
        <w:object>
          <v:shape id="_x0000_i1042" o:spt="75" type="#_x0000_t75" style="height:17pt;width:20pt;" o:ole="t" filled="f" coordsize="21600,21600">
            <v:path/>
            <v:fill on="f" focussize="0,0"/>
            <v:stroke/>
            <v:imagedata r:id="rId98" o:title=""/>
            <o:lock v:ext="edit" aspectratio="t"/>
            <w10:wrap type="none"/>
            <w10:anchorlock/>
          </v:shape>
          <o:OLEObject Type="Embed" ProgID="Equation.3" ShapeID="_x0000_i1042" DrawAspect="Content" ObjectID="_1468075742" r:id="rId97">
            <o:LockedField>false</o:LockedField>
          </o:OLEObject>
        </w:object>
      </w:r>
      <w:r>
        <w:rPr>
          <w:rFonts w:hint="eastAsia" w:ascii="宋体" w:hAnsi="宋体" w:cs="宋体"/>
          <w:w w:val="105"/>
          <w:szCs w:val="24"/>
        </w:rPr>
        <w:t>━</w:t>
      </w:r>
      <w:r>
        <w:rPr>
          <w:w w:val="105"/>
          <w:szCs w:val="24"/>
        </w:rPr>
        <w:t>线路因素引起的修正量，dB(A)；</w:t>
      </w:r>
    </w:p>
    <w:p>
      <w:pPr>
        <w:ind w:firstLine="503"/>
        <w:rPr>
          <w:w w:val="105"/>
          <w:szCs w:val="24"/>
        </w:rPr>
      </w:pPr>
      <w:r>
        <w:rPr>
          <w:w w:val="105"/>
          <w:szCs w:val="24"/>
        </w:rPr>
        <w:t xml:space="preserve">         </w:t>
      </w:r>
      <w:r>
        <w:rPr>
          <w:w w:val="105"/>
          <w:position w:val="-14"/>
          <w:szCs w:val="24"/>
        </w:rPr>
        <w:object>
          <v:shape id="_x0000_i1043" o:spt="75" type="#_x0000_t75" style="height:19pt;width:31pt;" o:ole="t" filled="f" coordsize="21600,21600">
            <v:path/>
            <v:fill on="f" focussize="0,0"/>
            <v:stroke/>
            <v:imagedata r:id="rId100" o:title=""/>
            <o:lock v:ext="edit" aspectratio="t"/>
            <w10:wrap type="none"/>
            <w10:anchorlock/>
          </v:shape>
          <o:OLEObject Type="Embed" ProgID="Equation.3" ShapeID="_x0000_i1043" DrawAspect="Content" ObjectID="_1468075743" r:id="rId99">
            <o:LockedField>false</o:LockedField>
          </o:OLEObject>
        </w:object>
      </w:r>
      <w:r>
        <w:rPr>
          <w:rFonts w:hint="eastAsia" w:ascii="宋体" w:hAnsi="宋体" w:cs="宋体"/>
          <w:w w:val="105"/>
          <w:szCs w:val="24"/>
        </w:rPr>
        <w:t>━</w:t>
      </w:r>
      <w:r>
        <w:rPr>
          <w:w w:val="105"/>
          <w:szCs w:val="24"/>
        </w:rPr>
        <w:t>公路纵坡修正量，dB(A)；</w:t>
      </w:r>
    </w:p>
    <w:p>
      <w:pPr>
        <w:ind w:firstLine="503"/>
        <w:rPr>
          <w:w w:val="105"/>
          <w:szCs w:val="24"/>
        </w:rPr>
      </w:pPr>
      <w:r>
        <w:rPr>
          <w:w w:val="105"/>
          <w:szCs w:val="24"/>
        </w:rPr>
        <w:t xml:space="preserve">         </w:t>
      </w:r>
      <w:r>
        <w:rPr>
          <w:w w:val="105"/>
          <w:position w:val="-12"/>
          <w:szCs w:val="24"/>
        </w:rPr>
        <w:object>
          <v:shape id="_x0000_i1044" o:spt="75" type="#_x0000_t75" style="height:18pt;width:31pt;" o:ole="t" filled="f" coordsize="21600,21600">
            <v:path/>
            <v:fill on="f" focussize="0,0"/>
            <v:stroke/>
            <v:imagedata r:id="rId102" o:title=""/>
            <o:lock v:ext="edit" aspectratio="t"/>
            <w10:wrap type="none"/>
            <w10:anchorlock/>
          </v:shape>
          <o:OLEObject Type="Embed" ProgID="Equation.3" ShapeID="_x0000_i1044" DrawAspect="Content" ObjectID="_1468075744" r:id="rId101">
            <o:LockedField>false</o:LockedField>
          </o:OLEObject>
        </w:object>
      </w:r>
      <w:r>
        <w:rPr>
          <w:rFonts w:hint="eastAsia" w:ascii="宋体" w:hAnsi="宋体" w:cs="宋体"/>
          <w:w w:val="105"/>
          <w:szCs w:val="24"/>
        </w:rPr>
        <w:t>━</w:t>
      </w:r>
      <w:r>
        <w:rPr>
          <w:w w:val="105"/>
          <w:szCs w:val="24"/>
        </w:rPr>
        <w:t>公路路面材料引起的修正量，dB(A)；</w:t>
      </w:r>
    </w:p>
    <w:p>
      <w:pPr>
        <w:ind w:firstLine="503"/>
        <w:rPr>
          <w:w w:val="105"/>
          <w:szCs w:val="24"/>
        </w:rPr>
      </w:pPr>
      <w:r>
        <w:rPr>
          <w:w w:val="105"/>
          <w:szCs w:val="24"/>
        </w:rPr>
        <w:t xml:space="preserve">         </w:t>
      </w:r>
      <w:r>
        <w:rPr>
          <w:w w:val="105"/>
          <w:position w:val="-10"/>
          <w:szCs w:val="24"/>
        </w:rPr>
        <w:object>
          <v:shape id="_x0000_i1045" o:spt="75" type="#_x0000_t75" style="height:17pt;width:21pt;" o:ole="t" filled="f" coordsize="21600,21600">
            <v:path/>
            <v:fill on="f" focussize="0,0"/>
            <v:stroke/>
            <v:imagedata r:id="rId104" o:title=""/>
            <o:lock v:ext="edit" aspectratio="t"/>
            <w10:wrap type="none"/>
            <w10:anchorlock/>
          </v:shape>
          <o:OLEObject Type="Embed" ProgID="Equation.3" ShapeID="_x0000_i1045" DrawAspect="Content" ObjectID="_1468075745" r:id="rId103">
            <o:LockedField>false</o:LockedField>
          </o:OLEObject>
        </w:object>
      </w:r>
      <w:r>
        <w:rPr>
          <w:rFonts w:hint="eastAsia" w:ascii="宋体" w:hAnsi="宋体" w:cs="宋体"/>
          <w:w w:val="105"/>
          <w:szCs w:val="24"/>
        </w:rPr>
        <w:t>━</w:t>
      </w:r>
      <w:r>
        <w:rPr>
          <w:w w:val="105"/>
          <w:szCs w:val="24"/>
        </w:rPr>
        <w:t>声波传播途径引起的衰减量，dB(A)；</w:t>
      </w:r>
    </w:p>
    <w:p>
      <w:pPr>
        <w:ind w:firstLine="503"/>
        <w:rPr>
          <w:w w:val="105"/>
          <w:szCs w:val="24"/>
        </w:rPr>
      </w:pPr>
      <w:r>
        <w:rPr>
          <w:w w:val="105"/>
          <w:szCs w:val="24"/>
        </w:rPr>
        <w:t xml:space="preserve">         </w:t>
      </w:r>
      <w:r>
        <w:rPr>
          <w:w w:val="105"/>
          <w:position w:val="-12"/>
          <w:szCs w:val="24"/>
        </w:rPr>
        <w:object>
          <v:shape id="_x0000_i1046" o:spt="75" type="#_x0000_t75" style="height:18pt;width:21pt;" o:ole="t" filled="f" coordsize="21600,21600">
            <v:path/>
            <v:fill on="f" focussize="0,0"/>
            <v:stroke/>
            <v:imagedata r:id="rId106" o:title=""/>
            <o:lock v:ext="edit" aspectratio="t"/>
            <w10:wrap type="none"/>
            <w10:anchorlock/>
          </v:shape>
          <o:OLEObject Type="Embed" ProgID="Equation.3" ShapeID="_x0000_i1046" DrawAspect="Content" ObjectID="_1468075746" r:id="rId105">
            <o:LockedField>false</o:LockedField>
          </o:OLEObject>
        </w:object>
      </w:r>
      <w:r>
        <w:rPr>
          <w:rFonts w:hint="eastAsia" w:ascii="宋体" w:hAnsi="宋体" w:cs="宋体"/>
          <w:w w:val="105"/>
          <w:szCs w:val="24"/>
        </w:rPr>
        <w:t>━</w:t>
      </w:r>
      <w:r>
        <w:rPr>
          <w:w w:val="105"/>
          <w:szCs w:val="24"/>
        </w:rPr>
        <w:t>由反射等引起的修正量，dB(A）。</w:t>
      </w:r>
    </w:p>
    <w:p>
      <w:pPr>
        <w:ind w:firstLine="503"/>
        <w:rPr>
          <w:w w:val="105"/>
          <w:szCs w:val="24"/>
        </w:rPr>
      </w:pPr>
      <w:r>
        <w:rPr>
          <w:rFonts w:hint="eastAsia"/>
          <w:w w:val="105"/>
          <w:szCs w:val="24"/>
        </w:rPr>
        <w:t>（2）</w:t>
      </w:r>
      <w:r>
        <w:rPr>
          <w:w w:val="105"/>
          <w:szCs w:val="24"/>
        </w:rPr>
        <w:t>参数的选取</w:t>
      </w:r>
    </w:p>
    <w:p>
      <w:pPr>
        <w:ind w:firstLine="503"/>
        <w:rPr>
          <w:w w:val="105"/>
          <w:szCs w:val="24"/>
        </w:rPr>
      </w:pPr>
      <w:r>
        <w:rPr>
          <w:w w:val="105"/>
          <w:szCs w:val="24"/>
        </w:rPr>
        <w:t>运输车流量为8辆/h，</w:t>
      </w:r>
      <w:r>
        <w:rPr>
          <w:w w:val="105"/>
          <w:position w:val="-12"/>
          <w:szCs w:val="24"/>
        </w:rPr>
        <w:object>
          <v:shape id="_x0000_i1047" o:spt="75" type="#_x0000_t75" style="height:20pt;width:31pt;" o:ole="t" filled="f" coordsize="21600,21600">
            <v:path/>
            <v:fill on="f" focussize="0,0"/>
            <v:stroke/>
            <v:imagedata r:id="rId108" o:title=""/>
            <o:lock v:ext="edit" aspectratio="t"/>
            <w10:wrap type="none"/>
            <w10:anchorlock/>
          </v:shape>
          <o:OLEObject Type="Embed" ProgID="Equation.3" ShapeID="_x0000_i1047" DrawAspect="Content" ObjectID="_1468075747" r:id="rId107">
            <o:LockedField>false</o:LockedField>
          </o:OLEObject>
        </w:object>
      </w:r>
      <w:r>
        <w:rPr>
          <w:w w:val="105"/>
          <w:szCs w:val="24"/>
        </w:rPr>
        <w:t>为72.2dB(A），平均行使车速度Vi取30km/h，且物料运输只在白天（早上6点至晚上6点，共计12小时）进行。</w:t>
      </w:r>
    </w:p>
    <w:p>
      <w:pPr>
        <w:ind w:firstLine="503"/>
        <w:rPr>
          <w:w w:val="105"/>
          <w:szCs w:val="24"/>
        </w:rPr>
      </w:pPr>
      <w:r>
        <w:rPr>
          <w:rFonts w:hint="eastAsia"/>
          <w:w w:val="105"/>
          <w:szCs w:val="24"/>
        </w:rPr>
        <w:t>（3）</w:t>
      </w:r>
      <w:r>
        <w:rPr>
          <w:w w:val="105"/>
          <w:szCs w:val="24"/>
        </w:rPr>
        <w:t>预测结果及分析</w:t>
      </w:r>
    </w:p>
    <w:p>
      <w:pPr>
        <w:ind w:firstLine="252" w:firstLineChars="100"/>
        <w:rPr>
          <w:w w:val="105"/>
          <w:szCs w:val="24"/>
        </w:rPr>
      </w:pPr>
      <w:r>
        <w:rPr>
          <w:w w:val="105"/>
          <w:szCs w:val="24"/>
        </w:rPr>
        <w:t>交通噪声对运输道路沿线敏感影响预测结果见表5.</w:t>
      </w:r>
      <w:r>
        <w:rPr>
          <w:rFonts w:hint="eastAsia"/>
          <w:w w:val="105"/>
          <w:szCs w:val="24"/>
        </w:rPr>
        <w:t>6</w:t>
      </w:r>
      <w:r>
        <w:rPr>
          <w:w w:val="105"/>
          <w:szCs w:val="24"/>
        </w:rPr>
        <w:t>-</w:t>
      </w:r>
      <w:r>
        <w:rPr>
          <w:rFonts w:hint="eastAsia"/>
          <w:w w:val="105"/>
          <w:szCs w:val="24"/>
        </w:rPr>
        <w:t>4</w:t>
      </w:r>
      <w:r>
        <w:rPr>
          <w:w w:val="105"/>
          <w:szCs w:val="24"/>
        </w:rPr>
        <w:t>。</w:t>
      </w:r>
    </w:p>
    <w:p>
      <w:pPr>
        <w:spacing w:before="120" w:beforeLines="50" w:line="240" w:lineRule="auto"/>
        <w:ind w:firstLine="503"/>
        <w:jc w:val="center"/>
        <w:rPr>
          <w:rFonts w:ascii="黑体" w:hAnsi="黑体" w:eastAsia="黑体" w:cs="黑体"/>
          <w:bCs/>
          <w:w w:val="105"/>
          <w:szCs w:val="24"/>
        </w:rPr>
      </w:pPr>
      <w:r>
        <w:rPr>
          <w:rFonts w:hint="eastAsia" w:ascii="黑体" w:hAnsi="黑体" w:eastAsia="黑体" w:cs="黑体"/>
          <w:bCs/>
          <w:w w:val="105"/>
          <w:szCs w:val="24"/>
        </w:rPr>
        <w:t>表5.6-4  交通噪声预测结果一览表     单位：dB(A）</w:t>
      </w:r>
    </w:p>
    <w:tbl>
      <w:tblPr>
        <w:tblStyle w:val="8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3"/>
        <w:gridCol w:w="857"/>
        <w:gridCol w:w="741"/>
        <w:gridCol w:w="875"/>
        <w:gridCol w:w="808"/>
        <w:gridCol w:w="741"/>
        <w:gridCol w:w="790"/>
        <w:gridCol w:w="790"/>
        <w:gridCol w:w="741"/>
        <w:gridCol w:w="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87" w:type="pct"/>
            <w:vMerge w:val="restart"/>
            <w:tcBorders>
              <w:tl2br w:val="nil"/>
              <w:tr2bl w:val="nil"/>
            </w:tcBorders>
            <w:vAlign w:val="center"/>
          </w:tcPr>
          <w:p>
            <w:pPr>
              <w:snapToGrid w:val="0"/>
              <w:spacing w:line="340" w:lineRule="exact"/>
              <w:ind w:firstLine="440"/>
              <w:jc w:val="center"/>
              <w:rPr>
                <w:w w:val="105"/>
                <w:sz w:val="21"/>
                <w:szCs w:val="21"/>
              </w:rPr>
            </w:pPr>
          </w:p>
          <w:p>
            <w:pPr>
              <w:snapToGrid w:val="0"/>
              <w:spacing w:line="340" w:lineRule="exact"/>
              <w:ind w:firstLine="440"/>
              <w:jc w:val="center"/>
              <w:rPr>
                <w:w w:val="105"/>
                <w:sz w:val="21"/>
                <w:szCs w:val="21"/>
              </w:rPr>
            </w:pPr>
            <w:r>
              <w:rPr>
                <w:w w:val="105"/>
                <w:sz w:val="21"/>
                <w:szCs w:val="21"/>
              </w:rPr>
              <w:t>距离</w:t>
            </w:r>
          </w:p>
          <w:p>
            <w:pPr>
              <w:snapToGrid w:val="0"/>
              <w:spacing w:line="340" w:lineRule="exact"/>
              <w:ind w:firstLine="440"/>
              <w:jc w:val="center"/>
              <w:rPr>
                <w:w w:val="105"/>
                <w:sz w:val="21"/>
                <w:szCs w:val="21"/>
              </w:rPr>
            </w:pPr>
            <w:r>
              <w:rPr>
                <w:w w:val="105"/>
                <w:sz w:val="21"/>
                <w:szCs w:val="21"/>
              </w:rPr>
              <w:t>声级值</w:t>
            </w:r>
          </w:p>
          <w:p>
            <w:pPr>
              <w:spacing w:line="340" w:lineRule="exact"/>
              <w:ind w:firstLine="440"/>
              <w:jc w:val="center"/>
              <w:rPr>
                <w:w w:val="105"/>
                <w:sz w:val="21"/>
                <w:szCs w:val="21"/>
              </w:rPr>
            </w:pPr>
          </w:p>
        </w:tc>
        <w:tc>
          <w:tcPr>
            <w:tcW w:w="3712" w:type="pct"/>
            <w:gridSpan w:val="9"/>
            <w:tcBorders>
              <w:tl2br w:val="nil"/>
              <w:tr2bl w:val="nil"/>
            </w:tcBorders>
            <w:vAlign w:val="center"/>
          </w:tcPr>
          <w:p>
            <w:pPr>
              <w:spacing w:line="340" w:lineRule="exact"/>
              <w:ind w:firstLine="440"/>
              <w:jc w:val="center"/>
              <w:rPr>
                <w:w w:val="105"/>
                <w:sz w:val="21"/>
                <w:szCs w:val="21"/>
              </w:rPr>
            </w:pPr>
            <w:r>
              <w:rPr>
                <w:w w:val="105"/>
                <w:sz w:val="21"/>
                <w:szCs w:val="21"/>
              </w:rPr>
              <w:t>距路中心线距离（m）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7" w:type="pct"/>
            <w:vMerge w:val="continue"/>
            <w:tcBorders>
              <w:tl2br w:val="nil"/>
              <w:tr2bl w:val="nil"/>
            </w:tcBorders>
            <w:vAlign w:val="center"/>
          </w:tcPr>
          <w:p>
            <w:pPr>
              <w:spacing w:line="340" w:lineRule="exact"/>
              <w:ind w:firstLine="440"/>
              <w:jc w:val="center"/>
              <w:rPr>
                <w:w w:val="105"/>
                <w:sz w:val="21"/>
                <w:szCs w:val="21"/>
              </w:rPr>
            </w:pPr>
          </w:p>
        </w:tc>
        <w:tc>
          <w:tcPr>
            <w:tcW w:w="448" w:type="pct"/>
            <w:tcBorders>
              <w:tl2br w:val="nil"/>
              <w:tr2bl w:val="nil"/>
            </w:tcBorders>
            <w:vAlign w:val="center"/>
          </w:tcPr>
          <w:p>
            <w:pPr>
              <w:spacing w:line="340" w:lineRule="exact"/>
              <w:ind w:firstLine="0" w:firstLineChars="0"/>
              <w:jc w:val="center"/>
              <w:rPr>
                <w:w w:val="105"/>
                <w:sz w:val="21"/>
                <w:szCs w:val="21"/>
              </w:rPr>
            </w:pPr>
            <w:r>
              <w:rPr>
                <w:w w:val="105"/>
                <w:sz w:val="21"/>
                <w:szCs w:val="21"/>
              </w:rPr>
              <w:t>10</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20</w:t>
            </w:r>
          </w:p>
        </w:tc>
        <w:tc>
          <w:tcPr>
            <w:tcW w:w="457" w:type="pct"/>
            <w:tcBorders>
              <w:tl2br w:val="nil"/>
              <w:tr2bl w:val="nil"/>
            </w:tcBorders>
            <w:vAlign w:val="center"/>
          </w:tcPr>
          <w:p>
            <w:pPr>
              <w:spacing w:line="340" w:lineRule="exact"/>
              <w:ind w:firstLine="0" w:firstLineChars="0"/>
              <w:jc w:val="center"/>
              <w:rPr>
                <w:w w:val="105"/>
                <w:sz w:val="21"/>
                <w:szCs w:val="21"/>
              </w:rPr>
            </w:pPr>
            <w:r>
              <w:rPr>
                <w:w w:val="105"/>
                <w:sz w:val="21"/>
                <w:szCs w:val="21"/>
              </w:rPr>
              <w:t>30</w:t>
            </w:r>
          </w:p>
        </w:tc>
        <w:tc>
          <w:tcPr>
            <w:tcW w:w="422" w:type="pct"/>
            <w:tcBorders>
              <w:tl2br w:val="nil"/>
              <w:tr2bl w:val="nil"/>
            </w:tcBorders>
            <w:vAlign w:val="center"/>
          </w:tcPr>
          <w:p>
            <w:pPr>
              <w:spacing w:line="340" w:lineRule="exact"/>
              <w:ind w:firstLine="0" w:firstLineChars="0"/>
              <w:jc w:val="center"/>
              <w:rPr>
                <w:w w:val="105"/>
                <w:sz w:val="21"/>
                <w:szCs w:val="21"/>
              </w:rPr>
            </w:pPr>
            <w:r>
              <w:rPr>
                <w:w w:val="105"/>
                <w:sz w:val="21"/>
                <w:szCs w:val="21"/>
              </w:rPr>
              <w:t>40</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50</w:t>
            </w:r>
          </w:p>
        </w:tc>
        <w:tc>
          <w:tcPr>
            <w:tcW w:w="413" w:type="pct"/>
            <w:tcBorders>
              <w:tl2br w:val="nil"/>
              <w:tr2bl w:val="nil"/>
            </w:tcBorders>
            <w:vAlign w:val="center"/>
          </w:tcPr>
          <w:p>
            <w:pPr>
              <w:spacing w:line="340" w:lineRule="exact"/>
              <w:ind w:firstLine="0" w:firstLineChars="0"/>
              <w:jc w:val="center"/>
              <w:rPr>
                <w:w w:val="105"/>
                <w:sz w:val="21"/>
                <w:szCs w:val="21"/>
              </w:rPr>
            </w:pPr>
            <w:r>
              <w:rPr>
                <w:w w:val="105"/>
                <w:sz w:val="21"/>
                <w:szCs w:val="21"/>
              </w:rPr>
              <w:t>60</w:t>
            </w:r>
          </w:p>
        </w:tc>
        <w:tc>
          <w:tcPr>
            <w:tcW w:w="413" w:type="pct"/>
            <w:tcBorders>
              <w:tl2br w:val="nil"/>
              <w:tr2bl w:val="nil"/>
            </w:tcBorders>
            <w:vAlign w:val="center"/>
          </w:tcPr>
          <w:p>
            <w:pPr>
              <w:spacing w:line="340" w:lineRule="exact"/>
              <w:ind w:firstLine="0" w:firstLineChars="0"/>
              <w:jc w:val="center"/>
              <w:rPr>
                <w:w w:val="105"/>
                <w:sz w:val="21"/>
                <w:szCs w:val="21"/>
              </w:rPr>
            </w:pPr>
            <w:r>
              <w:rPr>
                <w:w w:val="105"/>
                <w:sz w:val="21"/>
                <w:szCs w:val="21"/>
              </w:rPr>
              <w:t>80</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120</w:t>
            </w:r>
          </w:p>
        </w:tc>
        <w:tc>
          <w:tcPr>
            <w:tcW w:w="396" w:type="pct"/>
            <w:tcBorders>
              <w:tl2br w:val="nil"/>
              <w:tr2bl w:val="nil"/>
            </w:tcBorders>
            <w:vAlign w:val="center"/>
          </w:tcPr>
          <w:p>
            <w:pPr>
              <w:spacing w:line="340" w:lineRule="exact"/>
              <w:ind w:firstLine="0" w:firstLineChars="0"/>
              <w:jc w:val="center"/>
              <w:rPr>
                <w:w w:val="105"/>
                <w:sz w:val="21"/>
                <w:szCs w:val="21"/>
              </w:rPr>
            </w:pPr>
            <w:r>
              <w:rPr>
                <w:w w:val="105"/>
                <w:sz w:val="21"/>
                <w:szCs w:val="21"/>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7" w:type="pct"/>
            <w:tcBorders>
              <w:tl2br w:val="nil"/>
              <w:tr2bl w:val="nil"/>
            </w:tcBorders>
            <w:vAlign w:val="center"/>
          </w:tcPr>
          <w:p>
            <w:pPr>
              <w:spacing w:line="340" w:lineRule="exact"/>
              <w:ind w:firstLine="0" w:firstLineChars="0"/>
              <w:jc w:val="center"/>
              <w:rPr>
                <w:w w:val="105"/>
                <w:sz w:val="21"/>
                <w:szCs w:val="21"/>
              </w:rPr>
            </w:pPr>
            <w:r>
              <w:rPr>
                <w:w w:val="105"/>
                <w:sz w:val="21"/>
                <w:szCs w:val="21"/>
              </w:rPr>
              <w:t>预测值（昼间）</w:t>
            </w:r>
          </w:p>
        </w:tc>
        <w:tc>
          <w:tcPr>
            <w:tcW w:w="448" w:type="pct"/>
            <w:tcBorders>
              <w:tl2br w:val="nil"/>
              <w:tr2bl w:val="nil"/>
            </w:tcBorders>
            <w:vAlign w:val="center"/>
          </w:tcPr>
          <w:p>
            <w:pPr>
              <w:spacing w:line="340" w:lineRule="exact"/>
              <w:ind w:firstLine="0" w:firstLineChars="0"/>
              <w:jc w:val="center"/>
              <w:rPr>
                <w:w w:val="105"/>
                <w:sz w:val="21"/>
                <w:szCs w:val="21"/>
              </w:rPr>
            </w:pPr>
            <w:r>
              <w:rPr>
                <w:w w:val="105"/>
                <w:sz w:val="21"/>
                <w:szCs w:val="21"/>
              </w:rPr>
              <w:t>70.3</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64.6</w:t>
            </w:r>
          </w:p>
        </w:tc>
        <w:tc>
          <w:tcPr>
            <w:tcW w:w="457" w:type="pct"/>
            <w:tcBorders>
              <w:tl2br w:val="nil"/>
              <w:tr2bl w:val="nil"/>
            </w:tcBorders>
            <w:vAlign w:val="center"/>
          </w:tcPr>
          <w:p>
            <w:pPr>
              <w:spacing w:line="340" w:lineRule="exact"/>
              <w:ind w:firstLine="0" w:firstLineChars="0"/>
              <w:jc w:val="center"/>
              <w:rPr>
                <w:w w:val="105"/>
                <w:sz w:val="21"/>
                <w:szCs w:val="21"/>
              </w:rPr>
            </w:pPr>
            <w:r>
              <w:rPr>
                <w:w w:val="105"/>
                <w:sz w:val="21"/>
                <w:szCs w:val="21"/>
              </w:rPr>
              <w:t>62.3</w:t>
            </w:r>
          </w:p>
        </w:tc>
        <w:tc>
          <w:tcPr>
            <w:tcW w:w="422" w:type="pct"/>
            <w:tcBorders>
              <w:tl2br w:val="nil"/>
              <w:tr2bl w:val="nil"/>
            </w:tcBorders>
            <w:vAlign w:val="center"/>
          </w:tcPr>
          <w:p>
            <w:pPr>
              <w:spacing w:line="340" w:lineRule="exact"/>
              <w:ind w:firstLine="0" w:firstLineChars="0"/>
              <w:jc w:val="center"/>
              <w:rPr>
                <w:w w:val="105"/>
                <w:sz w:val="21"/>
                <w:szCs w:val="21"/>
              </w:rPr>
            </w:pPr>
            <w:r>
              <w:rPr>
                <w:w w:val="105"/>
                <w:sz w:val="21"/>
                <w:szCs w:val="21"/>
              </w:rPr>
              <w:t>60.1</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58.7</w:t>
            </w:r>
          </w:p>
        </w:tc>
        <w:tc>
          <w:tcPr>
            <w:tcW w:w="413" w:type="pct"/>
            <w:tcBorders>
              <w:tl2br w:val="nil"/>
              <w:tr2bl w:val="nil"/>
            </w:tcBorders>
            <w:vAlign w:val="center"/>
          </w:tcPr>
          <w:p>
            <w:pPr>
              <w:spacing w:line="340" w:lineRule="exact"/>
              <w:ind w:firstLine="0" w:firstLineChars="0"/>
              <w:jc w:val="center"/>
              <w:rPr>
                <w:w w:val="105"/>
                <w:sz w:val="21"/>
                <w:szCs w:val="21"/>
              </w:rPr>
            </w:pPr>
            <w:r>
              <w:rPr>
                <w:w w:val="105"/>
                <w:sz w:val="21"/>
                <w:szCs w:val="21"/>
              </w:rPr>
              <w:t>57.2</w:t>
            </w:r>
          </w:p>
        </w:tc>
        <w:tc>
          <w:tcPr>
            <w:tcW w:w="413" w:type="pct"/>
            <w:tcBorders>
              <w:tl2br w:val="nil"/>
              <w:tr2bl w:val="nil"/>
            </w:tcBorders>
            <w:vAlign w:val="center"/>
          </w:tcPr>
          <w:p>
            <w:pPr>
              <w:spacing w:line="340" w:lineRule="exact"/>
              <w:ind w:firstLine="0" w:firstLineChars="0"/>
              <w:jc w:val="center"/>
              <w:rPr>
                <w:w w:val="105"/>
                <w:sz w:val="21"/>
                <w:szCs w:val="21"/>
              </w:rPr>
            </w:pPr>
            <w:r>
              <w:rPr>
                <w:w w:val="105"/>
                <w:sz w:val="21"/>
                <w:szCs w:val="21"/>
              </w:rPr>
              <w:t>55.0</w:t>
            </w:r>
          </w:p>
        </w:tc>
        <w:tc>
          <w:tcPr>
            <w:tcW w:w="387" w:type="pct"/>
            <w:tcBorders>
              <w:tl2br w:val="nil"/>
              <w:tr2bl w:val="nil"/>
            </w:tcBorders>
            <w:vAlign w:val="center"/>
          </w:tcPr>
          <w:p>
            <w:pPr>
              <w:spacing w:line="340" w:lineRule="exact"/>
              <w:ind w:firstLine="0" w:firstLineChars="0"/>
              <w:jc w:val="center"/>
              <w:rPr>
                <w:w w:val="105"/>
                <w:sz w:val="21"/>
                <w:szCs w:val="21"/>
              </w:rPr>
            </w:pPr>
            <w:r>
              <w:rPr>
                <w:w w:val="105"/>
                <w:sz w:val="21"/>
                <w:szCs w:val="21"/>
              </w:rPr>
              <w:t>48.1</w:t>
            </w:r>
          </w:p>
        </w:tc>
        <w:tc>
          <w:tcPr>
            <w:tcW w:w="396" w:type="pct"/>
            <w:tcBorders>
              <w:tl2br w:val="nil"/>
              <w:tr2bl w:val="nil"/>
            </w:tcBorders>
            <w:vAlign w:val="center"/>
          </w:tcPr>
          <w:p>
            <w:pPr>
              <w:spacing w:line="340" w:lineRule="exact"/>
              <w:ind w:firstLine="0" w:firstLineChars="0"/>
              <w:jc w:val="center"/>
              <w:rPr>
                <w:w w:val="105"/>
                <w:sz w:val="21"/>
                <w:szCs w:val="21"/>
              </w:rPr>
            </w:pPr>
            <w:r>
              <w:rPr>
                <w:w w:val="105"/>
                <w:sz w:val="21"/>
                <w:szCs w:val="21"/>
              </w:rPr>
              <w:t>44.5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7" w:type="pct"/>
            <w:tcBorders>
              <w:tl2br w:val="nil"/>
              <w:tr2bl w:val="nil"/>
            </w:tcBorders>
            <w:vAlign w:val="center"/>
          </w:tcPr>
          <w:p>
            <w:pPr>
              <w:spacing w:line="340" w:lineRule="exact"/>
              <w:ind w:firstLine="0" w:firstLineChars="0"/>
              <w:jc w:val="center"/>
              <w:rPr>
                <w:w w:val="105"/>
                <w:sz w:val="21"/>
                <w:szCs w:val="21"/>
              </w:rPr>
            </w:pPr>
            <w:r>
              <w:rPr>
                <w:w w:val="105"/>
                <w:sz w:val="21"/>
                <w:szCs w:val="21"/>
              </w:rPr>
              <w:t>标准限值（昼间）</w:t>
            </w:r>
          </w:p>
        </w:tc>
        <w:tc>
          <w:tcPr>
            <w:tcW w:w="3712" w:type="pct"/>
            <w:gridSpan w:val="9"/>
            <w:tcBorders>
              <w:tl2br w:val="nil"/>
              <w:tr2bl w:val="nil"/>
            </w:tcBorders>
            <w:vAlign w:val="center"/>
          </w:tcPr>
          <w:p>
            <w:pPr>
              <w:spacing w:line="340" w:lineRule="exact"/>
              <w:ind w:firstLine="440"/>
              <w:jc w:val="center"/>
              <w:rPr>
                <w:w w:val="105"/>
                <w:sz w:val="21"/>
                <w:szCs w:val="21"/>
              </w:rPr>
            </w:pPr>
            <w:r>
              <w:rPr>
                <w:w w:val="105"/>
                <w:sz w:val="21"/>
                <w:szCs w:val="21"/>
              </w:rPr>
              <w:t>55</w:t>
            </w:r>
          </w:p>
        </w:tc>
      </w:tr>
    </w:tbl>
    <w:p>
      <w:pPr>
        <w:ind w:firstLine="503"/>
        <w:rPr>
          <w:w w:val="105"/>
          <w:szCs w:val="24"/>
        </w:rPr>
      </w:pPr>
      <w:r>
        <w:rPr>
          <w:w w:val="105"/>
          <w:szCs w:val="24"/>
        </w:rPr>
        <w:t>由表5.</w:t>
      </w:r>
      <w:r>
        <w:rPr>
          <w:rFonts w:hint="eastAsia"/>
          <w:w w:val="105"/>
          <w:szCs w:val="24"/>
        </w:rPr>
        <w:t>6</w:t>
      </w:r>
      <w:r>
        <w:rPr>
          <w:w w:val="105"/>
          <w:szCs w:val="24"/>
        </w:rPr>
        <w:t>-</w:t>
      </w:r>
      <w:r>
        <w:rPr>
          <w:rFonts w:hint="eastAsia"/>
          <w:w w:val="105"/>
          <w:szCs w:val="24"/>
        </w:rPr>
        <w:t>4</w:t>
      </w:r>
      <w:r>
        <w:rPr>
          <w:w w:val="105"/>
          <w:szCs w:val="24"/>
        </w:rPr>
        <w:t>可看出，车辆噪声对距道路中心线外80m范围内的住户有一定影响。</w:t>
      </w:r>
      <w:r>
        <w:rPr>
          <w:rFonts w:hint="eastAsia"/>
          <w:w w:val="105"/>
          <w:szCs w:val="24"/>
        </w:rPr>
        <w:t>本</w:t>
      </w:r>
      <w:r>
        <w:rPr>
          <w:w w:val="105"/>
          <w:szCs w:val="24"/>
        </w:rPr>
        <w:t>项目施工临时道路两侧80m范围内的</w:t>
      </w:r>
      <w:r>
        <w:rPr>
          <w:rFonts w:hint="eastAsia"/>
          <w:w w:val="105"/>
          <w:szCs w:val="24"/>
        </w:rPr>
        <w:t>无</w:t>
      </w:r>
      <w:r>
        <w:rPr>
          <w:w w:val="105"/>
          <w:szCs w:val="24"/>
        </w:rPr>
        <w:t>敏感点，为减小对</w:t>
      </w:r>
      <w:r>
        <w:rPr>
          <w:rFonts w:hint="eastAsia"/>
          <w:w w:val="105"/>
          <w:szCs w:val="24"/>
        </w:rPr>
        <w:t>周边敏感点</w:t>
      </w:r>
      <w:r>
        <w:rPr>
          <w:w w:val="105"/>
          <w:szCs w:val="24"/>
        </w:rPr>
        <w:t>的影响，评价建议建设单位采取以下噪声防治措施：</w:t>
      </w:r>
    </w:p>
    <w:p>
      <w:pPr>
        <w:ind w:firstLine="503"/>
        <w:rPr>
          <w:w w:val="105"/>
          <w:szCs w:val="24"/>
        </w:rPr>
      </w:pPr>
      <w:r>
        <w:rPr>
          <w:rFonts w:hint="eastAsia" w:ascii="宋体" w:hAnsi="宋体" w:cs="宋体"/>
          <w:w w:val="105"/>
          <w:szCs w:val="24"/>
        </w:rPr>
        <w:t>①</w:t>
      </w:r>
      <w:r>
        <w:rPr>
          <w:w w:val="105"/>
          <w:szCs w:val="24"/>
        </w:rPr>
        <w:t>加强对运输车辆的管理，保持良好的车况，禁止病车上路；</w:t>
      </w:r>
    </w:p>
    <w:p>
      <w:pPr>
        <w:ind w:firstLine="503"/>
        <w:rPr>
          <w:w w:val="105"/>
          <w:szCs w:val="24"/>
        </w:rPr>
      </w:pPr>
      <w:r>
        <w:rPr>
          <w:rFonts w:hint="eastAsia" w:ascii="宋体" w:hAnsi="宋体" w:cs="宋体"/>
          <w:w w:val="105"/>
          <w:szCs w:val="24"/>
        </w:rPr>
        <w:t>②</w:t>
      </w:r>
      <w:r>
        <w:rPr>
          <w:w w:val="105"/>
          <w:szCs w:val="24"/>
        </w:rPr>
        <w:t>禁止车辆超载运输，以降低噪声级；</w:t>
      </w:r>
    </w:p>
    <w:p>
      <w:pPr>
        <w:ind w:firstLine="503"/>
        <w:rPr>
          <w:w w:val="105"/>
          <w:szCs w:val="24"/>
        </w:rPr>
      </w:pPr>
      <w:r>
        <w:rPr>
          <w:rFonts w:hint="eastAsia" w:ascii="宋体" w:hAnsi="宋体" w:cs="宋体"/>
          <w:w w:val="105"/>
          <w:szCs w:val="24"/>
        </w:rPr>
        <w:t>③</w:t>
      </w:r>
      <w:r>
        <w:rPr>
          <w:w w:val="105"/>
          <w:szCs w:val="24"/>
        </w:rPr>
        <w:t>运输车辆在途径村庄时，减速慢行，并禁止长时间鸣笛；</w:t>
      </w:r>
    </w:p>
    <w:p>
      <w:pPr>
        <w:ind w:firstLine="503"/>
        <w:rPr>
          <w:w w:val="105"/>
          <w:szCs w:val="24"/>
        </w:rPr>
      </w:pPr>
      <w:r>
        <w:rPr>
          <w:rFonts w:hint="eastAsia" w:ascii="宋体" w:hAnsi="宋体" w:cs="宋体"/>
          <w:w w:val="105"/>
          <w:szCs w:val="24"/>
        </w:rPr>
        <w:t>④</w:t>
      </w:r>
      <w:r>
        <w:rPr>
          <w:w w:val="105"/>
          <w:szCs w:val="24"/>
        </w:rPr>
        <w:t>禁止夜间运输。</w:t>
      </w:r>
    </w:p>
    <w:p>
      <w:pPr>
        <w:pStyle w:val="6"/>
        <w:spacing w:beforeLines="50" w:afterLines="50"/>
        <w:rPr>
          <w:szCs w:val="28"/>
        </w:rPr>
      </w:pPr>
      <w:bookmarkStart w:id="897" w:name="_Toc3520"/>
      <w:r>
        <w:rPr>
          <w:szCs w:val="28"/>
        </w:rPr>
        <w:t>5.</w:t>
      </w:r>
      <w:r>
        <w:rPr>
          <w:rFonts w:hint="eastAsia"/>
          <w:szCs w:val="28"/>
        </w:rPr>
        <w:t>7</w:t>
      </w:r>
      <w:r>
        <w:rPr>
          <w:szCs w:val="28"/>
        </w:rPr>
        <w:t>固体废物影响评价</w:t>
      </w:r>
      <w:bookmarkEnd w:id="889"/>
      <w:bookmarkEnd w:id="890"/>
      <w:bookmarkEnd w:id="891"/>
      <w:bookmarkEnd w:id="892"/>
      <w:bookmarkEnd w:id="893"/>
      <w:bookmarkEnd w:id="894"/>
      <w:bookmarkEnd w:id="895"/>
      <w:bookmarkEnd w:id="896"/>
      <w:bookmarkEnd w:id="897"/>
    </w:p>
    <w:p>
      <w:pPr>
        <w:pStyle w:val="835"/>
        <w:spacing w:before="0" w:line="360" w:lineRule="auto"/>
      </w:pPr>
      <w:bookmarkStart w:id="898" w:name="_Toc534386328"/>
      <w:bookmarkStart w:id="899" w:name="_Toc534895304"/>
      <w:bookmarkStart w:id="900" w:name="_Toc534807087"/>
      <w:bookmarkStart w:id="901" w:name="_Toc3903309"/>
      <w:bookmarkStart w:id="902" w:name="_Toc529279084"/>
      <w:bookmarkStart w:id="903" w:name="_Toc536265172"/>
      <w:r>
        <w:t>5.</w:t>
      </w:r>
      <w:r>
        <w:rPr>
          <w:rFonts w:hint="eastAsia"/>
        </w:rPr>
        <w:t>7</w:t>
      </w:r>
      <w:r>
        <w:t>.1施工期固体废物环境影响分析</w:t>
      </w:r>
      <w:bookmarkEnd w:id="898"/>
      <w:bookmarkEnd w:id="899"/>
      <w:bookmarkEnd w:id="900"/>
      <w:bookmarkEnd w:id="901"/>
      <w:bookmarkEnd w:id="902"/>
      <w:bookmarkEnd w:id="903"/>
    </w:p>
    <w:p>
      <w:pPr>
        <w:ind w:firstLine="436" w:firstLineChars="182"/>
        <w:rPr>
          <w:szCs w:val="24"/>
        </w:rPr>
      </w:pPr>
      <w:r>
        <w:rPr>
          <w:szCs w:val="24"/>
        </w:rPr>
        <w:t>施工期产生的固体废物主要有</w:t>
      </w:r>
      <w:r>
        <w:t>工程弃渣、危险废物和</w:t>
      </w:r>
      <w:r>
        <w:rPr>
          <w:szCs w:val="24"/>
        </w:rPr>
        <w:t>施工人员产生的生活垃圾。</w:t>
      </w:r>
    </w:p>
    <w:p>
      <w:pPr>
        <w:pStyle w:val="284"/>
        <w:rPr>
          <w:kern w:val="0"/>
          <w:szCs w:val="24"/>
        </w:rPr>
      </w:pPr>
      <w:r>
        <w:rPr>
          <w:rFonts w:hint="eastAsia" w:ascii="宋体" w:hAnsi="宋体" w:cs="宋体"/>
        </w:rPr>
        <w:t>⑴</w:t>
      </w:r>
      <w:r>
        <w:rPr>
          <w:kern w:val="0"/>
          <w:szCs w:val="24"/>
        </w:rPr>
        <w:t>工程弃渣</w:t>
      </w:r>
    </w:p>
    <w:p>
      <w:pPr>
        <w:autoSpaceDE w:val="0"/>
        <w:autoSpaceDN w:val="0"/>
        <w:adjustRightInd w:val="0"/>
        <w:ind w:firstLine="480"/>
      </w:pPr>
      <w:r>
        <w:t>本项目挖填土石方总量为</w:t>
      </w:r>
      <w:r>
        <w:rPr>
          <w:rFonts w:hint="eastAsia"/>
        </w:rPr>
        <w:t>422880.2</w:t>
      </w:r>
      <w:r>
        <w:t>m</w:t>
      </w:r>
      <w:r>
        <w:rPr>
          <w:vertAlign w:val="superscript"/>
        </w:rPr>
        <w:t>3</w:t>
      </w:r>
      <w:r>
        <w:t>，其中开挖量为</w:t>
      </w:r>
      <w:r>
        <w:rPr>
          <w:rFonts w:hint="eastAsia"/>
        </w:rPr>
        <w:t>205574.1</w:t>
      </w:r>
      <w:r>
        <w:t>m</w:t>
      </w:r>
      <w:r>
        <w:rPr>
          <w:vertAlign w:val="superscript"/>
        </w:rPr>
        <w:t>3</w:t>
      </w:r>
      <w:r>
        <w:t>（含表土2.25万m</w:t>
      </w:r>
      <w:r>
        <w:rPr>
          <w:vertAlign w:val="superscript"/>
        </w:rPr>
        <w:t>3</w:t>
      </w:r>
      <w:r>
        <w:t>），回填量为</w:t>
      </w:r>
      <w:r>
        <w:rPr>
          <w:rFonts w:hint="eastAsia"/>
        </w:rPr>
        <w:t>211440.1</w:t>
      </w:r>
      <w:r>
        <w:t>m</w:t>
      </w:r>
      <w:r>
        <w:rPr>
          <w:vertAlign w:val="superscript"/>
        </w:rPr>
        <w:t>3</w:t>
      </w:r>
      <w:r>
        <w:t>，外借方33310m</w:t>
      </w:r>
      <w:r>
        <w:rPr>
          <w:vertAlign w:val="superscript"/>
        </w:rPr>
        <w:t>3</w:t>
      </w:r>
      <w:r>
        <w:t>，弃方量为27444.0m</w:t>
      </w:r>
      <w:r>
        <w:rPr>
          <w:vertAlign w:val="superscript"/>
        </w:rPr>
        <w:t>3</w:t>
      </w:r>
      <w:r>
        <w:t>。</w:t>
      </w:r>
      <w:r>
        <w:rPr>
          <w:rFonts w:hint="eastAsia"/>
        </w:rPr>
        <w:t>共布置弃渣场1处堆放工程弃渣，弃渣主要成分为建筑垃圾、砂卵石、土料、石渣等，不含有毒或有机污染物，不会对周围环境造成污染。但若随意倾倒将会造成水土流失，进入河道内会淤塞河道，并引起水质污染，因此应加强施工弃渣管理，采取有效的临时防护、拦挡、排水和植被恢复等水保措施，先拦后弃，有效防治弃渣产生新的水土流失。因此，</w:t>
      </w:r>
      <w:r>
        <w:t>本项目产生的弃渣运送至弃渣场处理，对周边影响较小。</w:t>
      </w:r>
    </w:p>
    <w:p>
      <w:pPr>
        <w:autoSpaceDE w:val="0"/>
        <w:autoSpaceDN w:val="0"/>
        <w:adjustRightInd w:val="0"/>
        <w:ind w:firstLine="480"/>
      </w:pPr>
      <w:r>
        <w:rPr>
          <w:rFonts w:hint="eastAsia"/>
        </w:rPr>
        <w:t>⑵</w:t>
      </w:r>
      <w:r>
        <w:t>危险废物</w:t>
      </w:r>
    </w:p>
    <w:p>
      <w:pPr>
        <w:autoSpaceDE w:val="0"/>
        <w:autoSpaceDN w:val="0"/>
        <w:adjustRightInd w:val="0"/>
        <w:ind w:firstLine="480"/>
      </w:pPr>
      <w:r>
        <w:rPr>
          <w:kern w:val="0"/>
          <w:szCs w:val="24"/>
        </w:rPr>
        <w:t>施工期间，机械设备维修、空压机和液压设备产生的废机油、废乳化液、废液压油及废机油桶、废乳化液桶、废液压油桶等属于危险废弃物，约0.2t。</w:t>
      </w:r>
      <w:r>
        <w:t>根据《国家危险废物名录》（20</w:t>
      </w:r>
      <w:r>
        <w:rPr>
          <w:rFonts w:hint="eastAsia"/>
        </w:rPr>
        <w:t>21</w:t>
      </w:r>
      <w:r>
        <w:t>版），工程机修厂产生的废机油、机械冲洗废水处理设施含油污泥以及空压机废油均为危险废物，废物类别为“HW08 废矿物油”。根据豁免管理清单，废油抹布可以混入生活垃圾一同处置。废油桶可由生产厂家进行回收。废机油、空压机废油、含油污泥均应由施工单位交由有危废处理资质的单位进行处置。</w:t>
      </w:r>
    </w:p>
    <w:p>
      <w:pPr>
        <w:autoSpaceDE w:val="0"/>
        <w:autoSpaceDN w:val="0"/>
        <w:adjustRightInd w:val="0"/>
        <w:ind w:firstLine="480"/>
      </w:pPr>
      <w:r>
        <w:t>施工期应在</w:t>
      </w:r>
      <w:r>
        <w:rPr>
          <w:rFonts w:hint="eastAsia"/>
        </w:rPr>
        <w:t>施工场地</w:t>
      </w:r>
      <w:r>
        <w:t>机械</w:t>
      </w:r>
      <w:r>
        <w:rPr>
          <w:rFonts w:hint="eastAsia"/>
        </w:rPr>
        <w:t>及车辆</w:t>
      </w:r>
      <w:r>
        <w:t>维修站附近设置危险废物临时贮存设施，及时收集贮存危险废物并定期交由有危险废物处理资质的单位处理，在收集、临时贮存过程中严格按照《危险废物贮存污染控制标准》（GB18597-2001）</w:t>
      </w:r>
      <w:r>
        <w:rPr>
          <w:rFonts w:hint="eastAsia"/>
        </w:rPr>
        <w:t>及其修改单</w:t>
      </w:r>
      <w:r>
        <w:t>中的有关规定执行，从而避免本项目产生的危险废物对周围环境产生影响。</w:t>
      </w:r>
    </w:p>
    <w:p>
      <w:pPr>
        <w:pStyle w:val="36"/>
        <w:ind w:left="0" w:leftChars="0" w:firstLine="480" w:firstLineChars="200"/>
        <w:rPr>
          <w:kern w:val="0"/>
          <w:szCs w:val="24"/>
        </w:rPr>
      </w:pPr>
      <w:r>
        <w:rPr>
          <w:rFonts w:hint="eastAsia" w:ascii="宋体" w:hAnsi="宋体" w:cs="宋体"/>
          <w:szCs w:val="24"/>
        </w:rPr>
        <w:t>⑶</w:t>
      </w:r>
      <w:r>
        <w:rPr>
          <w:kern w:val="0"/>
          <w:szCs w:val="24"/>
        </w:rPr>
        <w:t>施工生活垃圾</w:t>
      </w:r>
    </w:p>
    <w:p>
      <w:pPr>
        <w:ind w:firstLine="480"/>
        <w:rPr>
          <w:kern w:val="0"/>
          <w:szCs w:val="24"/>
        </w:rPr>
      </w:pPr>
      <w:r>
        <w:rPr>
          <w:kern w:val="0"/>
          <w:szCs w:val="24"/>
        </w:rPr>
        <w:t>施工期间产生的生活垃圾为</w:t>
      </w:r>
      <w:r>
        <w:t>54t</w:t>
      </w:r>
      <w:r>
        <w:rPr>
          <w:kern w:val="0"/>
          <w:szCs w:val="24"/>
        </w:rPr>
        <w:t>/施工期，分为可降解和不可降解的固体废物。若不对这些垃圾采取处理措施，将会对周边生态环境及河流等水环境造成较大的影响。</w:t>
      </w:r>
    </w:p>
    <w:p>
      <w:pPr>
        <w:ind w:firstLine="480"/>
        <w:rPr>
          <w:kern w:val="0"/>
          <w:szCs w:val="24"/>
        </w:rPr>
      </w:pPr>
      <w:r>
        <w:rPr>
          <w:kern w:val="0"/>
          <w:szCs w:val="24"/>
        </w:rPr>
        <w:t>根据《中华人民共和国固体废物污染环境防治法》的有关内容，建议在施工期，在施工场地</w:t>
      </w:r>
      <w:r>
        <w:rPr>
          <w:rFonts w:hint="eastAsia"/>
          <w:kern w:val="0"/>
          <w:szCs w:val="24"/>
        </w:rPr>
        <w:t>设置垃圾桶</w:t>
      </w:r>
      <w:r>
        <w:rPr>
          <w:kern w:val="0"/>
          <w:szCs w:val="24"/>
        </w:rPr>
        <w:t>，对生活垃圾的分类化管理，聘请专人定期清除垃圾，并运送至附近的垃圾中转站待处理，运送途中要避免垃圾的遗撒。同时，应特别注意对临时垃圾堆放点的维护管理，避免垃圾的随意堆放造成垃圾四处洒落，并对堆放点定期喷杀菌、杀虫药水，减少蚊虫和病菌的滋生。</w:t>
      </w:r>
    </w:p>
    <w:p>
      <w:pPr>
        <w:pStyle w:val="835"/>
        <w:spacing w:before="0" w:line="360" w:lineRule="auto"/>
      </w:pPr>
      <w:bookmarkStart w:id="904" w:name="_Toc529279085"/>
      <w:bookmarkStart w:id="905" w:name="_Toc3903310"/>
      <w:bookmarkStart w:id="906" w:name="_Toc534807088"/>
      <w:bookmarkStart w:id="907" w:name="_Toc536265173"/>
      <w:bookmarkStart w:id="908" w:name="_Toc534386329"/>
      <w:bookmarkStart w:id="909" w:name="_Toc534895305"/>
      <w:r>
        <w:t>5.</w:t>
      </w:r>
      <w:r>
        <w:rPr>
          <w:rFonts w:hint="eastAsia"/>
        </w:rPr>
        <w:t>7</w:t>
      </w:r>
      <w:r>
        <w:t>.2运营期固体废物影响分析</w:t>
      </w:r>
      <w:bookmarkEnd w:id="904"/>
      <w:bookmarkEnd w:id="905"/>
      <w:bookmarkEnd w:id="906"/>
      <w:bookmarkEnd w:id="907"/>
      <w:bookmarkEnd w:id="908"/>
      <w:bookmarkEnd w:id="909"/>
    </w:p>
    <w:p>
      <w:pPr>
        <w:autoSpaceDE w:val="0"/>
        <w:autoSpaceDN w:val="0"/>
        <w:adjustRightInd w:val="0"/>
        <w:ind w:firstLine="480"/>
        <w:rPr>
          <w:kern w:val="0"/>
          <w:szCs w:val="24"/>
        </w:rPr>
      </w:pPr>
      <w:r>
        <w:rPr>
          <w:rFonts w:hint="eastAsia"/>
          <w:kern w:val="0"/>
          <w:szCs w:val="24"/>
        </w:rPr>
        <w:t>上高</w:t>
      </w:r>
      <w:r>
        <w:rPr>
          <w:kern w:val="0"/>
          <w:szCs w:val="24"/>
        </w:rPr>
        <w:t>县</w:t>
      </w:r>
      <w:r>
        <w:rPr>
          <w:rFonts w:hint="eastAsia"/>
          <w:kern w:val="0"/>
          <w:szCs w:val="24"/>
        </w:rPr>
        <w:t>毛家渡</w:t>
      </w:r>
      <w:r>
        <w:rPr>
          <w:kern w:val="0"/>
          <w:szCs w:val="24"/>
        </w:rPr>
        <w:t>抬水工程运营期固体废物主要来源于管理人员，每次值班为1人，生活垃圾按0.5kg/人·d计，则生活垃圾产生量为0.5kg/d（0.18t/a）。由垃圾桶暂存，定期送</w:t>
      </w:r>
      <w:r>
        <w:rPr>
          <w:rFonts w:hint="eastAsia"/>
          <w:kern w:val="0"/>
          <w:szCs w:val="24"/>
        </w:rPr>
        <w:t>上高</w:t>
      </w:r>
      <w:r>
        <w:rPr>
          <w:kern w:val="0"/>
          <w:szCs w:val="24"/>
        </w:rPr>
        <w:t>县垃圾处理厂处置</w:t>
      </w:r>
      <w:r>
        <w:rPr>
          <w:rFonts w:hint="eastAsia"/>
          <w:kern w:val="0"/>
          <w:szCs w:val="24"/>
        </w:rPr>
        <w:t>，不会对周围环境造成污染。</w:t>
      </w:r>
    </w:p>
    <w:p>
      <w:pPr>
        <w:pStyle w:val="6"/>
        <w:spacing w:beforeLines="50" w:afterLines="50"/>
        <w:rPr>
          <w:szCs w:val="28"/>
        </w:rPr>
      </w:pPr>
      <w:bookmarkStart w:id="910" w:name="_Toc26882"/>
      <w:r>
        <w:rPr>
          <w:szCs w:val="28"/>
        </w:rPr>
        <w:t>5.</w:t>
      </w:r>
      <w:r>
        <w:rPr>
          <w:rFonts w:hint="eastAsia"/>
          <w:szCs w:val="28"/>
        </w:rPr>
        <w:t>8土壤环境影响评价</w:t>
      </w:r>
      <w:bookmarkEnd w:id="910"/>
    </w:p>
    <w:p>
      <w:pPr>
        <w:autoSpaceDE w:val="0"/>
        <w:autoSpaceDN w:val="0"/>
        <w:adjustRightInd w:val="0"/>
        <w:ind w:firstLine="480"/>
        <w:rPr>
          <w:kern w:val="0"/>
          <w:szCs w:val="24"/>
        </w:rPr>
      </w:pPr>
      <w:r>
        <w:rPr>
          <w:rFonts w:hint="eastAsia"/>
          <w:kern w:val="0"/>
          <w:szCs w:val="24"/>
        </w:rPr>
        <w:t>上高</w:t>
      </w:r>
      <w:r>
        <w:rPr>
          <w:kern w:val="0"/>
          <w:szCs w:val="24"/>
        </w:rPr>
        <w:t>县</w:t>
      </w:r>
      <w:r>
        <w:rPr>
          <w:rFonts w:hint="eastAsia"/>
          <w:kern w:val="0"/>
          <w:szCs w:val="24"/>
        </w:rPr>
        <w:t>毛家渡</w:t>
      </w:r>
      <w:r>
        <w:rPr>
          <w:kern w:val="0"/>
          <w:szCs w:val="24"/>
        </w:rPr>
        <w:t>抬水</w:t>
      </w:r>
      <w:r>
        <w:rPr>
          <w:rFonts w:hint="eastAsia"/>
          <w:kern w:val="0"/>
          <w:szCs w:val="24"/>
        </w:rPr>
        <w:t>工程土壤环境影响包括施工期土壤环境影响和运行期土壤环境影响。施工期土壤环境影响主要为工程建设占地、土方开挖、对土地利用类型的改变等，造成土壤侵蚀。运行期土壤环境影响主要包括土地淹没影响对水库消落带土壤的影响以及对库区可能造成沼泽化、盐渍化等影响。</w:t>
      </w:r>
    </w:p>
    <w:p>
      <w:pPr>
        <w:pStyle w:val="835"/>
        <w:spacing w:before="0" w:line="360" w:lineRule="auto"/>
      </w:pPr>
      <w:r>
        <w:t>5.</w:t>
      </w:r>
      <w:r>
        <w:rPr>
          <w:rFonts w:hint="eastAsia"/>
        </w:rPr>
        <w:t>8</w:t>
      </w:r>
      <w:r>
        <w:t>.1</w:t>
      </w:r>
      <w:r>
        <w:rPr>
          <w:rFonts w:hint="eastAsia"/>
        </w:rPr>
        <w:t>施工期土壤环境影响评价</w:t>
      </w:r>
    </w:p>
    <w:p>
      <w:pPr>
        <w:autoSpaceDE w:val="0"/>
        <w:autoSpaceDN w:val="0"/>
        <w:adjustRightInd w:val="0"/>
        <w:ind w:firstLine="480"/>
        <w:rPr>
          <w:kern w:val="0"/>
          <w:szCs w:val="24"/>
        </w:rPr>
      </w:pPr>
      <w:r>
        <w:rPr>
          <w:rFonts w:hint="eastAsia"/>
          <w:kern w:val="0"/>
          <w:szCs w:val="24"/>
        </w:rPr>
        <w:t>(1)施工占地、土方开挖、土地利用类型改变对土壤的影响</w:t>
      </w:r>
    </w:p>
    <w:p>
      <w:pPr>
        <w:autoSpaceDE w:val="0"/>
        <w:autoSpaceDN w:val="0"/>
        <w:adjustRightInd w:val="0"/>
        <w:ind w:firstLine="480"/>
        <w:rPr>
          <w:kern w:val="0"/>
          <w:szCs w:val="24"/>
        </w:rPr>
      </w:pPr>
      <w:r>
        <w:rPr>
          <w:rFonts w:hint="eastAsia"/>
          <w:kern w:val="0"/>
          <w:szCs w:val="24"/>
        </w:rPr>
        <w:t>工程施工期间占地和土方开挖均会干扰和破坏土壤，造成一定的土壤侵蚀，只有通过合理的水土保持措施予以缓解，施工前对表层土壤的剥离保护可以保存表层熟化的土壤，利于后期区域的生态恢复。</w:t>
      </w:r>
    </w:p>
    <w:p>
      <w:pPr>
        <w:autoSpaceDE w:val="0"/>
        <w:autoSpaceDN w:val="0"/>
        <w:adjustRightInd w:val="0"/>
        <w:ind w:firstLine="480"/>
        <w:rPr>
          <w:kern w:val="0"/>
          <w:szCs w:val="24"/>
        </w:rPr>
      </w:pPr>
      <w:r>
        <w:rPr>
          <w:rFonts w:hint="eastAsia"/>
          <w:kern w:val="0"/>
          <w:szCs w:val="24"/>
        </w:rPr>
        <w:t>另外，工程占地将改变区域土壤的类型，将区域现有的</w:t>
      </w:r>
      <w:r>
        <w:rPr>
          <w:szCs w:val="24"/>
        </w:rPr>
        <w:t>林地</w:t>
      </w:r>
      <w:r>
        <w:rPr>
          <w:rFonts w:hint="eastAsia"/>
          <w:kern w:val="0"/>
          <w:szCs w:val="24"/>
        </w:rPr>
        <w:t>、</w:t>
      </w:r>
      <w:r>
        <w:rPr>
          <w:szCs w:val="24"/>
        </w:rPr>
        <w:t>旱地</w:t>
      </w:r>
      <w:r>
        <w:rPr>
          <w:rFonts w:hint="eastAsia"/>
          <w:kern w:val="0"/>
          <w:szCs w:val="24"/>
        </w:rPr>
        <w:t>、</w:t>
      </w:r>
      <w:r>
        <w:rPr>
          <w:szCs w:val="24"/>
        </w:rPr>
        <w:t>草地</w:t>
      </w:r>
      <w:r>
        <w:rPr>
          <w:rFonts w:hint="eastAsia"/>
          <w:kern w:val="0"/>
          <w:szCs w:val="24"/>
        </w:rPr>
        <w:t>改变为水库建设用地，土壤环境不可避免的将被破坏。</w:t>
      </w:r>
    </w:p>
    <w:p>
      <w:pPr>
        <w:autoSpaceDE w:val="0"/>
        <w:autoSpaceDN w:val="0"/>
        <w:adjustRightInd w:val="0"/>
        <w:ind w:firstLine="480"/>
        <w:rPr>
          <w:kern w:val="0"/>
          <w:szCs w:val="24"/>
        </w:rPr>
      </w:pPr>
      <w:r>
        <w:rPr>
          <w:rFonts w:hint="eastAsia"/>
          <w:kern w:val="0"/>
          <w:szCs w:val="24"/>
        </w:rPr>
        <w:t>(2)施工期废气、废水、固废排放对土壤的影响</w:t>
      </w:r>
    </w:p>
    <w:p>
      <w:pPr>
        <w:autoSpaceDE w:val="0"/>
        <w:autoSpaceDN w:val="0"/>
        <w:adjustRightInd w:val="0"/>
        <w:ind w:firstLine="480"/>
        <w:rPr>
          <w:kern w:val="0"/>
          <w:szCs w:val="24"/>
        </w:rPr>
      </w:pPr>
      <w:r>
        <w:rPr>
          <w:rFonts w:hint="eastAsia"/>
          <w:kern w:val="0"/>
          <w:szCs w:val="24"/>
        </w:rPr>
        <w:t>工程施工期土方开挖、取料、装卸和运输等将产生一定的粉尘、</w:t>
      </w:r>
      <w:r>
        <w:rPr>
          <w:kern w:val="0"/>
          <w:szCs w:val="24"/>
        </w:rPr>
        <w:t>CO</w:t>
      </w:r>
      <w:r>
        <w:rPr>
          <w:rFonts w:hint="eastAsia"/>
          <w:kern w:val="0"/>
          <w:szCs w:val="24"/>
        </w:rPr>
        <w:t>、氮氧化物影响，但是在采取洒水抑尘、拦挡防护等抑尘措施后，粉尘等污染物对区域土壤环境的影响相对较小。</w:t>
      </w:r>
    </w:p>
    <w:p>
      <w:pPr>
        <w:autoSpaceDE w:val="0"/>
        <w:autoSpaceDN w:val="0"/>
        <w:adjustRightInd w:val="0"/>
        <w:ind w:firstLine="480"/>
        <w:rPr>
          <w:kern w:val="0"/>
          <w:szCs w:val="24"/>
        </w:rPr>
      </w:pPr>
      <w:r>
        <w:rPr>
          <w:rFonts w:hint="eastAsia"/>
          <w:kern w:val="0"/>
          <w:szCs w:val="24"/>
        </w:rPr>
        <w:t>工程施工期产生的施工废水和生活污水如果不处理直接排放至环境将会对土壤环境产生一定的污染影响。但工程设置了废污水治理措施，经治理后回用或浇灌植被，废污水不含重金属等有毒有害污染物，因此对基本不会对土壤环境产生较大影响。</w:t>
      </w:r>
    </w:p>
    <w:p>
      <w:pPr>
        <w:autoSpaceDE w:val="0"/>
        <w:autoSpaceDN w:val="0"/>
        <w:adjustRightInd w:val="0"/>
        <w:ind w:firstLine="480"/>
        <w:rPr>
          <w:kern w:val="0"/>
          <w:szCs w:val="24"/>
        </w:rPr>
      </w:pPr>
      <w:r>
        <w:rPr>
          <w:rFonts w:hint="eastAsia"/>
          <w:kern w:val="0"/>
          <w:szCs w:val="24"/>
        </w:rPr>
        <w:t>施工期间产生的弃渣、生活垃圾以及废机油、油污泥等危废，分别进行了合理处置，特别是工程机修产生的废机油等危废将通过设置的符合危废暂存要求的暂存间储存，该暂存间将采取防渗措施，最终交由有资质单位处置，因此均不会对区域土壤环境产生较大影响。</w:t>
      </w:r>
    </w:p>
    <w:p>
      <w:pPr>
        <w:pStyle w:val="835"/>
        <w:spacing w:before="0" w:line="360" w:lineRule="auto"/>
      </w:pPr>
      <w:r>
        <w:t>5.</w:t>
      </w:r>
      <w:r>
        <w:rPr>
          <w:rFonts w:hint="eastAsia"/>
        </w:rPr>
        <w:t>8</w:t>
      </w:r>
      <w:r>
        <w:t>.2</w:t>
      </w:r>
      <w:r>
        <w:rPr>
          <w:rFonts w:hint="eastAsia"/>
        </w:rPr>
        <w:t>运行期土壤环境影响评价</w:t>
      </w:r>
    </w:p>
    <w:p>
      <w:pPr>
        <w:autoSpaceDE w:val="0"/>
        <w:autoSpaceDN w:val="0"/>
        <w:adjustRightInd w:val="0"/>
        <w:ind w:firstLine="480"/>
        <w:rPr>
          <w:kern w:val="0"/>
          <w:szCs w:val="24"/>
        </w:rPr>
      </w:pPr>
      <w:r>
        <w:rPr>
          <w:rFonts w:hint="eastAsia"/>
          <w:kern w:val="0"/>
          <w:szCs w:val="24"/>
        </w:rPr>
        <w:t>(1)土壤淹没影响</w:t>
      </w:r>
    </w:p>
    <w:p>
      <w:pPr>
        <w:autoSpaceDE w:val="0"/>
        <w:autoSpaceDN w:val="0"/>
        <w:adjustRightInd w:val="0"/>
        <w:ind w:firstLine="480"/>
        <w:rPr>
          <w:kern w:val="0"/>
          <w:szCs w:val="24"/>
        </w:rPr>
      </w:pPr>
      <w:r>
        <w:rPr>
          <w:rFonts w:hint="eastAsia"/>
          <w:kern w:val="0"/>
          <w:szCs w:val="24"/>
        </w:rPr>
        <w:t>抬水工程运行期将会有小面积土壤被淹没，造成土壤环境被改变，长期浸泡于水底，成为不可逆的改变。</w:t>
      </w:r>
    </w:p>
    <w:p>
      <w:pPr>
        <w:autoSpaceDE w:val="0"/>
        <w:autoSpaceDN w:val="0"/>
        <w:adjustRightInd w:val="0"/>
        <w:ind w:firstLine="480"/>
        <w:rPr>
          <w:kern w:val="0"/>
          <w:szCs w:val="24"/>
        </w:rPr>
      </w:pPr>
      <w:r>
        <w:rPr>
          <w:rFonts w:hint="eastAsia"/>
          <w:kern w:val="0"/>
          <w:szCs w:val="24"/>
        </w:rPr>
        <w:t>(2)对消落带的土壤影响</w:t>
      </w:r>
    </w:p>
    <w:p>
      <w:pPr>
        <w:autoSpaceDE w:val="0"/>
        <w:autoSpaceDN w:val="0"/>
        <w:adjustRightInd w:val="0"/>
        <w:ind w:firstLine="480"/>
        <w:rPr>
          <w:kern w:val="0"/>
          <w:szCs w:val="24"/>
        </w:rPr>
      </w:pPr>
      <w:r>
        <w:rPr>
          <w:rFonts w:hint="eastAsia"/>
          <w:kern w:val="0"/>
          <w:szCs w:val="24"/>
        </w:rPr>
        <w:t>水库消落带土壤环境受水库水位变化的影响非常明显，消落带土壤历经长时期干湿交替过程后，其物理性质将发生较大改变，土壤微生物总体上呈减少趋势，而土壤侵蚀是消落带面临的主要环境问题。</w:t>
      </w:r>
    </w:p>
    <w:p>
      <w:pPr>
        <w:autoSpaceDE w:val="0"/>
        <w:autoSpaceDN w:val="0"/>
        <w:adjustRightInd w:val="0"/>
        <w:ind w:firstLine="480"/>
        <w:rPr>
          <w:color w:val="0000FF"/>
          <w:kern w:val="0"/>
          <w:szCs w:val="24"/>
        </w:rPr>
      </w:pPr>
      <w:r>
        <w:rPr>
          <w:rFonts w:hint="eastAsia"/>
          <w:color w:val="0000FF"/>
          <w:kern w:val="0"/>
          <w:szCs w:val="24"/>
        </w:rPr>
        <w:t>(3)对库区（抬水坝）周边土壤沼泽化、盐渍化的影响</w:t>
      </w:r>
    </w:p>
    <w:p>
      <w:pPr>
        <w:autoSpaceDE w:val="0"/>
        <w:autoSpaceDN w:val="0"/>
        <w:adjustRightInd w:val="0"/>
        <w:ind w:firstLine="480"/>
        <w:rPr>
          <w:color w:val="0000FF"/>
          <w:kern w:val="0"/>
          <w:szCs w:val="24"/>
        </w:rPr>
      </w:pPr>
      <w:r>
        <w:rPr>
          <w:rFonts w:hint="eastAsia"/>
          <w:color w:val="0000FF"/>
          <w:kern w:val="0"/>
          <w:szCs w:val="24"/>
        </w:rPr>
        <w:t>由于抬水坝蓄水，造成水库周边地下水位上升，当地下水位被壅高，土壤将可能出现沼泽化、潜育化，土壤过分湿润将致使植物根系衰败，呼吸困难。</w:t>
      </w:r>
      <w:r>
        <w:rPr>
          <w:color w:val="0000FF"/>
          <w:szCs w:val="24"/>
        </w:rPr>
        <w:t>根据地下水环境现状</w:t>
      </w:r>
      <w:r>
        <w:rPr>
          <w:rFonts w:hint="eastAsia"/>
          <w:color w:val="0000FF"/>
          <w:szCs w:val="24"/>
        </w:rPr>
        <w:t>调查</w:t>
      </w:r>
      <w:r>
        <w:rPr>
          <w:color w:val="0000FF"/>
          <w:szCs w:val="24"/>
        </w:rPr>
        <w:t>，</w:t>
      </w:r>
      <w:r>
        <w:rPr>
          <w:rFonts w:hint="eastAsia"/>
          <w:color w:val="0000FF"/>
          <w:kern w:val="0"/>
          <w:szCs w:val="24"/>
        </w:rPr>
        <w:t>水库周边地下水位在3</w:t>
      </w:r>
      <w:r>
        <w:rPr>
          <w:color w:val="0000FF"/>
          <w:kern w:val="0"/>
          <w:szCs w:val="24"/>
        </w:rPr>
        <w:t>m~</w:t>
      </w:r>
      <w:r>
        <w:rPr>
          <w:rFonts w:hint="eastAsia"/>
          <w:color w:val="0000FF"/>
          <w:kern w:val="0"/>
          <w:szCs w:val="24"/>
        </w:rPr>
        <w:t>4</w:t>
      </w:r>
      <w:r>
        <w:rPr>
          <w:color w:val="0000FF"/>
          <w:kern w:val="0"/>
          <w:szCs w:val="24"/>
        </w:rPr>
        <w:t>m</w:t>
      </w:r>
      <w:r>
        <w:rPr>
          <w:rFonts w:hint="eastAsia"/>
          <w:color w:val="0000FF"/>
          <w:kern w:val="0"/>
          <w:szCs w:val="24"/>
        </w:rPr>
        <w:t>，在水库蓄水后，局部有可能存在沼泽化的倾向，因此需通过监控，发现问题及时进行降水，以减少沼泽化的发生。</w:t>
      </w:r>
    </w:p>
    <w:p>
      <w:pPr>
        <w:autoSpaceDE w:val="0"/>
        <w:autoSpaceDN w:val="0"/>
        <w:adjustRightInd w:val="0"/>
        <w:ind w:firstLine="480"/>
        <w:rPr>
          <w:color w:val="0000FF"/>
          <w:kern w:val="0"/>
          <w:szCs w:val="24"/>
        </w:rPr>
      </w:pPr>
      <w:r>
        <w:rPr>
          <w:rFonts w:hint="eastAsia"/>
          <w:color w:val="0000FF"/>
          <w:kern w:val="0"/>
          <w:szCs w:val="24"/>
        </w:rPr>
        <w:t>另外，水库由库岸渗漏补给地下水经毛细管作用升至地表，在强烈蒸发作用下使水中盐分浓集于地表，形成盐碱化的过程则为土壤盐渍化。土壤发生盐渍化，土壤溶液渗透压则会过高，可引起植物生理干旱。</w:t>
      </w:r>
    </w:p>
    <w:p>
      <w:pPr>
        <w:autoSpaceDE w:val="0"/>
        <w:autoSpaceDN w:val="0"/>
        <w:adjustRightInd w:val="0"/>
        <w:ind w:firstLine="480"/>
        <w:rPr>
          <w:color w:val="0000FF"/>
          <w:kern w:val="0"/>
          <w:szCs w:val="24"/>
        </w:rPr>
      </w:pPr>
      <w:r>
        <w:rPr>
          <w:rFonts w:hint="eastAsia"/>
          <w:color w:val="0000FF"/>
          <w:kern w:val="0"/>
          <w:szCs w:val="24"/>
        </w:rPr>
        <w:t>运行期水库水位涨落可能造成土壤的盐化，对其可能引起的盐化影响采用《环境影响评价技术导则土壤环境（试行）》（</w:t>
      </w:r>
      <w:r>
        <w:rPr>
          <w:color w:val="0000FF"/>
          <w:kern w:val="0"/>
          <w:szCs w:val="24"/>
        </w:rPr>
        <w:t>HJ964-2018</w:t>
      </w:r>
      <w:r>
        <w:rPr>
          <w:rFonts w:hint="eastAsia"/>
          <w:color w:val="0000FF"/>
          <w:kern w:val="0"/>
          <w:szCs w:val="24"/>
        </w:rPr>
        <w:t>）中的附录</w:t>
      </w:r>
      <w:r>
        <w:rPr>
          <w:color w:val="0000FF"/>
          <w:kern w:val="0"/>
          <w:szCs w:val="24"/>
        </w:rPr>
        <w:t xml:space="preserve"> F</w:t>
      </w:r>
      <w:r>
        <w:rPr>
          <w:rFonts w:hint="eastAsia"/>
          <w:color w:val="0000FF"/>
          <w:kern w:val="0"/>
          <w:szCs w:val="24"/>
        </w:rPr>
        <w:t>“土壤盐化综合评分预测方法”进行预测评价。</w:t>
      </w:r>
    </w:p>
    <w:p>
      <w:pPr>
        <w:autoSpaceDE w:val="0"/>
        <w:autoSpaceDN w:val="0"/>
        <w:adjustRightInd w:val="0"/>
        <w:ind w:firstLine="480"/>
        <w:rPr>
          <w:color w:val="0000FF"/>
          <w:kern w:val="0"/>
          <w:szCs w:val="24"/>
        </w:rPr>
      </w:pPr>
      <w:r>
        <w:rPr>
          <w:color w:val="0000FF"/>
          <w:kern w:val="0"/>
          <w:szCs w:val="24"/>
        </w:rPr>
        <w:fldChar w:fldCharType="begin"/>
      </w:r>
      <w:r>
        <w:rPr>
          <w:color w:val="0000FF"/>
          <w:kern w:val="0"/>
          <w:szCs w:val="24"/>
        </w:rPr>
        <w:instrText xml:space="preserve"> </w:instrText>
      </w:r>
      <w:r>
        <w:rPr>
          <w:rFonts w:hint="eastAsia"/>
          <w:color w:val="0000FF"/>
          <w:kern w:val="0"/>
          <w:szCs w:val="24"/>
        </w:rPr>
        <w:instrText xml:space="preserve">= 1 \* GB3</w:instrText>
      </w:r>
      <w:r>
        <w:rPr>
          <w:color w:val="0000FF"/>
          <w:kern w:val="0"/>
          <w:szCs w:val="24"/>
        </w:rPr>
        <w:instrText xml:space="preserve"> </w:instrText>
      </w:r>
      <w:r>
        <w:rPr>
          <w:color w:val="0000FF"/>
          <w:kern w:val="0"/>
          <w:szCs w:val="24"/>
        </w:rPr>
        <w:fldChar w:fldCharType="separate"/>
      </w:r>
      <w:r>
        <w:rPr>
          <w:rFonts w:hint="eastAsia"/>
          <w:color w:val="0000FF"/>
          <w:kern w:val="0"/>
          <w:szCs w:val="24"/>
        </w:rPr>
        <w:t>①</w:t>
      </w:r>
      <w:r>
        <w:rPr>
          <w:color w:val="0000FF"/>
          <w:kern w:val="0"/>
          <w:szCs w:val="24"/>
        </w:rPr>
        <w:fldChar w:fldCharType="end"/>
      </w:r>
      <w:r>
        <w:rPr>
          <w:rFonts w:hint="eastAsia"/>
          <w:color w:val="0000FF"/>
          <w:kern w:val="0"/>
          <w:szCs w:val="24"/>
        </w:rPr>
        <w:t>土壤盐化综合评分法</w:t>
      </w:r>
    </w:p>
    <w:p>
      <w:pPr>
        <w:autoSpaceDE w:val="0"/>
        <w:autoSpaceDN w:val="0"/>
        <w:adjustRightInd w:val="0"/>
        <w:ind w:firstLine="480"/>
        <w:rPr>
          <w:color w:val="0000FF"/>
          <w:kern w:val="0"/>
          <w:szCs w:val="24"/>
        </w:rPr>
      </w:pPr>
      <w:r>
        <w:rPr>
          <w:rFonts w:hint="eastAsia"/>
          <w:color w:val="0000FF"/>
          <w:kern w:val="0"/>
          <w:szCs w:val="24"/>
        </w:rPr>
        <w:t>计算土壤盐化综合评分值（</w:t>
      </w:r>
      <w:r>
        <w:rPr>
          <w:color w:val="0000FF"/>
          <w:kern w:val="0"/>
          <w:szCs w:val="24"/>
        </w:rPr>
        <w:t>Sa</w:t>
      </w:r>
      <w:r>
        <w:rPr>
          <w:rFonts w:hint="eastAsia"/>
          <w:color w:val="0000FF"/>
          <w:kern w:val="0"/>
          <w:szCs w:val="24"/>
        </w:rPr>
        <w:t>），具体如下：</w:t>
      </w:r>
    </w:p>
    <w:p>
      <w:pPr>
        <w:autoSpaceDE w:val="0"/>
        <w:autoSpaceDN w:val="0"/>
        <w:adjustRightInd w:val="0"/>
        <w:ind w:firstLine="0" w:firstLineChars="0"/>
        <w:jc w:val="center"/>
        <w:rPr>
          <w:rFonts w:ascii="CIDFont+F5" w:eastAsia="CIDFont+F5" w:cs="CIDFont+F5"/>
          <w:color w:val="0000FF"/>
          <w:kern w:val="0"/>
          <w:szCs w:val="24"/>
        </w:rPr>
      </w:pPr>
      <w:r>
        <w:rPr>
          <w:rFonts w:hint="eastAsia" w:ascii="CIDFont+F5" w:eastAsia="CIDFont+F5" w:cs="CIDFont+F5"/>
          <w:color w:val="0000FF"/>
          <w:kern w:val="0"/>
          <w:szCs w:val="24"/>
        </w:rPr>
        <w:drawing>
          <wp:inline distT="0" distB="0" distL="114300" distR="114300">
            <wp:extent cx="1724025" cy="542925"/>
            <wp:effectExtent l="0" t="0" r="0" b="0"/>
            <wp:docPr id="8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6"/>
                    <pic:cNvPicPr>
                      <a:picLocks noChangeAspect="1"/>
                    </pic:cNvPicPr>
                  </pic:nvPicPr>
                  <pic:blipFill>
                    <a:blip r:embed="rId109"/>
                    <a:stretch>
                      <a:fillRect/>
                    </a:stretch>
                  </pic:blipFill>
                  <pic:spPr>
                    <a:xfrm>
                      <a:off x="0" y="0"/>
                      <a:ext cx="1724025" cy="542925"/>
                    </a:xfrm>
                    <a:prstGeom prst="rect">
                      <a:avLst/>
                    </a:prstGeom>
                    <a:noFill/>
                    <a:ln>
                      <a:noFill/>
                    </a:ln>
                  </pic:spPr>
                </pic:pic>
              </a:graphicData>
            </a:graphic>
          </wp:inline>
        </w:drawing>
      </w:r>
    </w:p>
    <w:p>
      <w:pPr>
        <w:autoSpaceDE w:val="0"/>
        <w:autoSpaceDN w:val="0"/>
        <w:adjustRightInd w:val="0"/>
        <w:ind w:firstLine="480"/>
        <w:rPr>
          <w:color w:val="0000FF"/>
          <w:kern w:val="0"/>
          <w:szCs w:val="24"/>
        </w:rPr>
      </w:pPr>
      <w:r>
        <w:rPr>
          <w:rFonts w:hAnsi="宋体"/>
          <w:color w:val="0000FF"/>
          <w:kern w:val="0"/>
          <w:szCs w:val="24"/>
        </w:rPr>
        <w:t>式中：</w:t>
      </w:r>
      <w:r>
        <w:rPr>
          <w:color w:val="0000FF"/>
          <w:kern w:val="0"/>
          <w:szCs w:val="24"/>
        </w:rPr>
        <w:t>n—</w:t>
      </w:r>
      <w:r>
        <w:rPr>
          <w:rFonts w:hAnsi="宋体"/>
          <w:color w:val="0000FF"/>
          <w:kern w:val="0"/>
          <w:szCs w:val="24"/>
        </w:rPr>
        <w:t>影响因素指标数目；</w:t>
      </w:r>
    </w:p>
    <w:p>
      <w:pPr>
        <w:autoSpaceDE w:val="0"/>
        <w:autoSpaceDN w:val="0"/>
        <w:adjustRightInd w:val="0"/>
        <w:ind w:firstLine="1080" w:firstLineChars="450"/>
        <w:rPr>
          <w:color w:val="0000FF"/>
          <w:kern w:val="0"/>
          <w:szCs w:val="24"/>
        </w:rPr>
      </w:pPr>
      <w:r>
        <w:rPr>
          <w:color w:val="0000FF"/>
          <w:kern w:val="0"/>
          <w:szCs w:val="24"/>
        </w:rPr>
        <w:t>Wx</w:t>
      </w:r>
      <w:r>
        <w:rPr>
          <w:color w:val="0000FF"/>
          <w:kern w:val="0"/>
          <w:szCs w:val="24"/>
          <w:vertAlign w:val="subscript"/>
        </w:rPr>
        <w:t>i</w:t>
      </w:r>
      <w:r>
        <w:rPr>
          <w:color w:val="0000FF"/>
          <w:kern w:val="0"/>
          <w:szCs w:val="24"/>
        </w:rPr>
        <w:t>—</w:t>
      </w:r>
      <w:r>
        <w:rPr>
          <w:rFonts w:hAnsi="宋体"/>
          <w:color w:val="0000FF"/>
          <w:kern w:val="0"/>
          <w:szCs w:val="24"/>
        </w:rPr>
        <w:t>影响因素</w:t>
      </w:r>
      <w:r>
        <w:rPr>
          <w:color w:val="0000FF"/>
          <w:kern w:val="0"/>
          <w:szCs w:val="24"/>
        </w:rPr>
        <w:t xml:space="preserve">i </w:t>
      </w:r>
      <w:r>
        <w:rPr>
          <w:rFonts w:hAnsi="宋体"/>
          <w:color w:val="0000FF"/>
          <w:kern w:val="0"/>
          <w:szCs w:val="24"/>
        </w:rPr>
        <w:t>指标权重，</w:t>
      </w:r>
      <w:r>
        <w:rPr>
          <w:color w:val="0000FF"/>
          <w:kern w:val="0"/>
          <w:szCs w:val="24"/>
        </w:rPr>
        <w:t>Ix</w:t>
      </w:r>
      <w:r>
        <w:rPr>
          <w:color w:val="0000FF"/>
          <w:kern w:val="0"/>
          <w:szCs w:val="24"/>
          <w:vertAlign w:val="subscript"/>
        </w:rPr>
        <w:t>i</w:t>
      </w:r>
      <w:r>
        <w:rPr>
          <w:color w:val="0000FF"/>
          <w:kern w:val="0"/>
          <w:szCs w:val="24"/>
        </w:rPr>
        <w:t>—</w:t>
      </w:r>
      <w:r>
        <w:rPr>
          <w:rFonts w:hAnsi="宋体"/>
          <w:color w:val="0000FF"/>
          <w:kern w:val="0"/>
          <w:szCs w:val="24"/>
        </w:rPr>
        <w:t>影响因素</w:t>
      </w:r>
      <w:r>
        <w:rPr>
          <w:color w:val="0000FF"/>
          <w:kern w:val="0"/>
          <w:szCs w:val="24"/>
        </w:rPr>
        <w:t xml:space="preserve">i </w:t>
      </w:r>
      <w:r>
        <w:rPr>
          <w:rFonts w:hAnsi="宋体"/>
          <w:color w:val="0000FF"/>
          <w:kern w:val="0"/>
          <w:szCs w:val="24"/>
        </w:rPr>
        <w:t>指标评分。</w:t>
      </w:r>
    </w:p>
    <w:p>
      <w:pPr>
        <w:autoSpaceDE w:val="0"/>
        <w:autoSpaceDN w:val="0"/>
        <w:adjustRightInd w:val="0"/>
        <w:ind w:firstLine="480"/>
        <w:rPr>
          <w:color w:val="0000FF"/>
          <w:kern w:val="0"/>
          <w:szCs w:val="24"/>
        </w:rPr>
      </w:pPr>
      <w:r>
        <w:rPr>
          <w:color w:val="0000FF"/>
          <w:kern w:val="0"/>
          <w:szCs w:val="24"/>
        </w:rPr>
        <w:fldChar w:fldCharType="begin"/>
      </w:r>
      <w:r>
        <w:rPr>
          <w:color w:val="0000FF"/>
          <w:kern w:val="0"/>
          <w:szCs w:val="24"/>
        </w:rPr>
        <w:instrText xml:space="preserve"> </w:instrText>
      </w:r>
      <w:r>
        <w:rPr>
          <w:rFonts w:hint="eastAsia"/>
          <w:color w:val="0000FF"/>
          <w:kern w:val="0"/>
          <w:szCs w:val="24"/>
        </w:rPr>
        <w:instrText xml:space="preserve">= 2 \* GB3</w:instrText>
      </w:r>
      <w:r>
        <w:rPr>
          <w:color w:val="0000FF"/>
          <w:kern w:val="0"/>
          <w:szCs w:val="24"/>
        </w:rPr>
        <w:instrText xml:space="preserve"> </w:instrText>
      </w:r>
      <w:r>
        <w:rPr>
          <w:color w:val="0000FF"/>
          <w:kern w:val="0"/>
          <w:szCs w:val="24"/>
        </w:rPr>
        <w:fldChar w:fldCharType="separate"/>
      </w:r>
      <w:r>
        <w:rPr>
          <w:rFonts w:hint="eastAsia"/>
          <w:color w:val="0000FF"/>
          <w:kern w:val="0"/>
          <w:szCs w:val="24"/>
        </w:rPr>
        <w:t>②</w:t>
      </w:r>
      <w:r>
        <w:rPr>
          <w:color w:val="0000FF"/>
          <w:kern w:val="0"/>
          <w:szCs w:val="24"/>
        </w:rPr>
        <w:fldChar w:fldCharType="end"/>
      </w:r>
      <w:r>
        <w:rPr>
          <w:rFonts w:hint="eastAsia"/>
          <w:color w:val="0000FF"/>
          <w:kern w:val="0"/>
          <w:szCs w:val="24"/>
        </w:rPr>
        <w:t>土壤盐化影响因素赋值</w:t>
      </w:r>
    </w:p>
    <w:p>
      <w:pPr>
        <w:autoSpaceDE w:val="0"/>
        <w:autoSpaceDN w:val="0"/>
        <w:adjustRightInd w:val="0"/>
        <w:ind w:firstLine="480"/>
        <w:rPr>
          <w:color w:val="0000FF"/>
          <w:kern w:val="0"/>
          <w:szCs w:val="24"/>
        </w:rPr>
      </w:pPr>
      <w:r>
        <w:rPr>
          <w:rFonts w:hint="eastAsia"/>
          <w:color w:val="0000FF"/>
          <w:kern w:val="0"/>
          <w:szCs w:val="24"/>
        </w:rPr>
        <w:t>根据《环境影响评价技术导则</w:t>
      </w:r>
      <w:r>
        <w:rPr>
          <w:color w:val="0000FF"/>
          <w:kern w:val="0"/>
          <w:szCs w:val="24"/>
        </w:rPr>
        <w:t xml:space="preserve"> </w:t>
      </w:r>
      <w:r>
        <w:rPr>
          <w:rFonts w:hint="eastAsia"/>
          <w:color w:val="0000FF"/>
          <w:kern w:val="0"/>
          <w:szCs w:val="24"/>
        </w:rPr>
        <w:t>土壤环境</w:t>
      </w:r>
      <w:r>
        <w:rPr>
          <w:color w:val="0000FF"/>
          <w:kern w:val="0"/>
          <w:szCs w:val="24"/>
        </w:rPr>
        <w:t>(</w:t>
      </w:r>
      <w:r>
        <w:rPr>
          <w:rFonts w:hint="eastAsia"/>
          <w:color w:val="0000FF"/>
          <w:kern w:val="0"/>
          <w:szCs w:val="24"/>
        </w:rPr>
        <w:t>试行</w:t>
      </w:r>
      <w:r>
        <w:rPr>
          <w:color w:val="0000FF"/>
          <w:kern w:val="0"/>
          <w:szCs w:val="24"/>
        </w:rPr>
        <w:t>)</w:t>
      </w:r>
      <w:r>
        <w:rPr>
          <w:rFonts w:hint="eastAsia"/>
          <w:color w:val="0000FF"/>
          <w:kern w:val="0"/>
          <w:szCs w:val="24"/>
        </w:rPr>
        <w:t>》</w:t>
      </w:r>
      <w:r>
        <w:rPr>
          <w:color w:val="0000FF"/>
          <w:kern w:val="0"/>
          <w:szCs w:val="24"/>
        </w:rPr>
        <w:t>(HJ964-2018)</w:t>
      </w:r>
      <w:r>
        <w:rPr>
          <w:rFonts w:hint="eastAsia"/>
          <w:color w:val="0000FF"/>
          <w:kern w:val="0"/>
          <w:szCs w:val="24"/>
        </w:rPr>
        <w:t>，土壤盐化影响因素赋值情况见表</w:t>
      </w:r>
      <w:r>
        <w:rPr>
          <w:color w:val="0000FF"/>
          <w:kern w:val="0"/>
          <w:szCs w:val="24"/>
        </w:rPr>
        <w:t xml:space="preserve"> 5.</w:t>
      </w:r>
      <w:r>
        <w:rPr>
          <w:rFonts w:hint="eastAsia"/>
          <w:color w:val="0000FF"/>
          <w:kern w:val="0"/>
          <w:szCs w:val="24"/>
        </w:rPr>
        <w:t>8</w:t>
      </w:r>
      <w:r>
        <w:rPr>
          <w:color w:val="0000FF"/>
          <w:kern w:val="0"/>
          <w:szCs w:val="24"/>
        </w:rPr>
        <w:t>-1</w:t>
      </w:r>
      <w:r>
        <w:rPr>
          <w:rFonts w:hint="eastAsia"/>
          <w:color w:val="0000FF"/>
          <w:kern w:val="0"/>
          <w:szCs w:val="24"/>
        </w:rPr>
        <w:t>。</w:t>
      </w:r>
    </w:p>
    <w:p>
      <w:pPr>
        <w:spacing w:before="120" w:beforeLines="50" w:line="240" w:lineRule="auto"/>
        <w:ind w:firstLine="480"/>
        <w:jc w:val="center"/>
        <w:rPr>
          <w:rFonts w:ascii="黑体" w:hAnsi="黑体" w:eastAsia="黑体" w:cs="黑体"/>
          <w:color w:val="0000FF"/>
        </w:rPr>
      </w:pPr>
      <w:r>
        <w:rPr>
          <w:rFonts w:hint="eastAsia" w:ascii="黑体" w:hAnsi="黑体" w:eastAsia="黑体" w:cs="黑体"/>
          <w:color w:val="0000FF"/>
        </w:rPr>
        <w:t>表5.8-1 土壤盐化影响因素赋值表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1595"/>
        <w:gridCol w:w="1880"/>
        <w:gridCol w:w="1842"/>
        <w:gridCol w:w="1418"/>
        <w:gridCol w:w="1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Merge w:val="restart"/>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影响因素</w:t>
            </w:r>
          </w:p>
        </w:tc>
        <w:tc>
          <w:tcPr>
            <w:tcW w:w="6735" w:type="dxa"/>
            <w:gridSpan w:val="4"/>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1240" w:type="dxa"/>
            <w:vMerge w:val="restart"/>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Merge w:val="continue"/>
            <w:vAlign w:val="center"/>
          </w:tcPr>
          <w:p>
            <w:pPr>
              <w:adjustRightInd w:val="0"/>
              <w:snapToGrid w:val="0"/>
              <w:spacing w:line="340" w:lineRule="exact"/>
              <w:ind w:firstLine="0" w:firstLineChars="0"/>
              <w:jc w:val="center"/>
              <w:rPr>
                <w:color w:val="0000FF"/>
                <w:sz w:val="21"/>
                <w:szCs w:val="21"/>
              </w:rPr>
            </w:pPr>
          </w:p>
        </w:tc>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0分</w:t>
            </w:r>
          </w:p>
        </w:tc>
        <w:tc>
          <w:tcPr>
            <w:tcW w:w="188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2分</w:t>
            </w:r>
          </w:p>
        </w:tc>
        <w:tc>
          <w:tcPr>
            <w:tcW w:w="184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4分</w:t>
            </w:r>
          </w:p>
        </w:tc>
        <w:tc>
          <w:tcPr>
            <w:tcW w:w="1418"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6分</w:t>
            </w:r>
          </w:p>
        </w:tc>
        <w:tc>
          <w:tcPr>
            <w:tcW w:w="1240" w:type="dxa"/>
            <w:vMerge w:val="continue"/>
            <w:vAlign w:val="center"/>
          </w:tcPr>
          <w:p>
            <w:pPr>
              <w:adjustRightInd w:val="0"/>
              <w:snapToGrid w:val="0"/>
              <w:spacing w:line="340" w:lineRule="exact"/>
              <w:ind w:firstLine="0" w:firstLineChars="0"/>
              <w:jc w:val="center"/>
              <w:rPr>
                <w:color w:val="0000FF"/>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地下水位埋深</w:t>
            </w:r>
          </w:p>
          <w:p>
            <w:pPr>
              <w:adjustRightInd w:val="0"/>
              <w:snapToGrid w:val="0"/>
              <w:spacing w:line="340" w:lineRule="exact"/>
              <w:ind w:firstLine="0" w:firstLineChars="0"/>
              <w:jc w:val="center"/>
              <w:rPr>
                <w:color w:val="0000FF"/>
                <w:sz w:val="21"/>
                <w:szCs w:val="21"/>
              </w:rPr>
            </w:pPr>
            <w:r>
              <w:rPr>
                <w:color w:val="0000FF"/>
                <w:sz w:val="21"/>
                <w:szCs w:val="21"/>
              </w:rPr>
              <w:t>(GWD)/(m)</w:t>
            </w:r>
          </w:p>
        </w:tc>
        <w:tc>
          <w:tcPr>
            <w:tcW w:w="1595" w:type="dxa"/>
            <w:vAlign w:val="center"/>
          </w:tcPr>
          <w:p>
            <w:pPr>
              <w:adjustRightInd w:val="0"/>
              <w:snapToGrid w:val="0"/>
              <w:spacing w:line="340" w:lineRule="exact"/>
              <w:ind w:firstLine="0" w:firstLineChars="0"/>
              <w:jc w:val="center"/>
              <w:rPr>
                <w:color w:val="0000FF"/>
                <w:sz w:val="21"/>
                <w:szCs w:val="21"/>
              </w:rPr>
            </w:pPr>
            <w:r>
              <w:rPr>
                <w:color w:val="0000FF"/>
                <w:sz w:val="21"/>
                <w:szCs w:val="21"/>
              </w:rPr>
              <w:t>GWD</w:t>
            </w:r>
            <w:r>
              <w:rPr>
                <w:rFonts w:hint="eastAsia"/>
                <w:color w:val="0000FF"/>
                <w:sz w:val="21"/>
                <w:szCs w:val="21"/>
              </w:rPr>
              <w:t>≥</w:t>
            </w:r>
            <w:r>
              <w:rPr>
                <w:color w:val="0000FF"/>
                <w:sz w:val="21"/>
                <w:szCs w:val="21"/>
              </w:rPr>
              <w:t>2.5</w:t>
            </w:r>
          </w:p>
        </w:tc>
        <w:tc>
          <w:tcPr>
            <w:tcW w:w="188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1.5</w:t>
            </w:r>
            <w:r>
              <w:rPr>
                <w:rFonts w:hint="eastAsia"/>
                <w:color w:val="0000FF"/>
                <w:sz w:val="21"/>
                <w:szCs w:val="21"/>
              </w:rPr>
              <w:t>≤</w:t>
            </w:r>
            <w:r>
              <w:rPr>
                <w:color w:val="0000FF"/>
                <w:sz w:val="21"/>
                <w:szCs w:val="21"/>
              </w:rPr>
              <w:t>GWD</w:t>
            </w:r>
            <w:r>
              <w:rPr>
                <w:rFonts w:hint="eastAsia"/>
                <w:color w:val="0000FF"/>
                <w:sz w:val="21"/>
                <w:szCs w:val="21"/>
              </w:rPr>
              <w:t>＜</w:t>
            </w:r>
            <w:r>
              <w:rPr>
                <w:color w:val="0000FF"/>
                <w:sz w:val="21"/>
                <w:szCs w:val="21"/>
              </w:rPr>
              <w:t>2.5</w:t>
            </w:r>
          </w:p>
        </w:tc>
        <w:tc>
          <w:tcPr>
            <w:tcW w:w="1842" w:type="dxa"/>
            <w:vAlign w:val="center"/>
          </w:tcPr>
          <w:p>
            <w:pPr>
              <w:adjustRightInd w:val="0"/>
              <w:snapToGrid w:val="0"/>
              <w:spacing w:line="340" w:lineRule="exact"/>
              <w:ind w:firstLine="0" w:firstLineChars="0"/>
              <w:jc w:val="center"/>
              <w:rPr>
                <w:color w:val="0000FF"/>
                <w:sz w:val="21"/>
                <w:szCs w:val="21"/>
              </w:rPr>
            </w:pPr>
            <w:r>
              <w:rPr>
                <w:color w:val="0000FF"/>
                <w:sz w:val="21"/>
                <w:szCs w:val="21"/>
              </w:rPr>
              <w:t>1.0</w:t>
            </w:r>
            <w:r>
              <w:rPr>
                <w:rFonts w:hint="eastAsia"/>
                <w:color w:val="0000FF"/>
                <w:sz w:val="21"/>
                <w:szCs w:val="21"/>
              </w:rPr>
              <w:t>≤</w:t>
            </w:r>
            <w:r>
              <w:rPr>
                <w:color w:val="0000FF"/>
                <w:sz w:val="21"/>
                <w:szCs w:val="21"/>
              </w:rPr>
              <w:t>GWD</w:t>
            </w:r>
            <w:r>
              <w:rPr>
                <w:rFonts w:hint="eastAsia"/>
                <w:color w:val="0000FF"/>
                <w:sz w:val="21"/>
                <w:szCs w:val="21"/>
              </w:rPr>
              <w:t>＜</w:t>
            </w:r>
            <w:r>
              <w:rPr>
                <w:color w:val="0000FF"/>
                <w:sz w:val="21"/>
                <w:szCs w:val="21"/>
              </w:rPr>
              <w:t>1.5</w:t>
            </w:r>
          </w:p>
        </w:tc>
        <w:tc>
          <w:tcPr>
            <w:tcW w:w="1418" w:type="dxa"/>
            <w:vAlign w:val="center"/>
          </w:tcPr>
          <w:p>
            <w:pPr>
              <w:adjustRightInd w:val="0"/>
              <w:snapToGrid w:val="0"/>
              <w:spacing w:line="340" w:lineRule="exact"/>
              <w:ind w:firstLine="0" w:firstLineChars="0"/>
              <w:jc w:val="center"/>
              <w:rPr>
                <w:color w:val="0000FF"/>
                <w:sz w:val="21"/>
                <w:szCs w:val="21"/>
              </w:rPr>
            </w:pPr>
            <w:r>
              <w:rPr>
                <w:color w:val="0000FF"/>
                <w:sz w:val="21"/>
                <w:szCs w:val="21"/>
              </w:rPr>
              <w:t>GWD</w:t>
            </w:r>
            <w:r>
              <w:rPr>
                <w:rFonts w:hint="eastAsia"/>
                <w:color w:val="0000FF"/>
                <w:sz w:val="21"/>
                <w:szCs w:val="21"/>
              </w:rPr>
              <w:t>＜</w:t>
            </w:r>
            <w:r>
              <w:rPr>
                <w:color w:val="0000FF"/>
                <w:sz w:val="21"/>
                <w:szCs w:val="21"/>
              </w:rPr>
              <w:t>1.0</w:t>
            </w:r>
          </w:p>
        </w:tc>
        <w:tc>
          <w:tcPr>
            <w:tcW w:w="124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干燥度</w:t>
            </w:r>
            <w:r>
              <w:rPr>
                <w:color w:val="0000FF"/>
                <w:sz w:val="21"/>
                <w:szCs w:val="21"/>
              </w:rPr>
              <w:t>(</w:t>
            </w:r>
            <w:r>
              <w:rPr>
                <w:rFonts w:hint="eastAsia"/>
                <w:color w:val="0000FF"/>
                <w:sz w:val="21"/>
                <w:szCs w:val="21"/>
              </w:rPr>
              <w:t>蒸降比</w:t>
            </w:r>
          </w:p>
          <w:p>
            <w:pPr>
              <w:adjustRightInd w:val="0"/>
              <w:snapToGrid w:val="0"/>
              <w:spacing w:line="340" w:lineRule="exact"/>
              <w:ind w:firstLine="0" w:firstLineChars="0"/>
              <w:jc w:val="center"/>
              <w:rPr>
                <w:color w:val="0000FF"/>
                <w:sz w:val="21"/>
                <w:szCs w:val="21"/>
              </w:rPr>
            </w:pPr>
            <w:r>
              <w:rPr>
                <w:rFonts w:hint="eastAsia"/>
                <w:color w:val="0000FF"/>
                <w:sz w:val="21"/>
                <w:szCs w:val="21"/>
              </w:rPr>
              <w:t>值</w:t>
            </w:r>
            <w:r>
              <w:rPr>
                <w:color w:val="0000FF"/>
                <w:sz w:val="21"/>
                <w:szCs w:val="21"/>
              </w:rPr>
              <w:t>)(EPR)</w:t>
            </w:r>
          </w:p>
        </w:tc>
        <w:tc>
          <w:tcPr>
            <w:tcW w:w="1595" w:type="dxa"/>
            <w:vAlign w:val="center"/>
          </w:tcPr>
          <w:p>
            <w:pPr>
              <w:adjustRightInd w:val="0"/>
              <w:snapToGrid w:val="0"/>
              <w:spacing w:line="340" w:lineRule="exact"/>
              <w:ind w:firstLine="0" w:firstLineChars="0"/>
              <w:jc w:val="center"/>
              <w:rPr>
                <w:color w:val="0000FF"/>
                <w:sz w:val="21"/>
                <w:szCs w:val="21"/>
              </w:rPr>
            </w:pPr>
            <w:r>
              <w:rPr>
                <w:color w:val="0000FF"/>
                <w:sz w:val="21"/>
                <w:szCs w:val="21"/>
              </w:rPr>
              <w:t>EPR</w:t>
            </w:r>
            <w:r>
              <w:rPr>
                <w:rFonts w:hint="eastAsia"/>
                <w:color w:val="0000FF"/>
                <w:sz w:val="21"/>
                <w:szCs w:val="21"/>
              </w:rPr>
              <w:t>＜</w:t>
            </w:r>
            <w:r>
              <w:rPr>
                <w:color w:val="0000FF"/>
                <w:sz w:val="21"/>
                <w:szCs w:val="21"/>
              </w:rPr>
              <w:t>1.2</w:t>
            </w:r>
          </w:p>
        </w:tc>
        <w:tc>
          <w:tcPr>
            <w:tcW w:w="188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1.2</w:t>
            </w:r>
            <w:r>
              <w:rPr>
                <w:rFonts w:hint="eastAsia"/>
                <w:color w:val="0000FF"/>
                <w:sz w:val="21"/>
                <w:szCs w:val="21"/>
              </w:rPr>
              <w:t>≤</w:t>
            </w:r>
            <w:r>
              <w:rPr>
                <w:color w:val="0000FF"/>
                <w:sz w:val="21"/>
                <w:szCs w:val="21"/>
              </w:rPr>
              <w:t>EPR</w:t>
            </w:r>
            <w:r>
              <w:rPr>
                <w:rFonts w:hint="eastAsia"/>
                <w:color w:val="0000FF"/>
                <w:sz w:val="21"/>
                <w:szCs w:val="21"/>
              </w:rPr>
              <w:t>＜</w:t>
            </w:r>
            <w:r>
              <w:rPr>
                <w:color w:val="0000FF"/>
                <w:sz w:val="21"/>
                <w:szCs w:val="21"/>
              </w:rPr>
              <w:t>2.5</w:t>
            </w:r>
          </w:p>
        </w:tc>
        <w:tc>
          <w:tcPr>
            <w:tcW w:w="1842" w:type="dxa"/>
            <w:vAlign w:val="center"/>
          </w:tcPr>
          <w:p>
            <w:pPr>
              <w:adjustRightInd w:val="0"/>
              <w:snapToGrid w:val="0"/>
              <w:spacing w:line="340" w:lineRule="exact"/>
              <w:ind w:firstLine="0" w:firstLineChars="0"/>
              <w:jc w:val="center"/>
              <w:rPr>
                <w:color w:val="0000FF"/>
                <w:sz w:val="21"/>
                <w:szCs w:val="21"/>
              </w:rPr>
            </w:pPr>
            <w:r>
              <w:rPr>
                <w:color w:val="0000FF"/>
                <w:sz w:val="21"/>
                <w:szCs w:val="21"/>
              </w:rPr>
              <w:t>2.5</w:t>
            </w:r>
            <w:r>
              <w:rPr>
                <w:rFonts w:hint="eastAsia"/>
                <w:color w:val="0000FF"/>
                <w:sz w:val="21"/>
                <w:szCs w:val="21"/>
              </w:rPr>
              <w:t>≤</w:t>
            </w:r>
            <w:r>
              <w:rPr>
                <w:color w:val="0000FF"/>
                <w:sz w:val="21"/>
                <w:szCs w:val="21"/>
              </w:rPr>
              <w:t>EPR</w:t>
            </w:r>
            <w:r>
              <w:rPr>
                <w:rFonts w:hint="eastAsia"/>
                <w:color w:val="0000FF"/>
                <w:sz w:val="21"/>
                <w:szCs w:val="21"/>
              </w:rPr>
              <w:t>＜</w:t>
            </w:r>
            <w:r>
              <w:rPr>
                <w:color w:val="0000FF"/>
                <w:sz w:val="21"/>
                <w:szCs w:val="21"/>
              </w:rPr>
              <w:t>6</w:t>
            </w:r>
          </w:p>
        </w:tc>
        <w:tc>
          <w:tcPr>
            <w:tcW w:w="1418" w:type="dxa"/>
            <w:vAlign w:val="center"/>
          </w:tcPr>
          <w:p>
            <w:pPr>
              <w:adjustRightInd w:val="0"/>
              <w:snapToGrid w:val="0"/>
              <w:spacing w:line="340" w:lineRule="exact"/>
              <w:ind w:firstLine="0" w:firstLineChars="0"/>
              <w:jc w:val="center"/>
              <w:rPr>
                <w:color w:val="0000FF"/>
                <w:sz w:val="21"/>
                <w:szCs w:val="21"/>
              </w:rPr>
            </w:pPr>
            <w:r>
              <w:rPr>
                <w:color w:val="0000FF"/>
                <w:sz w:val="21"/>
                <w:szCs w:val="21"/>
              </w:rPr>
              <w:t>EPR</w:t>
            </w:r>
            <w:r>
              <w:rPr>
                <w:rFonts w:hint="eastAsia"/>
                <w:color w:val="0000FF"/>
                <w:sz w:val="21"/>
                <w:szCs w:val="21"/>
              </w:rPr>
              <w:t>≥</w:t>
            </w:r>
            <w:r>
              <w:rPr>
                <w:color w:val="0000FF"/>
                <w:sz w:val="21"/>
                <w:szCs w:val="21"/>
              </w:rPr>
              <w:t>6</w:t>
            </w:r>
          </w:p>
        </w:tc>
        <w:tc>
          <w:tcPr>
            <w:tcW w:w="124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土壤本底含盐量</w:t>
            </w:r>
            <w:r>
              <w:rPr>
                <w:color w:val="0000FF"/>
                <w:sz w:val="21"/>
                <w:szCs w:val="21"/>
              </w:rPr>
              <w:t>(SSC)/(g/kg)</w:t>
            </w:r>
          </w:p>
        </w:tc>
        <w:tc>
          <w:tcPr>
            <w:tcW w:w="1595" w:type="dxa"/>
            <w:vAlign w:val="center"/>
          </w:tcPr>
          <w:p>
            <w:pPr>
              <w:adjustRightInd w:val="0"/>
              <w:snapToGrid w:val="0"/>
              <w:spacing w:line="340" w:lineRule="exact"/>
              <w:ind w:firstLine="0" w:firstLineChars="0"/>
              <w:jc w:val="center"/>
              <w:rPr>
                <w:color w:val="0000FF"/>
                <w:sz w:val="21"/>
                <w:szCs w:val="21"/>
              </w:rPr>
            </w:pPr>
            <w:r>
              <w:rPr>
                <w:color w:val="0000FF"/>
                <w:sz w:val="21"/>
                <w:szCs w:val="21"/>
              </w:rPr>
              <w:t>SSC</w:t>
            </w:r>
            <w:r>
              <w:rPr>
                <w:rFonts w:hint="eastAsia"/>
                <w:color w:val="0000FF"/>
                <w:sz w:val="21"/>
                <w:szCs w:val="21"/>
              </w:rPr>
              <w:t>＜</w:t>
            </w:r>
            <w:r>
              <w:rPr>
                <w:color w:val="0000FF"/>
                <w:sz w:val="21"/>
                <w:szCs w:val="21"/>
              </w:rPr>
              <w:t>1</w:t>
            </w:r>
          </w:p>
        </w:tc>
        <w:tc>
          <w:tcPr>
            <w:tcW w:w="188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1</w:t>
            </w:r>
            <w:r>
              <w:rPr>
                <w:rFonts w:hint="eastAsia"/>
                <w:color w:val="0000FF"/>
                <w:sz w:val="21"/>
                <w:szCs w:val="21"/>
              </w:rPr>
              <w:t>≤</w:t>
            </w:r>
            <w:r>
              <w:rPr>
                <w:color w:val="0000FF"/>
                <w:sz w:val="21"/>
                <w:szCs w:val="21"/>
              </w:rPr>
              <w:t>SSC</w:t>
            </w:r>
            <w:r>
              <w:rPr>
                <w:rFonts w:hint="eastAsia"/>
                <w:color w:val="0000FF"/>
                <w:sz w:val="21"/>
                <w:szCs w:val="21"/>
              </w:rPr>
              <w:t>＜</w:t>
            </w:r>
            <w:r>
              <w:rPr>
                <w:color w:val="0000FF"/>
                <w:sz w:val="21"/>
                <w:szCs w:val="21"/>
              </w:rPr>
              <w:t>2</w:t>
            </w:r>
          </w:p>
        </w:tc>
        <w:tc>
          <w:tcPr>
            <w:tcW w:w="1842" w:type="dxa"/>
            <w:vAlign w:val="center"/>
          </w:tcPr>
          <w:p>
            <w:pPr>
              <w:adjustRightInd w:val="0"/>
              <w:snapToGrid w:val="0"/>
              <w:spacing w:line="340" w:lineRule="exact"/>
              <w:ind w:firstLine="0" w:firstLineChars="0"/>
              <w:jc w:val="center"/>
              <w:rPr>
                <w:color w:val="0000FF"/>
                <w:sz w:val="21"/>
                <w:szCs w:val="21"/>
              </w:rPr>
            </w:pPr>
            <w:r>
              <w:rPr>
                <w:color w:val="0000FF"/>
                <w:sz w:val="21"/>
                <w:szCs w:val="21"/>
              </w:rPr>
              <w:t>2</w:t>
            </w:r>
            <w:r>
              <w:rPr>
                <w:rFonts w:hint="eastAsia"/>
                <w:color w:val="0000FF"/>
                <w:sz w:val="21"/>
                <w:szCs w:val="21"/>
              </w:rPr>
              <w:t>≤</w:t>
            </w:r>
            <w:r>
              <w:rPr>
                <w:color w:val="0000FF"/>
                <w:sz w:val="21"/>
                <w:szCs w:val="21"/>
              </w:rPr>
              <w:t>SSC</w:t>
            </w:r>
            <w:r>
              <w:rPr>
                <w:rFonts w:hint="eastAsia"/>
                <w:color w:val="0000FF"/>
                <w:sz w:val="21"/>
                <w:szCs w:val="21"/>
              </w:rPr>
              <w:t>＜</w:t>
            </w:r>
            <w:r>
              <w:rPr>
                <w:color w:val="0000FF"/>
                <w:sz w:val="21"/>
                <w:szCs w:val="21"/>
              </w:rPr>
              <w:t>4</w:t>
            </w:r>
          </w:p>
        </w:tc>
        <w:tc>
          <w:tcPr>
            <w:tcW w:w="1418" w:type="dxa"/>
            <w:vAlign w:val="center"/>
          </w:tcPr>
          <w:p>
            <w:pPr>
              <w:adjustRightInd w:val="0"/>
              <w:snapToGrid w:val="0"/>
              <w:spacing w:line="340" w:lineRule="exact"/>
              <w:ind w:firstLine="0" w:firstLineChars="0"/>
              <w:jc w:val="center"/>
              <w:rPr>
                <w:color w:val="0000FF"/>
                <w:sz w:val="21"/>
                <w:szCs w:val="21"/>
              </w:rPr>
            </w:pPr>
            <w:r>
              <w:rPr>
                <w:color w:val="0000FF"/>
                <w:sz w:val="21"/>
                <w:szCs w:val="21"/>
              </w:rPr>
              <w:t>SSC</w:t>
            </w:r>
            <w:r>
              <w:rPr>
                <w:rFonts w:hint="eastAsia"/>
                <w:color w:val="0000FF"/>
                <w:sz w:val="21"/>
                <w:szCs w:val="21"/>
              </w:rPr>
              <w:t>≥</w:t>
            </w:r>
            <w:r>
              <w:rPr>
                <w:color w:val="0000FF"/>
                <w:sz w:val="21"/>
                <w:szCs w:val="21"/>
              </w:rPr>
              <w:t>4</w:t>
            </w:r>
          </w:p>
        </w:tc>
        <w:tc>
          <w:tcPr>
            <w:tcW w:w="124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地下水溶解性总固体</w:t>
            </w:r>
            <w:r>
              <w:rPr>
                <w:color w:val="0000FF"/>
                <w:sz w:val="21"/>
                <w:szCs w:val="21"/>
              </w:rPr>
              <w:t>(TDS)/(g/L)</w:t>
            </w:r>
          </w:p>
        </w:tc>
        <w:tc>
          <w:tcPr>
            <w:tcW w:w="1595" w:type="dxa"/>
            <w:vAlign w:val="center"/>
          </w:tcPr>
          <w:p>
            <w:pPr>
              <w:adjustRightInd w:val="0"/>
              <w:snapToGrid w:val="0"/>
              <w:spacing w:line="340" w:lineRule="exact"/>
              <w:ind w:firstLine="0" w:firstLineChars="0"/>
              <w:jc w:val="center"/>
              <w:rPr>
                <w:color w:val="0000FF"/>
                <w:sz w:val="21"/>
                <w:szCs w:val="21"/>
              </w:rPr>
            </w:pPr>
            <w:r>
              <w:rPr>
                <w:color w:val="0000FF"/>
                <w:sz w:val="21"/>
                <w:szCs w:val="21"/>
              </w:rPr>
              <w:t>TDS</w:t>
            </w:r>
            <w:r>
              <w:rPr>
                <w:rFonts w:hint="eastAsia"/>
                <w:color w:val="0000FF"/>
                <w:sz w:val="21"/>
                <w:szCs w:val="21"/>
              </w:rPr>
              <w:t>＜</w:t>
            </w:r>
            <w:r>
              <w:rPr>
                <w:color w:val="0000FF"/>
                <w:sz w:val="21"/>
                <w:szCs w:val="21"/>
              </w:rPr>
              <w:t>1</w:t>
            </w:r>
          </w:p>
        </w:tc>
        <w:tc>
          <w:tcPr>
            <w:tcW w:w="188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1</w:t>
            </w:r>
            <w:r>
              <w:rPr>
                <w:rFonts w:hint="eastAsia"/>
                <w:color w:val="0000FF"/>
                <w:sz w:val="21"/>
                <w:szCs w:val="21"/>
              </w:rPr>
              <w:t>≤</w:t>
            </w:r>
            <w:r>
              <w:rPr>
                <w:color w:val="0000FF"/>
                <w:sz w:val="21"/>
                <w:szCs w:val="21"/>
              </w:rPr>
              <w:t>TDS</w:t>
            </w:r>
            <w:r>
              <w:rPr>
                <w:rFonts w:hint="eastAsia"/>
                <w:color w:val="0000FF"/>
                <w:sz w:val="21"/>
                <w:szCs w:val="21"/>
              </w:rPr>
              <w:t>＜</w:t>
            </w:r>
            <w:r>
              <w:rPr>
                <w:color w:val="0000FF"/>
                <w:sz w:val="21"/>
                <w:szCs w:val="21"/>
              </w:rPr>
              <w:t>2</w:t>
            </w:r>
          </w:p>
        </w:tc>
        <w:tc>
          <w:tcPr>
            <w:tcW w:w="1842" w:type="dxa"/>
            <w:vAlign w:val="center"/>
          </w:tcPr>
          <w:p>
            <w:pPr>
              <w:adjustRightInd w:val="0"/>
              <w:snapToGrid w:val="0"/>
              <w:spacing w:line="340" w:lineRule="exact"/>
              <w:ind w:firstLine="0" w:firstLineChars="0"/>
              <w:jc w:val="center"/>
              <w:rPr>
                <w:color w:val="0000FF"/>
                <w:sz w:val="21"/>
                <w:szCs w:val="21"/>
              </w:rPr>
            </w:pPr>
            <w:r>
              <w:rPr>
                <w:color w:val="0000FF"/>
                <w:sz w:val="21"/>
                <w:szCs w:val="21"/>
              </w:rPr>
              <w:t>2</w:t>
            </w:r>
            <w:r>
              <w:rPr>
                <w:rFonts w:hint="eastAsia"/>
                <w:color w:val="0000FF"/>
                <w:sz w:val="21"/>
                <w:szCs w:val="21"/>
              </w:rPr>
              <w:t>≤</w:t>
            </w:r>
            <w:r>
              <w:rPr>
                <w:color w:val="0000FF"/>
                <w:sz w:val="21"/>
                <w:szCs w:val="21"/>
              </w:rPr>
              <w:t>TDS</w:t>
            </w:r>
            <w:r>
              <w:rPr>
                <w:rFonts w:hint="eastAsia"/>
                <w:color w:val="0000FF"/>
                <w:sz w:val="21"/>
                <w:szCs w:val="21"/>
              </w:rPr>
              <w:t>＜</w:t>
            </w:r>
            <w:r>
              <w:rPr>
                <w:color w:val="0000FF"/>
                <w:sz w:val="21"/>
                <w:szCs w:val="21"/>
              </w:rPr>
              <w:t>5</w:t>
            </w:r>
          </w:p>
        </w:tc>
        <w:tc>
          <w:tcPr>
            <w:tcW w:w="1418" w:type="dxa"/>
            <w:vAlign w:val="center"/>
          </w:tcPr>
          <w:p>
            <w:pPr>
              <w:adjustRightInd w:val="0"/>
              <w:snapToGrid w:val="0"/>
              <w:spacing w:line="340" w:lineRule="exact"/>
              <w:ind w:firstLine="0" w:firstLineChars="0"/>
              <w:jc w:val="center"/>
              <w:rPr>
                <w:color w:val="0000FF"/>
                <w:sz w:val="21"/>
                <w:szCs w:val="21"/>
              </w:rPr>
            </w:pPr>
            <w:r>
              <w:rPr>
                <w:color w:val="0000FF"/>
                <w:sz w:val="21"/>
                <w:szCs w:val="21"/>
              </w:rPr>
              <w:t>TDS</w:t>
            </w:r>
            <w:r>
              <w:rPr>
                <w:rFonts w:hint="eastAsia"/>
                <w:color w:val="0000FF"/>
                <w:sz w:val="21"/>
                <w:szCs w:val="21"/>
              </w:rPr>
              <w:t>≥</w:t>
            </w:r>
            <w:r>
              <w:rPr>
                <w:color w:val="0000FF"/>
                <w:sz w:val="21"/>
                <w:szCs w:val="21"/>
              </w:rPr>
              <w:t>5</w:t>
            </w:r>
          </w:p>
        </w:tc>
        <w:tc>
          <w:tcPr>
            <w:tcW w:w="124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土壤质地</w:t>
            </w:r>
          </w:p>
        </w:tc>
        <w:tc>
          <w:tcPr>
            <w:tcW w:w="15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黏土</w:t>
            </w:r>
          </w:p>
        </w:tc>
        <w:tc>
          <w:tcPr>
            <w:tcW w:w="188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砂土</w:t>
            </w:r>
          </w:p>
        </w:tc>
        <w:tc>
          <w:tcPr>
            <w:tcW w:w="184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壤土</w:t>
            </w:r>
          </w:p>
        </w:tc>
        <w:tc>
          <w:tcPr>
            <w:tcW w:w="1418"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砂壤、粉土、</w:t>
            </w:r>
          </w:p>
          <w:p>
            <w:pPr>
              <w:adjustRightInd w:val="0"/>
              <w:snapToGrid w:val="0"/>
              <w:spacing w:line="340" w:lineRule="exact"/>
              <w:ind w:firstLine="0" w:firstLineChars="0"/>
              <w:jc w:val="center"/>
              <w:rPr>
                <w:color w:val="0000FF"/>
                <w:sz w:val="21"/>
                <w:szCs w:val="21"/>
              </w:rPr>
            </w:pPr>
            <w:r>
              <w:rPr>
                <w:rFonts w:hint="eastAsia"/>
                <w:color w:val="0000FF"/>
                <w:sz w:val="21"/>
                <w:szCs w:val="21"/>
              </w:rPr>
              <w:t>砂粉土</w:t>
            </w:r>
          </w:p>
        </w:tc>
        <w:tc>
          <w:tcPr>
            <w:tcW w:w="1240"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0.1</w:t>
            </w:r>
          </w:p>
        </w:tc>
      </w:tr>
    </w:tbl>
    <w:p>
      <w:pPr>
        <w:autoSpaceDE w:val="0"/>
        <w:autoSpaceDN w:val="0"/>
        <w:adjustRightInd w:val="0"/>
        <w:spacing w:before="120" w:beforeLines="50"/>
        <w:ind w:firstLine="480"/>
        <w:rPr>
          <w:color w:val="0000FF"/>
          <w:kern w:val="0"/>
          <w:szCs w:val="24"/>
        </w:rPr>
      </w:pPr>
      <w:r>
        <w:rPr>
          <w:rFonts w:hint="eastAsia"/>
          <w:color w:val="0000FF"/>
          <w:kern w:val="0"/>
          <w:szCs w:val="24"/>
        </w:rPr>
        <w:t>根据毛家渡抬水工程相关监测和地质资料，对库区土壤盐化进行预测评价，预测评价表见表</w:t>
      </w:r>
      <w:r>
        <w:rPr>
          <w:color w:val="0000FF"/>
          <w:kern w:val="0"/>
          <w:szCs w:val="24"/>
        </w:rPr>
        <w:t>5.</w:t>
      </w:r>
      <w:r>
        <w:rPr>
          <w:rFonts w:hint="eastAsia"/>
          <w:color w:val="0000FF"/>
          <w:kern w:val="0"/>
          <w:szCs w:val="24"/>
        </w:rPr>
        <w:t>8</w:t>
      </w:r>
      <w:r>
        <w:rPr>
          <w:color w:val="0000FF"/>
          <w:kern w:val="0"/>
          <w:szCs w:val="24"/>
        </w:rPr>
        <w:t>-2</w:t>
      </w:r>
      <w:r>
        <w:rPr>
          <w:rFonts w:hint="eastAsia"/>
          <w:color w:val="0000FF"/>
          <w:kern w:val="0"/>
          <w:szCs w:val="24"/>
        </w:rPr>
        <w:t>。</w:t>
      </w:r>
    </w:p>
    <w:p>
      <w:pPr>
        <w:spacing w:before="120" w:beforeLines="50" w:line="240" w:lineRule="auto"/>
        <w:ind w:firstLine="480"/>
        <w:jc w:val="center"/>
        <w:rPr>
          <w:rFonts w:ascii="黑体" w:hAnsi="黑体" w:eastAsia="黑体" w:cs="黑体"/>
          <w:color w:val="0000FF"/>
        </w:rPr>
      </w:pPr>
      <w:r>
        <w:rPr>
          <w:rFonts w:hint="eastAsia" w:ascii="黑体" w:hAnsi="黑体" w:eastAsia="黑体" w:cs="黑体"/>
          <w:color w:val="0000FF"/>
        </w:rPr>
        <w:t>表5.8-2 库区土壤盐化预测评价表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14"/>
        <w:gridCol w:w="697"/>
        <w:gridCol w:w="337"/>
        <w:gridCol w:w="591"/>
        <w:gridCol w:w="443"/>
        <w:gridCol w:w="406"/>
        <w:gridCol w:w="673"/>
        <w:gridCol w:w="884"/>
        <w:gridCol w:w="559"/>
        <w:gridCol w:w="600"/>
        <w:gridCol w:w="750"/>
        <w:gridCol w:w="382"/>
        <w:gridCol w:w="478"/>
        <w:gridCol w:w="602"/>
        <w:gridCol w:w="275"/>
        <w:gridCol w:w="424"/>
        <w:gridCol w:w="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14" w:type="dxa"/>
            <w:vMerge w:val="restart"/>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名</w:t>
            </w:r>
          </w:p>
          <w:p>
            <w:pPr>
              <w:adjustRightInd w:val="0"/>
              <w:snapToGrid w:val="0"/>
              <w:spacing w:line="340" w:lineRule="exact"/>
              <w:ind w:firstLine="0" w:firstLineChars="0"/>
              <w:jc w:val="center"/>
              <w:rPr>
                <w:color w:val="0000FF"/>
                <w:sz w:val="21"/>
                <w:szCs w:val="21"/>
              </w:rPr>
            </w:pPr>
            <w:r>
              <w:rPr>
                <w:rFonts w:hint="eastAsia"/>
                <w:color w:val="0000FF"/>
                <w:sz w:val="21"/>
                <w:szCs w:val="21"/>
              </w:rPr>
              <w:t>称</w:t>
            </w:r>
          </w:p>
        </w:tc>
        <w:tc>
          <w:tcPr>
            <w:tcW w:w="1625" w:type="dxa"/>
            <w:gridSpan w:val="3"/>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地下水位埋深</w:t>
            </w:r>
            <w:r>
              <w:rPr>
                <w:color w:val="0000FF"/>
                <w:sz w:val="21"/>
                <w:szCs w:val="21"/>
              </w:rPr>
              <w:t>GWD)/(m)</w:t>
            </w:r>
          </w:p>
        </w:tc>
        <w:tc>
          <w:tcPr>
            <w:tcW w:w="1522" w:type="dxa"/>
            <w:gridSpan w:val="3"/>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干燥度</w:t>
            </w:r>
            <w:r>
              <w:rPr>
                <w:color w:val="0000FF"/>
                <w:sz w:val="21"/>
                <w:szCs w:val="21"/>
              </w:rPr>
              <w:t>(</w:t>
            </w:r>
            <w:r>
              <w:rPr>
                <w:rFonts w:hint="eastAsia"/>
                <w:color w:val="0000FF"/>
                <w:sz w:val="21"/>
                <w:szCs w:val="21"/>
              </w:rPr>
              <w:t>蒸降比</w:t>
            </w:r>
            <w:r>
              <w:rPr>
                <w:color w:val="0000FF"/>
                <w:sz w:val="21"/>
                <w:szCs w:val="21"/>
              </w:rPr>
              <w:t>)(EPR)</w:t>
            </w:r>
          </w:p>
        </w:tc>
        <w:tc>
          <w:tcPr>
            <w:tcW w:w="2043" w:type="dxa"/>
            <w:gridSpan w:val="3"/>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土壤本底含盐量</w:t>
            </w:r>
          </w:p>
          <w:p>
            <w:pPr>
              <w:adjustRightInd w:val="0"/>
              <w:snapToGrid w:val="0"/>
              <w:spacing w:line="340" w:lineRule="exact"/>
              <w:ind w:firstLine="0" w:firstLineChars="0"/>
              <w:jc w:val="center"/>
              <w:rPr>
                <w:color w:val="0000FF"/>
                <w:sz w:val="21"/>
                <w:szCs w:val="21"/>
              </w:rPr>
            </w:pPr>
            <w:r>
              <w:rPr>
                <w:color w:val="0000FF"/>
                <w:sz w:val="21"/>
                <w:szCs w:val="21"/>
              </w:rPr>
              <w:t>(SSC)/(g/kg)</w:t>
            </w:r>
          </w:p>
        </w:tc>
        <w:tc>
          <w:tcPr>
            <w:tcW w:w="1610" w:type="dxa"/>
            <w:gridSpan w:val="3"/>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地下水溶解性总固体</w:t>
            </w:r>
            <w:r>
              <w:rPr>
                <w:color w:val="0000FF"/>
                <w:sz w:val="21"/>
                <w:szCs w:val="21"/>
              </w:rPr>
              <w:t>(TDS)/(g/L)</w:t>
            </w:r>
          </w:p>
        </w:tc>
        <w:tc>
          <w:tcPr>
            <w:tcW w:w="1301" w:type="dxa"/>
            <w:gridSpan w:val="3"/>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土壤质地</w:t>
            </w:r>
          </w:p>
        </w:tc>
        <w:tc>
          <w:tcPr>
            <w:tcW w:w="695" w:type="dxa"/>
            <w:vMerge w:val="restart"/>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综合</w:t>
            </w:r>
          </w:p>
          <w:p>
            <w:pPr>
              <w:adjustRightInd w:val="0"/>
              <w:snapToGrid w:val="0"/>
              <w:spacing w:line="340" w:lineRule="exact"/>
              <w:ind w:firstLine="0" w:firstLineChars="0"/>
              <w:jc w:val="center"/>
              <w:rPr>
                <w:color w:val="0000FF"/>
                <w:sz w:val="21"/>
                <w:szCs w:val="21"/>
              </w:rPr>
            </w:pPr>
            <w:r>
              <w:rPr>
                <w:rFonts w:hint="eastAsia"/>
                <w:color w:val="0000FF"/>
                <w:sz w:val="21"/>
                <w:szCs w:val="21"/>
              </w:rPr>
              <w:t>评分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14" w:type="dxa"/>
            <w:vMerge w:val="continue"/>
            <w:vAlign w:val="center"/>
          </w:tcPr>
          <w:p>
            <w:pPr>
              <w:adjustRightInd w:val="0"/>
              <w:snapToGrid w:val="0"/>
              <w:spacing w:line="340" w:lineRule="exact"/>
              <w:ind w:firstLine="0" w:firstLineChars="0"/>
              <w:jc w:val="center"/>
              <w:rPr>
                <w:color w:val="0000FF"/>
                <w:sz w:val="21"/>
                <w:szCs w:val="21"/>
              </w:rPr>
            </w:pPr>
          </w:p>
        </w:tc>
        <w:tc>
          <w:tcPr>
            <w:tcW w:w="697"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数值</w:t>
            </w:r>
          </w:p>
        </w:tc>
        <w:tc>
          <w:tcPr>
            <w:tcW w:w="337"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591"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c>
          <w:tcPr>
            <w:tcW w:w="443"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数值</w:t>
            </w:r>
          </w:p>
        </w:tc>
        <w:tc>
          <w:tcPr>
            <w:tcW w:w="406"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673"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c>
          <w:tcPr>
            <w:tcW w:w="884"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数值</w:t>
            </w:r>
          </w:p>
        </w:tc>
        <w:tc>
          <w:tcPr>
            <w:tcW w:w="559"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60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c>
          <w:tcPr>
            <w:tcW w:w="75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数值</w:t>
            </w:r>
          </w:p>
        </w:tc>
        <w:tc>
          <w:tcPr>
            <w:tcW w:w="38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478"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c>
          <w:tcPr>
            <w:tcW w:w="60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数值</w:t>
            </w:r>
          </w:p>
        </w:tc>
        <w:tc>
          <w:tcPr>
            <w:tcW w:w="27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分值</w:t>
            </w:r>
          </w:p>
        </w:tc>
        <w:tc>
          <w:tcPr>
            <w:tcW w:w="424"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权重</w:t>
            </w:r>
          </w:p>
        </w:tc>
        <w:tc>
          <w:tcPr>
            <w:tcW w:w="695" w:type="dxa"/>
            <w:vMerge w:val="continue"/>
            <w:vAlign w:val="center"/>
          </w:tcPr>
          <w:p>
            <w:pPr>
              <w:adjustRightInd w:val="0"/>
              <w:snapToGrid w:val="0"/>
              <w:spacing w:line="340" w:lineRule="exact"/>
              <w:ind w:firstLine="0" w:firstLineChars="0"/>
              <w:jc w:val="center"/>
              <w:rPr>
                <w:color w:val="0000FF"/>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14"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S1~S3土壤</w:t>
            </w:r>
          </w:p>
          <w:p>
            <w:pPr>
              <w:adjustRightInd w:val="0"/>
              <w:snapToGrid w:val="0"/>
              <w:spacing w:line="340" w:lineRule="exact"/>
              <w:ind w:firstLine="0" w:firstLineChars="0"/>
              <w:jc w:val="center"/>
              <w:rPr>
                <w:color w:val="0000FF"/>
                <w:sz w:val="21"/>
                <w:szCs w:val="21"/>
              </w:rPr>
            </w:pPr>
            <w:r>
              <w:rPr>
                <w:rFonts w:hint="eastAsia"/>
                <w:color w:val="0000FF"/>
                <w:sz w:val="21"/>
                <w:szCs w:val="21"/>
              </w:rPr>
              <w:t>点位</w:t>
            </w:r>
          </w:p>
        </w:tc>
        <w:tc>
          <w:tcPr>
            <w:tcW w:w="697"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2.6-4.0</w:t>
            </w:r>
          </w:p>
        </w:tc>
        <w:tc>
          <w:tcPr>
            <w:tcW w:w="337"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w:t>
            </w:r>
          </w:p>
        </w:tc>
        <w:tc>
          <w:tcPr>
            <w:tcW w:w="591"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0.35</w:t>
            </w:r>
          </w:p>
        </w:tc>
        <w:tc>
          <w:tcPr>
            <w:tcW w:w="443"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0.57</w:t>
            </w:r>
          </w:p>
        </w:tc>
        <w:tc>
          <w:tcPr>
            <w:tcW w:w="406"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w:t>
            </w:r>
          </w:p>
        </w:tc>
        <w:tc>
          <w:tcPr>
            <w:tcW w:w="673"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0.25</w:t>
            </w:r>
          </w:p>
        </w:tc>
        <w:tc>
          <w:tcPr>
            <w:tcW w:w="884" w:type="dxa"/>
            <w:vAlign w:val="center"/>
          </w:tcPr>
          <w:p>
            <w:pPr>
              <w:adjustRightInd w:val="0"/>
              <w:snapToGrid w:val="0"/>
              <w:spacing w:line="340" w:lineRule="exact"/>
              <w:ind w:firstLine="0" w:firstLineChars="0"/>
              <w:jc w:val="center"/>
              <w:rPr>
                <w:color w:val="0000FF"/>
                <w:sz w:val="21"/>
                <w:szCs w:val="21"/>
              </w:rPr>
            </w:pPr>
            <w:r>
              <w:rPr>
                <w:color w:val="0000FF"/>
                <w:sz w:val="21"/>
                <w:szCs w:val="21"/>
              </w:rPr>
              <w:t>0.0596~0.28</w:t>
            </w:r>
          </w:p>
        </w:tc>
        <w:tc>
          <w:tcPr>
            <w:tcW w:w="559"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w:t>
            </w:r>
          </w:p>
        </w:tc>
        <w:tc>
          <w:tcPr>
            <w:tcW w:w="60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0.15</w:t>
            </w:r>
          </w:p>
        </w:tc>
        <w:tc>
          <w:tcPr>
            <w:tcW w:w="750"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0.203~</w:t>
            </w:r>
          </w:p>
          <w:p>
            <w:pPr>
              <w:adjustRightInd w:val="0"/>
              <w:snapToGrid w:val="0"/>
              <w:spacing w:line="340" w:lineRule="exact"/>
              <w:ind w:firstLine="0" w:firstLineChars="0"/>
              <w:jc w:val="center"/>
              <w:rPr>
                <w:color w:val="0000FF"/>
                <w:sz w:val="21"/>
                <w:szCs w:val="21"/>
              </w:rPr>
            </w:pPr>
            <w:r>
              <w:rPr>
                <w:rFonts w:hint="eastAsia"/>
                <w:color w:val="0000FF"/>
                <w:sz w:val="21"/>
                <w:szCs w:val="21"/>
              </w:rPr>
              <w:t>0.306</w:t>
            </w:r>
          </w:p>
        </w:tc>
        <w:tc>
          <w:tcPr>
            <w:tcW w:w="38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w:t>
            </w:r>
          </w:p>
        </w:tc>
        <w:tc>
          <w:tcPr>
            <w:tcW w:w="478"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0.15</w:t>
            </w:r>
          </w:p>
        </w:tc>
        <w:tc>
          <w:tcPr>
            <w:tcW w:w="602"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砂~轻壤土</w:t>
            </w:r>
          </w:p>
        </w:tc>
        <w:tc>
          <w:tcPr>
            <w:tcW w:w="27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4~</w:t>
            </w:r>
          </w:p>
        </w:tc>
        <w:tc>
          <w:tcPr>
            <w:tcW w:w="424"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0.10</w:t>
            </w:r>
          </w:p>
        </w:tc>
        <w:tc>
          <w:tcPr>
            <w:tcW w:w="695" w:type="dxa"/>
            <w:vAlign w:val="center"/>
          </w:tcPr>
          <w:p>
            <w:pPr>
              <w:adjustRightInd w:val="0"/>
              <w:snapToGrid w:val="0"/>
              <w:spacing w:line="340" w:lineRule="exact"/>
              <w:ind w:firstLine="0" w:firstLineChars="0"/>
              <w:jc w:val="center"/>
              <w:rPr>
                <w:color w:val="0000FF"/>
                <w:sz w:val="21"/>
                <w:szCs w:val="21"/>
              </w:rPr>
            </w:pPr>
            <w:r>
              <w:rPr>
                <w:rFonts w:hint="eastAsia"/>
                <w:color w:val="0000FF"/>
                <w:sz w:val="21"/>
                <w:szCs w:val="21"/>
              </w:rPr>
              <w:t>0.4~0.6</w:t>
            </w:r>
          </w:p>
        </w:tc>
      </w:tr>
    </w:tbl>
    <w:p>
      <w:pPr>
        <w:autoSpaceDE w:val="0"/>
        <w:autoSpaceDN w:val="0"/>
        <w:adjustRightInd w:val="0"/>
        <w:ind w:firstLine="480"/>
        <w:rPr>
          <w:color w:val="0000FF"/>
          <w:kern w:val="0"/>
          <w:szCs w:val="24"/>
        </w:rPr>
      </w:pPr>
      <w:r>
        <w:rPr>
          <w:rFonts w:hint="eastAsia"/>
          <w:color w:val="0000FF"/>
          <w:kern w:val="0"/>
          <w:szCs w:val="24"/>
        </w:rPr>
        <w:t>根据项目土壤盐化影响因素赋值及权重，项目土壤盐化综合评分值1≤</w:t>
      </w:r>
      <w:r>
        <w:rPr>
          <w:color w:val="0000FF"/>
          <w:kern w:val="0"/>
          <w:szCs w:val="24"/>
        </w:rPr>
        <w:t>Sa</w:t>
      </w:r>
      <w:r>
        <w:rPr>
          <w:rFonts w:hint="eastAsia"/>
          <w:color w:val="0000FF"/>
          <w:kern w:val="0"/>
          <w:szCs w:val="24"/>
        </w:rPr>
        <w:t>＜2。按照《环境影响评价技术导则</w:t>
      </w:r>
      <w:r>
        <w:rPr>
          <w:color w:val="0000FF"/>
          <w:kern w:val="0"/>
          <w:szCs w:val="24"/>
        </w:rPr>
        <w:t xml:space="preserve"> </w:t>
      </w:r>
      <w:r>
        <w:rPr>
          <w:rFonts w:hint="eastAsia"/>
          <w:color w:val="0000FF"/>
          <w:kern w:val="0"/>
          <w:szCs w:val="24"/>
        </w:rPr>
        <w:t>土壤环境</w:t>
      </w:r>
      <w:r>
        <w:rPr>
          <w:color w:val="0000FF"/>
          <w:kern w:val="0"/>
          <w:szCs w:val="24"/>
        </w:rPr>
        <w:t>(</w:t>
      </w:r>
      <w:r>
        <w:rPr>
          <w:rFonts w:hint="eastAsia"/>
          <w:color w:val="0000FF"/>
          <w:kern w:val="0"/>
          <w:szCs w:val="24"/>
        </w:rPr>
        <w:t>试行</w:t>
      </w:r>
      <w:r>
        <w:rPr>
          <w:color w:val="0000FF"/>
          <w:kern w:val="0"/>
          <w:szCs w:val="24"/>
        </w:rPr>
        <w:t>)</w:t>
      </w:r>
      <w:r>
        <w:rPr>
          <w:rFonts w:hint="eastAsia"/>
          <w:color w:val="0000FF"/>
          <w:kern w:val="0"/>
          <w:szCs w:val="24"/>
        </w:rPr>
        <w:t>》</w:t>
      </w:r>
      <w:r>
        <w:rPr>
          <w:color w:val="0000FF"/>
          <w:kern w:val="0"/>
          <w:szCs w:val="24"/>
        </w:rPr>
        <w:t>(HJ964-2018)</w:t>
      </w:r>
      <w:r>
        <w:rPr>
          <w:rFonts w:hint="eastAsia"/>
          <w:color w:val="0000FF"/>
          <w:kern w:val="0"/>
          <w:szCs w:val="24"/>
        </w:rPr>
        <w:t>中的土壤盐化预测表进行预测，本项目建成后周边土壤会发生轻度盐化现象。</w:t>
      </w:r>
    </w:p>
    <w:p>
      <w:pPr>
        <w:numPr>
          <w:ilvl w:val="0"/>
          <w:numId w:val="11"/>
        </w:numPr>
        <w:autoSpaceDE w:val="0"/>
        <w:autoSpaceDN w:val="0"/>
        <w:adjustRightInd w:val="0"/>
        <w:ind w:firstLine="480"/>
        <w:rPr>
          <w:color w:val="0000FF"/>
          <w:kern w:val="0"/>
          <w:szCs w:val="24"/>
        </w:rPr>
      </w:pPr>
      <w:r>
        <w:rPr>
          <w:rFonts w:hint="eastAsia"/>
          <w:color w:val="0000FF"/>
          <w:kern w:val="0"/>
          <w:szCs w:val="24"/>
        </w:rPr>
        <w:t>对库区周边耕地盐渍化的影响</w:t>
      </w:r>
    </w:p>
    <w:p>
      <w:pPr>
        <w:autoSpaceDE w:val="0"/>
        <w:autoSpaceDN w:val="0"/>
        <w:adjustRightInd w:val="0"/>
        <w:ind w:firstLine="480"/>
        <w:rPr>
          <w:color w:val="0000FF"/>
          <w:kern w:val="0"/>
          <w:szCs w:val="24"/>
        </w:rPr>
      </w:pPr>
      <w:r>
        <w:rPr>
          <w:rFonts w:hint="eastAsia"/>
          <w:color w:val="0000FF"/>
          <w:kern w:val="0"/>
          <w:szCs w:val="24"/>
        </w:rPr>
        <w:t>根据现场踏勘，本工程库区沿岸布置少量耕地资源，根据，本工程的可行性研究报告，根据地质分析，毛家渡抬水工程蓄水至44.50m高程时，两岸堤内农作物区在高程45.20m 以下、城镇房屋区在高程48.60m 以下、农村房屋区在高程47.60m以下为浸没区。根据可行性研究报告的实测地形图及万分之一航测图圈量得，锦河右岸田北村局部地面高程为46.33m 左右，故田北村局部地段将产生浸没问题。锦河右侧原种场段(锦惠渠石井泄洪闸附近)有小块农田（25 亩左右）存在浸没影响，主要种植水稻，本次勘察通过五m 钻揭露，稻田表层为厚2.7m～4m 为壤土层，该层具弱透水性。根据钻孔内所测量的地下水稳定水位计算，当河水位为水库正常蓄水位44.5 m 时，计算可得雍高后钻孔位置（稻田）的地下水位为44.8m。水稻为喜水农作物，参考相关资料，适宜的地下水位埋深为0.3 m～0.6m，本工程取0.4m；该稻田地面高程44.66m～45.60m，稻田局部水位将高于现地面，局部地下水位长期过高将影响产量；整个场地地下水位埋深均小于 1.0 m，对机耕机收有一定影响。</w:t>
      </w:r>
    </w:p>
    <w:p>
      <w:pPr>
        <w:autoSpaceDE w:val="0"/>
        <w:autoSpaceDN w:val="0"/>
        <w:adjustRightInd w:val="0"/>
        <w:ind w:firstLine="480"/>
        <w:rPr>
          <w:color w:val="0000FF"/>
          <w:kern w:val="0"/>
          <w:szCs w:val="24"/>
        </w:rPr>
      </w:pPr>
      <w:r>
        <w:rPr>
          <w:rFonts w:hint="eastAsia"/>
          <w:color w:val="0000FF"/>
          <w:kern w:val="0"/>
          <w:szCs w:val="24"/>
        </w:rPr>
        <w:t>根据江西省上高县城市总体规划，田北村局部地段、锦河右侧原种场段(锦惠渠石井泄洪闸附近)有小块农田（25 亩左右）已规划为住宅用地，因此，项目运行后对此浸没耕地影响较小，无需提出盐渍化、潜育化减缓措施。</w:t>
      </w:r>
    </w:p>
    <w:p>
      <w:pPr>
        <w:pStyle w:val="6"/>
        <w:spacing w:beforeLines="50" w:afterLines="50"/>
        <w:rPr>
          <w:szCs w:val="28"/>
        </w:rPr>
      </w:pPr>
      <w:bookmarkStart w:id="911" w:name="_Toc9502"/>
      <w:r>
        <w:rPr>
          <w:szCs w:val="28"/>
        </w:rPr>
        <w:t>5.</w:t>
      </w:r>
      <w:r>
        <w:rPr>
          <w:rFonts w:hint="eastAsia"/>
          <w:szCs w:val="28"/>
        </w:rPr>
        <w:t>9生态环境影响预测评价</w:t>
      </w:r>
      <w:bookmarkEnd w:id="911"/>
    </w:p>
    <w:p>
      <w:pPr>
        <w:pStyle w:val="835"/>
        <w:spacing w:before="0" w:line="360" w:lineRule="auto"/>
      </w:pPr>
      <w:r>
        <w:t>5.</w:t>
      </w:r>
      <w:r>
        <w:rPr>
          <w:rFonts w:hint="eastAsia"/>
        </w:rPr>
        <w:t>9</w:t>
      </w:r>
      <w:r>
        <w:t>.1</w:t>
      </w:r>
      <w:r>
        <w:rPr>
          <w:rFonts w:hint="eastAsia"/>
        </w:rPr>
        <w:t>陆生生态影响预测与评价</w:t>
      </w:r>
    </w:p>
    <w:p>
      <w:pPr>
        <w:pStyle w:val="729"/>
        <w:spacing w:before="0" w:line="360" w:lineRule="auto"/>
        <w:ind w:firstLine="0" w:firstLineChars="0"/>
        <w:rPr>
          <w:b/>
        </w:rPr>
      </w:pPr>
      <w:r>
        <w:rPr>
          <w:b/>
        </w:rPr>
        <w:t>5.9.1.1</w:t>
      </w:r>
      <w:r>
        <w:rPr>
          <w:rFonts w:hint="eastAsia"/>
          <w:b/>
        </w:rPr>
        <w:t>对生态系统的影响</w:t>
      </w:r>
    </w:p>
    <w:p>
      <w:pPr>
        <w:autoSpaceDE w:val="0"/>
        <w:autoSpaceDN w:val="0"/>
        <w:adjustRightInd w:val="0"/>
        <w:ind w:firstLine="480"/>
      </w:pPr>
      <w:r>
        <w:rPr>
          <w:rFonts w:hint="eastAsia"/>
        </w:rPr>
        <w:t>(1)对生态系统组成的影响</w:t>
      </w:r>
    </w:p>
    <w:p>
      <w:pPr>
        <w:pStyle w:val="284"/>
        <w:ind w:firstLine="480"/>
        <w:rPr>
          <w:szCs w:val="24"/>
        </w:rPr>
      </w:pPr>
      <w:r>
        <w:rPr>
          <w:szCs w:val="24"/>
        </w:rPr>
        <w:t>根据</w:t>
      </w:r>
      <w:r>
        <w:rPr>
          <w:rFonts w:hint="eastAsia"/>
          <w:szCs w:val="24"/>
        </w:rPr>
        <w:t>工程工可和工程水土保持报告书</w:t>
      </w:r>
      <w:r>
        <w:rPr>
          <w:szCs w:val="24"/>
        </w:rPr>
        <w:t>，</w:t>
      </w:r>
      <w:r>
        <w:rPr>
          <w:rFonts w:hint="eastAsia"/>
          <w:szCs w:val="24"/>
        </w:rPr>
        <w:t>工程占地包括工程永久占地及临时占地，总占地面积为258.1亩，</w:t>
      </w:r>
      <w:r>
        <w:rPr>
          <w:szCs w:val="24"/>
        </w:rPr>
        <w:t>永久性占地面积为</w:t>
      </w:r>
      <w:r>
        <w:rPr>
          <w:rFonts w:hint="eastAsia"/>
          <w:szCs w:val="24"/>
        </w:rPr>
        <w:t>142.5亩</w:t>
      </w:r>
      <w:r>
        <w:rPr>
          <w:szCs w:val="24"/>
        </w:rPr>
        <w:t>，</w:t>
      </w:r>
      <w:r>
        <w:rPr>
          <w:rFonts w:hint="eastAsia"/>
          <w:szCs w:val="24"/>
        </w:rPr>
        <w:t>占地</w:t>
      </w:r>
      <w:r>
        <w:rPr>
          <w:szCs w:val="24"/>
        </w:rPr>
        <w:t>类型为</w:t>
      </w:r>
      <w:r>
        <w:rPr>
          <w:rFonts w:hint="eastAsia"/>
          <w:szCs w:val="24"/>
        </w:rPr>
        <w:t>荒地、水田</w:t>
      </w:r>
      <w:r>
        <w:rPr>
          <w:szCs w:val="24"/>
        </w:rPr>
        <w:t>，其中</w:t>
      </w:r>
      <w:r>
        <w:rPr>
          <w:rFonts w:hint="eastAsia"/>
          <w:szCs w:val="24"/>
        </w:rPr>
        <w:t>荒草地占地70.8亩，水田占地39.2亩</w:t>
      </w:r>
      <w:r>
        <w:rPr>
          <w:szCs w:val="24"/>
        </w:rPr>
        <w:t>。</w:t>
      </w:r>
    </w:p>
    <w:p>
      <w:pPr>
        <w:pStyle w:val="284"/>
        <w:ind w:firstLine="480"/>
        <w:rPr>
          <w:szCs w:val="24"/>
        </w:rPr>
      </w:pPr>
      <w:r>
        <w:rPr>
          <w:rFonts w:hint="eastAsia"/>
          <w:szCs w:val="24"/>
        </w:rPr>
        <w:t>工程</w:t>
      </w:r>
      <w:r>
        <w:rPr>
          <w:szCs w:val="24"/>
        </w:rPr>
        <w:t>临时占地面积为</w:t>
      </w:r>
      <w:r>
        <w:rPr>
          <w:rFonts w:hint="eastAsia"/>
          <w:szCs w:val="24"/>
        </w:rPr>
        <w:t>90.6亩</w:t>
      </w:r>
      <w:r>
        <w:rPr>
          <w:szCs w:val="24"/>
        </w:rPr>
        <w:t>，类型主要为</w:t>
      </w:r>
      <w:r>
        <w:rPr>
          <w:rFonts w:hint="eastAsia"/>
          <w:szCs w:val="24"/>
        </w:rPr>
        <w:t>水田</w:t>
      </w:r>
      <w:r>
        <w:rPr>
          <w:szCs w:val="24"/>
        </w:rPr>
        <w:t>和</w:t>
      </w:r>
      <w:r>
        <w:rPr>
          <w:rFonts w:hint="eastAsia"/>
          <w:szCs w:val="24"/>
        </w:rPr>
        <w:t>荒草地</w:t>
      </w:r>
      <w:r>
        <w:rPr>
          <w:szCs w:val="24"/>
        </w:rPr>
        <w:t>，包括弃渣场、施工临时道路区、施工场地区、土料场和围堰，其中</w:t>
      </w:r>
      <w:r>
        <w:rPr>
          <w:rFonts w:hint="eastAsia"/>
          <w:szCs w:val="24"/>
        </w:rPr>
        <w:t>其中临时道路占地15.0亩（水田2.3亩，荒地12.7亩），取料场占地为荒草地10亩，弃渣场临时占地为荒草地59.6亩，施工临时设施占地为荒草地6亩</w:t>
      </w:r>
      <w:r>
        <w:rPr>
          <w:szCs w:val="24"/>
        </w:rPr>
        <w:t>。</w:t>
      </w:r>
      <w:r>
        <w:rPr>
          <w:rFonts w:hint="eastAsia"/>
          <w:szCs w:val="24"/>
        </w:rPr>
        <w:t>（详见表5.9-1）。</w:t>
      </w:r>
    </w:p>
    <w:p>
      <w:pPr>
        <w:pStyle w:val="36"/>
        <w:spacing w:before="120" w:beforeLines="50" w:line="240" w:lineRule="auto"/>
        <w:ind w:left="0" w:leftChars="0" w:firstLine="480" w:firstLineChars="200"/>
        <w:jc w:val="center"/>
        <w:rPr>
          <w:rFonts w:eastAsia="黑体"/>
          <w:shd w:val="clear" w:color="auto" w:fill="FFFFFF"/>
        </w:rPr>
      </w:pPr>
      <w:r>
        <w:rPr>
          <w:rFonts w:eastAsia="黑体"/>
          <w:shd w:val="clear" w:color="auto" w:fill="FFFFFF"/>
        </w:rPr>
        <w:t>表</w:t>
      </w:r>
      <w:r>
        <w:rPr>
          <w:rFonts w:hint="eastAsia" w:eastAsia="黑体"/>
          <w:shd w:val="clear" w:color="auto" w:fill="FFFFFF"/>
        </w:rPr>
        <w:t>5.9-1</w:t>
      </w:r>
      <w:r>
        <w:rPr>
          <w:rFonts w:eastAsia="黑体"/>
          <w:shd w:val="clear" w:color="auto" w:fill="FFFFFF"/>
        </w:rPr>
        <w:t xml:space="preserve">  </w:t>
      </w:r>
      <w:r>
        <w:rPr>
          <w:rFonts w:eastAsia="黑体"/>
        </w:rPr>
        <w:t xml:space="preserve"> 项目区土地利用现状表</w:t>
      </w:r>
      <w:r>
        <w:rPr>
          <w:rFonts w:hint="eastAsia" w:eastAsia="黑体"/>
          <w:shd w:val="clear" w:color="auto" w:fill="FFFFFF"/>
        </w:rPr>
        <w:t xml:space="preserve">  (</w:t>
      </w:r>
      <w:r>
        <w:rPr>
          <w:rFonts w:eastAsia="黑体"/>
          <w:shd w:val="clear" w:color="auto" w:fill="FFFFFF"/>
        </w:rPr>
        <w:t>单位：</w:t>
      </w:r>
      <w:r>
        <w:rPr>
          <w:rFonts w:hint="eastAsia" w:eastAsia="黑体"/>
          <w:kern w:val="0"/>
          <w:szCs w:val="24"/>
        </w:rPr>
        <w:t>亩</w:t>
      </w:r>
      <w:r>
        <w:rPr>
          <w:rFonts w:hint="eastAsia"/>
          <w:kern w:val="0"/>
          <w:szCs w:val="24"/>
        </w:rPr>
        <w:t>)</w:t>
      </w:r>
    </w:p>
    <w:tbl>
      <w:tblPr>
        <w:tblStyle w:val="82"/>
        <w:tblW w:w="499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85" w:type="dxa"/>
          <w:bottom w:w="15" w:type="dxa"/>
          <w:right w:w="85" w:type="dxa"/>
        </w:tblCellMar>
      </w:tblPr>
      <w:tblGrid>
        <w:gridCol w:w="1350"/>
        <w:gridCol w:w="1783"/>
        <w:gridCol w:w="874"/>
        <w:gridCol w:w="777"/>
        <w:gridCol w:w="864"/>
        <w:gridCol w:w="902"/>
        <w:gridCol w:w="1650"/>
        <w:gridCol w:w="13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restart"/>
            <w:vAlign w:val="center"/>
          </w:tcPr>
          <w:p>
            <w:pPr>
              <w:widowControl/>
              <w:spacing w:line="340" w:lineRule="exact"/>
              <w:ind w:firstLine="0" w:firstLineChars="0"/>
              <w:jc w:val="center"/>
              <w:rPr>
                <w:bCs/>
                <w:kern w:val="0"/>
                <w:sz w:val="21"/>
                <w:szCs w:val="21"/>
                <w:shd w:val="clear" w:color="auto" w:fill="FFFFFF"/>
              </w:rPr>
            </w:pPr>
            <w:r>
              <w:rPr>
                <w:rFonts w:hint="eastAsia"/>
                <w:bCs/>
                <w:kern w:val="0"/>
                <w:sz w:val="21"/>
                <w:szCs w:val="21"/>
                <w:shd w:val="clear" w:color="auto" w:fill="FFFFFF"/>
              </w:rPr>
              <w:t>占地性质</w:t>
            </w:r>
          </w:p>
        </w:tc>
        <w:tc>
          <w:tcPr>
            <w:tcW w:w="937" w:type="pct"/>
            <w:vMerge w:val="restart"/>
            <w:vAlign w:val="center"/>
          </w:tcPr>
          <w:p>
            <w:pPr>
              <w:pStyle w:val="573"/>
              <w:spacing w:line="340" w:lineRule="exact"/>
              <w:jc w:val="center"/>
              <w:rPr>
                <w:color w:val="auto"/>
                <w:sz w:val="21"/>
                <w:szCs w:val="21"/>
              </w:rPr>
            </w:pPr>
            <w:r>
              <w:rPr>
                <w:rFonts w:hint="eastAsia"/>
                <w:color w:val="auto"/>
                <w:sz w:val="21"/>
                <w:szCs w:val="21"/>
              </w:rPr>
              <w:t>工程区</w:t>
            </w:r>
          </w:p>
        </w:tc>
        <w:tc>
          <w:tcPr>
            <w:tcW w:w="459" w:type="pct"/>
            <w:tcBorders>
              <w:right w:val="single" w:color="auto" w:sz="4" w:space="0"/>
            </w:tcBorders>
            <w:vAlign w:val="center"/>
          </w:tcPr>
          <w:p>
            <w:pPr>
              <w:widowControl/>
              <w:spacing w:line="340" w:lineRule="exact"/>
              <w:ind w:firstLine="0" w:firstLineChars="0"/>
              <w:jc w:val="center"/>
              <w:rPr>
                <w:rFonts w:ascii="宋体" w:cs="宋体"/>
                <w:kern w:val="0"/>
                <w:sz w:val="21"/>
                <w:szCs w:val="21"/>
              </w:rPr>
            </w:pPr>
          </w:p>
        </w:tc>
        <w:tc>
          <w:tcPr>
            <w:tcW w:w="2203" w:type="pct"/>
            <w:gridSpan w:val="4"/>
            <w:tcBorders>
              <w:right w:val="single" w:color="auto" w:sz="4" w:space="0"/>
            </w:tcBorders>
            <w:vAlign w:val="center"/>
          </w:tcPr>
          <w:p>
            <w:pPr>
              <w:widowControl/>
              <w:spacing w:line="340" w:lineRule="exact"/>
              <w:ind w:firstLine="0" w:firstLineChars="0"/>
              <w:jc w:val="center"/>
              <w:rPr>
                <w:rFonts w:ascii="宋体" w:cs="宋体"/>
                <w:kern w:val="0"/>
                <w:sz w:val="21"/>
                <w:szCs w:val="21"/>
              </w:rPr>
            </w:pPr>
            <w:r>
              <w:rPr>
                <w:rFonts w:ascii="宋体" w:cs="宋体"/>
                <w:kern w:val="0"/>
                <w:sz w:val="21"/>
                <w:szCs w:val="21"/>
              </w:rPr>
              <w:t>占地类型</w:t>
            </w:r>
          </w:p>
        </w:tc>
        <w:tc>
          <w:tcPr>
            <w:tcW w:w="690" w:type="pct"/>
            <w:vMerge w:val="restart"/>
            <w:tcBorders>
              <w:left w:val="single" w:color="auto" w:sz="4" w:space="0"/>
            </w:tcBorders>
            <w:vAlign w:val="center"/>
          </w:tcPr>
          <w:p>
            <w:pPr>
              <w:widowControl/>
              <w:spacing w:line="340" w:lineRule="exact"/>
              <w:ind w:firstLine="0" w:firstLineChars="0"/>
              <w:jc w:val="center"/>
              <w:rPr>
                <w:rFonts w:ascii="宋体" w:cs="宋体"/>
                <w:kern w:val="0"/>
                <w:sz w:val="21"/>
                <w:szCs w:val="21"/>
              </w:rPr>
            </w:pPr>
            <w:r>
              <w:rPr>
                <w:rFonts w:hint="eastAsia" w:ascii="宋体" w:cs="宋体"/>
                <w:kern w:val="0"/>
                <w:sz w:val="21"/>
                <w:szCs w:val="21"/>
              </w:rPr>
              <w:t>小计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Merge w:val="continue"/>
            <w:vAlign w:val="center"/>
          </w:tcPr>
          <w:p>
            <w:pPr>
              <w:pStyle w:val="573"/>
              <w:spacing w:line="340" w:lineRule="exact"/>
              <w:jc w:val="center"/>
              <w:rPr>
                <w:color w:val="auto"/>
                <w:sz w:val="21"/>
                <w:szCs w:val="21"/>
              </w:rPr>
            </w:pP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水田</w:t>
            </w:r>
          </w:p>
        </w:tc>
        <w:tc>
          <w:tcPr>
            <w:tcW w:w="408"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林地</w:t>
            </w:r>
          </w:p>
        </w:tc>
        <w:tc>
          <w:tcPr>
            <w:tcW w:w="454"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旱地</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荒草地</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一般湿地</w:t>
            </w:r>
          </w:p>
        </w:tc>
        <w:tc>
          <w:tcPr>
            <w:tcW w:w="690" w:type="pct"/>
            <w:vMerge w:val="continue"/>
            <w:tcBorders>
              <w:left w:val="single" w:color="auto" w:sz="4" w:space="0"/>
            </w:tcBorders>
            <w:vAlign w:val="center"/>
          </w:tcPr>
          <w:p>
            <w:pPr>
              <w:pStyle w:val="573"/>
              <w:spacing w:line="340" w:lineRule="exact"/>
              <w:jc w:val="center"/>
              <w:rPr>
                <w:rFonts w:ascii="Times New Roman"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532" w:hRule="atLeast"/>
          <w:jc w:val="center"/>
        </w:trPr>
        <w:tc>
          <w:tcPr>
            <w:tcW w:w="709" w:type="pct"/>
            <w:vMerge w:val="restart"/>
            <w:vAlign w:val="center"/>
          </w:tcPr>
          <w:p>
            <w:pPr>
              <w:pStyle w:val="573"/>
              <w:spacing w:line="340" w:lineRule="exact"/>
              <w:jc w:val="center"/>
              <w:rPr>
                <w:bCs/>
                <w:color w:val="auto"/>
                <w:sz w:val="21"/>
                <w:szCs w:val="21"/>
                <w:shd w:val="clear" w:color="auto" w:fill="FFFFFF"/>
              </w:rPr>
            </w:pPr>
            <w:r>
              <w:rPr>
                <w:rFonts w:hint="eastAsia"/>
                <w:color w:val="auto"/>
                <w:sz w:val="21"/>
                <w:szCs w:val="21"/>
              </w:rPr>
              <w:t>永久占地</w:t>
            </w:r>
          </w:p>
        </w:tc>
        <w:tc>
          <w:tcPr>
            <w:tcW w:w="937" w:type="pct"/>
            <w:vAlign w:val="center"/>
          </w:tcPr>
          <w:p>
            <w:pPr>
              <w:pStyle w:val="573"/>
              <w:spacing w:line="340" w:lineRule="exact"/>
              <w:jc w:val="center"/>
              <w:rPr>
                <w:color w:val="auto"/>
                <w:sz w:val="21"/>
                <w:szCs w:val="21"/>
              </w:rPr>
            </w:pPr>
            <w:r>
              <w:rPr>
                <w:rFonts w:hint="eastAsia"/>
                <w:color w:val="auto"/>
                <w:sz w:val="21"/>
                <w:szCs w:val="21"/>
              </w:rPr>
              <w:t>主体工程区</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14.2</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70.8</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532" w:hRule="atLeast"/>
          <w:jc w:val="center"/>
        </w:trPr>
        <w:tc>
          <w:tcPr>
            <w:tcW w:w="709" w:type="pct"/>
            <w:vMerge w:val="continue"/>
            <w:vAlign w:val="center"/>
          </w:tcPr>
          <w:p>
            <w:pPr>
              <w:pStyle w:val="573"/>
              <w:spacing w:line="340" w:lineRule="exact"/>
              <w:jc w:val="center"/>
              <w:rPr>
                <w:color w:val="auto"/>
                <w:sz w:val="21"/>
                <w:szCs w:val="21"/>
              </w:rPr>
            </w:pPr>
          </w:p>
        </w:tc>
        <w:tc>
          <w:tcPr>
            <w:tcW w:w="937" w:type="pct"/>
            <w:vAlign w:val="center"/>
          </w:tcPr>
          <w:p>
            <w:pPr>
              <w:pStyle w:val="573"/>
              <w:spacing w:line="340" w:lineRule="exact"/>
              <w:jc w:val="center"/>
              <w:rPr>
                <w:color w:val="auto"/>
                <w:sz w:val="21"/>
                <w:szCs w:val="21"/>
              </w:rPr>
            </w:pPr>
            <w:r>
              <w:rPr>
                <w:rFonts w:hint="eastAsia"/>
                <w:color w:val="auto"/>
                <w:sz w:val="21"/>
                <w:szCs w:val="21"/>
              </w:rPr>
              <w:t>淹没区</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25</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Align w:val="center"/>
          </w:tcPr>
          <w:p>
            <w:pPr>
              <w:pStyle w:val="573"/>
              <w:spacing w:line="340" w:lineRule="exact"/>
              <w:jc w:val="center"/>
              <w:rPr>
                <w:color w:val="auto"/>
                <w:sz w:val="21"/>
                <w:szCs w:val="21"/>
              </w:rPr>
            </w:pPr>
            <w:r>
              <w:rPr>
                <w:rFonts w:hint="eastAsia"/>
                <w:color w:val="auto"/>
                <w:sz w:val="21"/>
                <w:szCs w:val="21"/>
              </w:rPr>
              <w:t>小计</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39.2</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70.8</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167.5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462" w:hRule="atLeast"/>
          <w:jc w:val="center"/>
        </w:trPr>
        <w:tc>
          <w:tcPr>
            <w:tcW w:w="709" w:type="pct"/>
            <w:vMerge w:val="restart"/>
            <w:vAlign w:val="center"/>
          </w:tcPr>
          <w:p>
            <w:pPr>
              <w:widowControl/>
              <w:spacing w:line="340" w:lineRule="exact"/>
              <w:ind w:firstLine="0" w:firstLineChars="0"/>
              <w:jc w:val="center"/>
              <w:rPr>
                <w:bCs/>
                <w:kern w:val="0"/>
                <w:sz w:val="21"/>
                <w:szCs w:val="21"/>
                <w:shd w:val="clear" w:color="auto" w:fill="FFFFFF"/>
              </w:rPr>
            </w:pPr>
            <w:r>
              <w:rPr>
                <w:rFonts w:hint="eastAsia"/>
                <w:bCs/>
                <w:kern w:val="0"/>
                <w:sz w:val="21"/>
                <w:szCs w:val="21"/>
                <w:shd w:val="clear" w:color="auto" w:fill="FFFFFF"/>
              </w:rPr>
              <w:t>临时占地</w:t>
            </w:r>
          </w:p>
        </w:tc>
        <w:tc>
          <w:tcPr>
            <w:tcW w:w="937" w:type="pct"/>
            <w:vAlign w:val="center"/>
          </w:tcPr>
          <w:p>
            <w:pPr>
              <w:pStyle w:val="573"/>
              <w:spacing w:line="340" w:lineRule="exact"/>
              <w:jc w:val="center"/>
              <w:rPr>
                <w:bCs/>
                <w:color w:val="auto"/>
                <w:sz w:val="21"/>
                <w:szCs w:val="21"/>
                <w:shd w:val="clear" w:color="auto" w:fill="FFFFFF"/>
              </w:rPr>
            </w:pPr>
            <w:r>
              <w:rPr>
                <w:rFonts w:hint="eastAsia"/>
                <w:color w:val="auto"/>
                <w:sz w:val="21"/>
                <w:szCs w:val="21"/>
              </w:rPr>
              <w:t>弃渣场</w:t>
            </w:r>
          </w:p>
        </w:tc>
        <w:tc>
          <w:tcPr>
            <w:tcW w:w="459"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59.6</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Align w:val="center"/>
          </w:tcPr>
          <w:p>
            <w:pPr>
              <w:pStyle w:val="573"/>
              <w:spacing w:line="340" w:lineRule="exact"/>
              <w:jc w:val="center"/>
              <w:rPr>
                <w:bCs/>
                <w:color w:val="auto"/>
                <w:sz w:val="21"/>
                <w:szCs w:val="21"/>
                <w:shd w:val="clear" w:color="auto" w:fill="FFFFFF"/>
              </w:rPr>
            </w:pPr>
            <w:r>
              <w:rPr>
                <w:rFonts w:hint="eastAsia"/>
                <w:color w:val="auto"/>
                <w:sz w:val="21"/>
                <w:szCs w:val="21"/>
              </w:rPr>
              <w:t>临时道路</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2.3</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12.7</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Align w:val="center"/>
          </w:tcPr>
          <w:p>
            <w:pPr>
              <w:pStyle w:val="573"/>
              <w:spacing w:line="340" w:lineRule="exact"/>
              <w:jc w:val="center"/>
              <w:rPr>
                <w:bCs/>
                <w:color w:val="auto"/>
                <w:sz w:val="21"/>
                <w:szCs w:val="21"/>
                <w:shd w:val="clear" w:color="auto" w:fill="FFFFFF"/>
              </w:rPr>
            </w:pPr>
            <w:r>
              <w:rPr>
                <w:rFonts w:hint="eastAsia"/>
                <w:color w:val="auto"/>
                <w:sz w:val="21"/>
                <w:szCs w:val="21"/>
              </w:rPr>
              <w:t>施工场地区</w:t>
            </w:r>
          </w:p>
        </w:tc>
        <w:tc>
          <w:tcPr>
            <w:tcW w:w="459"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6.0</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Align w:val="center"/>
          </w:tcPr>
          <w:p>
            <w:pPr>
              <w:pStyle w:val="573"/>
              <w:spacing w:line="340" w:lineRule="exact"/>
              <w:jc w:val="center"/>
              <w:rPr>
                <w:bCs/>
                <w:color w:val="auto"/>
                <w:sz w:val="21"/>
                <w:szCs w:val="21"/>
                <w:shd w:val="clear" w:color="auto" w:fill="FFFFFF"/>
              </w:rPr>
            </w:pPr>
            <w:r>
              <w:rPr>
                <w:rFonts w:hint="eastAsia"/>
                <w:color w:val="auto"/>
                <w:sz w:val="21"/>
                <w:szCs w:val="21"/>
              </w:rPr>
              <w:t>取料场</w:t>
            </w:r>
          </w:p>
        </w:tc>
        <w:tc>
          <w:tcPr>
            <w:tcW w:w="459"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10</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709" w:type="pct"/>
            <w:vMerge w:val="continue"/>
            <w:vAlign w:val="center"/>
          </w:tcPr>
          <w:p>
            <w:pPr>
              <w:widowControl/>
              <w:spacing w:line="340" w:lineRule="exact"/>
              <w:ind w:firstLine="0" w:firstLineChars="0"/>
              <w:jc w:val="center"/>
              <w:rPr>
                <w:bCs/>
                <w:kern w:val="0"/>
                <w:sz w:val="21"/>
                <w:szCs w:val="21"/>
                <w:shd w:val="clear" w:color="auto" w:fill="FFFFFF"/>
              </w:rPr>
            </w:pPr>
          </w:p>
        </w:tc>
        <w:tc>
          <w:tcPr>
            <w:tcW w:w="937" w:type="pct"/>
            <w:vAlign w:val="center"/>
          </w:tcPr>
          <w:p>
            <w:pPr>
              <w:widowControl/>
              <w:spacing w:line="340" w:lineRule="exact"/>
              <w:ind w:firstLine="0" w:firstLineChars="0"/>
              <w:jc w:val="center"/>
              <w:rPr>
                <w:bCs/>
                <w:kern w:val="0"/>
                <w:sz w:val="21"/>
                <w:szCs w:val="21"/>
                <w:shd w:val="clear" w:color="auto" w:fill="FFFFFF"/>
              </w:rPr>
            </w:pPr>
            <w:r>
              <w:rPr>
                <w:rFonts w:hint="eastAsia"/>
                <w:bCs/>
                <w:kern w:val="0"/>
                <w:sz w:val="21"/>
                <w:szCs w:val="21"/>
                <w:shd w:val="clear" w:color="auto" w:fill="FFFFFF"/>
              </w:rPr>
              <w:t>小</w:t>
            </w:r>
            <w:r>
              <w:rPr>
                <w:bCs/>
                <w:kern w:val="0"/>
                <w:sz w:val="21"/>
                <w:szCs w:val="21"/>
                <w:shd w:val="clear" w:color="auto" w:fill="FFFFFF"/>
              </w:rPr>
              <w:t>计</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2.3</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88.3</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color w:val="auto"/>
                <w:sz w:val="21"/>
                <w:szCs w:val="21"/>
              </w:rPr>
              <w:t>/</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90.6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85" w:type="dxa"/>
            <w:bottom w:w="15" w:type="dxa"/>
            <w:right w:w="85" w:type="dxa"/>
          </w:tblCellMar>
        </w:tblPrEx>
        <w:trPr>
          <w:trHeight w:val="397" w:hRule="atLeast"/>
          <w:jc w:val="center"/>
        </w:trPr>
        <w:tc>
          <w:tcPr>
            <w:tcW w:w="1646" w:type="pct"/>
            <w:gridSpan w:val="2"/>
            <w:vAlign w:val="center"/>
          </w:tcPr>
          <w:p>
            <w:pPr>
              <w:widowControl/>
              <w:spacing w:line="340" w:lineRule="exact"/>
              <w:ind w:firstLine="0" w:firstLineChars="0"/>
              <w:jc w:val="center"/>
              <w:rPr>
                <w:bCs/>
                <w:kern w:val="0"/>
                <w:sz w:val="21"/>
                <w:szCs w:val="21"/>
                <w:shd w:val="clear" w:color="auto" w:fill="FFFFFF"/>
              </w:rPr>
            </w:pPr>
            <w:r>
              <w:rPr>
                <w:rFonts w:hint="eastAsia"/>
                <w:bCs/>
                <w:kern w:val="0"/>
                <w:sz w:val="21"/>
                <w:szCs w:val="21"/>
                <w:shd w:val="clear" w:color="auto" w:fill="FFFFFF"/>
              </w:rPr>
              <w:t>合计</w:t>
            </w:r>
          </w:p>
        </w:tc>
        <w:tc>
          <w:tcPr>
            <w:tcW w:w="459" w:type="pct"/>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41.5</w:t>
            </w:r>
          </w:p>
        </w:tc>
        <w:tc>
          <w:tcPr>
            <w:tcW w:w="408"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54" w:type="pct"/>
            <w:vAlign w:val="center"/>
          </w:tcPr>
          <w:p>
            <w:pPr>
              <w:pStyle w:val="573"/>
              <w:spacing w:line="340" w:lineRule="exact"/>
              <w:jc w:val="center"/>
              <w:rPr>
                <w:rFonts w:ascii="Times New Roman" w:cs="Times New Roman"/>
                <w:color w:val="auto"/>
                <w:sz w:val="21"/>
                <w:szCs w:val="21"/>
              </w:rPr>
            </w:pPr>
            <w:r>
              <w:rPr>
                <w:rFonts w:ascii="Times New Roman" w:cs="Times New Roman"/>
                <w:color w:val="auto"/>
                <w:sz w:val="21"/>
                <w:szCs w:val="21"/>
              </w:rPr>
              <w:t>/</w:t>
            </w:r>
          </w:p>
        </w:tc>
        <w:tc>
          <w:tcPr>
            <w:tcW w:w="474"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159.1</w:t>
            </w:r>
          </w:p>
        </w:tc>
        <w:tc>
          <w:tcPr>
            <w:tcW w:w="866" w:type="pct"/>
            <w:tcBorders>
              <w:righ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57.5</w:t>
            </w:r>
          </w:p>
        </w:tc>
        <w:tc>
          <w:tcPr>
            <w:tcW w:w="690" w:type="pct"/>
            <w:tcBorders>
              <w:left w:val="single" w:color="auto" w:sz="4" w:space="0"/>
            </w:tcBorders>
            <w:vAlign w:val="center"/>
          </w:tcPr>
          <w:p>
            <w:pPr>
              <w:pStyle w:val="573"/>
              <w:spacing w:line="340" w:lineRule="exact"/>
              <w:jc w:val="center"/>
              <w:rPr>
                <w:rFonts w:ascii="Times New Roman" w:cs="Times New Roman"/>
                <w:color w:val="auto"/>
                <w:sz w:val="21"/>
                <w:szCs w:val="21"/>
              </w:rPr>
            </w:pPr>
            <w:r>
              <w:rPr>
                <w:rFonts w:hint="eastAsia" w:ascii="Times New Roman" w:cs="Times New Roman"/>
                <w:color w:val="auto"/>
                <w:sz w:val="21"/>
                <w:szCs w:val="21"/>
              </w:rPr>
              <w:t>258.1</w:t>
            </w:r>
          </w:p>
        </w:tc>
      </w:tr>
    </w:tbl>
    <w:p>
      <w:pPr>
        <w:ind w:firstLine="480"/>
      </w:pPr>
      <w:r>
        <w:rPr>
          <w:rFonts w:hint="eastAsia"/>
        </w:rPr>
        <w:t>工程实施后，淹没44.5</w:t>
      </w:r>
      <w:r>
        <w:t>m</w:t>
      </w:r>
      <w:r>
        <w:rPr>
          <w:rFonts w:hint="eastAsia"/>
        </w:rPr>
        <w:t>以下的灌丛生态系统，评价范围内灌草丛生态系统面积减少，面积减少5亩；农业生态系统面积也有所减少，旱地面积减少了25亩</w:t>
      </w:r>
      <w:r>
        <w:t>；</w:t>
      </w:r>
      <w:r>
        <w:rPr>
          <w:rFonts w:hint="eastAsia"/>
        </w:rPr>
        <w:t>根据上高县土地利用现状（详见表4.1-2），项目实施前后，灌丛生态系统面积仍然占优势，对本区域内的生态系统起主导调控作用。</w:t>
      </w:r>
    </w:p>
    <w:p>
      <w:pPr>
        <w:autoSpaceDE w:val="0"/>
        <w:autoSpaceDN w:val="0"/>
        <w:adjustRightInd w:val="0"/>
        <w:ind w:firstLine="480"/>
      </w:pPr>
      <w:r>
        <w:rPr>
          <w:rFonts w:hint="eastAsia"/>
        </w:rPr>
        <w:t>(2)对生态系统结构的影响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组分结构</w:t>
      </w:r>
    </w:p>
    <w:p>
      <w:pPr>
        <w:autoSpaceDE w:val="0"/>
        <w:autoSpaceDN w:val="0"/>
        <w:adjustRightInd w:val="0"/>
        <w:ind w:firstLine="480"/>
      </w:pPr>
      <w:r>
        <w:rPr>
          <w:rFonts w:hint="eastAsia"/>
        </w:rPr>
        <w:t>通过对比施工前后土地利用类型和生态系统类型变化可知，评价范围灌丛生态系统在工程建设前后均占优势，耕地有所减少，但减少的面积较小、变化的幅度较小。而由于水库淹没的影响，水域面积增加了，因此，评价范围的生态系统组分结构发生了幅度较小的变化，表现为林地、草地、耕地等转变为建设用地和水域。</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时空结构</w:t>
      </w:r>
    </w:p>
    <w:p>
      <w:pPr>
        <w:autoSpaceDE w:val="0"/>
        <w:autoSpaceDN w:val="0"/>
        <w:adjustRightInd w:val="0"/>
        <w:ind w:firstLine="480"/>
      </w:pPr>
      <w:r>
        <w:rPr>
          <w:rFonts w:hint="eastAsia"/>
        </w:rPr>
        <w:t>工程实施后主要对垂直结构和时空分布格局产生影响。从垂直结构上，工程实施后，淹没44.5</w:t>
      </w:r>
      <w:r>
        <w:t>m</w:t>
      </w:r>
      <w:r>
        <w:rPr>
          <w:rFonts w:hint="eastAsia"/>
        </w:rPr>
        <w:t>以下的灌丛生态系统，导致湿地生态系统、灌丛生态系统分布海拔的上移，但同时工程蓄水后，局地小气候发生改变，导致垂直结构上植物种类多样性程度增加，对淹没线上的生态系统垂直结构多样性为有利影响。从时空分布格局看，工程实施后，水库淹没线44.5</w:t>
      </w:r>
      <w:r>
        <w:t>m</w:t>
      </w:r>
      <w:r>
        <w:rPr>
          <w:rFonts w:hint="eastAsia"/>
        </w:rPr>
        <w:t>以下的湿地生态系统和灌丛生态系统，将导致水库淹没线附近灌丛生态系统向湿地生态系统演替。</w:t>
      </w:r>
    </w:p>
    <w:p>
      <w:pPr>
        <w:autoSpaceDE w:val="0"/>
        <w:autoSpaceDN w:val="0"/>
        <w:adjustRightInd w:val="0"/>
        <w:ind w:firstLine="480"/>
      </w:pPr>
      <w:r>
        <w:rPr>
          <w:rFonts w:hint="eastAsia"/>
        </w:rPr>
        <w:t>(3)对生态系统服务功能的影响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水土保持功能</w:t>
      </w:r>
    </w:p>
    <w:p>
      <w:pPr>
        <w:autoSpaceDE w:val="0"/>
        <w:autoSpaceDN w:val="0"/>
        <w:adjustRightInd w:val="0"/>
        <w:ind w:firstLine="480"/>
      </w:pPr>
      <w:r>
        <w:rPr>
          <w:rFonts w:hint="eastAsia"/>
        </w:rPr>
        <w:t>评价范围森林覆盖率低、土壤退化现象突出，且腐殖质层发育差、蓄水保水能力偏弱，土壤发育不良，水土流失现象严重。同时评价范围存在泥石流沟、滑坡体、危岩体等地质不稳定区域，容易诱发水土流失。另外，工程开挖边坡、施工迹地等亦会产生水土流失。本工程施工过程中防护措施主要为坡脚钢筋石笼拦挡、干砌石排水沟、斜坡防护工程等，生态恢复措施中对泥石流沟、滑坡体、危岩体以及开挖边坡、施工迹地均采取了水土流失防治措施，将改善水土流失现状，减缓本工程的水土流失影响，符合评价范围水土保持服务功能的要求。</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生物多样性保护功能</w:t>
      </w:r>
    </w:p>
    <w:p>
      <w:pPr>
        <w:autoSpaceDE w:val="0"/>
        <w:autoSpaceDN w:val="0"/>
        <w:adjustRightInd w:val="0"/>
        <w:ind w:firstLine="480"/>
      </w:pPr>
      <w:r>
        <w:rPr>
          <w:rFonts w:hint="eastAsia"/>
        </w:rPr>
        <w:t>抬水工程正常蓄水位为44.5</w:t>
      </w:r>
      <w:r>
        <w:t>m</w:t>
      </w:r>
      <w:r>
        <w:rPr>
          <w:rFonts w:hint="eastAsia"/>
        </w:rPr>
        <w:t>，蓄水不会导致动植物物种的消失，主要为动植物分布格局的改变，其中植被分布格局和面积影响较大。通过工程结束后的植被恢复措施，植被面积将得到一定程度的恢复。</w:t>
      </w:r>
    </w:p>
    <w:p>
      <w:pPr>
        <w:autoSpaceDE w:val="0"/>
        <w:autoSpaceDN w:val="0"/>
        <w:adjustRightInd w:val="0"/>
        <w:ind w:firstLine="480"/>
      </w:pPr>
      <w:r>
        <w:rPr>
          <w:rFonts w:hint="eastAsia"/>
        </w:rPr>
        <w:t>总体而言，工程实施前后，评价范围植物种类不会发生明显变化，因此工程实施不会对评价范围生物多样性产生明显影响，即符合评价范围生态系统生物多样性保护功能要求。</w:t>
      </w:r>
    </w:p>
    <w:p>
      <w:pPr>
        <w:autoSpaceDE w:val="0"/>
        <w:autoSpaceDN w:val="0"/>
        <w:adjustRightIn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水源涵养功能</w:t>
      </w:r>
    </w:p>
    <w:p>
      <w:pPr>
        <w:autoSpaceDE w:val="0"/>
        <w:autoSpaceDN w:val="0"/>
        <w:adjustRightInd w:val="0"/>
        <w:ind w:firstLine="480"/>
      </w:pPr>
      <w:r>
        <w:rPr>
          <w:rFonts w:hint="eastAsia"/>
        </w:rPr>
        <w:t>根据《中国生态系统格局、质量、服务与演变》（科学出版社，</w:t>
      </w:r>
      <w:r>
        <w:t xml:space="preserve">2017 </w:t>
      </w:r>
      <w:r>
        <w:rPr>
          <w:rFonts w:hint="eastAsia"/>
        </w:rPr>
        <w:t>年），生态系统水源涵养能力与降雨量、蒸散发、地表径流量和植被覆盖类型有关。在同一个区域，植被面积的变化与生态系统水源涵养能力呈正相关。抬水工程实施后，植被面积减少幅度为0.0071</w:t>
      </w:r>
      <w:r>
        <w:t>%</w:t>
      </w:r>
      <w:r>
        <w:rPr>
          <w:rFonts w:hint="eastAsia"/>
        </w:rPr>
        <w:t>，因此工程建设后生态系统的水源涵养功能有小幅减小，减小比例很小，几乎无影响。</w:t>
      </w:r>
    </w:p>
    <w:p>
      <w:pPr>
        <w:autoSpaceDE w:val="0"/>
        <w:autoSpaceDN w:val="0"/>
        <w:adjustRightInd w:val="0"/>
        <w:ind w:firstLine="480"/>
      </w:pPr>
      <w:r>
        <w:rPr>
          <w:rFonts w:hint="eastAsia"/>
        </w:rPr>
        <w:t>(4)</w:t>
      </w:r>
      <w:r>
        <w:t>工程影响区生物量的变化</w:t>
      </w:r>
    </w:p>
    <w:p>
      <w:pPr>
        <w:ind w:firstLine="480"/>
        <w:rPr>
          <w:szCs w:val="24"/>
        </w:rPr>
      </w:pPr>
      <w:r>
        <w:rPr>
          <w:rFonts w:hint="eastAsia"/>
          <w:szCs w:val="24"/>
        </w:rPr>
        <w:t>拟建项目</w:t>
      </w:r>
      <w:r>
        <w:rPr>
          <w:szCs w:val="24"/>
        </w:rPr>
        <w:t>占地</w:t>
      </w:r>
      <w:r>
        <w:rPr>
          <w:rFonts w:hint="eastAsia"/>
          <w:szCs w:val="24"/>
        </w:rPr>
        <w:t>，</w:t>
      </w:r>
      <w:r>
        <w:rPr>
          <w:szCs w:val="24"/>
        </w:rPr>
        <w:t>将会造成</w:t>
      </w:r>
      <w:r>
        <w:rPr>
          <w:rFonts w:hint="eastAsia"/>
          <w:szCs w:val="24"/>
        </w:rPr>
        <w:t>区域</w:t>
      </w:r>
      <w:r>
        <w:rPr>
          <w:szCs w:val="24"/>
        </w:rPr>
        <w:t>植被生物量的损失</w:t>
      </w:r>
      <w:r>
        <w:rPr>
          <w:rFonts w:hint="eastAsia"/>
          <w:szCs w:val="24"/>
        </w:rPr>
        <w:t>。</w:t>
      </w:r>
      <w:r>
        <w:rPr>
          <w:szCs w:val="24"/>
        </w:rPr>
        <w:t>通过遥感卫片和典型样方生物量估算，灌丛和灌草丛损失</w:t>
      </w:r>
      <w:r>
        <w:rPr>
          <w:rFonts w:hint="eastAsia"/>
          <w:szCs w:val="24"/>
        </w:rPr>
        <w:t>159.1亩（10.6hm</w:t>
      </w:r>
      <w:r>
        <w:rPr>
          <w:rFonts w:hint="eastAsia"/>
          <w:szCs w:val="24"/>
          <w:vertAlign w:val="superscript"/>
        </w:rPr>
        <w:t>2</w:t>
      </w:r>
      <w:r>
        <w:rPr>
          <w:rFonts w:hint="eastAsia"/>
          <w:szCs w:val="24"/>
        </w:rPr>
        <w:t>）</w:t>
      </w:r>
      <w:r>
        <w:rPr>
          <w:szCs w:val="24"/>
        </w:rPr>
        <w:t>，</w:t>
      </w:r>
      <w:r>
        <w:rPr>
          <w:rFonts w:hint="eastAsia"/>
          <w:szCs w:val="24"/>
        </w:rPr>
        <w:t>旱</w:t>
      </w:r>
      <w:r>
        <w:rPr>
          <w:szCs w:val="24"/>
        </w:rPr>
        <w:t>水域损失</w:t>
      </w:r>
      <w:r>
        <w:rPr>
          <w:rFonts w:hint="eastAsia"/>
          <w:szCs w:val="24"/>
        </w:rPr>
        <w:t>41.5亩（2.77</w:t>
      </w:r>
      <w:r>
        <w:rPr>
          <w:szCs w:val="24"/>
        </w:rPr>
        <w:t>hm</w:t>
      </w:r>
      <w:r>
        <w:rPr>
          <w:szCs w:val="24"/>
          <w:vertAlign w:val="superscript"/>
        </w:rPr>
        <w:t>2</w:t>
      </w:r>
      <w:r>
        <w:rPr>
          <w:rFonts w:hint="eastAsia"/>
          <w:szCs w:val="24"/>
        </w:rPr>
        <w:t>）</w:t>
      </w:r>
      <w:r>
        <w:rPr>
          <w:szCs w:val="24"/>
        </w:rPr>
        <w:t>。</w:t>
      </w:r>
      <w:r>
        <w:rPr>
          <w:rFonts w:hint="eastAsia"/>
          <w:szCs w:val="24"/>
        </w:rPr>
        <w:t>根据测算，项目建设将损失生物量105.508t。在生物量损失面积方面，</w:t>
      </w:r>
      <w:r>
        <w:rPr>
          <w:rFonts w:hint="eastAsia" w:ascii="宋体" w:hAnsi="宋体"/>
          <w:szCs w:val="24"/>
        </w:rPr>
        <w:t>灌丛和灌草丛</w:t>
      </w:r>
      <w:r>
        <w:rPr>
          <w:rFonts w:hint="eastAsia"/>
          <w:szCs w:val="24"/>
        </w:rPr>
        <w:t>损失最大，损失量占损失总量的67.4%。</w:t>
      </w:r>
      <w:r>
        <w:rPr>
          <w:szCs w:val="24"/>
        </w:rPr>
        <w:t>工程影响区的生态类型面积和生物</w:t>
      </w:r>
      <w:r>
        <w:rPr>
          <w:rFonts w:hint="eastAsia"/>
          <w:szCs w:val="24"/>
        </w:rPr>
        <w:t>损失</w:t>
      </w:r>
      <w:r>
        <w:rPr>
          <w:szCs w:val="24"/>
        </w:rPr>
        <w:t>量具体变化情况见表</w:t>
      </w:r>
      <w:r>
        <w:rPr>
          <w:rFonts w:hint="eastAsia"/>
          <w:szCs w:val="24"/>
        </w:rPr>
        <w:t>5.9-2</w:t>
      </w:r>
      <w:r>
        <w:rPr>
          <w:szCs w:val="24"/>
        </w:rPr>
        <w:t>。</w:t>
      </w:r>
    </w:p>
    <w:p>
      <w:pPr>
        <w:pStyle w:val="1011"/>
        <w:spacing w:before="120" w:beforeLines="50"/>
        <w:ind w:firstLine="482"/>
        <w:jc w:val="center"/>
        <w:rPr>
          <w:rFonts w:ascii="黑体" w:hAnsi="宋体" w:eastAsia="黑体"/>
          <w:sz w:val="24"/>
          <w:szCs w:val="20"/>
        </w:rPr>
      </w:pPr>
      <w:r>
        <w:rPr>
          <w:rFonts w:hint="eastAsia" w:ascii="黑体" w:hAnsi="宋体" w:eastAsia="黑体"/>
          <w:sz w:val="24"/>
          <w:szCs w:val="20"/>
        </w:rPr>
        <w:t>表5.9-2  评价范围植被和生物量损失统计</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5"/>
        <w:gridCol w:w="1546"/>
        <w:gridCol w:w="2166"/>
        <w:gridCol w:w="1702"/>
        <w:gridCol w:w="21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0" w:type="pct"/>
            <w:tcBorders>
              <w:top w:val="single" w:color="auto" w:sz="12" w:space="0"/>
              <w:bottom w:val="single" w:color="auto" w:sz="4" w:space="0"/>
            </w:tcBorders>
            <w:tcMar>
              <w:left w:w="0" w:type="dxa"/>
              <w:right w:w="0" w:type="dxa"/>
            </w:tcMar>
            <w:vAlign w:val="center"/>
          </w:tcPr>
          <w:p>
            <w:pPr>
              <w:pStyle w:val="1011"/>
              <w:spacing w:line="340" w:lineRule="exact"/>
              <w:jc w:val="center"/>
              <w:rPr>
                <w:rFonts w:ascii="宋体" w:hAnsi="宋体"/>
              </w:rPr>
            </w:pPr>
            <w:r>
              <w:rPr>
                <w:rFonts w:hint="eastAsia" w:ascii="宋体" w:hAnsi="宋体"/>
              </w:rPr>
              <w:t>植被类型</w:t>
            </w:r>
          </w:p>
        </w:tc>
        <w:tc>
          <w:tcPr>
            <w:tcW w:w="826" w:type="pct"/>
            <w:tcBorders>
              <w:top w:val="single" w:color="auto" w:sz="12" w:space="0"/>
              <w:bottom w:val="single" w:color="auto" w:sz="4" w:space="0"/>
            </w:tcBorders>
            <w:tcMar>
              <w:left w:w="0" w:type="dxa"/>
              <w:right w:w="0" w:type="dxa"/>
            </w:tcMar>
            <w:vAlign w:val="center"/>
          </w:tcPr>
          <w:p>
            <w:pPr>
              <w:pStyle w:val="1011"/>
              <w:spacing w:line="340" w:lineRule="exact"/>
              <w:jc w:val="center"/>
            </w:pPr>
            <w:r>
              <w:rPr>
                <w:rFonts w:hAnsi="宋体"/>
              </w:rPr>
              <w:t>面积损失</w:t>
            </w:r>
            <w:r>
              <w:t>(hm²)</w:t>
            </w:r>
          </w:p>
        </w:tc>
        <w:tc>
          <w:tcPr>
            <w:tcW w:w="1157" w:type="pct"/>
            <w:tcBorders>
              <w:top w:val="single" w:color="auto" w:sz="12" w:space="0"/>
              <w:bottom w:val="single" w:color="auto" w:sz="4" w:space="0"/>
            </w:tcBorders>
            <w:tcMar>
              <w:left w:w="0" w:type="dxa"/>
              <w:right w:w="0" w:type="dxa"/>
            </w:tcMar>
            <w:vAlign w:val="center"/>
          </w:tcPr>
          <w:p>
            <w:pPr>
              <w:pStyle w:val="1011"/>
              <w:spacing w:line="340" w:lineRule="exact"/>
              <w:jc w:val="center"/>
            </w:pPr>
            <w:r>
              <w:rPr>
                <w:rFonts w:hAnsi="宋体"/>
              </w:rPr>
              <w:t>平均生物量</w:t>
            </w:r>
            <w:r>
              <w:t>(t/hm²)</w:t>
            </w:r>
          </w:p>
        </w:tc>
        <w:tc>
          <w:tcPr>
            <w:tcW w:w="909" w:type="pct"/>
            <w:tcBorders>
              <w:top w:val="single" w:color="auto" w:sz="12" w:space="0"/>
              <w:bottom w:val="single" w:color="auto" w:sz="4" w:space="0"/>
            </w:tcBorders>
            <w:tcMar>
              <w:left w:w="0" w:type="dxa"/>
              <w:right w:w="0" w:type="dxa"/>
            </w:tcMar>
            <w:vAlign w:val="center"/>
          </w:tcPr>
          <w:p>
            <w:pPr>
              <w:pStyle w:val="1011"/>
              <w:spacing w:line="340" w:lineRule="exact"/>
              <w:jc w:val="center"/>
            </w:pPr>
            <w:r>
              <w:rPr>
                <w:rFonts w:hAnsi="宋体"/>
              </w:rPr>
              <w:t>生物量损失</w:t>
            </w:r>
            <w:r>
              <w:t>(t)</w:t>
            </w:r>
          </w:p>
        </w:tc>
        <w:tc>
          <w:tcPr>
            <w:tcW w:w="1124" w:type="pct"/>
            <w:tcBorders>
              <w:top w:val="single" w:color="auto" w:sz="12" w:space="0"/>
              <w:bottom w:val="single" w:color="auto" w:sz="4" w:space="0"/>
            </w:tcBorders>
            <w:tcMar>
              <w:left w:w="0" w:type="dxa"/>
              <w:right w:w="0" w:type="dxa"/>
            </w:tcMar>
            <w:vAlign w:val="center"/>
          </w:tcPr>
          <w:p>
            <w:pPr>
              <w:pStyle w:val="1011"/>
              <w:spacing w:line="340" w:lineRule="exact"/>
              <w:jc w:val="center"/>
            </w:pPr>
            <w:r>
              <w:rPr>
                <w:rFonts w:hAnsi="宋体"/>
              </w:rPr>
              <w:t>各植被占总生物量的</w:t>
            </w: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0" w:type="pct"/>
            <w:tcMar>
              <w:left w:w="0" w:type="dxa"/>
              <w:right w:w="0" w:type="dxa"/>
            </w:tcMar>
            <w:vAlign w:val="center"/>
          </w:tcPr>
          <w:p>
            <w:pPr>
              <w:spacing w:line="340" w:lineRule="exact"/>
              <w:ind w:firstLine="0" w:firstLineChars="0"/>
              <w:jc w:val="center"/>
              <w:rPr>
                <w:rFonts w:ascii="宋体" w:hAnsi="宋体"/>
                <w:sz w:val="21"/>
                <w:szCs w:val="21"/>
              </w:rPr>
            </w:pPr>
            <w:r>
              <w:rPr>
                <w:rFonts w:hint="eastAsia" w:ascii="宋体" w:hAnsi="宋体"/>
                <w:sz w:val="21"/>
                <w:szCs w:val="21"/>
              </w:rPr>
              <w:t>灌丛和灌草丛</w:t>
            </w:r>
          </w:p>
        </w:tc>
        <w:tc>
          <w:tcPr>
            <w:tcW w:w="826" w:type="pct"/>
            <w:tcMar>
              <w:left w:w="0" w:type="dxa"/>
              <w:right w:w="0" w:type="dxa"/>
            </w:tcMar>
            <w:vAlign w:val="center"/>
          </w:tcPr>
          <w:p>
            <w:pPr>
              <w:pStyle w:val="1011"/>
              <w:spacing w:line="340" w:lineRule="exact"/>
              <w:jc w:val="center"/>
            </w:pPr>
            <w:r>
              <w:rPr>
                <w:rFonts w:hint="eastAsia"/>
              </w:rPr>
              <w:t>10.6</w:t>
            </w:r>
          </w:p>
        </w:tc>
        <w:tc>
          <w:tcPr>
            <w:tcW w:w="1157" w:type="pct"/>
            <w:tcMar>
              <w:left w:w="0" w:type="dxa"/>
              <w:right w:w="0" w:type="dxa"/>
            </w:tcMar>
            <w:vAlign w:val="center"/>
          </w:tcPr>
          <w:p>
            <w:pPr>
              <w:spacing w:line="340" w:lineRule="exact"/>
              <w:ind w:firstLine="0" w:firstLineChars="0"/>
              <w:jc w:val="center"/>
              <w:rPr>
                <w:sz w:val="21"/>
                <w:szCs w:val="21"/>
              </w:rPr>
            </w:pPr>
            <w:r>
              <w:rPr>
                <w:sz w:val="21"/>
                <w:szCs w:val="21"/>
              </w:rPr>
              <w:t>9.64</w:t>
            </w:r>
          </w:p>
        </w:tc>
        <w:tc>
          <w:tcPr>
            <w:tcW w:w="909" w:type="pct"/>
            <w:tcMar>
              <w:left w:w="0" w:type="dxa"/>
              <w:right w:w="0" w:type="dxa"/>
            </w:tcMar>
            <w:vAlign w:val="center"/>
          </w:tcPr>
          <w:p>
            <w:pPr>
              <w:spacing w:line="340" w:lineRule="exact"/>
              <w:ind w:firstLine="0" w:firstLineChars="0"/>
              <w:jc w:val="center"/>
              <w:rPr>
                <w:sz w:val="21"/>
                <w:szCs w:val="21"/>
              </w:rPr>
            </w:pPr>
            <w:r>
              <w:rPr>
                <w:rFonts w:hint="eastAsia"/>
                <w:sz w:val="21"/>
                <w:szCs w:val="21"/>
              </w:rPr>
              <w:t>102.184</w:t>
            </w:r>
          </w:p>
        </w:tc>
        <w:tc>
          <w:tcPr>
            <w:tcW w:w="1124" w:type="pct"/>
            <w:tcMar>
              <w:left w:w="0" w:type="dxa"/>
              <w:right w:w="0" w:type="dxa"/>
            </w:tcMar>
            <w:vAlign w:val="center"/>
          </w:tcPr>
          <w:p>
            <w:pPr>
              <w:spacing w:line="340" w:lineRule="exact"/>
              <w:ind w:firstLine="0" w:firstLineChars="0"/>
              <w:jc w:val="center"/>
              <w:rPr>
                <w:sz w:val="21"/>
                <w:szCs w:val="21"/>
              </w:rPr>
            </w:pPr>
            <w:r>
              <w:rPr>
                <w:rFonts w:hint="eastAsia"/>
                <w:sz w:val="21"/>
                <w:szCs w:val="21"/>
              </w:rPr>
              <w:t>96.85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0" w:type="pct"/>
            <w:tcMar>
              <w:left w:w="0" w:type="dxa"/>
              <w:right w:w="0" w:type="dxa"/>
            </w:tcMar>
            <w:vAlign w:val="center"/>
          </w:tcPr>
          <w:p>
            <w:pPr>
              <w:spacing w:line="340" w:lineRule="exact"/>
              <w:ind w:firstLine="0" w:firstLineChars="0"/>
              <w:jc w:val="center"/>
              <w:rPr>
                <w:rFonts w:ascii="宋体" w:hAnsi="宋体"/>
                <w:sz w:val="21"/>
                <w:szCs w:val="21"/>
              </w:rPr>
            </w:pPr>
            <w:r>
              <w:rPr>
                <w:rFonts w:hint="eastAsia" w:ascii="宋体" w:hAnsi="宋体"/>
                <w:sz w:val="21"/>
                <w:szCs w:val="21"/>
              </w:rPr>
              <w:t>水域</w:t>
            </w:r>
          </w:p>
        </w:tc>
        <w:tc>
          <w:tcPr>
            <w:tcW w:w="826" w:type="pct"/>
            <w:tcMar>
              <w:left w:w="0" w:type="dxa"/>
              <w:right w:w="0" w:type="dxa"/>
            </w:tcMar>
            <w:vAlign w:val="center"/>
          </w:tcPr>
          <w:p>
            <w:pPr>
              <w:pStyle w:val="1011"/>
              <w:spacing w:line="340" w:lineRule="exact"/>
              <w:jc w:val="center"/>
            </w:pPr>
            <w:r>
              <w:rPr>
                <w:rFonts w:hint="eastAsia"/>
              </w:rPr>
              <w:t>2.77</w:t>
            </w:r>
          </w:p>
        </w:tc>
        <w:tc>
          <w:tcPr>
            <w:tcW w:w="1157" w:type="pct"/>
            <w:tcMar>
              <w:left w:w="0" w:type="dxa"/>
              <w:right w:w="0" w:type="dxa"/>
            </w:tcMar>
            <w:vAlign w:val="center"/>
          </w:tcPr>
          <w:p>
            <w:pPr>
              <w:spacing w:line="340" w:lineRule="exact"/>
              <w:ind w:firstLine="0" w:firstLineChars="0"/>
              <w:jc w:val="center"/>
              <w:rPr>
                <w:sz w:val="21"/>
                <w:szCs w:val="21"/>
              </w:rPr>
            </w:pPr>
            <w:r>
              <w:rPr>
                <w:sz w:val="21"/>
                <w:szCs w:val="21"/>
              </w:rPr>
              <w:t>1.20</w:t>
            </w:r>
          </w:p>
        </w:tc>
        <w:tc>
          <w:tcPr>
            <w:tcW w:w="909" w:type="pct"/>
            <w:tcMar>
              <w:left w:w="0" w:type="dxa"/>
              <w:right w:w="0" w:type="dxa"/>
            </w:tcMar>
            <w:vAlign w:val="center"/>
          </w:tcPr>
          <w:p>
            <w:pPr>
              <w:spacing w:line="340" w:lineRule="exact"/>
              <w:ind w:firstLine="0" w:firstLineChars="0"/>
              <w:jc w:val="center"/>
              <w:rPr>
                <w:sz w:val="21"/>
                <w:szCs w:val="21"/>
              </w:rPr>
            </w:pPr>
            <w:r>
              <w:rPr>
                <w:rFonts w:hint="eastAsia"/>
                <w:sz w:val="21"/>
                <w:szCs w:val="21"/>
              </w:rPr>
              <w:t>3.324</w:t>
            </w:r>
          </w:p>
        </w:tc>
        <w:tc>
          <w:tcPr>
            <w:tcW w:w="1124" w:type="pct"/>
            <w:tcMar>
              <w:left w:w="0" w:type="dxa"/>
              <w:right w:w="0" w:type="dxa"/>
            </w:tcMar>
            <w:vAlign w:val="center"/>
          </w:tcPr>
          <w:p>
            <w:pPr>
              <w:spacing w:line="340" w:lineRule="exact"/>
              <w:ind w:firstLine="0" w:firstLineChars="0"/>
              <w:jc w:val="center"/>
              <w:rPr>
                <w:sz w:val="21"/>
                <w:szCs w:val="21"/>
              </w:rPr>
            </w:pPr>
            <w:r>
              <w:rPr>
                <w:rFonts w:hint="eastAsia"/>
                <w:sz w:val="21"/>
                <w:szCs w:val="21"/>
              </w:rPr>
              <w:t>3.15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0" w:type="pct"/>
            <w:tcMar>
              <w:left w:w="0" w:type="dxa"/>
              <w:right w:w="0" w:type="dxa"/>
            </w:tcMar>
            <w:vAlign w:val="center"/>
          </w:tcPr>
          <w:p>
            <w:pPr>
              <w:pStyle w:val="1011"/>
              <w:spacing w:line="340" w:lineRule="exact"/>
              <w:jc w:val="center"/>
              <w:rPr>
                <w:rFonts w:ascii="宋体" w:hAnsi="宋体"/>
              </w:rPr>
            </w:pPr>
            <w:r>
              <w:rPr>
                <w:rFonts w:hint="eastAsia" w:ascii="宋体" w:hAnsi="宋体"/>
              </w:rPr>
              <w:t>合计</w:t>
            </w:r>
          </w:p>
        </w:tc>
        <w:tc>
          <w:tcPr>
            <w:tcW w:w="826" w:type="pct"/>
            <w:tcMar>
              <w:left w:w="0" w:type="dxa"/>
              <w:right w:w="0" w:type="dxa"/>
            </w:tcMar>
            <w:vAlign w:val="center"/>
          </w:tcPr>
          <w:p>
            <w:pPr>
              <w:pStyle w:val="1011"/>
              <w:spacing w:line="340" w:lineRule="exact"/>
              <w:jc w:val="center"/>
            </w:pPr>
            <w:r>
              <w:rPr>
                <w:rFonts w:hint="eastAsia"/>
              </w:rPr>
              <w:t>13.37</w:t>
            </w:r>
          </w:p>
        </w:tc>
        <w:tc>
          <w:tcPr>
            <w:tcW w:w="1157" w:type="pct"/>
            <w:tcMar>
              <w:left w:w="0" w:type="dxa"/>
              <w:right w:w="0" w:type="dxa"/>
            </w:tcMar>
            <w:vAlign w:val="center"/>
          </w:tcPr>
          <w:p>
            <w:pPr>
              <w:pStyle w:val="1011"/>
              <w:spacing w:line="340" w:lineRule="exact"/>
              <w:jc w:val="center"/>
            </w:pPr>
          </w:p>
        </w:tc>
        <w:tc>
          <w:tcPr>
            <w:tcW w:w="909" w:type="pct"/>
            <w:tcMar>
              <w:left w:w="0" w:type="dxa"/>
              <w:right w:w="0" w:type="dxa"/>
            </w:tcMar>
            <w:vAlign w:val="center"/>
          </w:tcPr>
          <w:p>
            <w:pPr>
              <w:pStyle w:val="1011"/>
              <w:spacing w:line="340" w:lineRule="exact"/>
              <w:jc w:val="center"/>
            </w:pPr>
            <w:r>
              <w:rPr>
                <w:rFonts w:hint="eastAsia"/>
              </w:rPr>
              <w:t>105.508</w:t>
            </w:r>
          </w:p>
        </w:tc>
        <w:tc>
          <w:tcPr>
            <w:tcW w:w="1124" w:type="pct"/>
            <w:tcMar>
              <w:left w:w="0" w:type="dxa"/>
              <w:right w:w="0" w:type="dxa"/>
            </w:tcMar>
            <w:vAlign w:val="center"/>
          </w:tcPr>
          <w:p>
            <w:pPr>
              <w:pStyle w:val="1011"/>
              <w:spacing w:line="340" w:lineRule="exact"/>
              <w:jc w:val="center"/>
            </w:pPr>
            <w:r>
              <w:t>100</w:t>
            </w:r>
          </w:p>
        </w:tc>
      </w:tr>
    </w:tbl>
    <w:p>
      <w:pPr>
        <w:spacing w:line="240" w:lineRule="atLeast"/>
        <w:ind w:firstLine="360"/>
        <w:jc w:val="left"/>
        <w:rPr>
          <w:sz w:val="18"/>
          <w:szCs w:val="18"/>
        </w:rPr>
      </w:pPr>
      <w:r>
        <w:rPr>
          <w:rFonts w:hint="eastAsia"/>
          <w:sz w:val="18"/>
          <w:szCs w:val="18"/>
        </w:rPr>
        <w:t>注：1、平均生物量来自1996年方精云《我国森林植被生物量和净生产量》；</w:t>
      </w:r>
    </w:p>
    <w:p>
      <w:pPr>
        <w:spacing w:line="240" w:lineRule="atLeast"/>
        <w:ind w:firstLine="720" w:firstLineChars="400"/>
        <w:jc w:val="left"/>
        <w:rPr>
          <w:sz w:val="18"/>
          <w:szCs w:val="18"/>
        </w:rPr>
      </w:pPr>
      <w:r>
        <w:rPr>
          <w:rFonts w:hint="eastAsia"/>
          <w:sz w:val="18"/>
          <w:szCs w:val="18"/>
        </w:rPr>
        <w:t>2、不含城镇及工矿用地</w:t>
      </w:r>
    </w:p>
    <w:p>
      <w:pPr>
        <w:spacing w:line="240" w:lineRule="atLeast"/>
        <w:ind w:firstLine="720" w:firstLineChars="400"/>
        <w:jc w:val="left"/>
        <w:rPr>
          <w:sz w:val="18"/>
          <w:szCs w:val="18"/>
        </w:rPr>
      </w:pPr>
    </w:p>
    <w:p>
      <w:pPr>
        <w:ind w:firstLine="480"/>
      </w:pPr>
      <w:r>
        <w:t>随工程施工的结束，临时征地区的植被生物量在一定程度上可以恢复，同时也需要采取一定的人工抚育措施</w:t>
      </w:r>
      <w:r>
        <w:rPr>
          <w:rFonts w:hint="eastAsia"/>
        </w:rPr>
        <w:t>，</w:t>
      </w:r>
      <w:r>
        <w:t>而永久征地区的植被由</w:t>
      </w:r>
      <w:r>
        <w:rPr>
          <w:rFonts w:hint="eastAsia"/>
        </w:rPr>
        <w:t>枢纽工程</w:t>
      </w:r>
      <w:r>
        <w:t>用地所取代，造成植被生物量不可逆的降低</w:t>
      </w:r>
      <w:r>
        <w:rPr>
          <w:rFonts w:hint="eastAsia"/>
        </w:rPr>
        <w:t>。待项目建成后，通过护岸绿化，重建人工生态系统，如种植乔、灌木及与草本植物相结合，可弥补少部分生物量损失，可减小因工程建设对生态环境的影响，总体来讲，工程建设不会对评价范围的植物物种多样性和植被产生根本性的影响。</w:t>
      </w:r>
    </w:p>
    <w:p>
      <w:pPr>
        <w:pStyle w:val="729"/>
        <w:spacing w:before="0" w:line="360" w:lineRule="auto"/>
        <w:ind w:firstLine="0" w:firstLineChars="0"/>
        <w:rPr>
          <w:b/>
        </w:rPr>
      </w:pPr>
      <w:r>
        <w:rPr>
          <w:b/>
        </w:rPr>
        <w:t>5.</w:t>
      </w:r>
      <w:r>
        <w:rPr>
          <w:rFonts w:hint="eastAsia"/>
          <w:b/>
        </w:rPr>
        <w:t>9</w:t>
      </w:r>
      <w:r>
        <w:rPr>
          <w:b/>
        </w:rPr>
        <w:t>.1.</w:t>
      </w:r>
      <w:r>
        <w:rPr>
          <w:rFonts w:hint="eastAsia"/>
          <w:b/>
        </w:rPr>
        <w:t>2施工期对陆生生物的影响</w:t>
      </w:r>
    </w:p>
    <w:p>
      <w:pPr>
        <w:autoSpaceDE w:val="0"/>
        <w:autoSpaceDN w:val="0"/>
        <w:adjustRightInd w:val="0"/>
        <w:ind w:firstLine="480"/>
      </w:pPr>
      <w:r>
        <w:rPr>
          <w:rFonts w:hint="eastAsia"/>
        </w:rPr>
        <w:t>(1)对陆生植被和植物的影响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对植被的影响</w:t>
      </w:r>
    </w:p>
    <w:p>
      <w:pPr>
        <w:pStyle w:val="284"/>
        <w:ind w:firstLine="480"/>
      </w:pPr>
      <w:r>
        <w:rPr>
          <w:rFonts w:hint="eastAsia"/>
          <w:szCs w:val="24"/>
        </w:rPr>
        <w:t>工程占地包括工程永久占地及临时占地，总占地面积为258.1亩，</w:t>
      </w:r>
      <w:r>
        <w:rPr>
          <w:szCs w:val="24"/>
        </w:rPr>
        <w:t>永久性占地面积为</w:t>
      </w:r>
      <w:r>
        <w:rPr>
          <w:rFonts w:hint="eastAsia"/>
          <w:szCs w:val="24"/>
        </w:rPr>
        <w:t>142亩</w:t>
      </w:r>
      <w:r>
        <w:rPr>
          <w:szCs w:val="24"/>
        </w:rPr>
        <w:t>，</w:t>
      </w:r>
      <w:r>
        <w:rPr>
          <w:rFonts w:hint="eastAsia"/>
          <w:szCs w:val="24"/>
        </w:rPr>
        <w:t>占地</w:t>
      </w:r>
      <w:r>
        <w:rPr>
          <w:szCs w:val="24"/>
        </w:rPr>
        <w:t>类型为</w:t>
      </w:r>
      <w:r>
        <w:rPr>
          <w:rFonts w:hint="eastAsia"/>
          <w:szCs w:val="24"/>
        </w:rPr>
        <w:t>荒草地、水田和一般性湿地</w:t>
      </w:r>
      <w:r>
        <w:rPr>
          <w:szCs w:val="24"/>
        </w:rPr>
        <w:t>，其中</w:t>
      </w:r>
      <w:r>
        <w:rPr>
          <w:rFonts w:hint="eastAsia"/>
          <w:szCs w:val="24"/>
        </w:rPr>
        <w:t>荒草地占地70.8亩，水田占地39.2亩、一般湿地占用57.5亩</w:t>
      </w:r>
      <w:r>
        <w:rPr>
          <w:szCs w:val="24"/>
        </w:rPr>
        <w:t>。</w:t>
      </w:r>
      <w:r>
        <w:rPr>
          <w:rFonts w:hint="eastAsia"/>
          <w:szCs w:val="24"/>
        </w:rPr>
        <w:t>工程</w:t>
      </w:r>
      <w:r>
        <w:rPr>
          <w:szCs w:val="24"/>
        </w:rPr>
        <w:t>临时占地面积为</w:t>
      </w:r>
      <w:r>
        <w:rPr>
          <w:rFonts w:hint="eastAsia"/>
          <w:szCs w:val="24"/>
        </w:rPr>
        <w:t>90.6亩</w:t>
      </w:r>
      <w:r>
        <w:rPr>
          <w:szCs w:val="24"/>
        </w:rPr>
        <w:t>，类型主要为</w:t>
      </w:r>
      <w:r>
        <w:rPr>
          <w:rFonts w:hint="eastAsia"/>
          <w:szCs w:val="24"/>
        </w:rPr>
        <w:t>水田</w:t>
      </w:r>
      <w:r>
        <w:rPr>
          <w:szCs w:val="24"/>
        </w:rPr>
        <w:t>和</w:t>
      </w:r>
      <w:r>
        <w:rPr>
          <w:rFonts w:hint="eastAsia"/>
          <w:szCs w:val="24"/>
        </w:rPr>
        <w:t>荒草地</w:t>
      </w:r>
      <w:r>
        <w:rPr>
          <w:szCs w:val="24"/>
        </w:rPr>
        <w:t>，包括弃渣场、施工临时道路区、施工场地区、土料场和围堰，其中</w:t>
      </w:r>
      <w:r>
        <w:rPr>
          <w:rFonts w:hint="eastAsia"/>
          <w:szCs w:val="24"/>
        </w:rPr>
        <w:t>其中临时道路占地15.0亩（水田2.3亩，荒地12.7亩），取料场占地为荒草地10亩，弃渣场临时占地为荒草地59.6亩，施工临时设施占地为荒草地6亩</w:t>
      </w:r>
      <w:r>
        <w:rPr>
          <w:szCs w:val="24"/>
        </w:rPr>
        <w:t>。</w:t>
      </w:r>
      <w:r>
        <w:rPr>
          <w:rFonts w:hint="eastAsia"/>
        </w:rPr>
        <w:t>毛家渡抬水工程取弃土场、施工场地、施工便道等占土地造成土地附着的植被受到不同程度的影响，工程受影响的植被类型主要有</w:t>
      </w:r>
      <w:r>
        <w:t>黄荆灌丛</w:t>
      </w:r>
      <w:r>
        <w:rPr>
          <w:rFonts w:hint="eastAsia"/>
        </w:rPr>
        <w:t>、</w:t>
      </w:r>
      <w:r>
        <w:t>灰毛泡灌丛</w:t>
      </w:r>
      <w:r>
        <w:rPr>
          <w:rFonts w:hint="eastAsia"/>
        </w:rPr>
        <w:t>为主的灌丛，以及</w:t>
      </w:r>
      <w:r>
        <w:t>斑茅灌草丛</w:t>
      </w:r>
      <w:r>
        <w:rPr>
          <w:rFonts w:hint="eastAsia"/>
        </w:rPr>
        <w:t>为主的灌草丛等。施工主要占地植被类型为灌丛植被，灌丛植被在评价区广泛分布，故对此类植被影响较小；其余植被类型占地有一定的数量，但数量较少，多为临时占地，对其进行生态保护措施后可减轻施工对其带来的影响。</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对植物的影响</w:t>
      </w:r>
    </w:p>
    <w:p>
      <w:pPr>
        <w:autoSpaceDE w:val="0"/>
        <w:autoSpaceDN w:val="0"/>
        <w:adjustRightInd w:val="0"/>
        <w:ind w:firstLine="480"/>
      </w:pPr>
      <w:r>
        <w:rPr>
          <w:rFonts w:hint="eastAsia"/>
        </w:rPr>
        <w:t>施工期工程对植物多样性和植被的影响主要集中于施工区。施工占地造成一部分植株的死亡。施工区内主要的植物优势种为</w:t>
      </w:r>
      <w:r>
        <w:t>枫香、马尾松、台湾泡桐、苦槠、朴树</w:t>
      </w:r>
      <w:r>
        <w:rPr>
          <w:rFonts w:hint="eastAsia"/>
        </w:rPr>
        <w:t>、</w:t>
      </w:r>
      <w:r>
        <w:t>白栎、山胡椒、头序楤木、山矾</w:t>
      </w:r>
      <w:r>
        <w:rPr>
          <w:rFonts w:hint="eastAsia"/>
        </w:rPr>
        <w:t>、</w:t>
      </w:r>
      <w:r>
        <w:t>鸡矢藤</w:t>
      </w:r>
      <w:r>
        <w:rPr>
          <w:rFonts w:hint="eastAsia"/>
        </w:rPr>
        <w:t>、</w:t>
      </w:r>
      <w:r>
        <w:t>狗脊、芒萁</w:t>
      </w:r>
      <w:r>
        <w:rPr>
          <w:rFonts w:hint="eastAsia"/>
        </w:rPr>
        <w:t>、</w:t>
      </w:r>
      <w:r>
        <w:t>海金沙、斑茅</w:t>
      </w:r>
      <w:r>
        <w:rPr>
          <w:rFonts w:hint="eastAsia"/>
        </w:rPr>
        <w:t>、</w:t>
      </w:r>
      <w:r>
        <w:t>灰毛泡</w:t>
      </w:r>
      <w:r>
        <w:rPr>
          <w:rFonts w:hint="eastAsia"/>
        </w:rPr>
        <w:t>、</w:t>
      </w:r>
      <w:r>
        <w:t>土茯苓、山莓、短尾越桔</w:t>
      </w:r>
      <w:r>
        <w:rPr>
          <w:rFonts w:hint="eastAsia"/>
        </w:rPr>
        <w:t>、</w:t>
      </w:r>
      <w:r>
        <w:t>中华苔草</w:t>
      </w:r>
      <w:r>
        <w:rPr>
          <w:rFonts w:hint="eastAsia"/>
        </w:rPr>
        <w:t>、</w:t>
      </w:r>
      <w:r>
        <w:t>小果蔷薇、黄荆</w:t>
      </w:r>
      <w:r>
        <w:rPr>
          <w:rFonts w:hint="eastAsia"/>
        </w:rPr>
        <w:t>、</w:t>
      </w:r>
      <w:r>
        <w:t>狗牙根、荩草、丝茅</w:t>
      </w:r>
      <w:r>
        <w:rPr>
          <w:rFonts w:hint="eastAsia"/>
        </w:rPr>
        <w:t>等。由于这些植物在施工区内分布广泛，因此工程施工不会造成评价区物种的消失，对植物种类影响较小。</w:t>
      </w:r>
    </w:p>
    <w:p>
      <w:pPr>
        <w:autoSpaceDE w:val="0"/>
        <w:autoSpaceDN w:val="0"/>
        <w:adjustRightInd w:val="0"/>
        <w:ind w:firstLine="480"/>
      </w:pPr>
      <w:r>
        <w:rPr>
          <w:rFonts w:hint="eastAsia"/>
        </w:rPr>
        <w:t>(2)对陆生动物的影响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两栖动物</w:t>
      </w:r>
    </w:p>
    <w:p>
      <w:pPr>
        <w:ind w:firstLine="468" w:firstLineChars="195"/>
        <w:rPr>
          <w:kern w:val="0"/>
        </w:rPr>
      </w:pPr>
      <w:r>
        <w:rPr>
          <w:kern w:val="0"/>
        </w:rPr>
        <w:t>本项目评价范围内调查发现以农作区与丘陵岗地分布的两栖类为主，</w:t>
      </w:r>
      <w:r>
        <w:t>两栖类中以蛙科为优势科</w:t>
      </w:r>
      <w:r>
        <w:rPr>
          <w:kern w:val="0"/>
        </w:rPr>
        <w:t>常见种类有中华蟾蜍、</w:t>
      </w:r>
      <w:r>
        <w:t>黑斑(侧褶)蛙</w:t>
      </w:r>
      <w:r>
        <w:rPr>
          <w:kern w:val="0"/>
        </w:rPr>
        <w:t>等常见蛙类，列入江西省重点保护种类的有</w:t>
      </w:r>
      <w:r>
        <w:t>中华蟾蜍、黑斑(侧褶)蛙</w:t>
      </w:r>
      <w:r>
        <w:rPr>
          <w:kern w:val="0"/>
        </w:rPr>
        <w:t>。</w:t>
      </w:r>
    </w:p>
    <w:p>
      <w:pPr>
        <w:ind w:firstLine="468" w:firstLineChars="195"/>
      </w:pPr>
      <w:r>
        <w:rPr>
          <w:kern w:val="0"/>
        </w:rPr>
        <w:t>工程施工机械、施工人员进入工地、原材料的堆放、坝址施工等均可直接伤害到两栖生活的动物和</w:t>
      </w:r>
      <w:r>
        <w:rPr>
          <w:rFonts w:hint="eastAsia"/>
          <w:kern w:val="0"/>
        </w:rPr>
        <w:t>锦</w:t>
      </w:r>
      <w:r>
        <w:rPr>
          <w:kern w:val="0"/>
        </w:rPr>
        <w:t>河中的鱼类，特别是陡坡地区的出渣和堆渣、可能将谷坡和河岸的两栖动物大量杀伤，导致两栖类物种数量的减少，另外，人们捕捉可供食用的蛙类等，将会造成这些种类在工程区及其相邻地区成为残存种。开挖和临时施工场地造成部分生境破坏，沟谷和河岸堆渣会直接伤害生活于该生境中的蛙类。弃渣场及施工场地因生境改变，估计在3～5年内没有或较少有蛙类生活，但这种影响是可逆的和可恢复的。</w:t>
      </w:r>
      <w:r>
        <w:rPr>
          <w:rFonts w:hint="eastAsia"/>
        </w:rPr>
        <w:t>但当施工结束后一段时间无施工活动干扰后，这些动物将会根据自身需要重新回到原有活动区，故施工建设影响不大。</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爬行动物</w:t>
      </w:r>
    </w:p>
    <w:p>
      <w:pPr>
        <w:autoSpaceDE w:val="0"/>
        <w:autoSpaceDN w:val="0"/>
        <w:adjustRightInd w:val="0"/>
        <w:ind w:firstLine="480"/>
      </w:pPr>
      <w:r>
        <w:rPr>
          <w:rFonts w:hint="eastAsia"/>
        </w:rPr>
        <w:t>工程施工建设将对原有爬行动物赖以生存、繁衍的环境造成破坏，影响程度由工程规模、性质和特点来决定。爬行动物运动能力较两栖类强，开挖和爆破声将迫使它们逃离施工区。堆渣形成碎石裸地，在新植被形成前，爬行类中喜阳、喜干燥的蜥蜴种群数量可能会增加，但喜阴的蛇类可能远离施工区。施工期中，由于人口增多，人类活动范围及频率增大，工地、仓库等的建设，将使工地上下沿岸的灌草丛覆盖度降低，地面的光照度更加充足，干燥度也会增大，蜥蜴类动物种群数量将可能增加。根据以往工程施工情况，施工车辆和机械压死一定数量的穿越道路和施工作业区的爬行动物，同时施工期间个别施工人员捕食蛇类的不良行为可能会兴起和蔓延，从而导致施工区附近大中型蛇类（如乌梢蛇、王锦蛇、黑眉锦蛇等）种群数量有所减少。</w:t>
      </w:r>
    </w:p>
    <w:p>
      <w:pPr>
        <w:ind w:firstLine="480"/>
        <w:rPr>
          <w:kern w:val="0"/>
        </w:rPr>
      </w:pPr>
      <w:r>
        <w:rPr>
          <w:kern w:val="0"/>
        </w:rPr>
        <w:t>评价区未发现本区特有种分布。评价范围内分布的爬行动物以</w:t>
      </w:r>
      <w:r>
        <w:t>中华石龙子、北草蜥、</w:t>
      </w:r>
      <w:r>
        <w:rPr>
          <w:szCs w:val="24"/>
        </w:rPr>
        <w:t>赤链蛇</w:t>
      </w:r>
      <w:r>
        <w:rPr>
          <w:kern w:val="0"/>
        </w:rPr>
        <w:t>等广布种为主。但由于城镇乡村的基础设施建设导致其生境改变和捕捉，野生爬行动物种群在逐渐下降，野生的爬行动物等已很难见到。施工期不会对爬行类种类组成产生影响，其区系依然以广布种、东洋种为主。</w:t>
      </w:r>
    </w:p>
    <w:p>
      <w:pPr>
        <w:autoSpaceDE w:val="0"/>
        <w:autoSpaceDN w:val="0"/>
        <w:adjustRightIn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对鸟类的影响</w:t>
      </w:r>
    </w:p>
    <w:p>
      <w:pPr>
        <w:autoSpaceDE w:val="0"/>
        <w:autoSpaceDN w:val="0"/>
        <w:adjustRightInd w:val="0"/>
        <w:ind w:firstLine="480"/>
      </w:pPr>
      <w:r>
        <w:rPr>
          <w:rFonts w:hint="eastAsia"/>
        </w:rPr>
        <w:t>工程建设中，临时占地减少灌丛和灌草丛面积；建房、修路、筑坝等影响评价范围内灌丛、灌丛及农田植被，使得原来生活在该区域的鸟类等进行迁移。施工开挖、爆破、机器震动、汽车运行等将使鸟类迁离施工区；施工排放的废水、废气、废渣使施工区农田、林地和灌草丛环境受到一定的影响，由于该类生境减少，使原来栖息在该类生境的鸟类的生存空间和食物来源受到一定的影响。</w:t>
      </w:r>
    </w:p>
    <w:p>
      <w:pPr>
        <w:ind w:firstLine="480"/>
      </w:pPr>
      <w:r>
        <w:t>本次鸟类调查在项目区内共统计到鸟类13种，隶属6目12科。在鸟类的居留类型中，留鸟类型占绝对优势。由于鸟类具有较强的飞翔能力，施工期对其影响有限，不会造成物种的减少或消失，区系组成不会发生变化。</w:t>
      </w:r>
    </w:p>
    <w:p>
      <w:pPr>
        <w:autoSpaceDE w:val="0"/>
        <w:autoSpaceDN w:val="0"/>
        <w:adjustRightIn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对兽类的影响</w:t>
      </w:r>
    </w:p>
    <w:p>
      <w:pPr>
        <w:autoSpaceDE w:val="0"/>
        <w:autoSpaceDN w:val="0"/>
        <w:adjustRightInd w:val="0"/>
        <w:ind w:firstLine="480"/>
      </w:pPr>
      <w:r>
        <w:rPr>
          <w:rFonts w:hint="eastAsia"/>
        </w:rPr>
        <w:t>由于工程评价区内无大型兽类，因此工程施工对其无影响。施工过程对中小型兽类造成的影响相对较大。由于修路、建房、筑坝等工程施工，对部分兽类的栖息地造成破坏，迫使它们迁移，种群数量减少。根据野外调查可知，工程规划的渣场、料场都处于人类活动频繁的区域，在此区域中活动的都是食肉目、啮齿目等中小型兽类，工程的建设将会对其原有栖息地的植被造成破坏，但由于食肉目和啮齿目的兽类都具有较强的适应能力，加之施工人员的进入，生活垃圾的增多，为它们提供了新的食物来源，不会对它们造成大的影响。</w:t>
      </w:r>
    </w:p>
    <w:p>
      <w:pPr>
        <w:ind w:firstLine="480"/>
      </w:pPr>
      <w:r>
        <w:t>评价区内分布的兽类经调查访问，项目区共有2目3科4种。根据现场勘察走访与资料记载，啮齿类种类中的</w:t>
      </w:r>
      <w:r>
        <w:rPr>
          <w:szCs w:val="24"/>
        </w:rPr>
        <w:t>小家鼠(</w:t>
      </w:r>
      <w:r>
        <w:rPr>
          <w:i/>
          <w:iCs/>
          <w:szCs w:val="24"/>
        </w:rPr>
        <w:t>Musmusculus</w:t>
      </w:r>
      <w:r>
        <w:rPr>
          <w:szCs w:val="24"/>
        </w:rPr>
        <w:t>)</w:t>
      </w:r>
      <w:r>
        <w:t>在流域区域农田群落中占绝对优势</w:t>
      </w:r>
      <w:r>
        <w:rPr>
          <w:szCs w:val="24"/>
        </w:rPr>
        <w:t>。在评价区内森林植被中则以黄胸鼠(</w:t>
      </w:r>
      <w:r>
        <w:rPr>
          <w:i/>
          <w:szCs w:val="24"/>
        </w:rPr>
        <w:t>R.flavipectus</w:t>
      </w:r>
      <w:r>
        <w:rPr>
          <w:szCs w:val="24"/>
        </w:rPr>
        <w:t>)为优势种。</w:t>
      </w:r>
      <w:r>
        <w:t>施工过程中不会造成兽类的种类的减少，区系组成不发生变化。</w:t>
      </w:r>
    </w:p>
    <w:p>
      <w:pPr>
        <w:pStyle w:val="729"/>
        <w:spacing w:before="0" w:line="360" w:lineRule="auto"/>
        <w:ind w:firstLine="0" w:firstLineChars="0"/>
        <w:rPr>
          <w:b/>
        </w:rPr>
      </w:pPr>
      <w:r>
        <w:rPr>
          <w:b/>
        </w:rPr>
        <w:t>5.9.1.3</w:t>
      </w:r>
      <w:r>
        <w:rPr>
          <w:rFonts w:hAnsi="宋体"/>
          <w:b/>
        </w:rPr>
        <w:t>运行期对陆生生物的影响</w:t>
      </w:r>
    </w:p>
    <w:p>
      <w:pPr>
        <w:autoSpaceDE w:val="0"/>
        <w:autoSpaceDN w:val="0"/>
        <w:adjustRightInd w:val="0"/>
        <w:ind w:firstLine="480"/>
      </w:pPr>
      <w:r>
        <w:rPr>
          <w:rFonts w:hint="eastAsia"/>
        </w:rPr>
        <w:t>(1)对陆生植物的影响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抬水工程淹没对植物的影响</w:t>
      </w:r>
    </w:p>
    <w:p>
      <w:pPr>
        <w:autoSpaceDE w:val="0"/>
        <w:autoSpaceDN w:val="0"/>
        <w:adjustRightInd w:val="0"/>
        <w:ind w:firstLine="480"/>
      </w:pPr>
      <w:r>
        <w:rPr>
          <w:rFonts w:hint="eastAsia"/>
        </w:rPr>
        <w:t>抬水工程正常蓄水位为44.5</w:t>
      </w:r>
      <w:r>
        <w:t>m</w:t>
      </w:r>
      <w:r>
        <w:rPr>
          <w:rFonts w:hint="eastAsia"/>
        </w:rPr>
        <w:t>，工程蓄水期，蓄水将淹没库区正常蓄水位以下植物群落。库区主要淹没两岸的灌丛、灌草丛以及旱地植被物种，主要有</w:t>
      </w:r>
      <w:r>
        <w:t>台湾泡桐、苦槠、鸡矢藤</w:t>
      </w:r>
      <w:r>
        <w:rPr>
          <w:rFonts w:hint="eastAsia"/>
        </w:rPr>
        <w:t>、</w:t>
      </w:r>
      <w:r>
        <w:t>狗脊、芒萁</w:t>
      </w:r>
      <w:r>
        <w:rPr>
          <w:rFonts w:hint="eastAsia"/>
        </w:rPr>
        <w:t>、</w:t>
      </w:r>
      <w:r>
        <w:t>海金沙、斑茅</w:t>
      </w:r>
      <w:r>
        <w:rPr>
          <w:rFonts w:hint="eastAsia"/>
        </w:rPr>
        <w:t>、</w:t>
      </w:r>
      <w:r>
        <w:t>灰毛泡</w:t>
      </w:r>
      <w:r>
        <w:rPr>
          <w:rFonts w:hint="eastAsia"/>
        </w:rPr>
        <w:t>、</w:t>
      </w:r>
      <w:r>
        <w:t>土茯苓、山莓、短尾越桔</w:t>
      </w:r>
      <w:r>
        <w:rPr>
          <w:rFonts w:hint="eastAsia"/>
        </w:rPr>
        <w:t>、</w:t>
      </w:r>
      <w:r>
        <w:t>中华苔草</w:t>
      </w:r>
      <w:r>
        <w:rPr>
          <w:rFonts w:hint="eastAsia"/>
        </w:rPr>
        <w:t>、</w:t>
      </w:r>
      <w:r>
        <w:t>小果蔷薇、黄荆</w:t>
      </w:r>
      <w:r>
        <w:rPr>
          <w:rFonts w:hint="eastAsia"/>
        </w:rPr>
        <w:t>、</w:t>
      </w:r>
      <w:r>
        <w:t>狗牙根、荩草、丝茅</w:t>
      </w:r>
      <w:r>
        <w:rPr>
          <w:rFonts w:hint="eastAsia"/>
        </w:rPr>
        <w:t>等常见植物种类。水库蓄水后，周边湿度有小幅度增大，将有利于库周一些植物种类和植被的恢复。在库周一些偏中生的植物，如蔷薇、悬钩子等可能得以扩散到灌丛和草丛群落中，随着这些植物种类的增多，原偏干的生境可能逐渐向中生生境转化，并进一步促进植物群落向森林方向的演替。</w:t>
      </w:r>
    </w:p>
    <w:p>
      <w:pPr>
        <w:autoSpaceDE w:val="0"/>
        <w:autoSpaceDN w:val="0"/>
        <w:adjustRightInd w:val="0"/>
        <w:ind w:firstLine="480"/>
      </w:pPr>
      <w:r>
        <w:rPr>
          <w:rFonts w:hint="eastAsia"/>
        </w:rPr>
        <w:t>由于淹没区植被类型以农田为主，类型组成成分单一，结构稀疏简单，没有国家级重点保护野生植物及古大树，从总体上看，由于这些植物在评价范围及流域分布广泛，抬水工程蓄水对淹没区内的植物物种及分布格局产生的影响不大。</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抬水工程水位消落对植物影响</w:t>
      </w:r>
    </w:p>
    <w:p>
      <w:pPr>
        <w:autoSpaceDE w:val="0"/>
        <w:autoSpaceDN w:val="0"/>
        <w:adjustRightInd w:val="0"/>
        <w:ind w:firstLine="480"/>
      </w:pPr>
      <w:r>
        <w:rPr>
          <w:rFonts w:hint="eastAsia"/>
        </w:rPr>
        <w:t>抬水工程随着水库水位由高到低、再由低到高的循环变化，消落区低水位时的陆面出露时间较短，只有那些在长期进化过程中形成了对高频率干扰生境适应的短生活史植物，才可能在高水位消落区定居，而这种植物很少见，大多数植物在这里基本不能生存。本项目抬水工程正常蓄水位为44.5</w:t>
      </w:r>
      <w:r>
        <w:t>m</w:t>
      </w:r>
      <w:r>
        <w:rPr>
          <w:rFonts w:hint="eastAsia"/>
        </w:rPr>
        <w:t>，水位在正常蓄水位与死水位之间变动，变幅为0~0.5</w:t>
      </w:r>
      <w:r>
        <w:t>m</w:t>
      </w:r>
      <w:r>
        <w:rPr>
          <w:rFonts w:hint="eastAsia"/>
        </w:rPr>
        <w:t>。水位的幅动变化较小，不会形成大的消落区。因此，抬水工程对水位消落区植物的影响很小。</w:t>
      </w:r>
    </w:p>
    <w:p>
      <w:pPr>
        <w:autoSpaceDE w:val="0"/>
        <w:autoSpaceDN w:val="0"/>
        <w:adjustRightInd w:val="0"/>
        <w:ind w:firstLine="480"/>
      </w:pPr>
      <w:r>
        <w:rPr>
          <w:rFonts w:hint="eastAsia"/>
        </w:rPr>
        <w:t>(2)对陆生动物的影响</w:t>
      </w:r>
    </w:p>
    <w:p>
      <w:pPr>
        <w:autoSpaceDE w:val="0"/>
        <w:autoSpaceDN w:val="0"/>
        <w:adjustRightInd w:val="0"/>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对两栖动物的影响</w:t>
      </w:r>
    </w:p>
    <w:p>
      <w:pPr>
        <w:autoSpaceDE w:val="0"/>
        <w:autoSpaceDN w:val="0"/>
        <w:adjustRightInd w:val="0"/>
        <w:ind w:firstLine="480"/>
      </w:pPr>
      <w:r>
        <w:rPr>
          <w:rFonts w:hint="eastAsia"/>
        </w:rPr>
        <w:t>抬水工程蓄水后，使评价范围内的两栖动物丧失一定面积的陆域栖息环境。由于淹没区处在河谷地段，两岸坡度较小，同时两栖类对水环境较为适应，抬水工程蓄水使得水域面积变大，有利于两栖类的生存，故而两栖类受蓄水影响较小。</w:t>
      </w:r>
    </w:p>
    <w:p>
      <w:pPr>
        <w:autoSpaceDE w:val="0"/>
        <w:autoSpaceDN w:val="0"/>
        <w:adjustRightInd w:val="0"/>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对爬行动物的影响</w:t>
      </w:r>
    </w:p>
    <w:p>
      <w:pPr>
        <w:autoSpaceDE w:val="0"/>
        <w:autoSpaceDN w:val="0"/>
        <w:adjustRightInd w:val="0"/>
        <w:ind w:firstLine="480"/>
      </w:pPr>
      <w:r>
        <w:rPr>
          <w:rFonts w:hint="eastAsia"/>
        </w:rPr>
        <w:t>抬水工程蓄水后，使评价范围内的爬行动物丧失一定面积的陆域栖息地，由于淹没区处在河谷和耕地地段，两岸地势平缓，抬水工程地处上高县城，该河段是人类干扰较为严重的区域，蛇类等爬行动物在此区域活动较少，因此，抬水工程水量变化不会对爬行动物造成大的影响。</w:t>
      </w:r>
    </w:p>
    <w:p>
      <w:pPr>
        <w:autoSpaceDE w:val="0"/>
        <w:autoSpaceDN w:val="0"/>
        <w:adjustRightInd w:val="0"/>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对鸟类的影响</w:t>
      </w:r>
    </w:p>
    <w:p>
      <w:pPr>
        <w:autoSpaceDE w:val="0"/>
        <w:autoSpaceDN w:val="0"/>
        <w:adjustRightInd w:val="0"/>
        <w:ind w:firstLine="480"/>
      </w:pPr>
      <w:r>
        <w:rPr>
          <w:rFonts w:hint="eastAsia"/>
        </w:rPr>
        <w:t>抬水工程蓄水将使水体生态系统面积扩大，深度增加，蓄水期大多数鸟类飞行能力较强，有足够多的时间迁移淹没区。且这些鸟类在评价范围以及周围区域分布广泛，种群数量都较大，且对人类的干扰有较好的适应，因此部分栖息地的丧失不会对它们造成很大的影响。</w:t>
      </w:r>
    </w:p>
    <w:p>
      <w:pPr>
        <w:autoSpaceDE w:val="0"/>
        <w:autoSpaceDN w:val="0"/>
        <w:adjustRightInd w:val="0"/>
        <w:ind w:firstLine="480"/>
      </w:pPr>
      <w:r>
        <w:rPr>
          <w:rFonts w:hint="eastAsia"/>
        </w:rPr>
        <w:t>抬水工程蓄水后，改变了原有生境的特征，出现了较大面积的水面，可能吸引部分游禽、涉禽在此区域停留、觅食。因此抬水工程蓄水对增加区域内鸟类物种多样性具有促进作用。</w:t>
      </w:r>
    </w:p>
    <w:p>
      <w:pPr>
        <w:autoSpaceDE w:val="0"/>
        <w:autoSpaceDN w:val="0"/>
        <w:adjustRightInd w:val="0"/>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对兽类的影响</w:t>
      </w:r>
    </w:p>
    <w:p>
      <w:pPr>
        <w:autoSpaceDE w:val="0"/>
        <w:autoSpaceDN w:val="0"/>
        <w:adjustRightInd w:val="0"/>
        <w:ind w:firstLine="480"/>
      </w:pPr>
      <w:r>
        <w:rPr>
          <w:rFonts w:hint="eastAsia"/>
        </w:rPr>
        <w:t>水库蓄水将淹没一些农耕地、灌丛、森林和灌草丛，但大部分兽类都能很快适应这种变化，不会对它们的生存造成威胁。评价区内兽类动物基本都是迁移能力比较强的物种，生活在岸边的兽类将迁徙到海拔更高的地方，蓄水基本不会对其造成影响。</w:t>
      </w:r>
    </w:p>
    <w:p>
      <w:pPr>
        <w:pStyle w:val="729"/>
        <w:spacing w:before="0" w:line="360" w:lineRule="auto"/>
        <w:ind w:firstLine="0" w:firstLineChars="0"/>
        <w:rPr>
          <w:b/>
        </w:rPr>
      </w:pPr>
      <w:r>
        <w:rPr>
          <w:b/>
        </w:rPr>
        <w:t>5.9.1.4</w:t>
      </w:r>
      <w:r>
        <w:rPr>
          <w:rFonts w:hint="eastAsia"/>
          <w:b/>
        </w:rPr>
        <w:t>对陆生生态保护目标的影响</w:t>
      </w:r>
    </w:p>
    <w:p>
      <w:pPr>
        <w:autoSpaceDE w:val="0"/>
        <w:autoSpaceDN w:val="0"/>
        <w:adjustRightInd w:val="0"/>
        <w:ind w:firstLine="480"/>
      </w:pPr>
      <w:r>
        <w:rPr>
          <w:rFonts w:hint="eastAsia"/>
        </w:rPr>
        <w:t>(1)</w:t>
      </w:r>
      <w:r>
        <w:t>对古树和国家重点保护陆生野生植物的影响分析</w:t>
      </w:r>
    </w:p>
    <w:p>
      <w:pPr>
        <w:autoSpaceDE w:val="0"/>
        <w:autoSpaceDN w:val="0"/>
        <w:adjustRightInd w:val="0"/>
        <w:ind w:firstLine="480"/>
        <w:rPr>
          <w:spacing w:val="-2"/>
          <w:kern w:val="0"/>
        </w:rPr>
      </w:pPr>
      <w:r>
        <w:rPr>
          <w:rFonts w:hint="eastAsia"/>
        </w:rPr>
        <w:t>评价范围内</w:t>
      </w:r>
      <w:r>
        <w:t>没有发现其它珍稀特有或国家重点保护植物分布。</w:t>
      </w:r>
      <w:r>
        <w:rPr>
          <w:rFonts w:hint="eastAsia"/>
        </w:rPr>
        <w:t>枢纽工程</w:t>
      </w:r>
      <w:r>
        <w:rPr>
          <w:rFonts w:hint="eastAsia"/>
          <w:kern w:val="0"/>
          <w:szCs w:val="24"/>
        </w:rPr>
        <w:t>永久占地</w:t>
      </w:r>
      <w:r>
        <w:rPr>
          <w:kern w:val="0"/>
          <w:szCs w:val="24"/>
        </w:rPr>
        <w:t>和临时占地等均不涉及</w:t>
      </w:r>
      <w:r>
        <w:rPr>
          <w:rFonts w:hint="eastAsia"/>
        </w:rPr>
        <w:t>樟树分布</w:t>
      </w:r>
      <w:r>
        <w:rPr>
          <w:kern w:val="0"/>
          <w:szCs w:val="24"/>
        </w:rPr>
        <w:t>，施工期及运营期对其基本没有影响。</w:t>
      </w:r>
    </w:p>
    <w:p>
      <w:pPr>
        <w:autoSpaceDE w:val="0"/>
        <w:autoSpaceDN w:val="0"/>
        <w:adjustRightInd w:val="0"/>
        <w:ind w:firstLine="480"/>
      </w:pPr>
      <w:r>
        <w:rPr>
          <w:rFonts w:hint="eastAsia"/>
        </w:rPr>
        <w:t>(2)对重点保护野生动物的影响</w:t>
      </w:r>
    </w:p>
    <w:p>
      <w:pPr>
        <w:autoSpaceDE w:val="0"/>
        <w:autoSpaceDN w:val="0"/>
        <w:adjustRightInd w:val="0"/>
        <w:ind w:firstLine="480"/>
      </w:pPr>
      <w:r>
        <w:rPr>
          <w:rFonts w:hint="eastAsia"/>
        </w:rPr>
        <w:t>对于</w:t>
      </w:r>
      <w:r>
        <w:t>中华蟾蜍</w:t>
      </w:r>
      <w:r>
        <w:rPr>
          <w:rFonts w:hint="eastAsia"/>
        </w:rPr>
        <w:t>、</w:t>
      </w:r>
      <w:r>
        <w:t>黑斑(侧褶)蛙</w:t>
      </w:r>
      <w:r>
        <w:rPr>
          <w:rFonts w:hint="eastAsia"/>
        </w:rPr>
        <w:t>、</w:t>
      </w:r>
      <w:r>
        <w:t>鳖</w:t>
      </w:r>
      <w:r>
        <w:rPr>
          <w:rFonts w:hint="eastAsia"/>
        </w:rPr>
        <w:t>、</w:t>
      </w:r>
      <w:r>
        <w:t>白鹭</w:t>
      </w:r>
      <w:r>
        <w:rPr>
          <w:rFonts w:hint="eastAsia"/>
        </w:rPr>
        <w:t>、</w:t>
      </w:r>
      <w:r>
        <w:t>灰胸竹鸡</w:t>
      </w:r>
      <w:r>
        <w:rPr>
          <w:rFonts w:hint="eastAsia"/>
        </w:rPr>
        <w:t>、</w:t>
      </w:r>
      <w:r>
        <w:t>家燕</w:t>
      </w:r>
      <w:r>
        <w:rPr>
          <w:rFonts w:hint="eastAsia"/>
        </w:rPr>
        <w:t>、</w:t>
      </w:r>
      <w:r>
        <w:t>画眉</w:t>
      </w:r>
      <w:r>
        <w:rPr>
          <w:rFonts w:hint="eastAsia"/>
        </w:rPr>
        <w:t>、</w:t>
      </w:r>
      <w:r>
        <w:t>普通翠鸟</w:t>
      </w:r>
      <w:r>
        <w:rPr>
          <w:rFonts w:hint="eastAsia"/>
        </w:rPr>
        <w:t>等</w:t>
      </w:r>
      <w:r>
        <w:t>省级重点保护</w:t>
      </w:r>
      <w:r>
        <w:rPr>
          <w:rFonts w:hint="eastAsia"/>
        </w:rPr>
        <w:t>动物，适应性强、活动范围大，工程建设对它们产生的直接影响较小，且由于它们活动能力强，范围较广，故在采取野生动物保护措施的情况下，工程建设及运行基本对重点保护野生动物基本无影响。</w:t>
      </w:r>
    </w:p>
    <w:p>
      <w:pPr>
        <w:pStyle w:val="835"/>
        <w:spacing w:before="0" w:line="360" w:lineRule="auto"/>
      </w:pPr>
      <w:r>
        <w:t>5.</w:t>
      </w:r>
      <w:r>
        <w:rPr>
          <w:rFonts w:hint="eastAsia"/>
        </w:rPr>
        <w:t>9</w:t>
      </w:r>
      <w:r>
        <w:t>.2</w:t>
      </w:r>
      <w:r>
        <w:rPr>
          <w:rFonts w:hint="eastAsia"/>
        </w:rPr>
        <w:t>水生生态环境影响预测与评价</w:t>
      </w:r>
    </w:p>
    <w:p>
      <w:pPr>
        <w:pStyle w:val="729"/>
        <w:spacing w:before="0" w:line="360" w:lineRule="auto"/>
        <w:ind w:firstLine="0" w:firstLineChars="0"/>
        <w:rPr>
          <w:b/>
        </w:rPr>
      </w:pPr>
      <w:r>
        <w:rPr>
          <w:b/>
        </w:rPr>
        <w:t>5.</w:t>
      </w:r>
      <w:r>
        <w:rPr>
          <w:rFonts w:hint="eastAsia"/>
          <w:b/>
        </w:rPr>
        <w:t>9</w:t>
      </w:r>
      <w:r>
        <w:rPr>
          <w:b/>
        </w:rPr>
        <w:t xml:space="preserve">.2.1 </w:t>
      </w:r>
      <w:r>
        <w:rPr>
          <w:rFonts w:hint="eastAsia"/>
          <w:b/>
        </w:rPr>
        <w:t>对浮游生物的影响</w:t>
      </w:r>
    </w:p>
    <w:p>
      <w:pPr>
        <w:autoSpaceDE w:val="0"/>
        <w:autoSpaceDN w:val="0"/>
        <w:adjustRightInd w:val="0"/>
        <w:ind w:firstLine="480"/>
        <w:rPr>
          <w:color w:val="0000FF"/>
        </w:rPr>
      </w:pPr>
      <w:r>
        <w:rPr>
          <w:rFonts w:hint="eastAsia"/>
          <w:color w:val="0000FF"/>
        </w:rPr>
        <w:t>(1)施工期</w:t>
      </w:r>
    </w:p>
    <w:p>
      <w:pPr>
        <w:autoSpaceDE w:val="0"/>
        <w:autoSpaceDN w:val="0"/>
        <w:adjustRightInd w:val="0"/>
        <w:ind w:firstLine="480"/>
        <w:rPr>
          <w:color w:val="0000FF"/>
        </w:rPr>
      </w:pPr>
      <w:r>
        <w:rPr>
          <w:rFonts w:hint="eastAsia"/>
          <w:color w:val="0000FF"/>
        </w:rPr>
        <w:t>施工期间施工生活污水、生活垃圾、施工机修及油污跑冒滴漏产生的含油污水等废水、渣场和料场的废渣及生活污水的排放必然会对水质产生一定程度的污染，使得河道中浮游藻类在一段时间内受到影响；此外，施工时混凝土浆的渗漏将使水体变混，并加重水体的碱性，也将对浮游植物的生存造成影响，有可能改变局部水域浮游生物的种类组成和群落结构。但由于浮游生物的普生性及种类的相似性，这种影响只是局部的、暂时的，不会造成对整个河段的浮游生物的影响。由此可见，施工期只可能使局部水域的浮游生物的种类和密度有所降低，不会造成锦河浮游生物类群的改变。</w:t>
      </w:r>
    </w:p>
    <w:p>
      <w:pPr>
        <w:autoSpaceDE w:val="0"/>
        <w:autoSpaceDN w:val="0"/>
        <w:adjustRightInd w:val="0"/>
        <w:ind w:firstLine="480"/>
        <w:rPr>
          <w:color w:val="0000FF"/>
        </w:rPr>
      </w:pPr>
      <w:r>
        <w:rPr>
          <w:rFonts w:hint="eastAsia"/>
          <w:color w:val="0000FF"/>
        </w:rPr>
        <w:t>(2)运行期</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1 \* GB3</w:instrText>
      </w:r>
      <w:r>
        <w:rPr>
          <w:color w:val="0000FF"/>
        </w:rPr>
        <w:instrText xml:space="preserve"> </w:instrText>
      </w:r>
      <w:r>
        <w:rPr>
          <w:color w:val="0000FF"/>
        </w:rPr>
        <w:fldChar w:fldCharType="separate"/>
      </w:r>
      <w:r>
        <w:rPr>
          <w:rFonts w:hint="eastAsia"/>
          <w:color w:val="0000FF"/>
        </w:rPr>
        <w:t>①</w:t>
      </w:r>
      <w:r>
        <w:rPr>
          <w:color w:val="0000FF"/>
        </w:rPr>
        <w:fldChar w:fldCharType="end"/>
      </w:r>
      <w:r>
        <w:rPr>
          <w:rFonts w:hint="eastAsia"/>
          <w:color w:val="0000FF"/>
        </w:rPr>
        <w:t>库区河段</w:t>
      </w:r>
    </w:p>
    <w:p>
      <w:pPr>
        <w:autoSpaceDE w:val="0"/>
        <w:autoSpaceDN w:val="0"/>
        <w:adjustRightInd w:val="0"/>
        <w:ind w:firstLine="480"/>
        <w:rPr>
          <w:color w:val="0000FF"/>
        </w:rPr>
      </w:pPr>
      <w:r>
        <w:rPr>
          <w:rFonts w:hint="eastAsia"/>
          <w:color w:val="0000FF"/>
        </w:rPr>
        <w:t>大坝建成后，库区原有的河流将变成河道型水库，水面变宽，水流速度减缓，营养物质滞留，泥沙沉降，水体透明度增大，被淹没区域土壤内营养物质渗出，水中有机物质及矿物质增加，这些条件的变化均有利于浮游生物的生长繁殖。预计抬水工程建成后浮游生物种类数量和生物量均会有所增加，群落结构也会相应发生变化。</w:t>
      </w:r>
    </w:p>
    <w:p>
      <w:pPr>
        <w:autoSpaceDE w:val="0"/>
        <w:autoSpaceDN w:val="0"/>
        <w:adjustRightInd w:val="0"/>
        <w:ind w:firstLine="480"/>
        <w:rPr>
          <w:color w:val="0000FF"/>
        </w:rPr>
      </w:pPr>
      <w:r>
        <w:rPr>
          <w:rFonts w:hint="eastAsia"/>
          <w:color w:val="0000FF"/>
        </w:rPr>
        <w:t>浮游植物中绿藻和蓝藻种类和数量会有所增加，但硅藻仍将是主要优势种类。浮游动物中原生动物、轮虫的数量所占的比例仍然较大，而枝角类、桡足类的生物量可能占优。综上，抬水坝库区水体浮游生物总量会有较大增加。</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2 \* GB3</w:instrText>
      </w:r>
      <w:r>
        <w:rPr>
          <w:color w:val="0000FF"/>
        </w:rPr>
        <w:instrText xml:space="preserve"> </w:instrText>
      </w:r>
      <w:r>
        <w:rPr>
          <w:color w:val="0000FF"/>
        </w:rPr>
        <w:fldChar w:fldCharType="separate"/>
      </w:r>
      <w:r>
        <w:rPr>
          <w:rFonts w:hint="eastAsia"/>
          <w:color w:val="0000FF"/>
        </w:rPr>
        <w:t>②</w:t>
      </w:r>
      <w:r>
        <w:rPr>
          <w:color w:val="0000FF"/>
        </w:rPr>
        <w:fldChar w:fldCharType="end"/>
      </w:r>
      <w:r>
        <w:rPr>
          <w:rFonts w:hint="eastAsia"/>
          <w:color w:val="0000FF"/>
        </w:rPr>
        <w:t>坝下河段</w:t>
      </w:r>
    </w:p>
    <w:p>
      <w:pPr>
        <w:autoSpaceDE w:val="0"/>
        <w:autoSpaceDN w:val="0"/>
        <w:adjustRightInd w:val="0"/>
        <w:ind w:firstLine="480"/>
        <w:rPr>
          <w:color w:val="0000FF"/>
        </w:rPr>
      </w:pPr>
      <w:r>
        <w:rPr>
          <w:rFonts w:hint="eastAsia"/>
          <w:color w:val="0000FF"/>
        </w:rPr>
        <w:t>抬水工程建成后，下泄水量较天然状态有一定减少，加上清水下泄，对下游河道冲刷作用增强，并滩归槽，下游河道水面积有一定萎缩，</w:t>
      </w:r>
      <w:r>
        <w:rPr>
          <w:rStyle w:val="96"/>
          <w:rFonts w:hint="eastAsia" w:ascii="宋体" w:hAnsi="宋体" w:cs="宋体"/>
          <w:color w:val="0000FF"/>
          <w:spacing w:val="20"/>
          <w:kern w:val="10"/>
          <w:sz w:val="24"/>
          <w:szCs w:val="24"/>
        </w:rPr>
        <w:t>但是本工程下游14.8km有利高溢流坝，其回水影响涉及本工程上游约3km处，因此本抬水工程对坝址下游河段影响不大</w:t>
      </w:r>
      <w:r>
        <w:rPr>
          <w:rStyle w:val="96"/>
          <w:rFonts w:hint="eastAsia"/>
          <w:color w:val="0000FF"/>
          <w:spacing w:val="20"/>
          <w:kern w:val="10"/>
        </w:rPr>
        <w:t>，</w:t>
      </w:r>
      <w:r>
        <w:rPr>
          <w:rFonts w:hint="eastAsia"/>
          <w:color w:val="0000FF"/>
        </w:rPr>
        <w:t>浮游生物会因为水体空间变小而密度和生物量下降，随着时间的推移，经过数年的调节后，生态系统会趋于稳定，浮游生物的密度和生物量也将逐渐稳定。从种类组成上预测，坝下仍将保持河流特性，无论是浮游植物还是浮游动物，种类组成与现状相似，变化不大。</w:t>
      </w:r>
    </w:p>
    <w:p>
      <w:pPr>
        <w:pStyle w:val="729"/>
        <w:spacing w:before="0" w:line="360" w:lineRule="auto"/>
        <w:ind w:firstLine="0" w:firstLineChars="0"/>
        <w:rPr>
          <w:b/>
          <w:color w:val="0000FF"/>
        </w:rPr>
      </w:pPr>
      <w:r>
        <w:rPr>
          <w:b/>
          <w:color w:val="0000FF"/>
        </w:rPr>
        <w:t>5.</w:t>
      </w:r>
      <w:r>
        <w:rPr>
          <w:rFonts w:hint="eastAsia"/>
          <w:b/>
          <w:color w:val="0000FF"/>
        </w:rPr>
        <w:t>9</w:t>
      </w:r>
      <w:r>
        <w:rPr>
          <w:b/>
          <w:color w:val="0000FF"/>
        </w:rPr>
        <w:t xml:space="preserve">.2.2 </w:t>
      </w:r>
      <w:r>
        <w:rPr>
          <w:rFonts w:hint="eastAsia"/>
          <w:b/>
          <w:color w:val="0000FF"/>
        </w:rPr>
        <w:t>对底栖动物的影响</w:t>
      </w:r>
    </w:p>
    <w:p>
      <w:pPr>
        <w:autoSpaceDE w:val="0"/>
        <w:autoSpaceDN w:val="0"/>
        <w:adjustRightInd w:val="0"/>
        <w:ind w:firstLine="480"/>
        <w:rPr>
          <w:color w:val="0000FF"/>
        </w:rPr>
      </w:pPr>
      <w:r>
        <w:rPr>
          <w:rFonts w:hint="eastAsia"/>
          <w:color w:val="0000FF"/>
        </w:rPr>
        <w:t>(1)施工期</w:t>
      </w:r>
    </w:p>
    <w:p>
      <w:pPr>
        <w:autoSpaceDE w:val="0"/>
        <w:autoSpaceDN w:val="0"/>
        <w:adjustRightInd w:val="0"/>
        <w:ind w:firstLine="480"/>
        <w:rPr>
          <w:color w:val="0000FF"/>
        </w:rPr>
      </w:pPr>
      <w:r>
        <w:rPr>
          <w:rFonts w:hint="eastAsia"/>
          <w:color w:val="0000FF"/>
        </w:rPr>
        <w:t>底栖动物移动能力弱，多营定居生活，自然水体中底栖动物的种类和数量与底层杂食性鱼类有着很大的关系。工程施工过程中还会产生一定的悬浮物质，从而使其种类、数量、分布产生一定的影响。同时施工将使河床变深、水流变缓，工程施工期在施工区间生活的底栖动物大部分会死亡，对坝址河段的底栖动物造成一定影响。</w:t>
      </w:r>
    </w:p>
    <w:p>
      <w:pPr>
        <w:autoSpaceDE w:val="0"/>
        <w:autoSpaceDN w:val="0"/>
        <w:adjustRightInd w:val="0"/>
        <w:ind w:firstLine="480"/>
        <w:rPr>
          <w:color w:val="0000FF"/>
        </w:rPr>
      </w:pPr>
      <w:r>
        <w:rPr>
          <w:rFonts w:hint="eastAsia"/>
          <w:color w:val="0000FF"/>
        </w:rPr>
        <w:t>(2)运行期</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1 \* GB3</w:instrText>
      </w:r>
      <w:r>
        <w:rPr>
          <w:color w:val="0000FF"/>
        </w:rPr>
        <w:instrText xml:space="preserve"> </w:instrText>
      </w:r>
      <w:r>
        <w:rPr>
          <w:color w:val="0000FF"/>
        </w:rPr>
        <w:fldChar w:fldCharType="separate"/>
      </w:r>
      <w:r>
        <w:rPr>
          <w:rFonts w:hint="eastAsia"/>
          <w:color w:val="0000FF"/>
        </w:rPr>
        <w:t>①</w:t>
      </w:r>
      <w:r>
        <w:rPr>
          <w:color w:val="0000FF"/>
        </w:rPr>
        <w:fldChar w:fldCharType="end"/>
      </w:r>
      <w:r>
        <w:rPr>
          <w:rFonts w:hint="eastAsia"/>
          <w:color w:val="0000FF"/>
        </w:rPr>
        <w:t>库区河段</w:t>
      </w:r>
    </w:p>
    <w:p>
      <w:pPr>
        <w:autoSpaceDE w:val="0"/>
        <w:autoSpaceDN w:val="0"/>
        <w:adjustRightInd w:val="0"/>
        <w:ind w:firstLine="480"/>
        <w:rPr>
          <w:color w:val="0000FF"/>
        </w:rPr>
      </w:pPr>
      <w:r>
        <w:rPr>
          <w:rFonts w:hint="eastAsia"/>
          <w:color w:val="0000FF"/>
        </w:rPr>
        <w:t>抬水工程在蓄水后，使得水域面积拓宽，溶氧充足，饵料丰富，为虾类提供了适宜的生活环境，虾类数量增加成为鱼类的部分饵料；软体动物中如螺类、蚬类等也会因为库湾浅水区的增多，也会相继出现。抬水坝库区环境条件的改变是有利于底栖动物的生长和繁殖的。不仅现有种类能继续繁衍，而且评价区域河段内没有的种类也将随着水流带入而在抬水工程库区内生存下来，因而库内的底栖动物可能在种群、数量和生物量等方面都将呈现出上升的趋势。</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2 \* GB3</w:instrText>
      </w:r>
      <w:r>
        <w:rPr>
          <w:color w:val="0000FF"/>
        </w:rPr>
        <w:instrText xml:space="preserve"> </w:instrText>
      </w:r>
      <w:r>
        <w:rPr>
          <w:color w:val="0000FF"/>
        </w:rPr>
        <w:fldChar w:fldCharType="separate"/>
      </w:r>
      <w:r>
        <w:rPr>
          <w:rFonts w:hint="eastAsia"/>
          <w:color w:val="0000FF"/>
        </w:rPr>
        <w:t>②</w:t>
      </w:r>
      <w:r>
        <w:rPr>
          <w:color w:val="0000FF"/>
        </w:rPr>
        <w:fldChar w:fldCharType="end"/>
      </w:r>
      <w:r>
        <w:rPr>
          <w:rFonts w:hint="eastAsia"/>
          <w:color w:val="0000FF"/>
        </w:rPr>
        <w:t>坝下河段</w:t>
      </w:r>
    </w:p>
    <w:p>
      <w:pPr>
        <w:autoSpaceDE w:val="0"/>
        <w:autoSpaceDN w:val="0"/>
        <w:adjustRightInd w:val="0"/>
        <w:ind w:firstLine="480"/>
        <w:rPr>
          <w:color w:val="0000FF"/>
        </w:rPr>
      </w:pPr>
      <w:r>
        <w:rPr>
          <w:rFonts w:hint="eastAsia"/>
          <w:color w:val="0000FF"/>
        </w:rPr>
        <w:t>本工程下游14.8km有利高溢流坝且其回水影响涉及本工程上游约3km处，因此本抬水坝对坝下河段流量、流速影响不大，并且在水位稳定后，在新的沿河浅水区，将形成新的底栖动物栖息地，底栖动物的密度和生物量将有所恢复。</w:t>
      </w:r>
    </w:p>
    <w:p>
      <w:pPr>
        <w:pStyle w:val="729"/>
        <w:spacing w:before="0" w:line="360" w:lineRule="auto"/>
        <w:ind w:firstLine="0" w:firstLineChars="0"/>
        <w:rPr>
          <w:b/>
          <w:color w:val="0000FF"/>
        </w:rPr>
      </w:pPr>
      <w:r>
        <w:rPr>
          <w:b/>
          <w:color w:val="0000FF"/>
        </w:rPr>
        <w:t>5.</w:t>
      </w:r>
      <w:r>
        <w:rPr>
          <w:rFonts w:hint="eastAsia"/>
          <w:b/>
          <w:color w:val="0000FF"/>
        </w:rPr>
        <w:t>9</w:t>
      </w:r>
      <w:r>
        <w:rPr>
          <w:b/>
          <w:color w:val="0000FF"/>
        </w:rPr>
        <w:t>.2.3</w:t>
      </w:r>
      <w:r>
        <w:rPr>
          <w:rFonts w:hint="eastAsia"/>
          <w:b/>
          <w:color w:val="0000FF"/>
        </w:rPr>
        <w:t>对水生维管束植物的影响</w:t>
      </w:r>
    </w:p>
    <w:p>
      <w:pPr>
        <w:autoSpaceDE w:val="0"/>
        <w:autoSpaceDN w:val="0"/>
        <w:adjustRightInd w:val="0"/>
        <w:ind w:firstLine="480"/>
        <w:rPr>
          <w:color w:val="0000FF"/>
        </w:rPr>
      </w:pPr>
      <w:r>
        <w:rPr>
          <w:rFonts w:hint="eastAsia"/>
          <w:color w:val="0000FF"/>
        </w:rPr>
        <w:t>(1)库区河段</w:t>
      </w:r>
    </w:p>
    <w:p>
      <w:pPr>
        <w:autoSpaceDE w:val="0"/>
        <w:autoSpaceDN w:val="0"/>
        <w:adjustRightInd w:val="0"/>
        <w:ind w:firstLine="480"/>
        <w:rPr>
          <w:color w:val="0000FF"/>
        </w:rPr>
      </w:pPr>
      <w:r>
        <w:rPr>
          <w:rFonts w:hint="eastAsia"/>
          <w:color w:val="0000FF"/>
        </w:rPr>
        <w:t>抬水工程建成蓄水后，因抬水坝的拦截作用，使水位提高，水流变缓，而大部分泥沙及有机物沉积于库底，尤其湿生环境将会增加，从而扩大了湿生植物的生存场所，这就彻底的改变了现在库区河段内河流水底以卵石、砂、砾为主的底质环境，为水生植物生存创造较好的环境。使水生植物在种类组成上和群落结构上趋于多样，在生物量方面也将处于上升趋势。一些如五节芒、芦苇、水蓼草等湿生植物将在消落区和浅水区出现。</w:t>
      </w:r>
    </w:p>
    <w:p>
      <w:pPr>
        <w:autoSpaceDE w:val="0"/>
        <w:autoSpaceDN w:val="0"/>
        <w:adjustRightInd w:val="0"/>
        <w:ind w:firstLine="480"/>
        <w:rPr>
          <w:color w:val="0000FF"/>
        </w:rPr>
      </w:pPr>
      <w:r>
        <w:rPr>
          <w:rFonts w:hint="eastAsia"/>
          <w:color w:val="0000FF"/>
        </w:rPr>
        <w:t>(2)坝下河段</w:t>
      </w:r>
    </w:p>
    <w:p>
      <w:pPr>
        <w:autoSpaceDE w:val="0"/>
        <w:autoSpaceDN w:val="0"/>
        <w:adjustRightInd w:val="0"/>
        <w:ind w:firstLine="480"/>
        <w:rPr>
          <w:color w:val="0000FF"/>
        </w:rPr>
      </w:pPr>
      <w:r>
        <w:rPr>
          <w:rFonts w:hint="eastAsia"/>
          <w:color w:val="0000FF"/>
        </w:rPr>
        <w:t>本工程下游14.8km有利高溢流坝且其回水影响涉及本工程上游约3km处，因此抬水工程建成后坝下河流仍保持流水特征，但流量相对减小，坝下河段水生维管束植物种类和现存量基本维持现状水平。</w:t>
      </w:r>
    </w:p>
    <w:p>
      <w:pPr>
        <w:pStyle w:val="729"/>
        <w:spacing w:before="0" w:line="360" w:lineRule="auto"/>
        <w:ind w:firstLine="0" w:firstLineChars="0"/>
        <w:rPr>
          <w:b/>
          <w:color w:val="0000FF"/>
        </w:rPr>
      </w:pPr>
      <w:r>
        <w:rPr>
          <w:b/>
        </w:rPr>
        <w:t>5.</w:t>
      </w:r>
      <w:r>
        <w:rPr>
          <w:rFonts w:hint="eastAsia"/>
          <w:b/>
        </w:rPr>
        <w:t>9</w:t>
      </w:r>
      <w:r>
        <w:rPr>
          <w:b/>
        </w:rPr>
        <w:t>.2.4</w:t>
      </w:r>
      <w:r>
        <w:rPr>
          <w:b/>
          <w:color w:val="0000FF"/>
        </w:rPr>
        <w:t xml:space="preserve"> </w:t>
      </w:r>
      <w:r>
        <w:rPr>
          <w:rFonts w:hint="eastAsia"/>
          <w:b/>
          <w:color w:val="0000FF"/>
        </w:rPr>
        <w:t>对鱼类资源的影响</w:t>
      </w:r>
    </w:p>
    <w:p>
      <w:pPr>
        <w:autoSpaceDE w:val="0"/>
        <w:autoSpaceDN w:val="0"/>
        <w:adjustRightInd w:val="0"/>
        <w:ind w:firstLine="480"/>
        <w:rPr>
          <w:color w:val="0000FF"/>
        </w:rPr>
      </w:pPr>
      <w:r>
        <w:rPr>
          <w:rFonts w:hint="eastAsia"/>
          <w:color w:val="0000FF"/>
        </w:rPr>
        <w:t>(1)大坝阻隔影响</w:t>
      </w:r>
    </w:p>
    <w:p>
      <w:pPr>
        <w:autoSpaceDE w:val="0"/>
        <w:autoSpaceDN w:val="0"/>
        <w:adjustRightInd w:val="0"/>
        <w:ind w:firstLine="480"/>
        <w:rPr>
          <w:color w:val="0000FF"/>
        </w:rPr>
      </w:pPr>
      <w:r>
        <w:rPr>
          <w:rFonts w:hint="eastAsia"/>
          <w:color w:val="0000FF"/>
        </w:rPr>
        <w:t>根据调查，锦河团结水电站</w:t>
      </w:r>
      <w:r>
        <w:rPr>
          <w:color w:val="0000FF"/>
        </w:rPr>
        <w:t>坝至</w:t>
      </w:r>
      <w:r>
        <w:rPr>
          <w:rFonts w:hint="eastAsia"/>
          <w:color w:val="0000FF"/>
        </w:rPr>
        <w:t>利高水电站坝</w:t>
      </w:r>
      <w:r>
        <w:rPr>
          <w:color w:val="0000FF"/>
        </w:rPr>
        <w:t>间河段未发现有鱼类洄游产籽场</w:t>
      </w:r>
      <w:r>
        <w:rPr>
          <w:rFonts w:hint="eastAsia"/>
          <w:color w:val="0000FF"/>
        </w:rPr>
        <w:t>，评价河段内主要分布产粘沉性卵的鱼类，没有长距离洄游习性，这些种类经过长期自然选择，已经适应该地区独特流水环境。这些种类通常在急流的砾石底浅滩上产沉粘性卵。仔鱼孵出后则在产卵场附近进行索饵，受水流影响向下漂流，漂流的距离不长，由于不同种类的繁殖对环境条件要求不同，只要还存在其繁殖、索饵的生态环境条件，就能维持一定的种群。大坝将使亲鱼群体阻隔、成熟亲鱼无法上溯到产卵场繁殖，繁殖与发育条件分离，在产卵场繁殖后的受精卵、仔幼鱼无法顺利下坝，这些鱼类在下游河段的分布将减少。同时建设单位通过加强</w:t>
      </w:r>
      <w:r>
        <w:rPr>
          <w:color w:val="0000FF"/>
        </w:rPr>
        <w:t>运行管理，</w:t>
      </w:r>
      <w:r>
        <w:rPr>
          <w:rFonts w:hint="eastAsia"/>
          <w:color w:val="0000FF"/>
        </w:rPr>
        <w:t>可</w:t>
      </w:r>
      <w:r>
        <w:rPr>
          <w:color w:val="0000FF"/>
        </w:rPr>
        <w:t>将冲砂闸闸门全开，打开鱼类的洄游的通道</w:t>
      </w:r>
      <w:r>
        <w:rPr>
          <w:rFonts w:hint="eastAsia"/>
          <w:color w:val="0000FF"/>
        </w:rPr>
        <w:t>来减少大坝阻隔对鱼资源的影响。</w:t>
      </w:r>
    </w:p>
    <w:p>
      <w:pPr>
        <w:autoSpaceDE w:val="0"/>
        <w:autoSpaceDN w:val="0"/>
        <w:adjustRightInd w:val="0"/>
        <w:ind w:firstLine="480"/>
        <w:rPr>
          <w:color w:val="0000FF"/>
        </w:rPr>
      </w:pPr>
      <w:r>
        <w:rPr>
          <w:rFonts w:hint="eastAsia"/>
          <w:color w:val="0000FF"/>
        </w:rPr>
        <w:t>(2)库区河段鱼类资源的影响</w:t>
      </w:r>
    </w:p>
    <w:p>
      <w:pPr>
        <w:ind w:firstLine="480"/>
        <w:rPr>
          <w:color w:val="0000FF"/>
          <w:spacing w:val="-2"/>
          <w:kern w:val="0"/>
        </w:rPr>
      </w:pPr>
      <w:r>
        <w:rPr>
          <w:rFonts w:hint="eastAsia"/>
          <w:color w:val="0000FF"/>
        </w:rPr>
        <w:t>抬水工程建成后，库区河段将由河流型生境变为湖库型生境。</w:t>
      </w:r>
      <w:r>
        <w:rPr>
          <w:color w:val="0000FF"/>
          <w:spacing w:val="-2"/>
          <w:kern w:val="0"/>
        </w:rPr>
        <w:t>原有的喜急流或流水生境的鱼类因生存环境发生改变，适合生长繁殖的环境条件受到破坏，库区资源数量将明显下降，有的甚至退出库区河段分布，迁移至库尾、上游及支流的流水河段，寻找其他适宜栖息的替代生境。</w:t>
      </w:r>
    </w:p>
    <w:p>
      <w:pPr>
        <w:ind w:firstLine="472"/>
        <w:rPr>
          <w:color w:val="0000FF"/>
          <w:spacing w:val="-2"/>
          <w:kern w:val="0"/>
        </w:rPr>
      </w:pPr>
      <w:r>
        <w:rPr>
          <w:color w:val="0000FF"/>
          <w:spacing w:val="-2"/>
          <w:kern w:val="0"/>
        </w:rPr>
        <w:t>湖库生态系统的形成，有利于喜缓水和静水生活鱼类的生长繁殖，如鲤、鲫、鲇等将逐渐增多，成为优势种群。一些外来鱼类可能因人工引入成为常驻性鱼类。由于库区水面大幅增长，水生生物及鱼类栖息、活动空间增大，生物生产力提高，其载鱼量和鱼产量较建库前有较明显增加。</w:t>
      </w:r>
    </w:p>
    <w:p>
      <w:pPr>
        <w:autoSpaceDE w:val="0"/>
        <w:autoSpaceDN w:val="0"/>
        <w:adjustRightInd w:val="0"/>
        <w:ind w:firstLine="480"/>
        <w:rPr>
          <w:color w:val="0000FF"/>
        </w:rPr>
      </w:pPr>
      <w:r>
        <w:rPr>
          <w:rFonts w:hint="eastAsia"/>
          <w:color w:val="0000FF"/>
        </w:rPr>
        <w:t>(3)</w:t>
      </w:r>
      <w:r>
        <w:rPr>
          <w:color w:val="0000FF"/>
          <w:spacing w:val="-2"/>
          <w:kern w:val="0"/>
        </w:rPr>
        <w:t>坝下河段</w:t>
      </w:r>
      <w:r>
        <w:rPr>
          <w:rFonts w:hint="eastAsia"/>
          <w:color w:val="0000FF"/>
        </w:rPr>
        <w:t>鱼类资源的影响</w:t>
      </w:r>
    </w:p>
    <w:p>
      <w:pPr>
        <w:autoSpaceDE w:val="0"/>
        <w:autoSpaceDN w:val="0"/>
        <w:adjustRightInd w:val="0"/>
        <w:ind w:firstLine="480"/>
        <w:rPr>
          <w:color w:val="0000FF"/>
          <w:spacing w:val="-2"/>
          <w:kern w:val="0"/>
        </w:rPr>
      </w:pPr>
      <w:r>
        <w:rPr>
          <w:rFonts w:hint="eastAsia"/>
          <w:color w:val="0000FF"/>
        </w:rPr>
        <w:t>本工程下游14.8km有利高溢流坝且其回水影响涉及本工程上游约3km处，坝址下游不会出现减少段，并且坝下1.9km有野鸡水等其他支流汇入后，对下游鱼类影响不大</w:t>
      </w:r>
      <w:r>
        <w:rPr>
          <w:color w:val="0000FF"/>
          <w:spacing w:val="-2"/>
          <w:kern w:val="0"/>
        </w:rPr>
        <w:t>。</w:t>
      </w:r>
    </w:p>
    <w:p>
      <w:pPr>
        <w:autoSpaceDE w:val="0"/>
        <w:autoSpaceDN w:val="0"/>
        <w:adjustRightInd w:val="0"/>
        <w:ind w:firstLine="480"/>
        <w:rPr>
          <w:color w:val="0000FF"/>
        </w:rPr>
      </w:pPr>
      <w:r>
        <w:rPr>
          <w:rFonts w:hint="eastAsia"/>
          <w:color w:val="0000FF"/>
        </w:rPr>
        <w:t>(4)对鱼类“三场”的影响</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1 \* GB3</w:instrText>
      </w:r>
      <w:r>
        <w:rPr>
          <w:color w:val="0000FF"/>
        </w:rPr>
        <w:instrText xml:space="preserve"> </w:instrText>
      </w:r>
      <w:r>
        <w:rPr>
          <w:color w:val="0000FF"/>
        </w:rPr>
        <w:fldChar w:fldCharType="separate"/>
      </w:r>
      <w:r>
        <w:rPr>
          <w:rFonts w:hint="eastAsia"/>
          <w:color w:val="0000FF"/>
        </w:rPr>
        <w:t>①</w:t>
      </w:r>
      <w:r>
        <w:rPr>
          <w:color w:val="0000FF"/>
        </w:rPr>
        <w:fldChar w:fldCharType="end"/>
      </w:r>
      <w:r>
        <w:rPr>
          <w:rFonts w:hint="eastAsia"/>
          <w:color w:val="0000FF"/>
        </w:rPr>
        <w:t>产卵场</w:t>
      </w:r>
    </w:p>
    <w:p>
      <w:pPr>
        <w:ind w:firstLine="480"/>
        <w:rPr>
          <w:color w:val="0000FF"/>
        </w:rPr>
      </w:pPr>
      <w:r>
        <w:rPr>
          <w:rFonts w:hint="eastAsia" w:ascii="宋体" w:cs="宋体"/>
          <w:color w:val="0000FF"/>
          <w:kern w:val="0"/>
          <w:szCs w:val="24"/>
        </w:rPr>
        <w:t>抬水工程建成后，库区河段流水生境将淹没，评价区河段无鱼类产卵场分布，故影响程度较小。</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2 \* GB3</w:instrText>
      </w:r>
      <w:r>
        <w:rPr>
          <w:color w:val="0000FF"/>
        </w:rPr>
        <w:instrText xml:space="preserve"> </w:instrText>
      </w:r>
      <w:r>
        <w:rPr>
          <w:color w:val="0000FF"/>
        </w:rPr>
        <w:fldChar w:fldCharType="separate"/>
      </w:r>
      <w:r>
        <w:rPr>
          <w:rFonts w:hint="eastAsia"/>
          <w:color w:val="0000FF"/>
        </w:rPr>
        <w:t>②</w:t>
      </w:r>
      <w:r>
        <w:rPr>
          <w:color w:val="0000FF"/>
        </w:rPr>
        <w:fldChar w:fldCharType="end"/>
      </w:r>
      <w:r>
        <w:rPr>
          <w:rFonts w:hint="eastAsia"/>
          <w:color w:val="0000FF"/>
        </w:rPr>
        <w:t>索饵场</w:t>
      </w:r>
    </w:p>
    <w:p>
      <w:pPr>
        <w:autoSpaceDE w:val="0"/>
        <w:autoSpaceDN w:val="0"/>
        <w:adjustRightInd w:val="0"/>
        <w:ind w:firstLine="480"/>
        <w:rPr>
          <w:color w:val="0000FF"/>
        </w:rPr>
      </w:pPr>
      <w:r>
        <w:rPr>
          <w:rFonts w:hint="eastAsia"/>
          <w:color w:val="0000FF"/>
        </w:rPr>
        <w:t>抬水工程形成后，水面扩大、水体加深、水流速变缓，库区有机质沉积增多，饵料生物将变得更丰富，库区的浅水区将成为新的索饵场。</w:t>
      </w:r>
      <w:r>
        <w:rPr>
          <w:rFonts w:hint="eastAsia" w:ascii="宋体" w:cs="宋体"/>
          <w:color w:val="0000FF"/>
          <w:kern w:val="0"/>
          <w:szCs w:val="24"/>
        </w:rPr>
        <w:t>评价区河段无鱼类</w:t>
      </w:r>
      <w:r>
        <w:rPr>
          <w:rFonts w:hint="eastAsia"/>
          <w:color w:val="0000FF"/>
        </w:rPr>
        <w:t>索饵场</w:t>
      </w:r>
      <w:r>
        <w:rPr>
          <w:rFonts w:hint="eastAsia" w:ascii="宋体" w:cs="宋体"/>
          <w:color w:val="0000FF"/>
          <w:kern w:val="0"/>
          <w:szCs w:val="24"/>
        </w:rPr>
        <w:t>分布，</w:t>
      </w:r>
      <w:r>
        <w:rPr>
          <w:rFonts w:hint="eastAsia"/>
          <w:color w:val="0000FF"/>
        </w:rPr>
        <w:t>抬水工程建成后，对鱼类索饵影响不大。</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3 \* GB3</w:instrText>
      </w:r>
      <w:r>
        <w:rPr>
          <w:color w:val="0000FF"/>
        </w:rPr>
        <w:instrText xml:space="preserve"> </w:instrText>
      </w:r>
      <w:r>
        <w:rPr>
          <w:color w:val="0000FF"/>
        </w:rPr>
        <w:fldChar w:fldCharType="separate"/>
      </w:r>
      <w:r>
        <w:rPr>
          <w:rFonts w:hint="eastAsia"/>
          <w:color w:val="0000FF"/>
        </w:rPr>
        <w:t>③</w:t>
      </w:r>
      <w:r>
        <w:rPr>
          <w:color w:val="0000FF"/>
        </w:rPr>
        <w:fldChar w:fldCharType="end"/>
      </w:r>
      <w:r>
        <w:rPr>
          <w:rFonts w:hint="eastAsia"/>
          <w:color w:val="0000FF"/>
        </w:rPr>
        <w:t>越冬场</w:t>
      </w:r>
    </w:p>
    <w:p>
      <w:pPr>
        <w:autoSpaceDE w:val="0"/>
        <w:autoSpaceDN w:val="0"/>
        <w:adjustRightInd w:val="0"/>
        <w:ind w:firstLine="480"/>
        <w:rPr>
          <w:color w:val="0000FF"/>
        </w:rPr>
      </w:pPr>
      <w:r>
        <w:rPr>
          <w:rFonts w:hint="eastAsia"/>
          <w:color w:val="0000FF"/>
        </w:rPr>
        <w:t>抬水工程建成后，深水区、缓水深潭遍布库区，卵石间隙或洞穴等也将增加，在库区鱼类可选择的越冬场所将会增多，同时</w:t>
      </w:r>
      <w:r>
        <w:rPr>
          <w:rFonts w:hint="eastAsia" w:ascii="宋体" w:cs="宋体"/>
          <w:color w:val="0000FF"/>
          <w:kern w:val="0"/>
          <w:szCs w:val="24"/>
        </w:rPr>
        <w:t>评价区河段无鱼类</w:t>
      </w:r>
      <w:r>
        <w:rPr>
          <w:rFonts w:hint="eastAsia"/>
          <w:color w:val="0000FF"/>
        </w:rPr>
        <w:t>越冬场</w:t>
      </w:r>
      <w:r>
        <w:rPr>
          <w:rFonts w:hint="eastAsia" w:ascii="宋体" w:cs="宋体"/>
          <w:color w:val="0000FF"/>
          <w:kern w:val="0"/>
          <w:szCs w:val="24"/>
        </w:rPr>
        <w:t>分布，</w:t>
      </w:r>
      <w:r>
        <w:rPr>
          <w:rFonts w:hint="eastAsia"/>
          <w:color w:val="0000FF"/>
        </w:rPr>
        <w:t>抬水工程建成后，对鱼类越冬场所影响不大。</w:t>
      </w:r>
    </w:p>
    <w:p>
      <w:pPr>
        <w:autoSpaceDE w:val="0"/>
        <w:autoSpaceDN w:val="0"/>
        <w:adjustRightInd w:val="0"/>
        <w:ind w:firstLine="480"/>
        <w:rPr>
          <w:color w:val="0000FF"/>
        </w:rPr>
      </w:pPr>
      <w:r>
        <w:rPr>
          <w:color w:val="0000FF"/>
        </w:rPr>
        <w:fldChar w:fldCharType="begin"/>
      </w:r>
      <w:r>
        <w:rPr>
          <w:color w:val="0000FF"/>
        </w:rPr>
        <w:instrText xml:space="preserve"> </w:instrText>
      </w:r>
      <w:r>
        <w:rPr>
          <w:rFonts w:hint="eastAsia"/>
          <w:color w:val="0000FF"/>
        </w:rPr>
        <w:instrText xml:space="preserve">= 4 \* GB3</w:instrText>
      </w:r>
      <w:r>
        <w:rPr>
          <w:color w:val="0000FF"/>
        </w:rPr>
        <w:instrText xml:space="preserve"> </w:instrText>
      </w:r>
      <w:r>
        <w:rPr>
          <w:color w:val="0000FF"/>
        </w:rPr>
        <w:fldChar w:fldCharType="separate"/>
      </w:r>
      <w:r>
        <w:rPr>
          <w:rFonts w:hint="eastAsia"/>
          <w:color w:val="0000FF"/>
        </w:rPr>
        <w:t>④</w:t>
      </w:r>
      <w:r>
        <w:rPr>
          <w:color w:val="0000FF"/>
        </w:rPr>
        <w:fldChar w:fldCharType="end"/>
      </w:r>
      <w:r>
        <w:rPr>
          <w:rFonts w:hint="eastAsia"/>
          <w:color w:val="0000FF"/>
        </w:rPr>
        <w:t>对渔业生产的影响</w:t>
      </w:r>
    </w:p>
    <w:p>
      <w:pPr>
        <w:autoSpaceDE w:val="0"/>
        <w:autoSpaceDN w:val="0"/>
        <w:adjustRightInd w:val="0"/>
        <w:ind w:firstLine="480"/>
        <w:rPr>
          <w:color w:val="0000FF"/>
        </w:rPr>
      </w:pPr>
      <w:r>
        <w:rPr>
          <w:rFonts w:hint="eastAsia"/>
          <w:color w:val="0000FF"/>
        </w:rPr>
        <w:t>根据调查，目前评价区无专业捕捞渔民。抬水工程建成后，水面面积增大，水体初级生产力增加，大大增加了库区渔业增产的潜力。在科学的规划和管理下，库区渔产量或产值会有较大提高，库区渔业经济可以得到一定发展，考虑到对库区水质的保护，库区不宜发展网箱养殖。</w:t>
      </w:r>
    </w:p>
    <w:bookmarkEnd w:id="806"/>
    <w:bookmarkEnd w:id="807"/>
    <w:bookmarkEnd w:id="808"/>
    <w:bookmarkEnd w:id="809"/>
    <w:bookmarkEnd w:id="810"/>
    <w:bookmarkEnd w:id="811"/>
    <w:bookmarkEnd w:id="812"/>
    <w:bookmarkEnd w:id="813"/>
    <w:bookmarkEnd w:id="814"/>
    <w:p>
      <w:pPr>
        <w:pStyle w:val="835"/>
        <w:spacing w:before="0" w:line="360" w:lineRule="auto"/>
      </w:pPr>
      <w:bookmarkStart w:id="912" w:name="_Toc234833963"/>
      <w:bookmarkStart w:id="913" w:name="_Toc334643183"/>
      <w:bookmarkStart w:id="914" w:name="_Toc224651223"/>
      <w:bookmarkStart w:id="915" w:name="_Toc224104100"/>
      <w:bookmarkStart w:id="916" w:name="_Toc224104012"/>
      <w:bookmarkStart w:id="917" w:name="_Toc281507056"/>
      <w:r>
        <w:t>5.</w:t>
      </w:r>
      <w:r>
        <w:rPr>
          <w:rFonts w:hint="eastAsia"/>
        </w:rPr>
        <w:t>9</w:t>
      </w:r>
      <w:r>
        <w:t>.3</w:t>
      </w:r>
      <w:r>
        <w:rPr>
          <w:rFonts w:hint="eastAsia"/>
        </w:rPr>
        <w:t>景观生态完整性影响</w:t>
      </w:r>
    </w:p>
    <w:p>
      <w:pPr>
        <w:autoSpaceDE w:val="0"/>
        <w:autoSpaceDN w:val="0"/>
        <w:adjustRightInd w:val="0"/>
        <w:ind w:firstLine="480"/>
      </w:pPr>
      <w:r>
        <w:t>工程对区域自然体系生态完整性的影响是由工程占地、植被破坏、蓄水淹没等因素引起的，工程占地主要为灌丛、灌草丛、旱地以及水域和建设用地。工程建成后，各种斑块类型面积发生变化，导致景观破碎化程度、异质性、连通性以及生态系统功能和类型有一定程度的变化，进而对评价区物质循环与能量流动等有一定的影响，导致区域自然生态体系生产能力和稳定状况的发生改变，对本区域生态完整性具有一定影响。</w:t>
      </w:r>
    </w:p>
    <w:p>
      <w:pPr>
        <w:ind w:firstLine="472"/>
        <w:rPr>
          <w:spacing w:val="-2"/>
          <w:kern w:val="0"/>
        </w:rPr>
      </w:pPr>
      <w:r>
        <w:rPr>
          <w:spacing w:val="-2"/>
          <w:kern w:val="0"/>
        </w:rPr>
        <w:t>水利工程对自然体系稳定状况的影响可以从恢复稳定性和阻抗稳定性两方面进行分析。恢复稳定性的度量通常采取对植被生物量进行度量的方法进行度量。</w:t>
      </w:r>
    </w:p>
    <w:p>
      <w:pPr>
        <w:ind w:firstLine="472"/>
        <w:rPr>
          <w:spacing w:val="-2"/>
          <w:kern w:val="0"/>
        </w:rPr>
      </w:pPr>
      <w:r>
        <w:rPr>
          <w:rFonts w:hint="eastAsia"/>
          <w:spacing w:val="-2"/>
          <w:kern w:val="0"/>
        </w:rPr>
        <w:t>(1)恢复稳定性影响分析</w:t>
      </w:r>
    </w:p>
    <w:p>
      <w:pPr>
        <w:autoSpaceDE w:val="0"/>
        <w:autoSpaceDN w:val="0"/>
        <w:adjustRightInd w:val="0"/>
        <w:ind w:firstLine="472"/>
        <w:rPr>
          <w:spacing w:val="-2"/>
          <w:kern w:val="0"/>
        </w:rPr>
      </w:pPr>
      <w:r>
        <w:rPr>
          <w:rFonts w:hint="eastAsia"/>
          <w:spacing w:val="-2"/>
          <w:kern w:val="0"/>
        </w:rPr>
        <w:t>评价区自然景观体系降幅不大，基本维持现有水平，自然生态体系有能力从工程造成的干扰中恢复生态系统的良性循环之中；由于水域面积扩大、局地气候条件的改善、与工程建设配套的生态环境保护措施的实施等，将会使库区库周生态环境质量得到较大改善，植被生产力将会在一定范围内有所提高。由此可见抬水工程评价区的自然景观体系具有较强的恢复稳定性能力。</w:t>
      </w:r>
    </w:p>
    <w:p>
      <w:pPr>
        <w:autoSpaceDE w:val="0"/>
        <w:autoSpaceDN w:val="0"/>
        <w:adjustRightInd w:val="0"/>
        <w:ind w:firstLine="472"/>
        <w:rPr>
          <w:spacing w:val="-2"/>
          <w:kern w:val="0"/>
        </w:rPr>
      </w:pPr>
      <w:r>
        <w:rPr>
          <w:rFonts w:hint="eastAsia"/>
          <w:spacing w:val="-2"/>
          <w:kern w:val="0"/>
        </w:rPr>
        <w:t>自然景观生态体系阻抗稳定性的度量，是通过植被异质性的改变程度来度量的。异质性就是特征多样性程度，主要表现在动物和植物已占据生态位和可能占据的潜在生态位的多样化程度。</w:t>
      </w:r>
    </w:p>
    <w:p>
      <w:pPr>
        <w:ind w:firstLine="480"/>
        <w:rPr>
          <w:spacing w:val="-2"/>
          <w:kern w:val="0"/>
        </w:rPr>
      </w:pPr>
      <w:r>
        <w:rPr>
          <w:spacing w:val="-2"/>
          <w:kern w:val="0"/>
        </w:rPr>
        <w:fldChar w:fldCharType="begin"/>
      </w:r>
      <w:r>
        <w:rPr>
          <w:spacing w:val="-2"/>
          <w:kern w:val="0"/>
        </w:rPr>
        <w:instrText xml:space="preserve"> </w:instrText>
      </w:r>
      <w:r>
        <w:rPr>
          <w:rFonts w:hint="eastAsia"/>
          <w:spacing w:val="-2"/>
          <w:kern w:val="0"/>
        </w:rPr>
        <w:instrText xml:space="preserve">= 1 \* GB3</w:instrText>
      </w:r>
      <w:r>
        <w:rPr>
          <w:spacing w:val="-2"/>
          <w:kern w:val="0"/>
        </w:rPr>
        <w:instrText xml:space="preserve"> </w:instrText>
      </w:r>
      <w:r>
        <w:rPr>
          <w:spacing w:val="-2"/>
          <w:kern w:val="0"/>
        </w:rPr>
        <w:fldChar w:fldCharType="separate"/>
      </w:r>
      <w:r>
        <w:rPr>
          <w:rFonts w:hint="eastAsia"/>
          <w:spacing w:val="-2"/>
          <w:kern w:val="0"/>
        </w:rPr>
        <w:t>①</w:t>
      </w:r>
      <w:r>
        <w:rPr>
          <w:spacing w:val="-2"/>
          <w:kern w:val="0"/>
        </w:rPr>
        <w:fldChar w:fldCharType="end"/>
      </w:r>
      <w:r>
        <w:rPr>
          <w:rFonts w:hint="eastAsia"/>
          <w:spacing w:val="-2"/>
          <w:kern w:val="0"/>
        </w:rPr>
        <w:t>物种多样性分析</w:t>
      </w:r>
    </w:p>
    <w:p>
      <w:pPr>
        <w:ind w:firstLine="472"/>
        <w:rPr>
          <w:spacing w:val="-2"/>
          <w:kern w:val="0"/>
        </w:rPr>
      </w:pPr>
      <w:r>
        <w:rPr>
          <w:rFonts w:hint="eastAsia"/>
          <w:spacing w:val="-2"/>
          <w:kern w:val="0"/>
        </w:rPr>
        <w:t>毛家渡抬水工程建设征地将占用一定数量的灌丛、灌草丛和旱地植被等，使资源斑块面积减少，并且将淹没库区的植被，从而影响评价区的动植物分布及密度。根据本工程对动植物影响特点，建设征地涉及资源斑块面积较小，影响范围仅限于工程建设区，并且不影响区域、生态环境的连通性，灌丛斑块和灌草丛斑块的种类组成、群落结构、生态特征等均未发生较大改变；本工程涉及的动植物种类在库区周围都有广泛分布，对物种多样性的影响无直接影响，因此，本次工程建设不会对评价范围内动植物种群数量及物种多样性造成明显影响。</w:t>
      </w:r>
    </w:p>
    <w:p>
      <w:pPr>
        <w:autoSpaceDE w:val="0"/>
        <w:autoSpaceDN w:val="0"/>
        <w:adjustRightInd w:val="0"/>
        <w:ind w:firstLine="480"/>
        <w:rPr>
          <w:spacing w:val="-2"/>
          <w:kern w:val="0"/>
        </w:rPr>
      </w:pPr>
      <w:r>
        <w:rPr>
          <w:spacing w:val="-2"/>
          <w:kern w:val="0"/>
        </w:rPr>
        <w:fldChar w:fldCharType="begin"/>
      </w:r>
      <w:r>
        <w:rPr>
          <w:spacing w:val="-2"/>
          <w:kern w:val="0"/>
        </w:rPr>
        <w:instrText xml:space="preserve"> </w:instrText>
      </w:r>
      <w:r>
        <w:rPr>
          <w:rFonts w:hint="eastAsia"/>
          <w:spacing w:val="-2"/>
          <w:kern w:val="0"/>
        </w:rPr>
        <w:instrText xml:space="preserve">= 2 \* GB3</w:instrText>
      </w:r>
      <w:r>
        <w:rPr>
          <w:spacing w:val="-2"/>
          <w:kern w:val="0"/>
        </w:rPr>
        <w:instrText xml:space="preserve"> </w:instrText>
      </w:r>
      <w:r>
        <w:rPr>
          <w:spacing w:val="-2"/>
          <w:kern w:val="0"/>
        </w:rPr>
        <w:fldChar w:fldCharType="separate"/>
      </w:r>
      <w:r>
        <w:rPr>
          <w:rFonts w:hint="eastAsia"/>
          <w:spacing w:val="-2"/>
          <w:kern w:val="0"/>
        </w:rPr>
        <w:t>②</w:t>
      </w:r>
      <w:r>
        <w:rPr>
          <w:spacing w:val="-2"/>
          <w:kern w:val="0"/>
        </w:rPr>
        <w:fldChar w:fldCharType="end"/>
      </w:r>
      <w:r>
        <w:rPr>
          <w:rFonts w:hint="eastAsia"/>
          <w:spacing w:val="-2"/>
          <w:kern w:val="0"/>
        </w:rPr>
        <w:t>景观异质性分析</w:t>
      </w:r>
    </w:p>
    <w:p>
      <w:pPr>
        <w:autoSpaceDE w:val="0"/>
        <w:autoSpaceDN w:val="0"/>
        <w:adjustRightInd w:val="0"/>
        <w:ind w:firstLine="472"/>
        <w:rPr>
          <w:spacing w:val="-2"/>
          <w:kern w:val="0"/>
        </w:rPr>
      </w:pPr>
      <w:r>
        <w:rPr>
          <w:rFonts w:hint="eastAsia"/>
          <w:spacing w:val="-2"/>
          <w:kern w:val="0"/>
        </w:rPr>
        <w:t>毛家渡抬水工程建设对评价范围内景观异质性的影响主要表现为工程开挖、施工设施占压、水库淹没等改变了局部区域地面景观斑块类型以及相关斑块的连通性和嵌套关系。由于本工程建设征地按照“尽量少占地”的原则，建设征地（永久性征地）各种植被类型总面积仅为33.7亩。从景观生态异质性改变程度来分析，其改变幅度较小，同时由于本工程周围良好的水热条件，具有较强的抗外界干扰能力，工程兴建对影响范围内的主要影响包括以下两个方面：</w:t>
      </w:r>
    </w:p>
    <w:p>
      <w:pPr>
        <w:autoSpaceDE w:val="0"/>
        <w:autoSpaceDN w:val="0"/>
        <w:adjustRightInd w:val="0"/>
        <w:ind w:firstLine="472"/>
        <w:rPr>
          <w:spacing w:val="-2"/>
          <w:kern w:val="0"/>
        </w:rPr>
      </w:pPr>
      <w:r>
        <w:rPr>
          <w:rFonts w:hint="eastAsia"/>
          <w:spacing w:val="-2"/>
          <w:kern w:val="0"/>
        </w:rPr>
        <w:t>A.在施工期，施工将使施工区的森林生态系统转变为人工生态系统或村镇生态系统，降低了森林生态系统的优势度，但是施工结束，对临时占地区域选择当地乡乔、灌、藤、草等植物种类进行恢复，可以在一定程度上恢复林草生态系统。</w:t>
      </w:r>
    </w:p>
    <w:p>
      <w:pPr>
        <w:autoSpaceDE w:val="0"/>
        <w:autoSpaceDN w:val="0"/>
        <w:adjustRightInd w:val="0"/>
        <w:ind w:firstLine="472"/>
        <w:rPr>
          <w:spacing w:val="-2"/>
          <w:kern w:val="0"/>
        </w:rPr>
      </w:pPr>
      <w:r>
        <w:rPr>
          <w:rFonts w:hint="eastAsia"/>
          <w:spacing w:val="-2"/>
          <w:kern w:val="0"/>
        </w:rPr>
        <w:t>B.工程蓄水，将使正常蓄水位以下灌丛及灌草丛等陆地生态系统变成水域生态系统，对生态系统优势度有一定影响。</w:t>
      </w:r>
    </w:p>
    <w:p>
      <w:pPr>
        <w:autoSpaceDE w:val="0"/>
        <w:autoSpaceDN w:val="0"/>
        <w:adjustRightInd w:val="0"/>
        <w:ind w:firstLine="472"/>
        <w:rPr>
          <w:spacing w:val="-2"/>
          <w:kern w:val="0"/>
        </w:rPr>
      </w:pPr>
      <w:r>
        <w:rPr>
          <w:rFonts w:hint="eastAsia"/>
          <w:spacing w:val="-2"/>
          <w:kern w:val="0"/>
        </w:rPr>
        <w:t>抬水工程施工征地和水库淹没对景观生态造成的影响仅仅改变了建设征地范围内各个斑块的分布和比例，没有在评价范围内增加或减少斑块种类；同时，本工程占地区只有枢纽施工区和水库淹没区，淹没面积主要为旱地和灌木林地以及少量的草地，使得斑块密度有一定的减弱，但减少幅度较低，说明工程建设和运行对景观异质性影响较小。</w:t>
      </w:r>
    </w:p>
    <w:p>
      <w:pPr>
        <w:autoSpaceDE w:val="0"/>
        <w:autoSpaceDN w:val="0"/>
        <w:adjustRightInd w:val="0"/>
        <w:ind w:firstLine="472"/>
        <w:rPr>
          <w:spacing w:val="-2"/>
          <w:kern w:val="0"/>
        </w:rPr>
      </w:pPr>
      <w:r>
        <w:rPr>
          <w:rFonts w:hint="eastAsia"/>
          <w:spacing w:val="-2"/>
          <w:kern w:val="0"/>
        </w:rPr>
        <w:t>(2)阻抗稳定性分析</w:t>
      </w:r>
    </w:p>
    <w:p>
      <w:pPr>
        <w:autoSpaceDE w:val="0"/>
        <w:autoSpaceDN w:val="0"/>
        <w:adjustRightInd w:val="0"/>
        <w:ind w:firstLine="472"/>
        <w:rPr>
          <w:spacing w:val="-2"/>
          <w:kern w:val="0"/>
        </w:rPr>
      </w:pPr>
      <w:r>
        <w:rPr>
          <w:rFonts w:hint="eastAsia"/>
          <w:spacing w:val="-2"/>
          <w:kern w:val="0"/>
        </w:rPr>
        <w:t>在评价范围内，特别是建设征地范围内的人工斑块类型或临时性改变区域斑块比例和镶嵌格局，不会影响评价范围内景观生态的稳定性，景观生态体系阻抗稳定性仍然维持原状。随着当地政府对环境保护的投入、“退耕还林”和“以电代柴”政策的落实、禁止乱砍滥伐、人民环保意识的增强，生态环境也将走向良性循环发展，提高生物多样性和景观生态异质性，景观生态的阻抗稳定性也将逐步得到提高。</w:t>
      </w:r>
    </w:p>
    <w:p>
      <w:pPr>
        <w:pStyle w:val="835"/>
        <w:spacing w:before="0" w:line="360" w:lineRule="auto"/>
      </w:pPr>
      <w:bookmarkStart w:id="918" w:name="_Toc534386313"/>
      <w:bookmarkStart w:id="919" w:name="_Toc534895289"/>
      <w:bookmarkStart w:id="920" w:name="_Toc536265157"/>
      <w:bookmarkStart w:id="921" w:name="_Toc534807072"/>
      <w:bookmarkStart w:id="922" w:name="_Toc3903294"/>
      <w:r>
        <w:t>5.</w:t>
      </w:r>
      <w:r>
        <w:rPr>
          <w:rFonts w:hint="eastAsia"/>
        </w:rPr>
        <w:t>9</w:t>
      </w:r>
      <w:r>
        <w:t>.4</w:t>
      </w:r>
      <w:r>
        <w:rPr>
          <w:rFonts w:hint="eastAsia"/>
        </w:rPr>
        <w:t>对上高锦河</w:t>
      </w:r>
      <w:r>
        <w:t>省级湿地公园</w:t>
      </w:r>
      <w:r>
        <w:rPr>
          <w:rFonts w:hint="eastAsia"/>
        </w:rPr>
        <w:t>的影响分析</w:t>
      </w:r>
    </w:p>
    <w:p>
      <w:pPr>
        <w:autoSpaceDE w:val="0"/>
        <w:autoSpaceDN w:val="0"/>
        <w:adjustRightInd w:val="0"/>
        <w:ind w:firstLine="472"/>
        <w:rPr>
          <w:color w:val="0000FF"/>
          <w:spacing w:val="-2"/>
          <w:kern w:val="0"/>
        </w:rPr>
      </w:pPr>
      <w:r>
        <w:rPr>
          <w:rFonts w:hint="eastAsia"/>
          <w:color w:val="0000FF"/>
          <w:spacing w:val="-2"/>
          <w:kern w:val="0"/>
        </w:rPr>
        <w:t>本</w:t>
      </w:r>
      <w:r>
        <w:rPr>
          <w:color w:val="0000FF"/>
          <w:spacing w:val="-2"/>
          <w:kern w:val="0"/>
        </w:rPr>
        <w:t>工程位于</w:t>
      </w:r>
      <w:r>
        <w:rPr>
          <w:rFonts w:hint="eastAsia"/>
          <w:color w:val="0000FF"/>
          <w:spacing w:val="-2"/>
          <w:kern w:val="0"/>
        </w:rPr>
        <w:t>上高</w:t>
      </w:r>
      <w:r>
        <w:rPr>
          <w:color w:val="0000FF"/>
          <w:spacing w:val="-2"/>
          <w:kern w:val="0"/>
        </w:rPr>
        <w:t>县城</w:t>
      </w:r>
      <w:r>
        <w:rPr>
          <w:rFonts w:hint="eastAsia"/>
          <w:color w:val="0000FF"/>
          <w:spacing w:val="-2"/>
          <w:kern w:val="0"/>
        </w:rPr>
        <w:t>城东</w:t>
      </w:r>
      <w:r>
        <w:rPr>
          <w:color w:val="0000FF"/>
          <w:spacing w:val="-2"/>
          <w:kern w:val="0"/>
        </w:rPr>
        <w:t>，</w:t>
      </w:r>
      <w:r>
        <w:rPr>
          <w:rFonts w:hint="eastAsia"/>
          <w:color w:val="0000FF"/>
          <w:spacing w:val="-2"/>
          <w:kern w:val="0"/>
        </w:rPr>
        <w:t>锦江</w:t>
      </w:r>
      <w:r>
        <w:rPr>
          <w:color w:val="0000FF"/>
          <w:spacing w:val="-2"/>
          <w:kern w:val="0"/>
        </w:rPr>
        <w:t>大桥下游约</w:t>
      </w:r>
      <w:r>
        <w:rPr>
          <w:rFonts w:hint="eastAsia"/>
          <w:color w:val="0000FF"/>
          <w:spacing w:val="-2"/>
          <w:kern w:val="0"/>
        </w:rPr>
        <w:t>1.8k</w:t>
      </w:r>
      <w:r>
        <w:rPr>
          <w:color w:val="0000FF"/>
          <w:spacing w:val="-2"/>
          <w:kern w:val="0"/>
        </w:rPr>
        <w:t>m处，</w:t>
      </w:r>
      <w:r>
        <w:rPr>
          <w:rFonts w:hint="eastAsia"/>
          <w:color w:val="0000FF"/>
          <w:spacing w:val="-2"/>
          <w:kern w:val="0"/>
        </w:rPr>
        <w:t>位于江西上高锦江省级湿地公园范围之外，不涉及省级湿地公园。本工程旨在</w:t>
      </w:r>
      <w:r>
        <w:rPr>
          <w:color w:val="0000FF"/>
          <w:spacing w:val="-2"/>
          <w:kern w:val="0"/>
        </w:rPr>
        <w:t>抬高</w:t>
      </w:r>
      <w:r>
        <w:rPr>
          <w:rFonts w:hint="eastAsia"/>
          <w:color w:val="0000FF"/>
          <w:spacing w:val="-2"/>
          <w:kern w:val="0"/>
        </w:rPr>
        <w:t>上高县城区锦</w:t>
      </w:r>
      <w:r>
        <w:rPr>
          <w:color w:val="0000FF"/>
          <w:spacing w:val="-2"/>
          <w:kern w:val="0"/>
        </w:rPr>
        <w:t>河河段枯水位</w:t>
      </w:r>
      <w:r>
        <w:rPr>
          <w:rFonts w:hint="eastAsia"/>
          <w:color w:val="0000FF"/>
          <w:spacing w:val="-2"/>
          <w:kern w:val="0"/>
        </w:rPr>
        <w:t>，改善水生态环境和水景观，实现河道枯水期形成宽阔清翠湖面，改善枯水期水体水质、沿河生态景观、滨河亲水等目标。抬水工程建成后，会抬高坝址上游河道内水位，根据本工程的可行性研究报告，本工程回水至石湖大桥附近团结水电站退水区，根据湿地公园的总体规划，影响湿地公园的宣教展示区和合理利用区，影响区域内</w:t>
      </w:r>
      <w:r>
        <w:rPr>
          <w:color w:val="0000FF"/>
          <w:spacing w:val="-2"/>
          <w:kern w:val="0"/>
        </w:rPr>
        <w:t>面积</w:t>
      </w:r>
      <w:r>
        <w:rPr>
          <w:rFonts w:hint="eastAsia"/>
          <w:color w:val="0000FF"/>
          <w:spacing w:val="-2"/>
          <w:kern w:val="0"/>
        </w:rPr>
        <w:t>会增加，同时</w:t>
      </w:r>
      <w:r>
        <w:rPr>
          <w:color w:val="0000FF"/>
          <w:spacing w:val="-2"/>
          <w:kern w:val="0"/>
        </w:rPr>
        <w:t>通过开展</w:t>
      </w:r>
      <w:r>
        <w:rPr>
          <w:rFonts w:hint="eastAsia"/>
          <w:color w:val="0000FF"/>
          <w:spacing w:val="-2"/>
          <w:kern w:val="0"/>
        </w:rPr>
        <w:t>护岸工程，</w:t>
      </w:r>
      <w:r>
        <w:rPr>
          <w:color w:val="0000FF"/>
          <w:spacing w:val="-2"/>
          <w:kern w:val="0"/>
        </w:rPr>
        <w:t>河岸林植被恢复，</w:t>
      </w:r>
      <w:r>
        <w:rPr>
          <w:rFonts w:hint="eastAsia"/>
          <w:color w:val="0000FF"/>
          <w:spacing w:val="-2"/>
          <w:kern w:val="0"/>
        </w:rPr>
        <w:t>能</w:t>
      </w:r>
      <w:r>
        <w:rPr>
          <w:color w:val="0000FF"/>
          <w:spacing w:val="-2"/>
          <w:kern w:val="0"/>
        </w:rPr>
        <w:t>进一步提高</w:t>
      </w:r>
      <w:r>
        <w:rPr>
          <w:rFonts w:hint="eastAsia"/>
          <w:color w:val="0000FF"/>
          <w:spacing w:val="-2"/>
          <w:kern w:val="0"/>
        </w:rPr>
        <w:t>锦河</w:t>
      </w:r>
      <w:r>
        <w:rPr>
          <w:color w:val="0000FF"/>
          <w:spacing w:val="-2"/>
          <w:kern w:val="0"/>
        </w:rPr>
        <w:t>的生态效益、社会效益、经济效益，实现</w:t>
      </w:r>
      <w:r>
        <w:rPr>
          <w:rFonts w:hint="eastAsia"/>
          <w:color w:val="0000FF"/>
          <w:spacing w:val="-2"/>
          <w:kern w:val="0"/>
        </w:rPr>
        <w:t>锦河</w:t>
      </w:r>
      <w:r>
        <w:rPr>
          <w:color w:val="0000FF"/>
          <w:spacing w:val="-2"/>
          <w:kern w:val="0"/>
        </w:rPr>
        <w:t>“河水清、两岸绿、城乡美”的愿景，提升</w:t>
      </w:r>
      <w:r>
        <w:rPr>
          <w:rFonts w:hint="eastAsia"/>
          <w:color w:val="0000FF"/>
          <w:spacing w:val="-2"/>
          <w:kern w:val="0"/>
        </w:rPr>
        <w:t>上高县城区</w:t>
      </w:r>
      <w:r>
        <w:rPr>
          <w:color w:val="0000FF"/>
          <w:spacing w:val="-2"/>
          <w:kern w:val="0"/>
        </w:rPr>
        <w:t>的品位</w:t>
      </w:r>
      <w:r>
        <w:rPr>
          <w:rFonts w:hint="eastAsia"/>
          <w:color w:val="0000FF"/>
          <w:spacing w:val="-2"/>
          <w:kern w:val="0"/>
        </w:rPr>
        <w:t>。</w:t>
      </w:r>
    </w:p>
    <w:p>
      <w:pPr>
        <w:autoSpaceDE w:val="0"/>
        <w:autoSpaceDN w:val="0"/>
        <w:adjustRightInd w:val="0"/>
        <w:ind w:firstLine="472"/>
        <w:rPr>
          <w:spacing w:val="-2"/>
          <w:kern w:val="0"/>
        </w:rPr>
      </w:pPr>
      <w:r>
        <w:rPr>
          <w:rFonts w:hint="eastAsia"/>
          <w:color w:val="0000FF"/>
          <w:spacing w:val="-2"/>
          <w:kern w:val="0"/>
        </w:rPr>
        <w:t>本项目建设没有减少上高锦河省级湿地公园面积，没有改变上高锦河省级湿地公园功能，仅在枯水期抬高水位，未新增淹没区。因此，抬水工程的实施，对提升上高锦河省级湿地公园的资源和价值有一定作用。</w:t>
      </w:r>
    </w:p>
    <w:p>
      <w:pPr>
        <w:pStyle w:val="835"/>
        <w:spacing w:before="0" w:line="360" w:lineRule="auto"/>
      </w:pPr>
      <w:r>
        <w:t>5.</w:t>
      </w:r>
      <w:r>
        <w:rPr>
          <w:rFonts w:hint="eastAsia"/>
        </w:rPr>
        <w:t>9</w:t>
      </w:r>
      <w:r>
        <w:t>.</w:t>
      </w:r>
      <w:r>
        <w:rPr>
          <w:rFonts w:hint="eastAsia"/>
        </w:rPr>
        <w:t>5</w:t>
      </w:r>
      <w:bookmarkEnd w:id="918"/>
      <w:bookmarkEnd w:id="919"/>
      <w:bookmarkEnd w:id="920"/>
      <w:bookmarkEnd w:id="921"/>
      <w:bookmarkEnd w:id="922"/>
      <w:r>
        <w:rPr>
          <w:rFonts w:hint="eastAsia"/>
        </w:rPr>
        <w:t>水土流失影响预测评价</w:t>
      </w:r>
    </w:p>
    <w:p>
      <w:pPr>
        <w:pStyle w:val="729"/>
        <w:spacing w:before="0" w:line="360" w:lineRule="auto"/>
        <w:ind w:firstLine="0" w:firstLineChars="0"/>
        <w:rPr>
          <w:b/>
        </w:rPr>
      </w:pPr>
      <w:r>
        <w:rPr>
          <w:b/>
        </w:rPr>
        <w:t>5.9.</w:t>
      </w:r>
      <w:r>
        <w:rPr>
          <w:rFonts w:hint="eastAsia"/>
          <w:b/>
        </w:rPr>
        <w:t>5.1水土流失防治责任范围</w:t>
      </w:r>
    </w:p>
    <w:p>
      <w:pPr>
        <w:autoSpaceDE w:val="0"/>
        <w:autoSpaceDN w:val="0"/>
        <w:adjustRightInd w:val="0"/>
        <w:ind w:firstLine="472"/>
        <w:rPr>
          <w:spacing w:val="-2"/>
          <w:kern w:val="0"/>
        </w:rPr>
      </w:pPr>
      <w:r>
        <w:rPr>
          <w:rFonts w:hint="eastAsia"/>
          <w:spacing w:val="-2"/>
          <w:kern w:val="0"/>
        </w:rPr>
        <w:t>根据“谁开发谁保护，谁造成水土流失谁负责治理”的原则以及本工程设计和建设特点，本方案结合主体工程设计对防治责任范围进行了统计，水土流失防治责任范围包括项目建设区主要包括主体工程建设区、料场区、弃渣场区、施工交通道路区、施工生产生活区，共5.98hm</w:t>
      </w:r>
      <w:r>
        <w:rPr>
          <w:rFonts w:hint="eastAsia"/>
          <w:spacing w:val="-2"/>
          <w:kern w:val="0"/>
          <w:vertAlign w:val="superscript"/>
        </w:rPr>
        <w:t>2</w:t>
      </w:r>
      <w:r>
        <w:rPr>
          <w:rFonts w:hint="eastAsia"/>
          <w:spacing w:val="-2"/>
          <w:kern w:val="0"/>
        </w:rPr>
        <w:t>。</w:t>
      </w:r>
    </w:p>
    <w:p>
      <w:pPr>
        <w:autoSpaceDE w:val="0"/>
        <w:autoSpaceDN w:val="0"/>
        <w:adjustRightInd w:val="0"/>
        <w:ind w:firstLine="472"/>
        <w:rPr>
          <w:spacing w:val="-2"/>
          <w:kern w:val="0"/>
        </w:rPr>
      </w:pPr>
      <w:r>
        <w:rPr>
          <w:rFonts w:hint="eastAsia"/>
          <w:spacing w:val="-2"/>
          <w:kern w:val="0"/>
        </w:rPr>
        <w:t>(1)</w:t>
      </w:r>
      <w:r>
        <w:rPr>
          <w:spacing w:val="-2"/>
          <w:kern w:val="0"/>
        </w:rPr>
        <w:t>主体工程区</w:t>
      </w:r>
    </w:p>
    <w:p>
      <w:pPr>
        <w:autoSpaceDE w:val="0"/>
        <w:autoSpaceDN w:val="0"/>
        <w:adjustRightInd w:val="0"/>
        <w:ind w:firstLine="472"/>
        <w:rPr>
          <w:spacing w:val="-2"/>
          <w:kern w:val="0"/>
        </w:rPr>
      </w:pPr>
      <w:r>
        <w:rPr>
          <w:rFonts w:hint="eastAsia"/>
          <w:spacing w:val="-2"/>
          <w:kern w:val="0"/>
        </w:rPr>
        <w:t>上高</w:t>
      </w:r>
      <w:r>
        <w:rPr>
          <w:spacing w:val="-2"/>
          <w:kern w:val="0"/>
        </w:rPr>
        <w:t>县</w:t>
      </w:r>
      <w:r>
        <w:rPr>
          <w:rFonts w:hint="eastAsia"/>
          <w:spacing w:val="-2"/>
          <w:kern w:val="0"/>
        </w:rPr>
        <w:t>毛家渡</w:t>
      </w:r>
      <w:r>
        <w:rPr>
          <w:spacing w:val="-2"/>
          <w:kern w:val="0"/>
        </w:rPr>
        <w:t>抬水工程主体工程区</w:t>
      </w:r>
      <w:r>
        <w:rPr>
          <w:rFonts w:hint="eastAsia"/>
          <w:spacing w:val="-2"/>
          <w:kern w:val="0"/>
        </w:rPr>
        <w:t>水土流失防治面积为2.25hm</w:t>
      </w:r>
      <w:r>
        <w:rPr>
          <w:rFonts w:hint="eastAsia"/>
          <w:spacing w:val="-2"/>
          <w:kern w:val="0"/>
          <w:vertAlign w:val="superscript"/>
        </w:rPr>
        <w:t>2</w:t>
      </w:r>
      <w:r>
        <w:rPr>
          <w:spacing w:val="-2"/>
          <w:kern w:val="0"/>
        </w:rPr>
        <w:t>。本区域水土流失防治的重点是做好表土剥离及施工过程中临时防护措施。</w:t>
      </w:r>
    </w:p>
    <w:p>
      <w:pPr>
        <w:autoSpaceDE w:val="0"/>
        <w:autoSpaceDN w:val="0"/>
        <w:adjustRightInd w:val="0"/>
        <w:ind w:firstLine="472"/>
        <w:rPr>
          <w:spacing w:val="-2"/>
          <w:kern w:val="0"/>
        </w:rPr>
      </w:pPr>
      <w:r>
        <w:rPr>
          <w:rFonts w:hint="eastAsia"/>
          <w:spacing w:val="-2"/>
          <w:kern w:val="0"/>
        </w:rPr>
        <w:t>(2)</w:t>
      </w:r>
      <w:r>
        <w:rPr>
          <w:spacing w:val="-2"/>
          <w:kern w:val="0"/>
        </w:rPr>
        <w:t>弃渣场</w:t>
      </w:r>
    </w:p>
    <w:p>
      <w:pPr>
        <w:autoSpaceDE w:val="0"/>
        <w:autoSpaceDN w:val="0"/>
        <w:adjustRightInd w:val="0"/>
        <w:ind w:firstLine="472"/>
        <w:rPr>
          <w:spacing w:val="-2"/>
          <w:kern w:val="0"/>
        </w:rPr>
      </w:pPr>
      <w:r>
        <w:rPr>
          <w:spacing w:val="-2"/>
          <w:kern w:val="0"/>
        </w:rPr>
        <w:t>弃渣场</w:t>
      </w:r>
      <w:r>
        <w:rPr>
          <w:rFonts w:hint="eastAsia"/>
          <w:spacing w:val="-2"/>
          <w:kern w:val="0"/>
        </w:rPr>
        <w:t>水土流失防治面积为2.16hm</w:t>
      </w:r>
      <w:r>
        <w:rPr>
          <w:rFonts w:hint="eastAsia"/>
          <w:spacing w:val="-2"/>
          <w:kern w:val="0"/>
          <w:vertAlign w:val="superscript"/>
        </w:rPr>
        <w:t>2</w:t>
      </w:r>
      <w:r>
        <w:rPr>
          <w:spacing w:val="-2"/>
          <w:kern w:val="0"/>
        </w:rPr>
        <w:t>。本区域水土流失防治的重点是做好表土剥离、挡土墙拦挡、排水及沉沙措施，弃渣结束后进行表土回填，并进行布置绿化措施。弃渣场内设置表土临时堆放场，须做好拦挡、排水、沉沙、苫盖措施。</w:t>
      </w:r>
    </w:p>
    <w:p>
      <w:pPr>
        <w:ind w:firstLine="472"/>
        <w:rPr>
          <w:spacing w:val="-2"/>
          <w:kern w:val="0"/>
        </w:rPr>
      </w:pPr>
      <w:r>
        <w:rPr>
          <w:rFonts w:hint="eastAsia"/>
          <w:spacing w:val="-2"/>
          <w:kern w:val="0"/>
        </w:rPr>
        <w:t>(3)</w:t>
      </w:r>
      <w:r>
        <w:rPr>
          <w:spacing w:val="-2"/>
          <w:kern w:val="0"/>
        </w:rPr>
        <w:t>交通道路区</w:t>
      </w:r>
    </w:p>
    <w:p>
      <w:pPr>
        <w:autoSpaceDE w:val="0"/>
        <w:autoSpaceDN w:val="0"/>
        <w:adjustRightInd w:val="0"/>
        <w:ind w:firstLine="472"/>
        <w:rPr>
          <w:spacing w:val="-2"/>
          <w:kern w:val="0"/>
        </w:rPr>
      </w:pPr>
      <w:r>
        <w:rPr>
          <w:spacing w:val="-2"/>
          <w:kern w:val="0"/>
        </w:rPr>
        <w:t>交通道路区</w:t>
      </w:r>
      <w:r>
        <w:rPr>
          <w:rFonts w:hint="eastAsia"/>
          <w:spacing w:val="-2"/>
          <w:kern w:val="0"/>
        </w:rPr>
        <w:t>水土流失防治面积为1.00hm</w:t>
      </w:r>
      <w:r>
        <w:rPr>
          <w:rFonts w:hint="eastAsia"/>
          <w:spacing w:val="-2"/>
          <w:kern w:val="0"/>
          <w:vertAlign w:val="superscript"/>
        </w:rPr>
        <w:t>2</w:t>
      </w:r>
      <w:r>
        <w:rPr>
          <w:spacing w:val="-2"/>
          <w:kern w:val="0"/>
        </w:rPr>
        <w:t>，</w:t>
      </w:r>
      <w:r>
        <w:rPr>
          <w:rFonts w:hint="eastAsia"/>
          <w:spacing w:val="-2"/>
          <w:kern w:val="0"/>
        </w:rPr>
        <w:t>本项目在左岸设置巡视检查道，总长0.732km</w:t>
      </w:r>
      <w:r>
        <w:rPr>
          <w:spacing w:val="-2"/>
          <w:kern w:val="0"/>
        </w:rPr>
        <w:t>。本区域水土流失防治的重点是做好表土剥离、排水、沉沙、边坡防护以及下边坡的临时拦挡等防护措施。</w:t>
      </w:r>
    </w:p>
    <w:p>
      <w:pPr>
        <w:autoSpaceDE w:val="0"/>
        <w:autoSpaceDN w:val="0"/>
        <w:adjustRightInd w:val="0"/>
        <w:ind w:firstLine="472"/>
        <w:rPr>
          <w:spacing w:val="-2"/>
          <w:kern w:val="0"/>
        </w:rPr>
      </w:pPr>
      <w:r>
        <w:rPr>
          <w:rFonts w:hint="eastAsia"/>
          <w:spacing w:val="-2"/>
          <w:kern w:val="0"/>
        </w:rPr>
        <w:t>(4)</w:t>
      </w:r>
      <w:r>
        <w:rPr>
          <w:spacing w:val="-2"/>
          <w:kern w:val="0"/>
        </w:rPr>
        <w:t>土料场区</w:t>
      </w:r>
    </w:p>
    <w:p>
      <w:pPr>
        <w:autoSpaceDE w:val="0"/>
        <w:autoSpaceDN w:val="0"/>
        <w:adjustRightInd w:val="0"/>
        <w:ind w:firstLine="472"/>
        <w:rPr>
          <w:spacing w:val="-2"/>
          <w:kern w:val="0"/>
        </w:rPr>
      </w:pPr>
      <w:r>
        <w:rPr>
          <w:spacing w:val="-2"/>
          <w:kern w:val="0"/>
        </w:rPr>
        <w:t>土料场区</w:t>
      </w:r>
      <w:r>
        <w:rPr>
          <w:rFonts w:hint="eastAsia"/>
          <w:spacing w:val="-2"/>
          <w:kern w:val="0"/>
        </w:rPr>
        <w:t>水土流失防治面积为0.17hm</w:t>
      </w:r>
      <w:r>
        <w:rPr>
          <w:rFonts w:hint="eastAsia"/>
          <w:spacing w:val="-2"/>
          <w:kern w:val="0"/>
          <w:vertAlign w:val="superscript"/>
        </w:rPr>
        <w:t>2</w:t>
      </w:r>
      <w:r>
        <w:rPr>
          <w:spacing w:val="-2"/>
          <w:kern w:val="0"/>
        </w:rPr>
        <w:t>。本区域水土流失防治的重点是做好表土剥离、排水、沉沙、边坡防护和施工结束后的表土回填及绿化措施。</w:t>
      </w:r>
    </w:p>
    <w:p>
      <w:pPr>
        <w:autoSpaceDE w:val="0"/>
        <w:autoSpaceDN w:val="0"/>
        <w:adjustRightInd w:val="0"/>
        <w:ind w:firstLine="472"/>
        <w:rPr>
          <w:spacing w:val="-2"/>
          <w:kern w:val="0"/>
        </w:rPr>
      </w:pPr>
      <w:r>
        <w:rPr>
          <w:rFonts w:hint="eastAsia"/>
          <w:spacing w:val="-2"/>
          <w:kern w:val="0"/>
        </w:rPr>
        <w:t>(5)</w:t>
      </w:r>
      <w:r>
        <w:rPr>
          <w:spacing w:val="-2"/>
          <w:kern w:val="0"/>
        </w:rPr>
        <w:t>施工场地区</w:t>
      </w:r>
    </w:p>
    <w:p>
      <w:pPr>
        <w:autoSpaceDE w:val="0"/>
        <w:autoSpaceDN w:val="0"/>
        <w:adjustRightInd w:val="0"/>
        <w:ind w:firstLine="472"/>
        <w:rPr>
          <w:spacing w:val="-2"/>
          <w:kern w:val="0"/>
        </w:rPr>
      </w:pPr>
      <w:r>
        <w:rPr>
          <w:spacing w:val="-2"/>
          <w:kern w:val="0"/>
        </w:rPr>
        <w:t>施工场地区位于工程右岸，</w:t>
      </w:r>
      <w:r>
        <w:rPr>
          <w:rFonts w:hint="eastAsia"/>
          <w:spacing w:val="-2"/>
          <w:kern w:val="0"/>
        </w:rPr>
        <w:t>水土流失防治面积为0.40hm</w:t>
      </w:r>
      <w:r>
        <w:rPr>
          <w:rFonts w:hint="eastAsia"/>
          <w:spacing w:val="-2"/>
          <w:kern w:val="0"/>
          <w:vertAlign w:val="superscript"/>
        </w:rPr>
        <w:t>2</w:t>
      </w:r>
      <w:r>
        <w:rPr>
          <w:spacing w:val="-2"/>
          <w:kern w:val="0"/>
        </w:rPr>
        <w:t>，本区域水土流失防治的重点是表土剥离、排水、沉沙和施工结束后的表土回填及绿化措施。</w:t>
      </w:r>
    </w:p>
    <w:p>
      <w:pPr>
        <w:ind w:firstLine="472"/>
        <w:rPr>
          <w:spacing w:val="-2"/>
          <w:kern w:val="0"/>
        </w:rPr>
      </w:pPr>
      <w:r>
        <w:rPr>
          <w:spacing w:val="-2"/>
          <w:kern w:val="0"/>
        </w:rPr>
        <w:t>水土流失防治分区面积表见表</w:t>
      </w:r>
      <w:r>
        <w:rPr>
          <w:rFonts w:hint="eastAsia"/>
          <w:spacing w:val="-2"/>
          <w:kern w:val="0"/>
        </w:rPr>
        <w:t>5.9</w:t>
      </w:r>
      <w:r>
        <w:rPr>
          <w:spacing w:val="-2"/>
          <w:kern w:val="0"/>
        </w:rPr>
        <w:t>-1。</w:t>
      </w:r>
    </w:p>
    <w:p>
      <w:pPr>
        <w:spacing w:before="120" w:beforeLines="50" w:line="240" w:lineRule="auto"/>
        <w:ind w:firstLine="480"/>
        <w:jc w:val="center"/>
        <w:rPr>
          <w:rFonts w:ascii="黑体" w:hAnsi="黑体" w:eastAsia="黑体" w:cs="仿宋_GB2312"/>
          <w:kern w:val="0"/>
          <w:szCs w:val="24"/>
        </w:rPr>
      </w:pPr>
      <w:r>
        <w:rPr>
          <w:rFonts w:ascii="黑体" w:hAnsi="黑体" w:eastAsia="黑体"/>
          <w:szCs w:val="24"/>
        </w:rPr>
        <w:t>表</w:t>
      </w:r>
      <w:r>
        <w:rPr>
          <w:rFonts w:hint="eastAsia" w:ascii="黑体" w:hAnsi="黑体" w:eastAsia="黑体"/>
          <w:szCs w:val="24"/>
        </w:rPr>
        <w:t>5.9</w:t>
      </w:r>
      <w:r>
        <w:rPr>
          <w:rFonts w:ascii="黑体" w:hAnsi="黑体" w:eastAsia="黑体"/>
          <w:szCs w:val="24"/>
        </w:rPr>
        <w:t>-1 水土流失防治责任范围表</w:t>
      </w:r>
    </w:p>
    <w:tbl>
      <w:tblPr>
        <w:tblStyle w:val="8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701"/>
        <w:gridCol w:w="63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rPr>
                <w:rFonts w:ascii="Times New Roman" w:cs="Times New Roman"/>
                <w:color w:val="auto"/>
                <w:sz w:val="21"/>
                <w:szCs w:val="21"/>
              </w:rPr>
            </w:pPr>
            <w:r>
              <w:rPr>
                <w:rFonts w:ascii="Times New Roman" w:hAnsi="宋体" w:cs="Times New Roman"/>
                <w:color w:val="auto"/>
                <w:sz w:val="21"/>
                <w:szCs w:val="21"/>
              </w:rPr>
              <w:t>防治责任范围</w:t>
            </w:r>
          </w:p>
        </w:tc>
        <w:tc>
          <w:tcPr>
            <w:tcW w:w="1701"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占地面积</w:t>
            </w:r>
            <w:r>
              <w:rPr>
                <w:rFonts w:ascii="Times New Roman" w:cs="Times New Roman"/>
                <w:b/>
                <w:bCs/>
                <w:color w:val="auto"/>
                <w:sz w:val="21"/>
                <w:szCs w:val="21"/>
              </w:rPr>
              <w:t>(</w:t>
            </w:r>
            <w:r>
              <w:rPr>
                <w:rFonts w:hint="eastAsia" w:ascii="Times New Roman" w:cs="Times New Roman"/>
                <w:b/>
                <w:bCs/>
                <w:color w:val="auto"/>
                <w:sz w:val="21"/>
                <w:szCs w:val="21"/>
              </w:rPr>
              <w:t>hm</w:t>
            </w:r>
            <w:r>
              <w:rPr>
                <w:rFonts w:hint="eastAsia" w:ascii="Times New Roman" w:cs="Times New Roman"/>
                <w:b/>
                <w:bCs/>
                <w:color w:val="auto"/>
                <w:sz w:val="21"/>
                <w:szCs w:val="21"/>
                <w:vertAlign w:val="superscript"/>
              </w:rPr>
              <w:t>2</w:t>
            </w:r>
            <w:r>
              <w:rPr>
                <w:rFonts w:ascii="Times New Roman" w:cs="Times New Roman"/>
                <w:b/>
                <w:bCs/>
                <w:color w:val="auto"/>
                <w:sz w:val="21"/>
                <w:szCs w:val="21"/>
              </w:rPr>
              <w:t>)</w:t>
            </w:r>
          </w:p>
        </w:tc>
        <w:tc>
          <w:tcPr>
            <w:tcW w:w="6343"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备</w:t>
            </w:r>
            <w:r>
              <w:rPr>
                <w:rFonts w:ascii="Times New Roman" w:cs="Times New Roman"/>
                <w:color w:val="auto"/>
                <w:sz w:val="21"/>
                <w:szCs w:val="21"/>
              </w:rPr>
              <w:t xml:space="preserve"> </w:t>
            </w:r>
            <w:r>
              <w:rPr>
                <w:rFonts w:ascii="Times New Roman" w:hAnsi="宋体" w:cs="Times New Roman"/>
                <w:color w:val="auto"/>
                <w:sz w:val="21"/>
                <w:szCs w:val="21"/>
              </w:rPr>
              <w:t>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主体工程区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2.25</w:t>
            </w:r>
          </w:p>
        </w:tc>
        <w:tc>
          <w:tcPr>
            <w:tcW w:w="6343"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泄水闸、冲砂闸、左右护岸、施工围堰、防汛公路，施工围堰。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弃渣场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2.16</w:t>
            </w:r>
          </w:p>
        </w:tc>
        <w:tc>
          <w:tcPr>
            <w:tcW w:w="6343"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主要为弃渣场，施工期表土临时堆放场。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交通道路区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1.00</w:t>
            </w:r>
          </w:p>
        </w:tc>
        <w:tc>
          <w:tcPr>
            <w:tcW w:w="6343"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包括防汛道路</w:t>
            </w:r>
            <w:r>
              <w:rPr>
                <w:rFonts w:ascii="Times New Roman" w:cs="Times New Roman"/>
                <w:color w:val="auto"/>
                <w:sz w:val="21"/>
                <w:szCs w:val="21"/>
              </w:rPr>
              <w:t>0.</w:t>
            </w:r>
            <w:r>
              <w:rPr>
                <w:rFonts w:hint="eastAsia" w:ascii="Times New Roman" w:cs="Times New Roman"/>
                <w:color w:val="auto"/>
                <w:sz w:val="21"/>
                <w:szCs w:val="21"/>
              </w:rPr>
              <w:t>732</w:t>
            </w:r>
            <w:r>
              <w:rPr>
                <w:rFonts w:ascii="Times New Roman" w:cs="Times New Roman"/>
                <w:color w:val="auto"/>
                <w:sz w:val="21"/>
                <w:szCs w:val="21"/>
              </w:rPr>
              <w:t>km</w:t>
            </w:r>
            <w:r>
              <w:rPr>
                <w:rFonts w:ascii="Times New Roman" w:hAnsi="宋体" w:cs="Times New Roman"/>
                <w:color w:val="auto"/>
                <w:sz w:val="21"/>
                <w:szCs w:val="21"/>
              </w:rPr>
              <w:t>以及临时施工道路</w:t>
            </w:r>
            <w:r>
              <w:rPr>
                <w:rFonts w:hint="eastAsia" w:ascii="Times New Roman" w:cs="Times New Roman"/>
                <w:color w:val="auto"/>
                <w:sz w:val="21"/>
                <w:szCs w:val="21"/>
              </w:rPr>
              <w:t>2.0</w:t>
            </w:r>
            <w:r>
              <w:rPr>
                <w:rFonts w:ascii="Times New Roman" w:cs="Times New Roman"/>
                <w:color w:val="auto"/>
                <w:sz w:val="21"/>
                <w:szCs w:val="21"/>
              </w:rPr>
              <w:t>km</w:t>
            </w:r>
            <w:r>
              <w:rPr>
                <w:rFonts w:ascii="Times New Roman" w:hAnsi="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土料场区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0.17</w:t>
            </w:r>
          </w:p>
        </w:tc>
        <w:tc>
          <w:tcPr>
            <w:tcW w:w="6343"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主要为土料场，施工完成后表土回填及绿化措施。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施工场地区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0.40</w:t>
            </w:r>
          </w:p>
        </w:tc>
        <w:tc>
          <w:tcPr>
            <w:tcW w:w="6343"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主要为施工堆料场地、施工生活区。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淹没区</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w:t>
            </w:r>
          </w:p>
        </w:tc>
        <w:tc>
          <w:tcPr>
            <w:tcW w:w="6343" w:type="dxa"/>
            <w:vAlign w:val="center"/>
          </w:tcPr>
          <w:p>
            <w:pPr>
              <w:pStyle w:val="573"/>
              <w:spacing w:line="340" w:lineRule="exact"/>
              <w:jc w:val="center"/>
              <w:rPr>
                <w:rFonts w:ascii="Times New Roman" w:cs="Times New Roman"/>
                <w:color w:val="auto"/>
                <w:sz w:val="21"/>
                <w:szCs w:val="21"/>
              </w:rPr>
            </w:pPr>
            <w:r>
              <w:rPr>
                <w:rFonts w:ascii="Times New Roman" w:hAnsi="宋体" w:cs="Times New Roman"/>
                <w:color w:val="auto"/>
                <w:sz w:val="21"/>
                <w:szCs w:val="21"/>
              </w:rPr>
              <w:t>正常蓄水位</w:t>
            </w:r>
            <w:r>
              <w:rPr>
                <w:rFonts w:hint="eastAsia" w:ascii="Times New Roman" w:cs="Times New Roman"/>
                <w:color w:val="auto"/>
                <w:sz w:val="21"/>
                <w:szCs w:val="21"/>
              </w:rPr>
              <w:t>44.5</w:t>
            </w:r>
            <w:r>
              <w:rPr>
                <w:rFonts w:ascii="Times New Roman" w:cs="Times New Roman"/>
                <w:color w:val="auto"/>
                <w:sz w:val="21"/>
                <w:szCs w:val="21"/>
              </w:rPr>
              <w:t>m</w:t>
            </w:r>
            <w:r>
              <w:rPr>
                <w:rFonts w:hint="eastAsia" w:ascii="Times New Roman" w:hAnsi="宋体" w:cs="Times New Roman"/>
                <w:color w:val="auto"/>
                <w:sz w:val="21"/>
                <w:szCs w:val="21"/>
              </w:rPr>
              <w:t>，</w:t>
            </w:r>
            <w:r>
              <w:rPr>
                <w:rFonts w:ascii="Times New Roman" w:hAnsi="宋体" w:cs="Times New Roman"/>
                <w:color w:val="auto"/>
                <w:sz w:val="21"/>
                <w:szCs w:val="21"/>
              </w:rPr>
              <w:t>淹没区内须做好施工过程中临时防护措施。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6" w:type="dxa"/>
            <w:vAlign w:val="center"/>
          </w:tcPr>
          <w:p>
            <w:pPr>
              <w:pStyle w:val="573"/>
              <w:spacing w:line="340" w:lineRule="exact"/>
              <w:ind w:firstLine="420"/>
              <w:jc w:val="center"/>
              <w:rPr>
                <w:rFonts w:ascii="Times New Roman" w:cs="Times New Roman"/>
                <w:color w:val="auto"/>
                <w:sz w:val="21"/>
                <w:szCs w:val="21"/>
              </w:rPr>
            </w:pPr>
            <w:r>
              <w:rPr>
                <w:rFonts w:ascii="Times New Roman" w:hAnsi="宋体" w:cs="Times New Roman"/>
                <w:color w:val="auto"/>
                <w:sz w:val="21"/>
                <w:szCs w:val="21"/>
              </w:rPr>
              <w:t>合计</w:t>
            </w:r>
          </w:p>
        </w:tc>
        <w:tc>
          <w:tcPr>
            <w:tcW w:w="1701" w:type="dxa"/>
            <w:vAlign w:val="center"/>
          </w:tcPr>
          <w:p>
            <w:pPr>
              <w:spacing w:line="340" w:lineRule="exact"/>
              <w:ind w:firstLine="0" w:firstLineChars="0"/>
              <w:jc w:val="center"/>
              <w:rPr>
                <w:kern w:val="0"/>
                <w:sz w:val="21"/>
                <w:szCs w:val="21"/>
              </w:rPr>
            </w:pPr>
            <w:r>
              <w:rPr>
                <w:rFonts w:hint="eastAsia"/>
                <w:kern w:val="0"/>
                <w:sz w:val="21"/>
                <w:szCs w:val="21"/>
              </w:rPr>
              <w:t>5.98</w:t>
            </w:r>
          </w:p>
        </w:tc>
        <w:tc>
          <w:tcPr>
            <w:tcW w:w="6343" w:type="dxa"/>
            <w:vAlign w:val="center"/>
          </w:tcPr>
          <w:p>
            <w:pPr>
              <w:spacing w:line="340" w:lineRule="exact"/>
              <w:ind w:firstLine="0" w:firstLineChars="0"/>
              <w:jc w:val="center"/>
              <w:rPr>
                <w:kern w:val="0"/>
                <w:sz w:val="21"/>
                <w:szCs w:val="21"/>
              </w:rPr>
            </w:pPr>
          </w:p>
        </w:tc>
      </w:tr>
    </w:tbl>
    <w:p>
      <w:pPr>
        <w:pStyle w:val="729"/>
        <w:spacing w:before="120" w:beforeLines="50" w:line="360" w:lineRule="auto"/>
        <w:ind w:firstLine="0" w:firstLineChars="0"/>
        <w:rPr>
          <w:b/>
        </w:rPr>
      </w:pPr>
      <w:r>
        <w:rPr>
          <w:rFonts w:hint="eastAsia"/>
          <w:b/>
        </w:rPr>
        <w:t>5.9.5.2可能造成的水土流失量</w:t>
      </w:r>
    </w:p>
    <w:p>
      <w:pPr>
        <w:autoSpaceDE w:val="0"/>
        <w:autoSpaceDN w:val="0"/>
        <w:adjustRightInd w:val="0"/>
        <w:ind w:firstLine="472"/>
        <w:rPr>
          <w:spacing w:val="-2"/>
          <w:kern w:val="0"/>
        </w:rPr>
      </w:pPr>
      <w:r>
        <w:rPr>
          <w:rFonts w:hAnsi="宋体"/>
          <w:spacing w:val="-2"/>
          <w:kern w:val="0"/>
        </w:rPr>
        <w:t>工程建设将扰动原地貌，根据本工程区域的地形、地貌、降雨、土壤等水土流失影响因素及预测对象受扰动情况，并参照与本工程类比已建工程以及已确定的扰动后土壤侵蚀模数，经统计，工程共造成的水土流失总量为</w:t>
      </w:r>
      <w:r>
        <w:rPr>
          <w:spacing w:val="-2"/>
          <w:kern w:val="0"/>
        </w:rPr>
        <w:t>2368t</w:t>
      </w:r>
      <w:r>
        <w:rPr>
          <w:rFonts w:hAnsi="宋体"/>
          <w:spacing w:val="-2"/>
          <w:kern w:val="0"/>
        </w:rPr>
        <w:t>，其中背景水土流失量</w:t>
      </w:r>
      <w:r>
        <w:rPr>
          <w:spacing w:val="-2"/>
          <w:kern w:val="0"/>
        </w:rPr>
        <w:t>193t</w:t>
      </w:r>
      <w:r>
        <w:rPr>
          <w:rFonts w:hAnsi="宋体"/>
          <w:spacing w:val="-2"/>
          <w:kern w:val="0"/>
        </w:rPr>
        <w:t>，新增水土流失量</w:t>
      </w:r>
      <w:r>
        <w:rPr>
          <w:spacing w:val="-2"/>
          <w:kern w:val="0"/>
        </w:rPr>
        <w:t>2175t</w:t>
      </w:r>
      <w:r>
        <w:rPr>
          <w:rFonts w:hAnsi="宋体"/>
          <w:spacing w:val="-2"/>
          <w:kern w:val="0"/>
        </w:rPr>
        <w:t>。其中项目建设期内水土流失量为</w:t>
      </w:r>
      <w:r>
        <w:rPr>
          <w:spacing w:val="-2"/>
          <w:kern w:val="0"/>
        </w:rPr>
        <w:t>2242t</w:t>
      </w:r>
      <w:r>
        <w:rPr>
          <w:rFonts w:hAnsi="宋体"/>
          <w:spacing w:val="-2"/>
          <w:kern w:val="0"/>
        </w:rPr>
        <w:t>，占水土流失总量的</w:t>
      </w:r>
      <w:r>
        <w:rPr>
          <w:spacing w:val="-2"/>
          <w:kern w:val="0"/>
        </w:rPr>
        <w:t>94.67</w:t>
      </w:r>
      <w:r>
        <w:rPr>
          <w:rFonts w:hAnsi="宋体"/>
          <w:spacing w:val="-2"/>
          <w:kern w:val="0"/>
        </w:rPr>
        <w:t>％，因此施工期是产生水土流失的主要时段；主体工程区、弃渣场区新增水土流失量为</w:t>
      </w:r>
      <w:r>
        <w:rPr>
          <w:spacing w:val="-2"/>
          <w:kern w:val="0"/>
        </w:rPr>
        <w:t>1690t</w:t>
      </w:r>
      <w:r>
        <w:rPr>
          <w:rFonts w:hAnsi="宋体"/>
          <w:spacing w:val="-2"/>
          <w:kern w:val="0"/>
        </w:rPr>
        <w:t>，占新增水土流失量的</w:t>
      </w:r>
      <w:r>
        <w:rPr>
          <w:spacing w:val="-2"/>
          <w:kern w:val="0"/>
        </w:rPr>
        <w:t>77.70%</w:t>
      </w:r>
      <w:r>
        <w:rPr>
          <w:rFonts w:hAnsi="宋体"/>
          <w:spacing w:val="-2"/>
          <w:kern w:val="0"/>
        </w:rPr>
        <w:t>。</w:t>
      </w:r>
    </w:p>
    <w:p>
      <w:pPr>
        <w:pStyle w:val="729"/>
        <w:spacing w:before="120" w:beforeLines="50" w:line="360" w:lineRule="auto"/>
        <w:ind w:firstLine="0" w:firstLineChars="0"/>
        <w:rPr>
          <w:b/>
        </w:rPr>
      </w:pPr>
      <w:r>
        <w:rPr>
          <w:b/>
        </w:rPr>
        <w:t>5.9.</w:t>
      </w:r>
      <w:r>
        <w:rPr>
          <w:rFonts w:hint="eastAsia"/>
          <w:b/>
        </w:rPr>
        <w:t>5.</w:t>
      </w:r>
      <w:r>
        <w:rPr>
          <w:b/>
        </w:rPr>
        <w:t xml:space="preserve">3 </w:t>
      </w:r>
      <w:r>
        <w:rPr>
          <w:rFonts w:hint="eastAsia"/>
          <w:b/>
        </w:rPr>
        <w:t>水土流失影响</w:t>
      </w:r>
    </w:p>
    <w:p>
      <w:pPr>
        <w:autoSpaceDE w:val="0"/>
        <w:autoSpaceDN w:val="0"/>
        <w:adjustRightInd w:val="0"/>
        <w:ind w:firstLine="480"/>
        <w:rPr>
          <w:rFonts w:ascii="宋体" w:cs="宋体"/>
          <w:kern w:val="0"/>
          <w:szCs w:val="24"/>
        </w:rPr>
      </w:pPr>
      <w:r>
        <w:rPr>
          <w:rFonts w:hint="eastAsia" w:ascii="宋体" w:cs="宋体"/>
          <w:kern w:val="0"/>
          <w:szCs w:val="24"/>
        </w:rPr>
        <w:t>工程新增水土流失原因主要是工程建设过程中，地表开挖扰动、弃渣等在外营力作用下发生加速侵蚀，新增水土流失量集中产生于项目建设区。水土流失危害主要表现在以下几个方面：</w:t>
      </w:r>
    </w:p>
    <w:p>
      <w:pPr>
        <w:autoSpaceDE w:val="0"/>
        <w:autoSpaceDN w:val="0"/>
        <w:adjustRightInd w:val="0"/>
        <w:ind w:firstLine="480"/>
        <w:rPr>
          <w:rFonts w:ascii="宋体" w:cs="宋体"/>
          <w:kern w:val="0"/>
          <w:szCs w:val="24"/>
        </w:rPr>
      </w:pPr>
      <w:r>
        <w:rPr>
          <w:rFonts w:hint="eastAsia" w:ascii="宋体" w:cs="宋体"/>
          <w:kern w:val="0"/>
          <w:szCs w:val="24"/>
        </w:rPr>
        <w:t>(1)工程枢纽区</w:t>
      </w:r>
    </w:p>
    <w:p>
      <w:pPr>
        <w:autoSpaceDE w:val="0"/>
        <w:autoSpaceDN w:val="0"/>
        <w:adjustRightInd w:val="0"/>
        <w:ind w:firstLine="480"/>
        <w:rPr>
          <w:rFonts w:ascii="宋体" w:cs="宋体"/>
          <w:kern w:val="0"/>
          <w:szCs w:val="24"/>
        </w:rPr>
      </w:pPr>
      <w:r>
        <w:rPr>
          <w:rFonts w:hint="eastAsia" w:ascii="宋体" w:cs="宋体"/>
          <w:kern w:val="0"/>
          <w:szCs w:val="24"/>
        </w:rPr>
        <w:t>水源枢纽区建设对坝肩及河床进行开挖，产生大量弃渣，如果不进行处理，将会淤塞河道，甚至影响到行洪造成洪涝灾害，另外施工建设将破坏原有植被，导致严重的土壤流失，使得短期内植被恢复困难，将对生态环境造成一定的影响。</w:t>
      </w:r>
    </w:p>
    <w:p>
      <w:pPr>
        <w:autoSpaceDE w:val="0"/>
        <w:autoSpaceDN w:val="0"/>
        <w:adjustRightInd w:val="0"/>
        <w:ind w:firstLine="480"/>
        <w:rPr>
          <w:rFonts w:ascii="宋体" w:cs="宋体"/>
          <w:kern w:val="0"/>
          <w:szCs w:val="24"/>
        </w:rPr>
      </w:pPr>
      <w:r>
        <w:rPr>
          <w:rFonts w:hint="eastAsia" w:ascii="宋体" w:cs="宋体"/>
          <w:kern w:val="0"/>
          <w:szCs w:val="24"/>
        </w:rPr>
        <w:t>(2)施工场地</w:t>
      </w:r>
    </w:p>
    <w:p>
      <w:pPr>
        <w:autoSpaceDE w:val="0"/>
        <w:autoSpaceDN w:val="0"/>
        <w:adjustRightInd w:val="0"/>
        <w:ind w:firstLine="480"/>
        <w:rPr>
          <w:rFonts w:ascii="宋体" w:cs="宋体"/>
          <w:kern w:val="0"/>
          <w:szCs w:val="24"/>
        </w:rPr>
      </w:pPr>
      <w:r>
        <w:rPr>
          <w:rFonts w:hint="eastAsia" w:ascii="宋体" w:cs="宋体"/>
          <w:kern w:val="0"/>
          <w:szCs w:val="24"/>
        </w:rPr>
        <w:t>施工生产生活区在其场平的阶段将使原地表遭受较大的破坏，从而丧失土地原有的水土保持功能，在施工期间如果不做好临时防护，将会造成严重的水土流失，同时建设施工生产生活区开挖的土石弃渣和表土资源，如不进行合理的堆放，将会造成土壤资源大量流失。</w:t>
      </w:r>
    </w:p>
    <w:p>
      <w:pPr>
        <w:autoSpaceDE w:val="0"/>
        <w:autoSpaceDN w:val="0"/>
        <w:adjustRightInd w:val="0"/>
        <w:ind w:firstLine="480"/>
        <w:rPr>
          <w:rFonts w:ascii="宋体" w:cs="宋体"/>
          <w:kern w:val="0"/>
          <w:szCs w:val="24"/>
        </w:rPr>
      </w:pPr>
      <w:r>
        <w:rPr>
          <w:rFonts w:hint="eastAsia" w:ascii="宋体" w:cs="宋体"/>
          <w:kern w:val="0"/>
          <w:szCs w:val="24"/>
        </w:rPr>
        <w:t>(3)道路工程区</w:t>
      </w:r>
    </w:p>
    <w:p>
      <w:pPr>
        <w:autoSpaceDE w:val="0"/>
        <w:autoSpaceDN w:val="0"/>
        <w:adjustRightInd w:val="0"/>
        <w:ind w:firstLine="480"/>
        <w:rPr>
          <w:rFonts w:ascii="宋体" w:cs="宋体"/>
          <w:kern w:val="0"/>
          <w:szCs w:val="24"/>
        </w:rPr>
      </w:pPr>
      <w:r>
        <w:rPr>
          <w:rFonts w:hint="eastAsia" w:ascii="宋体" w:cs="宋体"/>
          <w:kern w:val="0"/>
          <w:szCs w:val="24"/>
        </w:rPr>
        <w:t>道路施工时路基的开挖形成的人工边坡，在未进行坡面防护之前，边坡易产生坡面土壤侵蚀，其产生的土壤侵蚀强度较高，水土流失量较大。开挖产生的边坡若未采取有效的拦挡防护措施，容易发生滑坡，造成弃渣堵塞道路，影响道路运输安全。</w:t>
      </w:r>
    </w:p>
    <w:p>
      <w:pPr>
        <w:autoSpaceDE w:val="0"/>
        <w:autoSpaceDN w:val="0"/>
        <w:adjustRightInd w:val="0"/>
        <w:ind w:firstLine="480"/>
        <w:rPr>
          <w:rFonts w:ascii="宋体" w:cs="宋体"/>
          <w:kern w:val="0"/>
          <w:szCs w:val="24"/>
        </w:rPr>
      </w:pPr>
      <w:r>
        <w:rPr>
          <w:rFonts w:hint="eastAsia" w:ascii="宋体" w:cs="宋体"/>
          <w:kern w:val="0"/>
          <w:szCs w:val="24"/>
        </w:rPr>
        <w:t>(4)料场区</w:t>
      </w:r>
    </w:p>
    <w:p>
      <w:pPr>
        <w:autoSpaceDE w:val="0"/>
        <w:autoSpaceDN w:val="0"/>
        <w:adjustRightInd w:val="0"/>
        <w:ind w:firstLine="480"/>
        <w:rPr>
          <w:rFonts w:ascii="宋体" w:cs="宋体"/>
          <w:kern w:val="0"/>
          <w:szCs w:val="24"/>
        </w:rPr>
      </w:pPr>
      <w:r>
        <w:rPr>
          <w:rFonts w:hint="eastAsia" w:ascii="宋体" w:cs="宋体"/>
          <w:kern w:val="0"/>
          <w:szCs w:val="24"/>
        </w:rPr>
        <w:t>料场开采将破坏地表植被，对土地资源及生产力造成影响，如果不做好水土保持工作，势必会加剧水土流失，造成不可恢复的水土流失危害。</w:t>
      </w:r>
    </w:p>
    <w:p>
      <w:pPr>
        <w:autoSpaceDE w:val="0"/>
        <w:autoSpaceDN w:val="0"/>
        <w:adjustRightInd w:val="0"/>
        <w:ind w:firstLine="480"/>
        <w:rPr>
          <w:rFonts w:ascii="宋体" w:cs="宋体"/>
          <w:kern w:val="0"/>
          <w:szCs w:val="24"/>
        </w:rPr>
      </w:pPr>
      <w:r>
        <w:rPr>
          <w:rFonts w:hint="eastAsia" w:ascii="宋体" w:cs="宋体"/>
          <w:kern w:val="0"/>
          <w:szCs w:val="24"/>
        </w:rPr>
        <w:t>(6)渣场区</w:t>
      </w:r>
    </w:p>
    <w:p>
      <w:pPr>
        <w:autoSpaceDE w:val="0"/>
        <w:autoSpaceDN w:val="0"/>
        <w:adjustRightInd w:val="0"/>
        <w:ind w:firstLine="480"/>
        <w:rPr>
          <w:rFonts w:ascii="宋体" w:cs="宋体"/>
          <w:kern w:val="0"/>
          <w:szCs w:val="24"/>
        </w:rPr>
      </w:pPr>
      <w:r>
        <w:rPr>
          <w:rFonts w:hint="eastAsia" w:ascii="宋体" w:cs="宋体"/>
          <w:kern w:val="0"/>
          <w:szCs w:val="24"/>
        </w:rPr>
        <w:t>本工程渣场如果不进行有效地拦挡措施和排水措施，遇到大雨天气将使堆放的弃渣被山洪冲向下游，从而影响下游河道的排洪能力和当地居民的财产安全，同时在弃渣堆放如不进行相应的防治措施将会造成堆放的渣体扩散，从而造成严重的水土流失，影响下游耕地的质量，还可能淤积下游河道，阻碍行洪。</w:t>
      </w:r>
    </w:p>
    <w:bookmarkEnd w:id="912"/>
    <w:bookmarkEnd w:id="913"/>
    <w:bookmarkEnd w:id="914"/>
    <w:bookmarkEnd w:id="915"/>
    <w:bookmarkEnd w:id="916"/>
    <w:bookmarkEnd w:id="917"/>
    <w:p>
      <w:pPr>
        <w:pStyle w:val="6"/>
        <w:spacing w:beforeLines="50" w:afterLines="50"/>
        <w:rPr>
          <w:szCs w:val="28"/>
        </w:rPr>
      </w:pPr>
      <w:bookmarkStart w:id="923" w:name="_Toc534807089"/>
      <w:bookmarkStart w:id="924" w:name="_Toc534895306"/>
      <w:bookmarkStart w:id="925" w:name="_Toc529279086"/>
      <w:bookmarkStart w:id="926" w:name="_Toc334643188"/>
      <w:bookmarkStart w:id="927" w:name="_Toc281507066"/>
      <w:bookmarkStart w:id="928" w:name="_Toc3903315"/>
      <w:bookmarkStart w:id="929" w:name="_Toc534386330"/>
      <w:bookmarkStart w:id="930" w:name="_Toc4562"/>
      <w:bookmarkStart w:id="931" w:name="_Toc536265178"/>
      <w:r>
        <w:rPr>
          <w:szCs w:val="28"/>
        </w:rPr>
        <w:t>5.</w:t>
      </w:r>
      <w:r>
        <w:rPr>
          <w:rFonts w:hint="eastAsia"/>
          <w:szCs w:val="28"/>
        </w:rPr>
        <w:t>10</w:t>
      </w:r>
      <w:r>
        <w:rPr>
          <w:szCs w:val="28"/>
        </w:rPr>
        <w:t>环境地质影响分析</w:t>
      </w:r>
      <w:bookmarkEnd w:id="923"/>
      <w:bookmarkEnd w:id="924"/>
      <w:bookmarkEnd w:id="925"/>
      <w:bookmarkEnd w:id="926"/>
      <w:bookmarkEnd w:id="927"/>
      <w:bookmarkEnd w:id="928"/>
      <w:bookmarkEnd w:id="929"/>
      <w:bookmarkEnd w:id="930"/>
      <w:bookmarkEnd w:id="931"/>
    </w:p>
    <w:p>
      <w:pPr>
        <w:pStyle w:val="835"/>
        <w:spacing w:before="0" w:line="360" w:lineRule="auto"/>
      </w:pPr>
      <w:bookmarkStart w:id="932" w:name="_Toc281507067"/>
      <w:bookmarkStart w:id="933" w:name="_Toc529279087"/>
      <w:bookmarkStart w:id="934" w:name="_Toc534386331"/>
      <w:bookmarkStart w:id="935" w:name="_Toc534895307"/>
      <w:bookmarkStart w:id="936" w:name="_Toc536265179"/>
      <w:bookmarkStart w:id="937" w:name="_Toc3903316"/>
      <w:bookmarkStart w:id="938" w:name="_Toc534807090"/>
      <w:r>
        <w:t>5.</w:t>
      </w:r>
      <w:r>
        <w:rPr>
          <w:rFonts w:hint="eastAsia"/>
        </w:rPr>
        <w:t>10</w:t>
      </w:r>
      <w:r>
        <w:t>.1</w:t>
      </w:r>
      <w:bookmarkEnd w:id="932"/>
      <w:bookmarkEnd w:id="933"/>
      <w:bookmarkEnd w:id="934"/>
      <w:r>
        <w:t>水库渗漏</w:t>
      </w:r>
      <w:bookmarkEnd w:id="935"/>
      <w:bookmarkEnd w:id="936"/>
      <w:bookmarkEnd w:id="937"/>
      <w:bookmarkEnd w:id="938"/>
    </w:p>
    <w:p>
      <w:pPr>
        <w:ind w:firstLine="480"/>
        <w:rPr>
          <w:kern w:val="0"/>
          <w:szCs w:val="24"/>
        </w:rPr>
      </w:pPr>
      <w:r>
        <w:rPr>
          <w:rFonts w:hint="eastAsia"/>
          <w:kern w:val="0"/>
          <w:szCs w:val="24"/>
        </w:rPr>
        <w:t>上高</w:t>
      </w:r>
      <w:r>
        <w:rPr>
          <w:kern w:val="0"/>
          <w:szCs w:val="24"/>
        </w:rPr>
        <w:t>县</w:t>
      </w:r>
      <w:r>
        <w:rPr>
          <w:rFonts w:hint="eastAsia"/>
          <w:kern w:val="0"/>
          <w:szCs w:val="24"/>
        </w:rPr>
        <w:t>毛家渡</w:t>
      </w:r>
      <w:r>
        <w:rPr>
          <w:kern w:val="0"/>
          <w:szCs w:val="24"/>
        </w:rPr>
        <w:t>抬水坝至</w:t>
      </w:r>
      <w:r>
        <w:rPr>
          <w:rFonts w:hint="eastAsia"/>
          <w:kern w:val="0"/>
          <w:szCs w:val="24"/>
        </w:rPr>
        <w:t>上高县城区锦河</w:t>
      </w:r>
      <w:r>
        <w:rPr>
          <w:kern w:val="0"/>
          <w:szCs w:val="24"/>
        </w:rPr>
        <w:t>河段，两岸主要由砂泥岩、泥质灰岩夹砂泥岩组成的侵蚀、剥蚀低山地貌</w:t>
      </w:r>
      <w:r>
        <w:rPr>
          <w:rFonts w:hint="eastAsia"/>
          <w:kern w:val="0"/>
          <w:szCs w:val="24"/>
        </w:rPr>
        <w:t>，锦河</w:t>
      </w:r>
      <w:r>
        <w:rPr>
          <w:kern w:val="0"/>
          <w:szCs w:val="24"/>
        </w:rPr>
        <w:t>为区内地表水及地下水排泄基准面，河谷内零星发育一级阶地，建坝河段河床高程在</w:t>
      </w:r>
      <w:r>
        <w:rPr>
          <w:rFonts w:hint="eastAsia"/>
        </w:rPr>
        <w:t>38.84</w:t>
      </w:r>
      <w:r>
        <w:t>m</w:t>
      </w:r>
      <w:r>
        <w:rPr>
          <w:rFonts w:hint="eastAsia"/>
          <w:kern w:val="0"/>
          <w:szCs w:val="24"/>
        </w:rPr>
        <w:t>左右</w:t>
      </w:r>
      <w:r>
        <w:rPr>
          <w:kern w:val="0"/>
          <w:szCs w:val="24"/>
        </w:rPr>
        <w:t>，正常蓄水位为</w:t>
      </w:r>
      <w:r>
        <w:rPr>
          <w:rFonts w:hint="eastAsia"/>
          <w:kern w:val="0"/>
          <w:szCs w:val="24"/>
        </w:rPr>
        <w:t>44.5</w:t>
      </w:r>
      <w:r>
        <w:rPr>
          <w:kern w:val="0"/>
          <w:szCs w:val="24"/>
        </w:rPr>
        <w:t>m。</w:t>
      </w:r>
      <w:r>
        <w:rPr>
          <w:rFonts w:hint="eastAsia"/>
          <w:kern w:val="0"/>
          <w:szCs w:val="24"/>
        </w:rPr>
        <w:t>锦河</w:t>
      </w:r>
      <w:r>
        <w:rPr>
          <w:kern w:val="0"/>
          <w:szCs w:val="24"/>
        </w:rPr>
        <w:t>为本区最低排泄基准面，因此库区不存在渗漏问题。库首段两岸地下水位埋深较大，其高程均低于正常蓄水位。两岸局部岩体透水率较大，存在沿强、弱风化带向下游发生裂隙性及溶隙性绕坝渗漏问题，但通过适当的防渗处理可满足成库要求，总体而言本项目成库条件较好，具备成库条件。</w:t>
      </w:r>
    </w:p>
    <w:p>
      <w:pPr>
        <w:pStyle w:val="835"/>
        <w:spacing w:before="0" w:line="360" w:lineRule="auto"/>
      </w:pPr>
      <w:bookmarkStart w:id="939" w:name="_Toc534807091"/>
      <w:bookmarkStart w:id="940" w:name="_Toc529279088"/>
      <w:bookmarkStart w:id="941" w:name="_Toc536265180"/>
      <w:bookmarkStart w:id="942" w:name="_Toc534895308"/>
      <w:bookmarkStart w:id="943" w:name="_Toc281507068"/>
      <w:bookmarkStart w:id="944" w:name="_Toc3903317"/>
      <w:bookmarkStart w:id="945" w:name="_Toc234833991"/>
      <w:bookmarkStart w:id="946" w:name="_Toc534386332"/>
      <w:r>
        <w:t>5.</w:t>
      </w:r>
      <w:r>
        <w:rPr>
          <w:rFonts w:hint="eastAsia"/>
        </w:rPr>
        <w:t>10</w:t>
      </w:r>
      <w:r>
        <w:t>.2库岸稳定分析</w:t>
      </w:r>
      <w:bookmarkEnd w:id="939"/>
      <w:bookmarkEnd w:id="940"/>
      <w:bookmarkEnd w:id="941"/>
      <w:bookmarkEnd w:id="942"/>
      <w:bookmarkEnd w:id="943"/>
      <w:bookmarkEnd w:id="944"/>
      <w:bookmarkEnd w:id="945"/>
      <w:bookmarkEnd w:id="946"/>
    </w:p>
    <w:p>
      <w:pPr>
        <w:ind w:firstLine="480"/>
      </w:pPr>
      <w:bookmarkStart w:id="947" w:name="_Toc536265181"/>
      <w:bookmarkStart w:id="948" w:name="_Toc3903318"/>
      <w:bookmarkStart w:id="949" w:name="_Toc534386333"/>
      <w:bookmarkStart w:id="950" w:name="_Toc534895309"/>
      <w:bookmarkStart w:id="951" w:name="_Toc529279089"/>
      <w:bookmarkStart w:id="952" w:name="_Toc534807092"/>
      <w:r>
        <w:rPr>
          <w:rFonts w:hint="eastAsia"/>
        </w:rPr>
        <w:t>在规划新建先锋大桥位置与下坝址之间</w:t>
      </w:r>
      <w:r>
        <w:t>0.4</w:t>
      </w:r>
      <w:r>
        <w:rPr>
          <w:rFonts w:hint="eastAsia"/>
        </w:rPr>
        <w:t>km，新建抬水工程后，经过水文分析计算，2</w:t>
      </w:r>
      <w:r>
        <w:t>0</w:t>
      </w:r>
      <w:r>
        <w:rPr>
          <w:rFonts w:hint="eastAsia"/>
        </w:rPr>
        <w:t>年一遇比现状水位最大抬高0</w:t>
      </w:r>
      <w:r>
        <w:t>.18</w:t>
      </w:r>
      <w:r>
        <w:rPr>
          <w:rFonts w:hint="eastAsia"/>
        </w:rPr>
        <w:t>m，1</w:t>
      </w:r>
      <w:r>
        <w:t>0</w:t>
      </w:r>
      <w:r>
        <w:rPr>
          <w:rFonts w:hint="eastAsia"/>
        </w:rPr>
        <w:t>年一遇比现状水位最大抬高0</w:t>
      </w:r>
      <w:r>
        <w:t>.20</w:t>
      </w:r>
      <w:r>
        <w:rPr>
          <w:rFonts w:hint="eastAsia"/>
        </w:rPr>
        <w:t>m。</w:t>
      </w:r>
    </w:p>
    <w:p>
      <w:pPr>
        <w:ind w:firstLine="480"/>
      </w:pPr>
      <w:r>
        <w:rPr>
          <w:rFonts w:hint="eastAsia"/>
        </w:rPr>
        <w:t>拟建下坝址左岸为上高县城防洪工程，设计洪水标准为2</w:t>
      </w:r>
      <w:r>
        <w:t>0</w:t>
      </w:r>
      <w:r>
        <w:rPr>
          <w:rFonts w:hint="eastAsia"/>
        </w:rPr>
        <w:t>年一遇，现状岸坡防洪高程远高设计洪水位，工程措施为岸坡防护，新建抬水工程，只需岸坡的护岸顶高程进行相应的调整，不会造成其他不利影响。</w:t>
      </w:r>
    </w:p>
    <w:p>
      <w:pPr>
        <w:ind w:firstLine="480"/>
        <w:rPr>
          <w:spacing w:val="-2"/>
        </w:rPr>
      </w:pPr>
      <w:r>
        <w:rPr>
          <w:rFonts w:hint="eastAsia"/>
        </w:rPr>
        <w:t>右岸为已完工光明堤（Ⅴ级堤防）项目，工程措施为新建均质土堤，设计洪水标准为1</w:t>
      </w:r>
      <w:r>
        <w:t>0</w:t>
      </w:r>
      <w:r>
        <w:rPr>
          <w:rFonts w:hint="eastAsia"/>
        </w:rPr>
        <w:t>年一遇，堤防超过为</w:t>
      </w:r>
      <w:r>
        <w:t>1.0</w:t>
      </w:r>
      <w:r>
        <w:rPr>
          <w:rFonts w:hint="eastAsia"/>
        </w:rPr>
        <w:t>m。根据上高县统一规划，光明堤堤顶在毛家渡抬水工程新建后要增设砼路，考虑到新建抬水工程较现状最大抬高水位为0</w:t>
      </w:r>
      <w:r>
        <w:t>.2</w:t>
      </w:r>
      <w:r>
        <w:rPr>
          <w:rFonts w:hint="eastAsia"/>
        </w:rPr>
        <w:t>m，砼路面厚度最小0</w:t>
      </w:r>
      <w:r>
        <w:t>.2</w:t>
      </w:r>
      <w:r>
        <w:rPr>
          <w:rFonts w:hint="eastAsia"/>
        </w:rPr>
        <w:t>m，从而光明堤的超过是有保障的，故新建抬水工程后不会对光明堤造成不利影响</w:t>
      </w:r>
      <w:r>
        <w:rPr>
          <w:rFonts w:hint="eastAsia"/>
          <w:spacing w:val="-2"/>
        </w:rPr>
        <w:t>。</w:t>
      </w:r>
    </w:p>
    <w:p>
      <w:pPr>
        <w:ind w:firstLine="480"/>
      </w:pPr>
      <w:r>
        <w:rPr>
          <w:rFonts w:hint="eastAsia"/>
        </w:rPr>
        <w:t>综上，在拟建上坝址新建抬水工程不会对两岸防洪设施的造成不利影响。在拟建下坝址新建抬水工程，仅需调整拟建下坝址左岸上游约</w:t>
      </w:r>
      <w:r>
        <w:t>0.4</w:t>
      </w:r>
      <w:r>
        <w:rPr>
          <w:rFonts w:hint="eastAsia"/>
        </w:rPr>
        <w:t>km的护岸高程，不会造成其他不利影响。</w:t>
      </w:r>
    </w:p>
    <w:p>
      <w:pPr>
        <w:pStyle w:val="835"/>
        <w:spacing w:before="0" w:line="360" w:lineRule="auto"/>
      </w:pPr>
      <w:r>
        <w:t>5.</w:t>
      </w:r>
      <w:r>
        <w:rPr>
          <w:rFonts w:hint="eastAsia"/>
        </w:rPr>
        <w:t>10</w:t>
      </w:r>
      <w:r>
        <w:t>.3水库诱发地震分析</w:t>
      </w:r>
      <w:bookmarkEnd w:id="947"/>
      <w:bookmarkEnd w:id="948"/>
      <w:bookmarkEnd w:id="949"/>
      <w:bookmarkEnd w:id="950"/>
      <w:bookmarkEnd w:id="951"/>
      <w:bookmarkEnd w:id="952"/>
    </w:p>
    <w:p>
      <w:pPr>
        <w:ind w:firstLine="480"/>
        <w:rPr>
          <w:kern w:val="0"/>
          <w:szCs w:val="24"/>
        </w:rPr>
      </w:pPr>
      <w:r>
        <w:rPr>
          <w:kern w:val="0"/>
          <w:szCs w:val="24"/>
        </w:rPr>
        <w:t>库区内无深大断裂及缓倾角断裂发育和通过，不存在区域性大断层及构造交接复合部位淹没问题，工程区地震基本烈度为</w:t>
      </w:r>
      <w:r>
        <w:rPr>
          <w:rFonts w:hint="eastAsia" w:ascii="宋体" w:hAnsi="宋体" w:cs="宋体"/>
          <w:kern w:val="0"/>
          <w:szCs w:val="24"/>
        </w:rPr>
        <w:t>Ⅵ</w:t>
      </w:r>
      <w:r>
        <w:rPr>
          <w:kern w:val="0"/>
          <w:szCs w:val="24"/>
        </w:rPr>
        <w:t>度，地震强度及频度较低，为弱震区，区域构造稳定性好。坝址正常蓄水位</w:t>
      </w:r>
      <w:r>
        <w:rPr>
          <w:rFonts w:hint="eastAsia"/>
          <w:kern w:val="0"/>
          <w:szCs w:val="24"/>
        </w:rPr>
        <w:t>44.5</w:t>
      </w:r>
      <w:r>
        <w:rPr>
          <w:kern w:val="0"/>
          <w:szCs w:val="24"/>
        </w:rPr>
        <w:t>m，坝址河床高程</w:t>
      </w:r>
      <w:r>
        <w:rPr>
          <w:rFonts w:hint="eastAsia"/>
          <w:kern w:val="0"/>
          <w:szCs w:val="24"/>
        </w:rPr>
        <w:t>39.0</w:t>
      </w:r>
      <w:r>
        <w:rPr>
          <w:kern w:val="0"/>
          <w:szCs w:val="24"/>
        </w:rPr>
        <w:t>m，坝前最大抬高水头</w:t>
      </w:r>
      <w:r>
        <w:rPr>
          <w:rFonts w:hint="eastAsia"/>
          <w:kern w:val="0"/>
          <w:szCs w:val="24"/>
        </w:rPr>
        <w:t>5.5</w:t>
      </w:r>
      <w:r>
        <w:rPr>
          <w:kern w:val="0"/>
          <w:szCs w:val="24"/>
        </w:rPr>
        <w:t>m；且库区主要为中厚层灰岩及砂泥岩，弱风化岩体透水率较小，库水往两岸及断层带入渗深度有限，因此建库蓄水后水库诱发构造型地震的可能性小。</w:t>
      </w:r>
    </w:p>
    <w:p>
      <w:pPr>
        <w:pStyle w:val="835"/>
        <w:spacing w:before="0" w:line="360" w:lineRule="auto"/>
      </w:pPr>
      <w:bookmarkStart w:id="953" w:name="_Toc529279090"/>
      <w:bookmarkStart w:id="954" w:name="_Toc3903319"/>
      <w:bookmarkStart w:id="955" w:name="_Toc534807093"/>
      <w:bookmarkStart w:id="956" w:name="_Toc534386334"/>
      <w:bookmarkStart w:id="957" w:name="_Toc234833993"/>
      <w:bookmarkStart w:id="958" w:name="_Toc536265182"/>
      <w:bookmarkStart w:id="959" w:name="_Toc281507070"/>
      <w:bookmarkStart w:id="960" w:name="_Toc534895310"/>
      <w:r>
        <w:t>5.</w:t>
      </w:r>
      <w:r>
        <w:rPr>
          <w:rFonts w:hint="eastAsia"/>
        </w:rPr>
        <w:t>10</w:t>
      </w:r>
      <w:r>
        <w:t>.4水库浸没及淤积分析</w:t>
      </w:r>
      <w:bookmarkEnd w:id="953"/>
      <w:bookmarkEnd w:id="954"/>
      <w:bookmarkEnd w:id="955"/>
      <w:bookmarkEnd w:id="956"/>
      <w:bookmarkEnd w:id="957"/>
      <w:bookmarkEnd w:id="958"/>
      <w:bookmarkEnd w:id="959"/>
      <w:bookmarkEnd w:id="960"/>
    </w:p>
    <w:p>
      <w:pPr>
        <w:ind w:firstLine="480"/>
        <w:rPr>
          <w:kern w:val="0"/>
          <w:szCs w:val="24"/>
        </w:rPr>
      </w:pPr>
      <w:r>
        <w:rPr>
          <w:rFonts w:hint="eastAsia" w:ascii="宋体" w:hAnsi="宋体" w:cs="宋体"/>
          <w:kern w:val="0"/>
          <w:szCs w:val="24"/>
        </w:rPr>
        <w:t>⑴</w:t>
      </w:r>
      <w:r>
        <w:rPr>
          <w:kern w:val="0"/>
          <w:szCs w:val="24"/>
        </w:rPr>
        <w:t>水库浸没</w:t>
      </w:r>
    </w:p>
    <w:p>
      <w:pPr>
        <w:ind w:firstLine="480"/>
        <w:rPr>
          <w:kern w:val="0"/>
          <w:szCs w:val="24"/>
        </w:rPr>
      </w:pPr>
      <w:r>
        <w:rPr>
          <w:kern w:val="0"/>
          <w:szCs w:val="24"/>
        </w:rPr>
        <w:t>水库正常蓄水位为</w:t>
      </w:r>
      <w:r>
        <w:rPr>
          <w:rFonts w:hint="eastAsia"/>
          <w:kern w:val="0"/>
          <w:szCs w:val="24"/>
        </w:rPr>
        <w:t>44.5</w:t>
      </w:r>
      <w:r>
        <w:rPr>
          <w:kern w:val="0"/>
          <w:szCs w:val="24"/>
        </w:rPr>
        <w:t>m，库内无矿产、文物、古迹及国家重点保护动植物，库尾洄水附近，河谷较宽，河堤外为耕地和园地，种植稻谷、萝卜、油菜等农作物，水库蓄水后，</w:t>
      </w:r>
      <w:r>
        <w:rPr>
          <w:rFonts w:hint="eastAsia"/>
          <w:kern w:val="0"/>
          <w:szCs w:val="24"/>
        </w:rPr>
        <w:t>44.5</w:t>
      </w:r>
      <w:r>
        <w:rPr>
          <w:kern w:val="0"/>
          <w:szCs w:val="24"/>
        </w:rPr>
        <w:t>m以下将被淹没，不存在矿产、文物、古迹及国家重点保护动植物的淹没问题。</w:t>
      </w:r>
    </w:p>
    <w:p>
      <w:pPr>
        <w:ind w:firstLine="480"/>
        <w:rPr>
          <w:kern w:val="0"/>
          <w:szCs w:val="24"/>
        </w:rPr>
      </w:pPr>
      <w:r>
        <w:rPr>
          <w:rFonts w:hint="eastAsia" w:ascii="宋体" w:hAnsi="宋体" w:cs="宋体"/>
          <w:kern w:val="0"/>
          <w:szCs w:val="24"/>
        </w:rPr>
        <w:t>⑵</w:t>
      </w:r>
      <w:r>
        <w:rPr>
          <w:kern w:val="0"/>
          <w:szCs w:val="24"/>
        </w:rPr>
        <w:t>水库淤积</w:t>
      </w:r>
    </w:p>
    <w:p>
      <w:pPr>
        <w:ind w:firstLine="480"/>
        <w:rPr>
          <w:kern w:val="0"/>
          <w:szCs w:val="24"/>
        </w:rPr>
        <w:sectPr>
          <w:headerReference r:id="rId17" w:type="default"/>
          <w:pgSz w:w="11906" w:h="16838"/>
          <w:pgMar w:top="1814" w:right="1134" w:bottom="1701" w:left="1418" w:header="1134" w:footer="992" w:gutter="0"/>
          <w:cols w:space="720" w:num="1"/>
          <w:docGrid w:linePitch="326" w:charSpace="0"/>
        </w:sectPr>
      </w:pPr>
      <w:r>
        <w:rPr>
          <w:rFonts w:hint="eastAsia"/>
          <w:kern w:val="0"/>
          <w:szCs w:val="24"/>
        </w:rPr>
        <w:t>锦河</w:t>
      </w:r>
      <w:r>
        <w:rPr>
          <w:kern w:val="0"/>
          <w:szCs w:val="24"/>
        </w:rPr>
        <w:t>地处亚热带</w:t>
      </w:r>
      <w:r>
        <w:rPr>
          <w:rFonts w:hint="eastAsia"/>
          <w:kern w:val="0"/>
          <w:szCs w:val="24"/>
        </w:rPr>
        <w:t>季风</w:t>
      </w:r>
      <w:r>
        <w:rPr>
          <w:kern w:val="0"/>
          <w:szCs w:val="24"/>
        </w:rPr>
        <w:t>气候区，四季分明，水库区植被多以杂树、灌木为主，山顶及山坡多开垦成耕地，森林覆盖率较高。库区无大的泥石流、矿区开采堆积的废杂等，水库淤积物主要来自各冲沟支流的冲洪积物，以洪坡积碎石土、河流悬移质泥砂及为主，洪水期对沿河两岸、冲沟冲刷造成局部地带产生水土流失现象，但对水库影响不大，因此水库淤积问题不突出。</w:t>
      </w:r>
    </w:p>
    <w:p>
      <w:pPr>
        <w:pStyle w:val="5"/>
        <w:numPr>
          <w:ilvl w:val="0"/>
          <w:numId w:val="0"/>
        </w:numPr>
        <w:rPr>
          <w:rFonts w:ascii="Times New Roman"/>
        </w:rPr>
      </w:pPr>
      <w:bookmarkStart w:id="961" w:name="_Toc385083968"/>
      <w:bookmarkStart w:id="962" w:name="_Toc2192"/>
      <w:bookmarkStart w:id="963" w:name="_Toc476067397"/>
      <w:r>
        <w:rPr>
          <w:rFonts w:ascii="Times New Roman"/>
        </w:rPr>
        <w:t>第六章</w:t>
      </w:r>
      <w:r>
        <w:rPr>
          <w:rFonts w:hint="eastAsia" w:ascii="Times New Roman"/>
        </w:rPr>
        <w:t xml:space="preserve"> </w:t>
      </w:r>
      <w:r>
        <w:rPr>
          <w:rFonts w:ascii="Times New Roman"/>
        </w:rPr>
        <w:t>环境风险</w:t>
      </w:r>
      <w:bookmarkEnd w:id="961"/>
      <w:r>
        <w:rPr>
          <w:rFonts w:ascii="Times New Roman"/>
        </w:rPr>
        <w:t>分析</w:t>
      </w:r>
      <w:bookmarkEnd w:id="962"/>
      <w:bookmarkEnd w:id="963"/>
    </w:p>
    <w:bookmarkEnd w:id="815"/>
    <w:bookmarkEnd w:id="816"/>
    <w:p>
      <w:pPr>
        <w:pStyle w:val="6"/>
        <w:spacing w:beforeLines="50" w:afterLines="50"/>
        <w:rPr>
          <w:szCs w:val="28"/>
        </w:rPr>
      </w:pPr>
      <w:bookmarkStart w:id="964" w:name="_Toc536265183"/>
      <w:bookmarkStart w:id="965" w:name="_Toc534895311"/>
      <w:bookmarkStart w:id="966" w:name="_Toc534807094"/>
      <w:bookmarkStart w:id="967" w:name="_Toc534386343"/>
      <w:bookmarkStart w:id="968" w:name="_Toc3903320"/>
      <w:bookmarkStart w:id="969" w:name="_Toc529279099"/>
      <w:bookmarkStart w:id="970" w:name="_Toc19958"/>
      <w:r>
        <w:rPr>
          <w:rFonts w:hint="eastAsia"/>
          <w:szCs w:val="28"/>
        </w:rPr>
        <w:t>6.1</w:t>
      </w:r>
      <w:bookmarkEnd w:id="964"/>
      <w:bookmarkEnd w:id="965"/>
      <w:bookmarkEnd w:id="966"/>
      <w:bookmarkEnd w:id="967"/>
      <w:bookmarkEnd w:id="968"/>
      <w:bookmarkEnd w:id="969"/>
      <w:r>
        <w:rPr>
          <w:rFonts w:hint="eastAsia"/>
          <w:szCs w:val="28"/>
        </w:rPr>
        <w:t>环境风险评价目的</w:t>
      </w:r>
      <w:bookmarkEnd w:id="970"/>
    </w:p>
    <w:p>
      <w:pPr>
        <w:autoSpaceDE w:val="0"/>
        <w:autoSpaceDN w:val="0"/>
        <w:adjustRightInd w:val="0"/>
        <w:ind w:firstLine="480"/>
        <w:rPr>
          <w:kern w:val="0"/>
          <w:szCs w:val="24"/>
        </w:rPr>
      </w:pPr>
      <w:r>
        <w:rPr>
          <w:rFonts w:hint="eastAsia"/>
          <w:kern w:val="0"/>
          <w:szCs w:val="24"/>
        </w:rPr>
        <w:t>根据环境保护部环发</w:t>
      </w:r>
      <w:r>
        <w:rPr>
          <w:kern w:val="0"/>
          <w:szCs w:val="24"/>
        </w:rPr>
        <w:t>[2012]77</w:t>
      </w:r>
      <w:r>
        <w:rPr>
          <w:rFonts w:hint="eastAsia"/>
          <w:kern w:val="0"/>
          <w:szCs w:val="24"/>
        </w:rPr>
        <w:t>号文《关于进一步加强环境影响评价管理防范环境风险的通知》的要求，参照《建设项目环境风险评价技术导则》（</w:t>
      </w:r>
      <w:r>
        <w:rPr>
          <w:kern w:val="0"/>
          <w:szCs w:val="24"/>
        </w:rPr>
        <w:t>HJ169-2018</w:t>
      </w:r>
      <w:r>
        <w:rPr>
          <w:rFonts w:hint="eastAsia"/>
          <w:kern w:val="0"/>
          <w:szCs w:val="24"/>
        </w:rPr>
        <w:t>）和《外来物种环境风险评估技术导则》</w:t>
      </w:r>
      <w:r>
        <w:rPr>
          <w:kern w:val="0"/>
          <w:szCs w:val="24"/>
        </w:rPr>
        <w:t>(HJ 624-2011)</w:t>
      </w:r>
      <w:r>
        <w:rPr>
          <w:rFonts w:hint="eastAsia"/>
          <w:kern w:val="0"/>
          <w:szCs w:val="24"/>
        </w:rPr>
        <w:t>，通过风险调查、风险识别、风险事故分析和风险预测与评价等开展环境风险评价，为工程设计和环境管理提供资料和依据，以达到降低危险，减少危害的目的。</w:t>
      </w:r>
    </w:p>
    <w:p>
      <w:pPr>
        <w:pStyle w:val="6"/>
        <w:spacing w:beforeLines="50" w:afterLines="50"/>
        <w:rPr>
          <w:szCs w:val="28"/>
        </w:rPr>
      </w:pPr>
      <w:bookmarkStart w:id="971" w:name="_Toc8273"/>
      <w:r>
        <w:rPr>
          <w:rFonts w:hint="eastAsia"/>
          <w:szCs w:val="28"/>
        </w:rPr>
        <w:t>6</w:t>
      </w:r>
      <w:r>
        <w:rPr>
          <w:szCs w:val="28"/>
        </w:rPr>
        <w:t>.2</w:t>
      </w:r>
      <w:r>
        <w:rPr>
          <w:rFonts w:hint="eastAsia"/>
          <w:szCs w:val="28"/>
        </w:rPr>
        <w:t>风险识别</w:t>
      </w:r>
      <w:bookmarkEnd w:id="971"/>
    </w:p>
    <w:p>
      <w:pPr>
        <w:autoSpaceDE w:val="0"/>
        <w:autoSpaceDN w:val="0"/>
        <w:adjustRightInd w:val="0"/>
        <w:ind w:firstLine="480"/>
        <w:rPr>
          <w:kern w:val="0"/>
          <w:szCs w:val="24"/>
        </w:rPr>
      </w:pPr>
      <w:r>
        <w:rPr>
          <w:kern w:val="0"/>
          <w:szCs w:val="24"/>
        </w:rPr>
        <w:t>本工程建设对环境的影响主要为非污染生态影响，运行期基本无“三废”排放，相应环境风险主要为外源风险，本工程的施工与运行主要是增加风险发生概率或加剧风险危害。本工程不设炸药库、油库等有毒有害和易燃易爆危险物质仓库，因此不涉及《建设项目环境风险评价技术导则》（HJ169-2018）中的环境风险。根据本工程施工特点、周围环境特点以及工程与周围环境之间的关系，存在的潜在事故风险和环境风险包括炸药及油料的运输过程风险；施工生产废水与生活污水排放入河对河流水质污染风险；运行期风险主要为大坝溃坝环境风险。</w:t>
      </w:r>
    </w:p>
    <w:p>
      <w:pPr>
        <w:pStyle w:val="6"/>
        <w:spacing w:beforeLines="50" w:afterLines="50"/>
        <w:rPr>
          <w:szCs w:val="28"/>
        </w:rPr>
      </w:pPr>
      <w:bookmarkStart w:id="972" w:name="_Toc9035"/>
      <w:r>
        <w:rPr>
          <w:rFonts w:hint="eastAsia"/>
          <w:szCs w:val="28"/>
        </w:rPr>
        <w:t>6</w:t>
      </w:r>
      <w:r>
        <w:rPr>
          <w:szCs w:val="28"/>
        </w:rPr>
        <w:t>.3</w:t>
      </w:r>
      <w:r>
        <w:rPr>
          <w:rFonts w:hint="eastAsia"/>
          <w:szCs w:val="28"/>
        </w:rPr>
        <w:t>环境风险潜势初判</w:t>
      </w:r>
      <w:bookmarkEnd w:id="972"/>
    </w:p>
    <w:p>
      <w:pPr>
        <w:pStyle w:val="835"/>
        <w:spacing w:before="0" w:line="360" w:lineRule="auto"/>
      </w:pPr>
      <w:r>
        <w:rPr>
          <w:rFonts w:hint="eastAsia"/>
        </w:rPr>
        <w:t>6</w:t>
      </w:r>
      <w:r>
        <w:t>.3.1</w:t>
      </w:r>
      <w:r>
        <w:rPr>
          <w:rFonts w:hint="eastAsia"/>
        </w:rPr>
        <w:t>环境敏感程度（</w:t>
      </w:r>
      <w:r>
        <w:t>E</w:t>
      </w:r>
      <w:r>
        <w:rPr>
          <w:rFonts w:hint="eastAsia"/>
        </w:rPr>
        <w:t>）的判断</w:t>
      </w:r>
    </w:p>
    <w:p>
      <w:pPr>
        <w:autoSpaceDE w:val="0"/>
        <w:autoSpaceDN w:val="0"/>
        <w:adjustRightInd w:val="0"/>
        <w:ind w:firstLine="480"/>
        <w:rPr>
          <w:kern w:val="0"/>
          <w:szCs w:val="24"/>
        </w:rPr>
      </w:pPr>
      <w:r>
        <w:rPr>
          <w:rFonts w:hint="eastAsia" w:hAnsi="宋体"/>
          <w:kern w:val="0"/>
          <w:szCs w:val="24"/>
        </w:rPr>
        <w:t>(1)</w:t>
      </w:r>
      <w:r>
        <w:rPr>
          <w:rFonts w:hAnsi="宋体"/>
          <w:kern w:val="0"/>
          <w:szCs w:val="24"/>
        </w:rPr>
        <w:t>大气环境</w:t>
      </w:r>
    </w:p>
    <w:p>
      <w:pPr>
        <w:autoSpaceDE w:val="0"/>
        <w:autoSpaceDN w:val="0"/>
        <w:adjustRightInd w:val="0"/>
        <w:ind w:firstLine="480"/>
        <w:rPr>
          <w:kern w:val="0"/>
          <w:szCs w:val="24"/>
        </w:rPr>
      </w:pPr>
      <w:r>
        <w:rPr>
          <w:kern w:val="0"/>
          <w:szCs w:val="24"/>
        </w:rPr>
        <w:t>本工程不设炸药库、油库等有毒有害和易燃易爆危险物质仓库</w:t>
      </w:r>
      <w:r>
        <w:rPr>
          <w:rFonts w:hAnsi="宋体"/>
          <w:kern w:val="0"/>
          <w:szCs w:val="24"/>
        </w:rPr>
        <w:t>，</w:t>
      </w:r>
      <w:r>
        <w:rPr>
          <w:rFonts w:hint="eastAsia" w:hAnsi="宋体"/>
          <w:kern w:val="0"/>
          <w:szCs w:val="24"/>
        </w:rPr>
        <w:t>抬水工程</w:t>
      </w:r>
      <w:r>
        <w:rPr>
          <w:rFonts w:hAnsi="宋体"/>
          <w:kern w:val="0"/>
          <w:szCs w:val="24"/>
        </w:rPr>
        <w:t>周边</w:t>
      </w:r>
      <w:r>
        <w:rPr>
          <w:kern w:val="0"/>
          <w:szCs w:val="24"/>
        </w:rPr>
        <w:t>5km</w:t>
      </w:r>
      <w:r>
        <w:rPr>
          <w:rFonts w:hAnsi="宋体"/>
          <w:kern w:val="0"/>
          <w:szCs w:val="24"/>
        </w:rPr>
        <w:t>范围内内居民区、医疗卫生、文化教育、科研等机构，行政办公机构总人数</w:t>
      </w:r>
      <w:r>
        <w:rPr>
          <w:rFonts w:hint="eastAsia" w:hAnsi="宋体"/>
          <w:kern w:val="0"/>
          <w:szCs w:val="24"/>
        </w:rPr>
        <w:t>42600人，大</w:t>
      </w:r>
      <w:r>
        <w:rPr>
          <w:rFonts w:hAnsi="宋体"/>
          <w:kern w:val="0"/>
          <w:szCs w:val="24"/>
        </w:rPr>
        <w:t>于</w:t>
      </w:r>
      <w:r>
        <w:rPr>
          <w:kern w:val="0"/>
          <w:szCs w:val="24"/>
        </w:rPr>
        <w:t>1</w:t>
      </w:r>
      <w:r>
        <w:rPr>
          <w:rFonts w:hAnsi="宋体"/>
          <w:kern w:val="0"/>
          <w:szCs w:val="24"/>
        </w:rPr>
        <w:t>万人</w:t>
      </w:r>
      <w:r>
        <w:rPr>
          <w:rFonts w:hint="eastAsia" w:hAnsi="宋体"/>
          <w:kern w:val="0"/>
          <w:szCs w:val="24"/>
        </w:rPr>
        <w:t>，小于5万人</w:t>
      </w:r>
      <w:r>
        <w:rPr>
          <w:rFonts w:hAnsi="宋体"/>
          <w:kern w:val="0"/>
          <w:szCs w:val="24"/>
        </w:rPr>
        <w:t>，周边</w:t>
      </w:r>
      <w:r>
        <w:rPr>
          <w:kern w:val="0"/>
          <w:szCs w:val="24"/>
        </w:rPr>
        <w:t>500m</w:t>
      </w:r>
      <w:r>
        <w:rPr>
          <w:rFonts w:hAnsi="宋体"/>
          <w:kern w:val="0"/>
          <w:szCs w:val="24"/>
        </w:rPr>
        <w:t>范围内人口总数</w:t>
      </w:r>
      <w:r>
        <w:rPr>
          <w:rFonts w:hint="eastAsia" w:hAnsi="宋体"/>
          <w:kern w:val="0"/>
          <w:szCs w:val="24"/>
        </w:rPr>
        <w:t>350人小于</w:t>
      </w:r>
      <w:r>
        <w:rPr>
          <w:kern w:val="0"/>
          <w:szCs w:val="24"/>
        </w:rPr>
        <w:t>500</w:t>
      </w:r>
      <w:r>
        <w:rPr>
          <w:rFonts w:hAnsi="宋体"/>
          <w:kern w:val="0"/>
          <w:szCs w:val="24"/>
        </w:rPr>
        <w:t>人</w:t>
      </w:r>
      <w:r>
        <w:rPr>
          <w:rFonts w:hint="eastAsia" w:hAnsi="宋体"/>
          <w:kern w:val="0"/>
          <w:szCs w:val="24"/>
        </w:rPr>
        <w:t>，</w:t>
      </w:r>
      <w:r>
        <w:rPr>
          <w:rFonts w:hAnsi="宋体"/>
          <w:kern w:val="0"/>
          <w:szCs w:val="24"/>
        </w:rPr>
        <w:t>根据《建设项目环境风险评价技术导则》（</w:t>
      </w:r>
      <w:r>
        <w:rPr>
          <w:kern w:val="0"/>
          <w:szCs w:val="24"/>
        </w:rPr>
        <w:t>HJ169</w:t>
      </w:r>
      <w:r>
        <w:rPr>
          <w:rFonts w:hAnsi="宋体"/>
          <w:kern w:val="0"/>
          <w:szCs w:val="24"/>
        </w:rPr>
        <w:t>－</w:t>
      </w:r>
      <w:r>
        <w:rPr>
          <w:kern w:val="0"/>
          <w:szCs w:val="24"/>
        </w:rPr>
        <w:t>2018</w:t>
      </w:r>
      <w:r>
        <w:rPr>
          <w:rFonts w:hAnsi="宋体"/>
          <w:kern w:val="0"/>
          <w:szCs w:val="24"/>
        </w:rPr>
        <w:t>）附录表</w:t>
      </w:r>
      <w:r>
        <w:rPr>
          <w:kern w:val="0"/>
          <w:szCs w:val="24"/>
        </w:rPr>
        <w:t>D.1</w:t>
      </w:r>
      <w:r>
        <w:rPr>
          <w:rFonts w:hAnsi="宋体"/>
          <w:kern w:val="0"/>
          <w:szCs w:val="24"/>
        </w:rPr>
        <w:t>，项目大气环境敏感程度为环境</w:t>
      </w:r>
      <w:r>
        <w:rPr>
          <w:rFonts w:hint="eastAsia" w:hAnsi="宋体"/>
          <w:kern w:val="0"/>
          <w:szCs w:val="24"/>
        </w:rPr>
        <w:t>中</w:t>
      </w:r>
      <w:r>
        <w:rPr>
          <w:rFonts w:hAnsi="宋体"/>
          <w:kern w:val="0"/>
          <w:szCs w:val="24"/>
        </w:rPr>
        <w:t>度敏感区（</w:t>
      </w:r>
      <w:r>
        <w:rPr>
          <w:kern w:val="0"/>
          <w:szCs w:val="24"/>
        </w:rPr>
        <w:t>E</w:t>
      </w:r>
      <w:r>
        <w:rPr>
          <w:rFonts w:hint="eastAsia"/>
          <w:kern w:val="0"/>
          <w:szCs w:val="24"/>
        </w:rPr>
        <w:t>2</w:t>
      </w:r>
      <w:r>
        <w:rPr>
          <w:rFonts w:hAnsi="宋体"/>
          <w:kern w:val="0"/>
          <w:szCs w:val="24"/>
        </w:rPr>
        <w:t>）。</w:t>
      </w:r>
    </w:p>
    <w:p>
      <w:pPr>
        <w:autoSpaceDE w:val="0"/>
        <w:autoSpaceDN w:val="0"/>
        <w:adjustRightInd w:val="0"/>
        <w:ind w:firstLine="480"/>
        <w:rPr>
          <w:kern w:val="0"/>
          <w:szCs w:val="24"/>
        </w:rPr>
      </w:pPr>
      <w:r>
        <w:rPr>
          <w:rFonts w:hint="eastAsia" w:hAnsi="宋体"/>
          <w:kern w:val="0"/>
          <w:szCs w:val="24"/>
        </w:rPr>
        <w:t>(2)</w:t>
      </w:r>
      <w:r>
        <w:rPr>
          <w:rFonts w:hAnsi="宋体"/>
          <w:kern w:val="0"/>
          <w:szCs w:val="24"/>
        </w:rPr>
        <w:t>地表水环境</w:t>
      </w:r>
    </w:p>
    <w:p>
      <w:pPr>
        <w:autoSpaceDE w:val="0"/>
        <w:autoSpaceDN w:val="0"/>
        <w:adjustRightInd w:val="0"/>
        <w:ind w:firstLine="480"/>
        <w:rPr>
          <w:kern w:val="0"/>
          <w:szCs w:val="24"/>
        </w:rPr>
      </w:pPr>
      <w:r>
        <w:rPr>
          <w:rFonts w:hint="eastAsia" w:hAnsi="宋体"/>
          <w:szCs w:val="24"/>
        </w:rPr>
        <w:t>项目生产废水经处理后回用，</w:t>
      </w:r>
      <w:r>
        <w:rPr>
          <w:rFonts w:hAnsi="宋体"/>
          <w:szCs w:val="24"/>
        </w:rPr>
        <w:t>生活污水</w:t>
      </w:r>
      <w:r>
        <w:rPr>
          <w:rFonts w:hint="eastAsia" w:ascii="宋体" w:cs="宋体"/>
          <w:kern w:val="0"/>
          <w:szCs w:val="24"/>
        </w:rPr>
        <w:t>经</w:t>
      </w:r>
      <w:r>
        <w:rPr>
          <w:rFonts w:hint="eastAsia"/>
        </w:rPr>
        <w:t>化粪池处理</w:t>
      </w:r>
      <w:r>
        <w:rPr>
          <w:rFonts w:hint="eastAsia" w:hAnsi="宋体"/>
        </w:rPr>
        <w:t>达</w:t>
      </w:r>
      <w:r>
        <w:t>《农田灌溉水质标准》（GB5084-2005）中旱作标准</w:t>
      </w:r>
      <w:r>
        <w:rPr>
          <w:rFonts w:hAnsi="宋体"/>
          <w:kern w:val="10"/>
        </w:rPr>
        <w:t>后</w:t>
      </w:r>
      <w:r>
        <w:t>用于周边农田菜地施肥，</w:t>
      </w:r>
      <w:r>
        <w:rPr>
          <w:rFonts w:hint="eastAsia" w:hAnsi="宋体"/>
          <w:kern w:val="10"/>
        </w:rPr>
        <w:t>不外排，</w:t>
      </w:r>
      <w:r>
        <w:rPr>
          <w:rFonts w:hAnsi="宋体"/>
          <w:kern w:val="0"/>
          <w:szCs w:val="24"/>
        </w:rPr>
        <w:t>根据《建设项目环境风险评价技术导则》（</w:t>
      </w:r>
      <w:r>
        <w:rPr>
          <w:kern w:val="0"/>
          <w:szCs w:val="24"/>
        </w:rPr>
        <w:t>HJ169</w:t>
      </w:r>
      <w:r>
        <w:rPr>
          <w:rFonts w:hAnsi="宋体"/>
          <w:kern w:val="0"/>
          <w:szCs w:val="24"/>
        </w:rPr>
        <w:t>－</w:t>
      </w:r>
      <w:r>
        <w:rPr>
          <w:kern w:val="0"/>
          <w:szCs w:val="24"/>
        </w:rPr>
        <w:t>2018</w:t>
      </w:r>
      <w:r>
        <w:rPr>
          <w:rFonts w:hAnsi="宋体"/>
          <w:kern w:val="0"/>
          <w:szCs w:val="24"/>
        </w:rPr>
        <w:t>）附录表</w:t>
      </w:r>
      <w:r>
        <w:rPr>
          <w:kern w:val="0"/>
          <w:szCs w:val="24"/>
        </w:rPr>
        <w:t>D.2~D.4</w:t>
      </w:r>
      <w:r>
        <w:rPr>
          <w:rFonts w:hAnsi="宋体"/>
          <w:kern w:val="0"/>
          <w:szCs w:val="24"/>
        </w:rPr>
        <w:t>，项目地表水环境敏感程度为环境</w:t>
      </w:r>
      <w:r>
        <w:rPr>
          <w:rFonts w:hint="eastAsia" w:hAnsi="宋体"/>
          <w:kern w:val="0"/>
          <w:szCs w:val="24"/>
        </w:rPr>
        <w:t>中</w:t>
      </w:r>
      <w:r>
        <w:rPr>
          <w:rFonts w:hAnsi="宋体"/>
          <w:kern w:val="0"/>
          <w:szCs w:val="24"/>
        </w:rPr>
        <w:t>度敏感区（</w:t>
      </w:r>
      <w:r>
        <w:rPr>
          <w:kern w:val="0"/>
          <w:szCs w:val="24"/>
        </w:rPr>
        <w:t>E</w:t>
      </w:r>
      <w:r>
        <w:rPr>
          <w:rFonts w:hint="eastAsia"/>
          <w:kern w:val="0"/>
          <w:szCs w:val="24"/>
        </w:rPr>
        <w:t>2</w:t>
      </w:r>
      <w:r>
        <w:rPr>
          <w:rFonts w:hAnsi="宋体"/>
          <w:kern w:val="0"/>
          <w:szCs w:val="24"/>
        </w:rPr>
        <w:t>）。</w:t>
      </w:r>
    </w:p>
    <w:p>
      <w:pPr>
        <w:autoSpaceDE w:val="0"/>
        <w:autoSpaceDN w:val="0"/>
        <w:adjustRightInd w:val="0"/>
        <w:ind w:firstLine="480"/>
        <w:rPr>
          <w:kern w:val="0"/>
          <w:szCs w:val="24"/>
        </w:rPr>
      </w:pPr>
      <w:r>
        <w:rPr>
          <w:rFonts w:hint="eastAsia" w:hAnsi="宋体"/>
          <w:kern w:val="0"/>
          <w:szCs w:val="24"/>
        </w:rPr>
        <w:t>(3)</w:t>
      </w:r>
      <w:r>
        <w:rPr>
          <w:rFonts w:hAnsi="宋体"/>
          <w:kern w:val="0"/>
          <w:szCs w:val="24"/>
        </w:rPr>
        <w:t>地下水环境</w:t>
      </w:r>
    </w:p>
    <w:p>
      <w:pPr>
        <w:autoSpaceDE w:val="0"/>
        <w:autoSpaceDN w:val="0"/>
        <w:adjustRightInd w:val="0"/>
        <w:ind w:firstLine="480"/>
        <w:rPr>
          <w:kern w:val="0"/>
          <w:szCs w:val="24"/>
        </w:rPr>
      </w:pPr>
      <w:r>
        <w:rPr>
          <w:rFonts w:hint="eastAsia" w:ascii="宋体" w:cs="宋体"/>
          <w:kern w:val="0"/>
          <w:szCs w:val="24"/>
        </w:rPr>
        <w:t>经现场调查，项目周边已全部接通自来水，评价区内不属于集中式饮用水源（包括已建成的在用、备用、应急水源，在建和规划的饮用水源）准保护区及准保护区以外的补给径流区。</w:t>
      </w:r>
      <w:r>
        <w:rPr>
          <w:rFonts w:hAnsi="宋体"/>
          <w:kern w:val="0"/>
          <w:szCs w:val="24"/>
        </w:rPr>
        <w:t>根据《建设项目环境风险评价技术导则》（</w:t>
      </w:r>
      <w:r>
        <w:rPr>
          <w:kern w:val="0"/>
          <w:szCs w:val="24"/>
        </w:rPr>
        <w:t>HJ169</w:t>
      </w:r>
      <w:r>
        <w:rPr>
          <w:rFonts w:hAnsi="宋体"/>
          <w:kern w:val="0"/>
          <w:szCs w:val="24"/>
        </w:rPr>
        <w:t>－</w:t>
      </w:r>
      <w:r>
        <w:rPr>
          <w:kern w:val="0"/>
          <w:szCs w:val="24"/>
        </w:rPr>
        <w:t>2018</w:t>
      </w:r>
      <w:r>
        <w:rPr>
          <w:rFonts w:hAnsi="宋体"/>
          <w:kern w:val="0"/>
          <w:szCs w:val="24"/>
        </w:rPr>
        <w:t>）附录表</w:t>
      </w:r>
      <w:r>
        <w:rPr>
          <w:kern w:val="0"/>
          <w:szCs w:val="24"/>
        </w:rPr>
        <w:t>D.5~D.7</w:t>
      </w:r>
      <w:r>
        <w:rPr>
          <w:rFonts w:hAnsi="宋体"/>
          <w:kern w:val="0"/>
          <w:szCs w:val="24"/>
        </w:rPr>
        <w:t>，项目地下水环境敏感程度为环境低度敏感区（</w:t>
      </w:r>
      <w:r>
        <w:rPr>
          <w:kern w:val="0"/>
          <w:szCs w:val="24"/>
        </w:rPr>
        <w:t>E3</w:t>
      </w:r>
      <w:r>
        <w:rPr>
          <w:rFonts w:hAnsi="宋体"/>
          <w:kern w:val="0"/>
          <w:szCs w:val="24"/>
        </w:rPr>
        <w:t>）。</w:t>
      </w:r>
    </w:p>
    <w:p>
      <w:pPr>
        <w:pStyle w:val="835"/>
        <w:spacing w:before="0" w:line="360" w:lineRule="auto"/>
      </w:pPr>
      <w:r>
        <w:rPr>
          <w:rFonts w:hint="eastAsia"/>
        </w:rPr>
        <w:t>6</w:t>
      </w:r>
      <w:r>
        <w:t>.3.2</w:t>
      </w:r>
      <w:r>
        <w:rPr>
          <w:rFonts w:hint="eastAsia"/>
        </w:rPr>
        <w:t>危害物质及工艺系统危害性（</w:t>
      </w:r>
      <w:r>
        <w:t>P</w:t>
      </w:r>
      <w:r>
        <w:rPr>
          <w:rFonts w:hint="eastAsia"/>
        </w:rPr>
        <w:t>）的确定</w:t>
      </w:r>
    </w:p>
    <w:p>
      <w:pPr>
        <w:autoSpaceDE w:val="0"/>
        <w:autoSpaceDN w:val="0"/>
        <w:adjustRightInd w:val="0"/>
        <w:ind w:firstLine="480"/>
        <w:rPr>
          <w:kern w:val="0"/>
          <w:szCs w:val="24"/>
        </w:rPr>
      </w:pPr>
      <w:r>
        <w:rPr>
          <w:kern w:val="0"/>
          <w:szCs w:val="24"/>
        </w:rPr>
        <w:t>根据《建设项目环境风险评价技术导则》（HJ169－2018），危险物质及工艺系统危害性（P）应根据危险物质数量与临界量的比值（Q）和行业及生产工艺（M）确定。</w:t>
      </w:r>
    </w:p>
    <w:p>
      <w:pPr>
        <w:autoSpaceDE w:val="0"/>
        <w:autoSpaceDN w:val="0"/>
        <w:adjustRightInd w:val="0"/>
        <w:ind w:firstLine="480"/>
        <w:rPr>
          <w:rFonts w:hAnsi="宋体"/>
          <w:kern w:val="0"/>
          <w:szCs w:val="24"/>
        </w:rPr>
      </w:pPr>
      <w:r>
        <w:rPr>
          <w:rFonts w:hint="eastAsia" w:hAnsi="宋体"/>
          <w:kern w:val="0"/>
          <w:szCs w:val="24"/>
        </w:rPr>
        <w:t>(1)</w:t>
      </w:r>
      <w:r>
        <w:rPr>
          <w:rFonts w:hAnsi="宋体"/>
          <w:kern w:val="0"/>
          <w:szCs w:val="24"/>
        </w:rPr>
        <w:t>Q</w:t>
      </w:r>
      <w:r>
        <w:rPr>
          <w:rFonts w:hint="eastAsia" w:hAnsi="宋体"/>
          <w:kern w:val="0"/>
          <w:szCs w:val="24"/>
        </w:rPr>
        <w:t>值的确定</w:t>
      </w:r>
    </w:p>
    <w:p>
      <w:pPr>
        <w:autoSpaceDE w:val="0"/>
        <w:autoSpaceDN w:val="0"/>
        <w:adjustRightInd w:val="0"/>
        <w:ind w:firstLine="480"/>
        <w:rPr>
          <w:rFonts w:ascii="宋体" w:hAnsi="Calibri" w:cs="宋体"/>
          <w:kern w:val="0"/>
          <w:szCs w:val="24"/>
        </w:rPr>
      </w:pPr>
      <w:r>
        <w:rPr>
          <w:rFonts w:hint="eastAsia" w:ascii="宋体" w:hAnsi="宋体"/>
          <w:kern w:val="0"/>
          <w:szCs w:val="24"/>
        </w:rPr>
        <w:t>根据《建设项目环境风险评价技术导则</w:t>
      </w:r>
      <w:r>
        <w:rPr>
          <w:rFonts w:ascii="宋体" w:hAnsi="宋体"/>
          <w:kern w:val="0"/>
          <w:szCs w:val="24"/>
        </w:rPr>
        <w:t>》</w:t>
      </w:r>
      <w:r>
        <w:rPr>
          <w:kern w:val="0"/>
          <w:szCs w:val="24"/>
        </w:rPr>
        <w:t>（HJ169-2018</w:t>
      </w:r>
      <w:r>
        <w:rPr>
          <w:rFonts w:hint="eastAsia"/>
          <w:kern w:val="0"/>
          <w:szCs w:val="24"/>
        </w:rPr>
        <w:t>）</w:t>
      </w:r>
      <w:r>
        <w:rPr>
          <w:rFonts w:hint="eastAsia" w:ascii="宋体" w:hAnsi="宋体" w:cs="宋体"/>
          <w:kern w:val="0"/>
          <w:szCs w:val="24"/>
        </w:rPr>
        <w:t>附</w:t>
      </w:r>
      <w:r>
        <w:rPr>
          <w:rFonts w:hint="eastAsia" w:ascii="宋体" w:hAnsi="宋体"/>
          <w:kern w:val="0"/>
          <w:szCs w:val="24"/>
        </w:rPr>
        <w:t>录</w:t>
      </w:r>
      <w:r>
        <w:rPr>
          <w:rFonts w:ascii="宋体" w:hAnsi="宋体"/>
          <w:kern w:val="0"/>
          <w:szCs w:val="24"/>
        </w:rPr>
        <w:t>C</w:t>
      </w:r>
      <w:r>
        <w:rPr>
          <w:rFonts w:hint="eastAsia" w:ascii="宋体" w:hAnsi="宋体"/>
          <w:kern w:val="0"/>
          <w:szCs w:val="24"/>
        </w:rPr>
        <w:t>，</w:t>
      </w:r>
      <w:r>
        <w:rPr>
          <w:rFonts w:ascii="宋体" w:hAnsi="宋体"/>
          <w:kern w:val="0"/>
          <w:szCs w:val="24"/>
        </w:rPr>
        <w:t>Q</w:t>
      </w:r>
      <w:r>
        <w:rPr>
          <w:rFonts w:hint="eastAsia" w:ascii="宋体" w:hAnsi="Calibri" w:cs="宋体"/>
          <w:kern w:val="0"/>
          <w:szCs w:val="24"/>
        </w:rPr>
        <w:t>按下式进行计算：</w:t>
      </w:r>
    </w:p>
    <w:p>
      <w:pPr>
        <w:autoSpaceDE w:val="0"/>
        <w:autoSpaceDN w:val="0"/>
        <w:adjustRightInd w:val="0"/>
        <w:ind w:firstLine="480"/>
        <w:jc w:val="center"/>
        <w:rPr>
          <w:rFonts w:ascii="宋体" w:cs="宋体"/>
          <w:kern w:val="0"/>
          <w:szCs w:val="24"/>
        </w:rPr>
      </w:pPr>
      <w:r>
        <w:rPr>
          <w:position w:val="-30"/>
        </w:rPr>
        <w:object>
          <v:shape id="_x0000_i1048" o:spt="75" type="#_x0000_t75" style="height:34.5pt;width:116.25pt;" o:ole="t" filled="f" coordsize="21600,21600">
            <v:path/>
            <v:fill on="f" focussize="0,0"/>
            <v:stroke/>
            <v:imagedata r:id="rId111" o:title=""/>
            <o:lock v:ext="edit" aspectratio="t"/>
            <w10:wrap type="none"/>
            <w10:anchorlock/>
          </v:shape>
          <o:OLEObject Type="Embed" ProgID="Equation.DSMT4" ShapeID="_x0000_i1048" DrawAspect="Content" ObjectID="_1468075748" r:id="rId110">
            <o:LockedField>false</o:LockedField>
          </o:OLEObject>
        </w:object>
      </w:r>
      <w:r>
        <w:rPr>
          <w:rFonts w:hint="eastAsia"/>
        </w:rPr>
        <w:t xml:space="preserve">              </w:t>
      </w:r>
      <w:r>
        <w:rPr>
          <w:rFonts w:hint="eastAsia" w:ascii="宋体" w:hAnsi="宋体"/>
          <w:kern w:val="0"/>
          <w:szCs w:val="24"/>
        </w:rPr>
        <w:t xml:space="preserve"> 公式（</w:t>
      </w:r>
      <w:r>
        <w:rPr>
          <w:rFonts w:ascii="宋体" w:hAnsi="宋体"/>
          <w:kern w:val="0"/>
          <w:szCs w:val="24"/>
        </w:rPr>
        <w:t>1</w:t>
      </w:r>
      <w:r>
        <w:rPr>
          <w:rFonts w:hint="eastAsia" w:ascii="宋体" w:hAnsi="宋体"/>
          <w:kern w:val="0"/>
          <w:szCs w:val="24"/>
        </w:rPr>
        <w:t>）</w:t>
      </w:r>
    </w:p>
    <w:p>
      <w:pPr>
        <w:autoSpaceDE w:val="0"/>
        <w:autoSpaceDN w:val="0"/>
        <w:adjustRightInd w:val="0"/>
        <w:ind w:firstLine="480"/>
        <w:rPr>
          <w:kern w:val="0"/>
          <w:szCs w:val="24"/>
        </w:rPr>
      </w:pPr>
      <w:r>
        <w:rPr>
          <w:rFonts w:hAnsi="宋体"/>
          <w:kern w:val="0"/>
          <w:szCs w:val="24"/>
        </w:rPr>
        <w:t>公式（</w:t>
      </w:r>
      <w:r>
        <w:rPr>
          <w:kern w:val="0"/>
          <w:szCs w:val="24"/>
        </w:rPr>
        <w:t>1</w:t>
      </w:r>
      <w:r>
        <w:rPr>
          <w:rFonts w:hAnsi="宋体"/>
          <w:kern w:val="0"/>
          <w:szCs w:val="24"/>
        </w:rPr>
        <w:t>）中：</w:t>
      </w:r>
      <w:r>
        <w:rPr>
          <w:i/>
          <w:iCs/>
          <w:kern w:val="0"/>
          <w:szCs w:val="24"/>
        </w:rPr>
        <w:t>q</w:t>
      </w:r>
      <w:r>
        <w:rPr>
          <w:kern w:val="0"/>
          <w:szCs w:val="24"/>
          <w:vertAlign w:val="subscript"/>
        </w:rPr>
        <w:t>1</w:t>
      </w:r>
      <w:r>
        <w:rPr>
          <w:rFonts w:hAnsi="宋体"/>
          <w:kern w:val="0"/>
          <w:szCs w:val="24"/>
        </w:rPr>
        <w:t>，</w:t>
      </w:r>
      <w:r>
        <w:rPr>
          <w:i/>
          <w:iCs/>
          <w:kern w:val="0"/>
          <w:szCs w:val="24"/>
        </w:rPr>
        <w:t>q</w:t>
      </w:r>
      <w:r>
        <w:rPr>
          <w:kern w:val="0"/>
          <w:szCs w:val="24"/>
          <w:vertAlign w:val="subscript"/>
        </w:rPr>
        <w:t>2</w:t>
      </w:r>
      <w:r>
        <w:rPr>
          <w:rFonts w:hAnsi="宋体"/>
          <w:kern w:val="0"/>
          <w:szCs w:val="24"/>
        </w:rPr>
        <w:t>，</w:t>
      </w:r>
      <w:r>
        <w:rPr>
          <w:kern w:val="0"/>
          <w:szCs w:val="24"/>
        </w:rPr>
        <w:t>...</w:t>
      </w:r>
      <w:r>
        <w:rPr>
          <w:rFonts w:hAnsi="宋体"/>
          <w:kern w:val="0"/>
          <w:szCs w:val="24"/>
        </w:rPr>
        <w:t>，</w:t>
      </w:r>
      <w:r>
        <w:rPr>
          <w:kern w:val="0"/>
          <w:szCs w:val="24"/>
        </w:rPr>
        <w:t xml:space="preserve"> </w:t>
      </w:r>
      <w:r>
        <w:rPr>
          <w:i/>
          <w:iCs/>
          <w:kern w:val="0"/>
          <w:szCs w:val="24"/>
        </w:rPr>
        <w:t>q</w:t>
      </w:r>
      <w:r>
        <w:rPr>
          <w:kern w:val="0"/>
          <w:szCs w:val="24"/>
          <w:vertAlign w:val="subscript"/>
        </w:rPr>
        <w:t>n</w:t>
      </w:r>
      <w:r>
        <w:rPr>
          <w:kern w:val="0"/>
          <w:szCs w:val="24"/>
        </w:rPr>
        <w:t>——</w:t>
      </w:r>
      <w:r>
        <w:rPr>
          <w:rFonts w:hAnsi="宋体"/>
          <w:kern w:val="0"/>
          <w:szCs w:val="24"/>
        </w:rPr>
        <w:t>每种环境风险物质的最大存在总量，</w:t>
      </w:r>
      <w:r>
        <w:rPr>
          <w:kern w:val="0"/>
          <w:szCs w:val="24"/>
        </w:rPr>
        <w:t>t</w:t>
      </w:r>
      <w:r>
        <w:rPr>
          <w:rFonts w:hAnsi="宋体"/>
          <w:kern w:val="0"/>
          <w:szCs w:val="24"/>
        </w:rPr>
        <w:t>；</w:t>
      </w:r>
    </w:p>
    <w:p>
      <w:pPr>
        <w:autoSpaceDE w:val="0"/>
        <w:autoSpaceDN w:val="0"/>
        <w:adjustRightInd w:val="0"/>
        <w:ind w:firstLine="1440" w:firstLineChars="600"/>
        <w:rPr>
          <w:kern w:val="0"/>
          <w:szCs w:val="24"/>
        </w:rPr>
      </w:pPr>
      <w:r>
        <w:rPr>
          <w:i/>
          <w:iCs/>
          <w:kern w:val="0"/>
          <w:szCs w:val="24"/>
        </w:rPr>
        <w:t>Q</w:t>
      </w:r>
      <w:r>
        <w:rPr>
          <w:kern w:val="0"/>
          <w:szCs w:val="24"/>
        </w:rPr>
        <w:t>1</w:t>
      </w:r>
      <w:r>
        <w:rPr>
          <w:rFonts w:hAnsi="宋体"/>
          <w:kern w:val="0"/>
          <w:szCs w:val="24"/>
        </w:rPr>
        <w:t>，</w:t>
      </w:r>
      <w:r>
        <w:rPr>
          <w:i/>
          <w:iCs/>
          <w:kern w:val="0"/>
          <w:szCs w:val="24"/>
        </w:rPr>
        <w:t>Q</w:t>
      </w:r>
      <w:r>
        <w:rPr>
          <w:kern w:val="0"/>
          <w:szCs w:val="24"/>
        </w:rPr>
        <w:t>2</w:t>
      </w:r>
      <w:r>
        <w:rPr>
          <w:rFonts w:hAnsi="宋体"/>
          <w:kern w:val="0"/>
          <w:szCs w:val="24"/>
        </w:rPr>
        <w:t>，</w:t>
      </w:r>
      <w:r>
        <w:rPr>
          <w:kern w:val="0"/>
          <w:szCs w:val="24"/>
        </w:rPr>
        <w:t>...</w:t>
      </w:r>
      <w:r>
        <w:rPr>
          <w:rFonts w:hAnsi="宋体"/>
          <w:kern w:val="0"/>
          <w:szCs w:val="24"/>
        </w:rPr>
        <w:t>，</w:t>
      </w:r>
      <w:r>
        <w:rPr>
          <w:kern w:val="0"/>
          <w:szCs w:val="24"/>
        </w:rPr>
        <w:t xml:space="preserve"> </w:t>
      </w:r>
      <w:r>
        <w:rPr>
          <w:i/>
          <w:iCs/>
          <w:kern w:val="0"/>
          <w:szCs w:val="24"/>
        </w:rPr>
        <w:t>Q</w:t>
      </w:r>
      <w:r>
        <w:rPr>
          <w:kern w:val="0"/>
          <w:szCs w:val="24"/>
        </w:rPr>
        <w:t>n——</w:t>
      </w:r>
      <w:r>
        <w:rPr>
          <w:rFonts w:hAnsi="宋体"/>
          <w:kern w:val="0"/>
          <w:szCs w:val="24"/>
        </w:rPr>
        <w:t>每种环境风险物质的临界量，</w:t>
      </w:r>
      <w:r>
        <w:rPr>
          <w:kern w:val="0"/>
          <w:szCs w:val="24"/>
        </w:rPr>
        <w:t>t</w:t>
      </w:r>
      <w:r>
        <w:rPr>
          <w:rFonts w:hAnsi="宋体"/>
          <w:kern w:val="0"/>
          <w:szCs w:val="24"/>
        </w:rPr>
        <w:t>。</w:t>
      </w:r>
    </w:p>
    <w:p>
      <w:pPr>
        <w:autoSpaceDE w:val="0"/>
        <w:autoSpaceDN w:val="0"/>
        <w:adjustRightInd w:val="0"/>
        <w:ind w:firstLine="480"/>
        <w:rPr>
          <w:kern w:val="0"/>
          <w:szCs w:val="24"/>
        </w:rPr>
      </w:pPr>
      <w:r>
        <w:rPr>
          <w:rFonts w:hAnsi="宋体"/>
          <w:kern w:val="0"/>
          <w:szCs w:val="24"/>
        </w:rPr>
        <w:t>当</w:t>
      </w:r>
      <w:r>
        <w:rPr>
          <w:kern w:val="0"/>
          <w:szCs w:val="24"/>
        </w:rPr>
        <w:t>Q</w:t>
      </w:r>
      <w:r>
        <w:rPr>
          <w:rFonts w:hAnsi="宋体"/>
          <w:kern w:val="0"/>
          <w:szCs w:val="24"/>
        </w:rPr>
        <w:t>＜</w:t>
      </w:r>
      <w:r>
        <w:rPr>
          <w:kern w:val="0"/>
          <w:szCs w:val="24"/>
        </w:rPr>
        <w:t xml:space="preserve">1 </w:t>
      </w:r>
      <w:r>
        <w:rPr>
          <w:rFonts w:hAnsi="宋体"/>
          <w:kern w:val="0"/>
          <w:szCs w:val="24"/>
        </w:rPr>
        <w:t>时，该项目环境风险潜势为</w:t>
      </w:r>
      <w:r>
        <w:rPr>
          <w:rFonts w:ascii="宋体" w:hAnsi="宋体"/>
          <w:kern w:val="0"/>
          <w:szCs w:val="24"/>
        </w:rPr>
        <w:t>Ⅰ</w:t>
      </w:r>
      <w:r>
        <w:rPr>
          <w:rFonts w:hAnsi="宋体"/>
          <w:kern w:val="0"/>
          <w:szCs w:val="24"/>
        </w:rPr>
        <w:t>。</w:t>
      </w:r>
    </w:p>
    <w:p>
      <w:pPr>
        <w:autoSpaceDE w:val="0"/>
        <w:autoSpaceDN w:val="0"/>
        <w:adjustRightInd w:val="0"/>
        <w:ind w:firstLine="480"/>
        <w:rPr>
          <w:kern w:val="0"/>
          <w:szCs w:val="24"/>
        </w:rPr>
      </w:pPr>
      <w:r>
        <w:rPr>
          <w:rFonts w:hAnsi="宋体"/>
          <w:kern w:val="0"/>
          <w:szCs w:val="24"/>
        </w:rPr>
        <w:t>当</w:t>
      </w:r>
      <w:r>
        <w:rPr>
          <w:i/>
          <w:iCs/>
          <w:kern w:val="0"/>
          <w:szCs w:val="24"/>
        </w:rPr>
        <w:t>Q</w:t>
      </w:r>
      <w:r>
        <w:rPr>
          <w:kern w:val="0"/>
          <w:szCs w:val="24"/>
        </w:rPr>
        <w:t>≥1</w:t>
      </w:r>
      <w:r>
        <w:rPr>
          <w:rFonts w:hAnsi="宋体"/>
          <w:kern w:val="0"/>
          <w:szCs w:val="24"/>
        </w:rPr>
        <w:t>，将</w:t>
      </w:r>
      <w:r>
        <w:rPr>
          <w:kern w:val="0"/>
          <w:szCs w:val="24"/>
        </w:rPr>
        <w:t xml:space="preserve">Q </w:t>
      </w:r>
      <w:r>
        <w:rPr>
          <w:rFonts w:hAnsi="宋体"/>
          <w:kern w:val="0"/>
          <w:szCs w:val="24"/>
        </w:rPr>
        <w:t>值分为：</w:t>
      </w:r>
      <w:r>
        <w:rPr>
          <w:kern w:val="0"/>
          <w:szCs w:val="24"/>
        </w:rPr>
        <w:fldChar w:fldCharType="begin"/>
      </w:r>
      <w:r>
        <w:rPr>
          <w:kern w:val="0"/>
          <w:szCs w:val="24"/>
        </w:rPr>
        <w:instrText xml:space="preserve"> = 1 \* GB2 </w:instrText>
      </w:r>
      <w:r>
        <w:rPr>
          <w:kern w:val="0"/>
          <w:szCs w:val="24"/>
        </w:rPr>
        <w:fldChar w:fldCharType="separate"/>
      </w:r>
      <w:r>
        <w:rPr>
          <w:rFonts w:ascii="宋体" w:hAnsi="宋体"/>
          <w:kern w:val="0"/>
          <w:szCs w:val="24"/>
        </w:rPr>
        <w:t>⑴</w:t>
      </w:r>
      <w:r>
        <w:rPr>
          <w:kern w:val="0"/>
          <w:szCs w:val="24"/>
        </w:rPr>
        <w:fldChar w:fldCharType="end"/>
      </w:r>
      <w:r>
        <w:rPr>
          <w:kern w:val="0"/>
          <w:szCs w:val="24"/>
        </w:rPr>
        <w:t>1≤</w:t>
      </w:r>
      <w:r>
        <w:rPr>
          <w:i/>
          <w:iCs/>
          <w:kern w:val="0"/>
          <w:szCs w:val="24"/>
        </w:rPr>
        <w:t>Q</w:t>
      </w:r>
      <w:r>
        <w:rPr>
          <w:rFonts w:hAnsi="宋体"/>
          <w:kern w:val="0"/>
          <w:szCs w:val="24"/>
        </w:rPr>
        <w:t>＜</w:t>
      </w:r>
      <w:r>
        <w:rPr>
          <w:kern w:val="0"/>
          <w:szCs w:val="24"/>
        </w:rPr>
        <w:t>10</w:t>
      </w:r>
      <w:r>
        <w:rPr>
          <w:rFonts w:hAnsi="宋体"/>
          <w:kern w:val="0"/>
          <w:szCs w:val="24"/>
        </w:rPr>
        <w:t>；</w:t>
      </w:r>
      <w:r>
        <w:rPr>
          <w:kern w:val="0"/>
          <w:szCs w:val="24"/>
        </w:rPr>
        <w:fldChar w:fldCharType="begin"/>
      </w:r>
      <w:r>
        <w:rPr>
          <w:kern w:val="0"/>
          <w:szCs w:val="24"/>
        </w:rPr>
        <w:instrText xml:space="preserve"> = 2 \* GB2 </w:instrText>
      </w:r>
      <w:r>
        <w:rPr>
          <w:kern w:val="0"/>
          <w:szCs w:val="24"/>
        </w:rPr>
        <w:fldChar w:fldCharType="separate"/>
      </w:r>
      <w:r>
        <w:rPr>
          <w:rFonts w:ascii="宋体" w:hAnsi="宋体"/>
          <w:kern w:val="0"/>
          <w:szCs w:val="24"/>
        </w:rPr>
        <w:t>⑵</w:t>
      </w:r>
      <w:r>
        <w:rPr>
          <w:kern w:val="0"/>
          <w:szCs w:val="24"/>
        </w:rPr>
        <w:fldChar w:fldCharType="end"/>
      </w:r>
      <w:r>
        <w:rPr>
          <w:kern w:val="0"/>
          <w:szCs w:val="24"/>
        </w:rPr>
        <w:t>10≤</w:t>
      </w:r>
      <w:r>
        <w:rPr>
          <w:i/>
          <w:iCs/>
          <w:kern w:val="0"/>
          <w:szCs w:val="24"/>
        </w:rPr>
        <w:t>Q</w:t>
      </w:r>
      <w:r>
        <w:rPr>
          <w:rFonts w:hAnsi="宋体"/>
          <w:kern w:val="0"/>
          <w:szCs w:val="24"/>
        </w:rPr>
        <w:t>＜</w:t>
      </w:r>
      <w:r>
        <w:rPr>
          <w:kern w:val="0"/>
          <w:szCs w:val="24"/>
        </w:rPr>
        <w:t>100</w:t>
      </w:r>
      <w:r>
        <w:rPr>
          <w:rFonts w:hAnsi="宋体"/>
          <w:kern w:val="0"/>
          <w:szCs w:val="24"/>
        </w:rPr>
        <w:t>；</w:t>
      </w:r>
      <w:r>
        <w:rPr>
          <w:kern w:val="0"/>
          <w:szCs w:val="24"/>
        </w:rPr>
        <w:fldChar w:fldCharType="begin"/>
      </w:r>
      <w:r>
        <w:rPr>
          <w:kern w:val="0"/>
          <w:szCs w:val="24"/>
        </w:rPr>
        <w:instrText xml:space="preserve"> = 3 \* GB2 </w:instrText>
      </w:r>
      <w:r>
        <w:rPr>
          <w:kern w:val="0"/>
          <w:szCs w:val="24"/>
        </w:rPr>
        <w:fldChar w:fldCharType="separate"/>
      </w:r>
      <w:r>
        <w:rPr>
          <w:rFonts w:ascii="宋体" w:hAnsi="宋体"/>
          <w:kern w:val="0"/>
          <w:szCs w:val="24"/>
        </w:rPr>
        <w:t>⑶</w:t>
      </w:r>
      <w:r>
        <w:rPr>
          <w:kern w:val="0"/>
          <w:szCs w:val="24"/>
        </w:rPr>
        <w:fldChar w:fldCharType="end"/>
      </w:r>
      <w:r>
        <w:rPr>
          <w:i/>
          <w:iCs/>
          <w:kern w:val="0"/>
          <w:szCs w:val="24"/>
        </w:rPr>
        <w:t>Q</w:t>
      </w:r>
      <w:r>
        <w:rPr>
          <w:kern w:val="0"/>
          <w:szCs w:val="24"/>
        </w:rPr>
        <w:t>≥100</w:t>
      </w:r>
      <w:r>
        <w:rPr>
          <w:rFonts w:hAnsi="宋体"/>
          <w:kern w:val="0"/>
          <w:szCs w:val="24"/>
        </w:rPr>
        <w:t>。</w:t>
      </w:r>
    </w:p>
    <w:p>
      <w:pPr>
        <w:pStyle w:val="573"/>
        <w:spacing w:line="360" w:lineRule="auto"/>
        <w:ind w:firstLine="480" w:firstLineChars="200"/>
        <w:jc w:val="both"/>
        <w:rPr>
          <w:rFonts w:ascii="Times New Roman" w:cs="Times New Roman"/>
          <w:color w:val="auto"/>
        </w:rPr>
      </w:pPr>
      <w:r>
        <w:rPr>
          <w:rFonts w:ascii="Times New Roman" w:cs="Times New Roman"/>
          <w:color w:val="auto"/>
        </w:rPr>
        <w:t>根据前文污染源识别与现场核查，工程不设炸药库、油库等有毒有害和易燃易爆危险物质仓库。因此，项目不涉及其附录B表B.1及表B.2中的突发环境事件风险物质，项目</w:t>
      </w:r>
      <w:r>
        <w:rPr>
          <w:rFonts w:ascii="Times New Roman" w:eastAsia="TimesNewRomanPSMT" w:cs="Times New Roman"/>
          <w:color w:val="auto"/>
        </w:rPr>
        <w:t>Q</w:t>
      </w:r>
      <w:r>
        <w:rPr>
          <w:rFonts w:ascii="Times New Roman" w:cs="Times New Roman"/>
          <w:color w:val="auto"/>
        </w:rPr>
        <w:t>＜</w:t>
      </w:r>
      <w:r>
        <w:rPr>
          <w:rFonts w:ascii="Times New Roman" w:eastAsia="TimesNewRomanPSMT" w:cs="Times New Roman"/>
          <w:color w:val="auto"/>
        </w:rPr>
        <w:t>1</w:t>
      </w:r>
      <w:r>
        <w:rPr>
          <w:rFonts w:ascii="Times New Roman" w:cs="Times New Roman"/>
          <w:color w:val="auto"/>
        </w:rPr>
        <w:t>。</w:t>
      </w:r>
    </w:p>
    <w:p>
      <w:pPr>
        <w:autoSpaceDE w:val="0"/>
        <w:autoSpaceDN w:val="0"/>
        <w:adjustRightInd w:val="0"/>
        <w:ind w:firstLine="480"/>
        <w:rPr>
          <w:kern w:val="0"/>
          <w:szCs w:val="24"/>
        </w:rPr>
      </w:pPr>
      <w:r>
        <w:rPr>
          <w:rFonts w:hint="eastAsia" w:hAnsi="宋体"/>
          <w:kern w:val="0"/>
          <w:szCs w:val="24"/>
        </w:rPr>
        <w:t>(2)</w:t>
      </w:r>
      <w:r>
        <w:rPr>
          <w:kern w:val="0"/>
          <w:szCs w:val="24"/>
        </w:rPr>
        <w:t>M</w:t>
      </w:r>
      <w:r>
        <w:rPr>
          <w:rFonts w:hAnsi="宋体"/>
          <w:kern w:val="0"/>
          <w:szCs w:val="24"/>
        </w:rPr>
        <w:t>值确定</w:t>
      </w:r>
    </w:p>
    <w:p>
      <w:pPr>
        <w:autoSpaceDE w:val="0"/>
        <w:autoSpaceDN w:val="0"/>
        <w:adjustRightInd w:val="0"/>
        <w:ind w:firstLine="480"/>
        <w:rPr>
          <w:rFonts w:hAnsi="宋体"/>
          <w:kern w:val="0"/>
          <w:szCs w:val="24"/>
        </w:rPr>
      </w:pPr>
      <w:r>
        <w:rPr>
          <w:rFonts w:hAnsi="宋体"/>
          <w:kern w:val="0"/>
          <w:szCs w:val="24"/>
        </w:rPr>
        <w:t>根据《建设项目环境风险评价技术导则》（</w:t>
      </w:r>
      <w:r>
        <w:rPr>
          <w:kern w:val="0"/>
          <w:szCs w:val="24"/>
        </w:rPr>
        <w:t>HJ169-2018</w:t>
      </w:r>
      <w:r>
        <w:rPr>
          <w:rFonts w:hAnsi="宋体"/>
          <w:kern w:val="0"/>
          <w:szCs w:val="24"/>
        </w:rPr>
        <w:t>）附录</w:t>
      </w:r>
      <w:r>
        <w:rPr>
          <w:kern w:val="0"/>
          <w:szCs w:val="24"/>
        </w:rPr>
        <w:t>C</w:t>
      </w:r>
      <w:r>
        <w:rPr>
          <w:rFonts w:hAnsi="宋体"/>
          <w:kern w:val="0"/>
          <w:szCs w:val="24"/>
        </w:rPr>
        <w:t>，本项目行业为</w:t>
      </w:r>
      <w:r>
        <w:rPr>
          <w:rFonts w:hint="eastAsia"/>
        </w:rPr>
        <w:t>水利行业</w:t>
      </w:r>
      <w:r>
        <w:rPr>
          <w:rFonts w:hAnsi="宋体"/>
          <w:kern w:val="0"/>
          <w:szCs w:val="24"/>
        </w:rPr>
        <w:t>，</w:t>
      </w:r>
      <w:r>
        <w:rPr>
          <w:rFonts w:hint="eastAsia"/>
        </w:rPr>
        <w:t>不属于《建设项目环境风险评价技术导则》</w:t>
      </w:r>
      <w:r>
        <w:t>(H169-2018)</w:t>
      </w:r>
      <w:r>
        <w:rPr>
          <w:rFonts w:hint="eastAsia"/>
        </w:rPr>
        <w:t>中附录</w:t>
      </w:r>
      <w:r>
        <w:t>C</w:t>
      </w:r>
      <w:r>
        <w:rPr>
          <w:rFonts w:hint="eastAsia"/>
        </w:rPr>
        <w:t>中规定的4类行业</w:t>
      </w:r>
      <w:r>
        <w:rPr>
          <w:rFonts w:hAnsi="宋体"/>
          <w:kern w:val="0"/>
          <w:szCs w:val="24"/>
        </w:rPr>
        <w:t>。</w:t>
      </w:r>
    </w:p>
    <w:p>
      <w:pPr>
        <w:autoSpaceDE w:val="0"/>
        <w:autoSpaceDN w:val="0"/>
        <w:adjustRightInd w:val="0"/>
        <w:ind w:firstLine="480"/>
        <w:rPr>
          <w:kern w:val="0"/>
          <w:szCs w:val="24"/>
        </w:rPr>
      </w:pPr>
      <w:r>
        <w:rPr>
          <w:rFonts w:hint="eastAsia" w:hAnsi="宋体"/>
          <w:kern w:val="0"/>
          <w:szCs w:val="24"/>
        </w:rPr>
        <w:t>(3)</w:t>
      </w:r>
      <w:r>
        <w:rPr>
          <w:kern w:val="0"/>
          <w:szCs w:val="24"/>
        </w:rPr>
        <w:t>P</w:t>
      </w:r>
      <w:r>
        <w:rPr>
          <w:rFonts w:hint="eastAsia"/>
          <w:kern w:val="0"/>
          <w:szCs w:val="24"/>
        </w:rPr>
        <w:t>的确定</w:t>
      </w:r>
    </w:p>
    <w:p>
      <w:pPr>
        <w:autoSpaceDE w:val="0"/>
        <w:autoSpaceDN w:val="0"/>
        <w:adjustRightInd w:val="0"/>
        <w:ind w:firstLine="480"/>
        <w:rPr>
          <w:kern w:val="0"/>
          <w:szCs w:val="24"/>
        </w:rPr>
      </w:pPr>
      <w:r>
        <w:rPr>
          <w:rFonts w:hint="eastAsia"/>
          <w:kern w:val="0"/>
          <w:szCs w:val="24"/>
        </w:rPr>
        <w:t>根据《建设项目环境风险评价技术导则》（</w:t>
      </w:r>
      <w:r>
        <w:rPr>
          <w:kern w:val="0"/>
          <w:szCs w:val="24"/>
        </w:rPr>
        <w:t>HJ169-2018</w:t>
      </w:r>
      <w:r>
        <w:rPr>
          <w:rFonts w:hint="eastAsia"/>
          <w:kern w:val="0"/>
          <w:szCs w:val="24"/>
        </w:rPr>
        <w:t>）附录</w:t>
      </w:r>
      <w:r>
        <w:rPr>
          <w:kern w:val="0"/>
          <w:szCs w:val="24"/>
        </w:rPr>
        <w:t>C</w:t>
      </w:r>
      <w:r>
        <w:rPr>
          <w:rFonts w:hint="eastAsia"/>
          <w:kern w:val="0"/>
          <w:szCs w:val="24"/>
        </w:rPr>
        <w:t>中</w:t>
      </w:r>
      <w:r>
        <w:rPr>
          <w:kern w:val="0"/>
          <w:szCs w:val="24"/>
        </w:rPr>
        <w:t xml:space="preserve">P </w:t>
      </w:r>
      <w:r>
        <w:rPr>
          <w:rFonts w:hint="eastAsia"/>
          <w:kern w:val="0"/>
          <w:szCs w:val="24"/>
        </w:rPr>
        <w:t>的确定依据，本项目危险物质数量与临界量的比值</w:t>
      </w:r>
      <w:r>
        <w:rPr>
          <w:kern w:val="0"/>
          <w:szCs w:val="24"/>
        </w:rPr>
        <w:t>Q</w:t>
      </w:r>
      <w:r>
        <w:rPr>
          <w:rFonts w:hint="eastAsia"/>
          <w:kern w:val="0"/>
          <w:szCs w:val="24"/>
        </w:rPr>
        <w:t>＜</w:t>
      </w:r>
      <w:r>
        <w:rPr>
          <w:kern w:val="0"/>
          <w:szCs w:val="24"/>
        </w:rPr>
        <w:t>1</w:t>
      </w:r>
      <w:r>
        <w:rPr>
          <w:rFonts w:hint="eastAsia"/>
          <w:kern w:val="0"/>
          <w:szCs w:val="24"/>
        </w:rPr>
        <w:t>，项目危险物质及工艺系统危害性（</w:t>
      </w:r>
      <w:r>
        <w:rPr>
          <w:kern w:val="0"/>
          <w:szCs w:val="24"/>
        </w:rPr>
        <w:t>P</w:t>
      </w:r>
      <w:r>
        <w:rPr>
          <w:rFonts w:hint="eastAsia"/>
          <w:kern w:val="0"/>
          <w:szCs w:val="24"/>
        </w:rPr>
        <w:t>）的等级无要求。</w:t>
      </w:r>
    </w:p>
    <w:p>
      <w:pPr>
        <w:pStyle w:val="835"/>
        <w:spacing w:before="0" w:line="360" w:lineRule="auto"/>
      </w:pPr>
      <w:r>
        <w:rPr>
          <w:rFonts w:hint="eastAsia"/>
        </w:rPr>
        <w:t>6</w:t>
      </w:r>
      <w:r>
        <w:t>.3.</w:t>
      </w:r>
      <w:r>
        <w:rPr>
          <w:rFonts w:hint="eastAsia"/>
        </w:rPr>
        <w:t>3风险潜势判断</w:t>
      </w:r>
    </w:p>
    <w:p>
      <w:pPr>
        <w:autoSpaceDE w:val="0"/>
        <w:autoSpaceDN w:val="0"/>
        <w:adjustRightInd w:val="0"/>
        <w:ind w:firstLine="480"/>
        <w:rPr>
          <w:kern w:val="0"/>
          <w:szCs w:val="24"/>
        </w:rPr>
      </w:pPr>
      <w:r>
        <w:rPr>
          <w:rFonts w:hint="eastAsia"/>
          <w:kern w:val="0"/>
          <w:szCs w:val="24"/>
        </w:rPr>
        <w:t>根据《建设项目环境风险评价技术导则》（</w:t>
      </w:r>
      <w:r>
        <w:rPr>
          <w:kern w:val="0"/>
          <w:szCs w:val="24"/>
        </w:rPr>
        <w:t>HJ169-2018</w:t>
      </w:r>
      <w:r>
        <w:rPr>
          <w:rFonts w:hint="eastAsia"/>
          <w:kern w:val="0"/>
          <w:szCs w:val="24"/>
        </w:rPr>
        <w:t>）划分依据，本项目危险物质数量与临界量的比值</w:t>
      </w:r>
      <w:r>
        <w:rPr>
          <w:kern w:val="0"/>
          <w:szCs w:val="24"/>
        </w:rPr>
        <w:t>Q</w:t>
      </w:r>
      <w:r>
        <w:rPr>
          <w:rFonts w:hint="eastAsia"/>
          <w:kern w:val="0"/>
          <w:szCs w:val="24"/>
        </w:rPr>
        <w:t>＜</w:t>
      </w:r>
      <w:r>
        <w:rPr>
          <w:kern w:val="0"/>
          <w:szCs w:val="24"/>
        </w:rPr>
        <w:t>1</w:t>
      </w:r>
      <w:r>
        <w:rPr>
          <w:rFonts w:hint="eastAsia"/>
          <w:kern w:val="0"/>
          <w:szCs w:val="24"/>
        </w:rPr>
        <w:t>，本项目大气环境、地表水和地下水风险潜势均为Ⅰ。</w:t>
      </w:r>
    </w:p>
    <w:p>
      <w:pPr>
        <w:pStyle w:val="6"/>
        <w:spacing w:beforeLines="50" w:afterLines="50"/>
        <w:rPr>
          <w:szCs w:val="28"/>
        </w:rPr>
      </w:pPr>
      <w:bookmarkStart w:id="973" w:name="_Toc18223"/>
      <w:r>
        <w:rPr>
          <w:rFonts w:hint="eastAsia"/>
          <w:szCs w:val="28"/>
        </w:rPr>
        <w:t>6</w:t>
      </w:r>
      <w:r>
        <w:rPr>
          <w:szCs w:val="28"/>
        </w:rPr>
        <w:t>.4</w:t>
      </w:r>
      <w:r>
        <w:rPr>
          <w:rFonts w:hint="eastAsia"/>
          <w:szCs w:val="28"/>
        </w:rPr>
        <w:t>环境风险评价等级</w:t>
      </w:r>
      <w:bookmarkEnd w:id="973"/>
    </w:p>
    <w:p>
      <w:pPr>
        <w:autoSpaceDE w:val="0"/>
        <w:autoSpaceDN w:val="0"/>
        <w:adjustRightInd w:val="0"/>
        <w:ind w:firstLine="480"/>
        <w:rPr>
          <w:kern w:val="0"/>
          <w:szCs w:val="24"/>
        </w:rPr>
      </w:pPr>
      <w:r>
        <w:rPr>
          <w:kern w:val="0"/>
          <w:szCs w:val="24"/>
        </w:rPr>
        <w:t>根据《建设项目环境风险评价技术导则》（HJ169-2018）评价工作等级划分要求，</w:t>
      </w:r>
      <w:r>
        <w:rPr>
          <w:rFonts w:hint="eastAsia"/>
          <w:kern w:val="0"/>
          <w:szCs w:val="24"/>
        </w:rPr>
        <w:t>项目大气环境、地表水和地下水风险潜势均为Ⅰ，</w:t>
      </w:r>
      <w:r>
        <w:rPr>
          <w:kern w:val="0"/>
          <w:szCs w:val="24"/>
        </w:rPr>
        <w:t>确定本项目环境风险评价等级为简单分析，详见表</w:t>
      </w:r>
      <w:r>
        <w:rPr>
          <w:rFonts w:hint="eastAsia"/>
          <w:kern w:val="0"/>
          <w:szCs w:val="24"/>
        </w:rPr>
        <w:t>6.4-1</w:t>
      </w:r>
      <w:r>
        <w:rPr>
          <w:kern w:val="0"/>
          <w:szCs w:val="24"/>
        </w:rPr>
        <w:t>。</w:t>
      </w:r>
    </w:p>
    <w:p>
      <w:pPr>
        <w:autoSpaceDE w:val="0"/>
        <w:autoSpaceDN w:val="0"/>
        <w:adjustRightInd w:val="0"/>
        <w:spacing w:before="120" w:beforeLines="50" w:line="240" w:lineRule="auto"/>
        <w:ind w:firstLine="480"/>
        <w:jc w:val="center"/>
        <w:rPr>
          <w:rFonts w:hAnsi="黑体" w:eastAsia="黑体"/>
          <w:szCs w:val="22"/>
        </w:rPr>
      </w:pPr>
      <w:r>
        <w:rPr>
          <w:rFonts w:hint="eastAsia" w:hAnsi="黑体" w:eastAsia="黑体"/>
          <w:szCs w:val="22"/>
        </w:rPr>
        <w:t xml:space="preserve">表6.4-1 </w:t>
      </w:r>
      <w:r>
        <w:rPr>
          <w:rFonts w:hAnsi="黑体" w:eastAsia="黑体"/>
          <w:szCs w:val="22"/>
        </w:rPr>
        <w:t xml:space="preserve"> </w:t>
      </w:r>
      <w:r>
        <w:rPr>
          <w:rFonts w:hint="eastAsia" w:hAnsi="黑体" w:eastAsia="黑体"/>
          <w:szCs w:val="22"/>
        </w:rPr>
        <w:t>风险评价工作级别划分</w:t>
      </w:r>
    </w:p>
    <w:tbl>
      <w:tblPr>
        <w:tblStyle w:val="8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4"/>
        <w:gridCol w:w="1914"/>
        <w:gridCol w:w="1914"/>
        <w:gridCol w:w="1914"/>
        <w:gridCol w:w="1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环境风险潜</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IV+、IV</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III</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II</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评价工作等</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一</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二</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三</w:t>
            </w:r>
          </w:p>
        </w:tc>
        <w:tc>
          <w:tcPr>
            <w:tcW w:w="1000" w:type="pct"/>
            <w:vAlign w:val="center"/>
          </w:tcPr>
          <w:p>
            <w:pPr>
              <w:pStyle w:val="573"/>
              <w:spacing w:line="340" w:lineRule="exact"/>
              <w:jc w:val="center"/>
              <w:rPr>
                <w:rFonts w:ascii="Times New Roman" w:hAnsi="宋体" w:cs="Times New Roman"/>
                <w:color w:val="auto"/>
                <w:sz w:val="21"/>
                <w:szCs w:val="21"/>
              </w:rPr>
            </w:pPr>
            <w:r>
              <w:rPr>
                <w:rFonts w:ascii="Times New Roman" w:hAnsi="宋体" w:cs="Times New Roman"/>
                <w:color w:val="auto"/>
                <w:sz w:val="21"/>
                <w:szCs w:val="21"/>
              </w:rPr>
              <w:t>简单分析</w:t>
            </w:r>
          </w:p>
        </w:tc>
      </w:tr>
    </w:tbl>
    <w:p>
      <w:pPr>
        <w:pStyle w:val="6"/>
        <w:spacing w:beforeLines="50" w:afterLines="50"/>
        <w:rPr>
          <w:szCs w:val="28"/>
        </w:rPr>
      </w:pPr>
      <w:bookmarkStart w:id="974" w:name="_Toc17469"/>
      <w:r>
        <w:rPr>
          <w:rFonts w:hint="eastAsia"/>
          <w:szCs w:val="28"/>
        </w:rPr>
        <w:t>6</w:t>
      </w:r>
      <w:r>
        <w:rPr>
          <w:szCs w:val="28"/>
        </w:rPr>
        <w:t>.5</w:t>
      </w:r>
      <w:r>
        <w:rPr>
          <w:rFonts w:hint="eastAsia"/>
          <w:szCs w:val="28"/>
        </w:rPr>
        <w:t>风险影响分析及防范措施</w:t>
      </w:r>
      <w:bookmarkEnd w:id="974"/>
    </w:p>
    <w:p>
      <w:pPr>
        <w:pStyle w:val="835"/>
        <w:spacing w:before="0" w:line="360" w:lineRule="auto"/>
      </w:pPr>
      <w:bookmarkStart w:id="975" w:name="_Toc534386344"/>
      <w:bookmarkStart w:id="976" w:name="_Toc529279100"/>
      <w:bookmarkStart w:id="977" w:name="_Toc534895312"/>
      <w:bookmarkStart w:id="978" w:name="_Toc534807095"/>
      <w:bookmarkStart w:id="979" w:name="_Toc3903321"/>
      <w:bookmarkStart w:id="980" w:name="_Toc536265184"/>
      <w:r>
        <w:rPr>
          <w:rFonts w:hint="eastAsia"/>
        </w:rPr>
        <w:t>6</w:t>
      </w:r>
      <w:r>
        <w:t>.</w:t>
      </w:r>
      <w:r>
        <w:rPr>
          <w:rFonts w:hint="eastAsia"/>
        </w:rPr>
        <w:t>5</w:t>
      </w:r>
      <w:r>
        <w:t>.1</w:t>
      </w:r>
      <w:bookmarkEnd w:id="975"/>
      <w:bookmarkEnd w:id="976"/>
      <w:r>
        <w:t>油料</w:t>
      </w:r>
      <w:r>
        <w:rPr>
          <w:rFonts w:hint="eastAsia"/>
        </w:rPr>
        <w:t>运输</w:t>
      </w:r>
      <w:r>
        <w:t>风险分析及防范措施</w:t>
      </w:r>
      <w:bookmarkEnd w:id="977"/>
      <w:bookmarkEnd w:id="978"/>
      <w:bookmarkEnd w:id="979"/>
      <w:bookmarkEnd w:id="980"/>
    </w:p>
    <w:p>
      <w:pPr>
        <w:ind w:firstLine="0" w:firstLineChars="0"/>
        <w:rPr>
          <w:b/>
        </w:rPr>
      </w:pPr>
      <w:r>
        <w:rPr>
          <w:rFonts w:hint="eastAsia"/>
          <w:b/>
        </w:rPr>
        <w:t>6</w:t>
      </w:r>
      <w:r>
        <w:rPr>
          <w:b/>
        </w:rPr>
        <w:t>.</w:t>
      </w:r>
      <w:r>
        <w:rPr>
          <w:rFonts w:hint="eastAsia"/>
          <w:b/>
        </w:rPr>
        <w:t>5</w:t>
      </w:r>
      <w:r>
        <w:rPr>
          <w:b/>
        </w:rPr>
        <w:t>.1.</w:t>
      </w:r>
      <w:r>
        <w:rPr>
          <w:rFonts w:hint="eastAsia"/>
          <w:b/>
        </w:rPr>
        <w:t>1</w:t>
      </w:r>
      <w:r>
        <w:rPr>
          <w:b/>
        </w:rPr>
        <w:t>风险分析</w:t>
      </w:r>
    </w:p>
    <w:p>
      <w:pPr>
        <w:ind w:firstLine="480"/>
      </w:pPr>
      <w:r>
        <w:t>油料属于易燃易爆物质，在车辆运输过程中，有可能遇到或发生交通事故，引发油料爆炸或造成油料泄漏，从而污染周围生态环境和环境质量</w:t>
      </w:r>
      <w:r>
        <w:rPr>
          <w:rFonts w:hint="eastAsia"/>
        </w:rPr>
        <w:t>；</w:t>
      </w:r>
      <w:r>
        <w:t>在使用过程中，由于操作不规范，可能引发一定的事故风险。</w:t>
      </w:r>
    </w:p>
    <w:p>
      <w:pPr>
        <w:ind w:firstLine="0" w:firstLineChars="0"/>
        <w:rPr>
          <w:b/>
        </w:rPr>
      </w:pPr>
      <w:r>
        <w:rPr>
          <w:rFonts w:hint="eastAsia"/>
          <w:b/>
        </w:rPr>
        <w:t>6</w:t>
      </w:r>
      <w:r>
        <w:rPr>
          <w:b/>
        </w:rPr>
        <w:t>.</w:t>
      </w:r>
      <w:r>
        <w:rPr>
          <w:rFonts w:hint="eastAsia"/>
          <w:b/>
        </w:rPr>
        <w:t>5</w:t>
      </w:r>
      <w:r>
        <w:rPr>
          <w:b/>
        </w:rPr>
        <w:t>.1.</w:t>
      </w:r>
      <w:r>
        <w:rPr>
          <w:rFonts w:hint="eastAsia"/>
          <w:b/>
        </w:rPr>
        <w:t>2</w:t>
      </w:r>
      <w:r>
        <w:rPr>
          <w:b/>
        </w:rPr>
        <w:t>风险防范与减缓措施</w:t>
      </w:r>
    </w:p>
    <w:p>
      <w:pPr>
        <w:ind w:firstLine="480"/>
        <w:rPr>
          <w:kern w:val="0"/>
          <w:szCs w:val="24"/>
        </w:rPr>
      </w:pPr>
      <w:r>
        <w:rPr>
          <w:kern w:val="0"/>
          <w:szCs w:val="24"/>
        </w:rPr>
        <w:t>为确保施工期所用的油料等危险物品在运输和使用中的安全，应采取相应的防护措施，具体措施如下：</w:t>
      </w:r>
    </w:p>
    <w:p>
      <w:pPr>
        <w:ind w:firstLine="480"/>
        <w:rPr>
          <w:kern w:val="0"/>
          <w:szCs w:val="24"/>
        </w:rPr>
      </w:pPr>
      <w:r>
        <w:rPr>
          <w:rFonts w:hint="eastAsia" w:ascii="宋体" w:hAnsi="宋体" w:cs="宋体"/>
          <w:kern w:val="0"/>
          <w:szCs w:val="24"/>
        </w:rPr>
        <w:t>⑴</w:t>
      </w:r>
      <w:r>
        <w:rPr>
          <w:kern w:val="0"/>
          <w:szCs w:val="24"/>
        </w:rPr>
        <w:t>建立以水库建设环境保护领导小组为核心的责任制，层层签订责任书，明确各级环保人员应承担的环境风险管理责任。</w:t>
      </w:r>
    </w:p>
    <w:p>
      <w:pPr>
        <w:ind w:firstLine="480"/>
        <w:rPr>
          <w:kern w:val="0"/>
          <w:szCs w:val="24"/>
        </w:rPr>
      </w:pPr>
      <w:r>
        <w:rPr>
          <w:rFonts w:hint="eastAsia" w:ascii="宋体" w:hAnsi="宋体" w:cs="宋体"/>
          <w:kern w:val="0"/>
          <w:szCs w:val="24"/>
        </w:rPr>
        <w:t>⑵</w:t>
      </w:r>
      <w:r>
        <w:rPr>
          <w:kern w:val="0"/>
          <w:szCs w:val="24"/>
        </w:rPr>
        <w:t>环境保护领导小组应加强施工队伍的环境风险意识的宣传教育，并与运输油料的承包方签订事故责任合同，确保运输风险减缓措施得到落实；在易发生环境事故的设施，建立岗位责任制，明确管理责任。</w:t>
      </w:r>
    </w:p>
    <w:p>
      <w:pPr>
        <w:ind w:firstLine="480"/>
        <w:rPr>
          <w:kern w:val="0"/>
          <w:szCs w:val="24"/>
        </w:rPr>
      </w:pPr>
      <w:r>
        <w:rPr>
          <w:rFonts w:hint="eastAsia" w:ascii="宋体" w:hAnsi="宋体" w:cs="宋体"/>
          <w:kern w:val="0"/>
          <w:szCs w:val="24"/>
        </w:rPr>
        <w:t>⑶</w:t>
      </w:r>
      <w:r>
        <w:rPr>
          <w:kern w:val="0"/>
          <w:szCs w:val="24"/>
        </w:rPr>
        <w:t>油料的运输必须事先申请并经公安、环保等有关部门批准、登记，并且达到相关标准要求。</w:t>
      </w:r>
    </w:p>
    <w:p>
      <w:pPr>
        <w:ind w:firstLine="480"/>
        <w:rPr>
          <w:kern w:val="0"/>
          <w:szCs w:val="24"/>
        </w:rPr>
      </w:pPr>
      <w:r>
        <w:rPr>
          <w:rFonts w:hint="eastAsia" w:ascii="宋体" w:hAnsi="宋体" w:cs="宋体"/>
          <w:kern w:val="0"/>
          <w:szCs w:val="24"/>
        </w:rPr>
        <w:t>⑷</w:t>
      </w:r>
      <w:r>
        <w:rPr>
          <w:kern w:val="0"/>
          <w:szCs w:val="24"/>
        </w:rPr>
        <w:t>加强运输人员的环境污染事故安全知识教育，运输人员应严格遵守易燃、易爆等危险货物运输的有关规定，具体包括《汽车危险货物运输规则》、《汽车危险货物运输、装卸作业规程》。</w:t>
      </w:r>
    </w:p>
    <w:p>
      <w:pPr>
        <w:ind w:firstLine="480"/>
        <w:rPr>
          <w:kern w:val="0"/>
          <w:szCs w:val="24"/>
        </w:rPr>
      </w:pPr>
      <w:r>
        <w:rPr>
          <w:rFonts w:hint="eastAsia" w:ascii="宋体" w:hAnsi="宋体" w:cs="宋体"/>
          <w:kern w:val="0"/>
          <w:szCs w:val="24"/>
        </w:rPr>
        <w:t>⑸</w:t>
      </w:r>
      <w:r>
        <w:rPr>
          <w:kern w:val="0"/>
          <w:szCs w:val="24"/>
        </w:rPr>
        <w:t>油料运输采用密闭性能优越的储油罐，储存时应该按照相关规范分类、定点储存。</w:t>
      </w:r>
    </w:p>
    <w:p>
      <w:pPr>
        <w:ind w:firstLine="480"/>
        <w:rPr>
          <w:kern w:val="0"/>
          <w:szCs w:val="24"/>
        </w:rPr>
      </w:pPr>
      <w:r>
        <w:rPr>
          <w:rFonts w:hint="eastAsia" w:ascii="宋体" w:hAnsi="宋体" w:cs="宋体"/>
          <w:kern w:val="0"/>
          <w:szCs w:val="24"/>
        </w:rPr>
        <w:t>⑹</w:t>
      </w:r>
      <w:r>
        <w:rPr>
          <w:kern w:val="0"/>
          <w:szCs w:val="24"/>
        </w:rPr>
        <w:t>定期检查储存场所各类电气开关和线路，防止由于设备老化、短路而成为事故隐患。</w:t>
      </w:r>
    </w:p>
    <w:p>
      <w:pPr>
        <w:ind w:firstLine="480"/>
        <w:rPr>
          <w:kern w:val="0"/>
          <w:szCs w:val="24"/>
        </w:rPr>
      </w:pPr>
      <w:r>
        <w:rPr>
          <w:rFonts w:hint="eastAsia" w:ascii="宋体" w:hAnsi="宋体" w:cs="宋体"/>
          <w:kern w:val="0"/>
          <w:szCs w:val="24"/>
        </w:rPr>
        <w:t>⑺</w:t>
      </w:r>
      <w:r>
        <w:rPr>
          <w:kern w:val="0"/>
          <w:szCs w:val="24"/>
        </w:rPr>
        <w:t>配备必需的消防器材，并定期更换，以保证消防器材在任何时候均处于有效状态。</w:t>
      </w:r>
    </w:p>
    <w:p>
      <w:pPr>
        <w:pStyle w:val="835"/>
        <w:spacing w:before="0" w:line="360" w:lineRule="auto"/>
      </w:pPr>
      <w:bookmarkStart w:id="981" w:name="_Toc3903322"/>
      <w:bookmarkStart w:id="982" w:name="_Toc534807096"/>
      <w:bookmarkStart w:id="983" w:name="_Toc534895313"/>
      <w:bookmarkStart w:id="984" w:name="_Toc536265185"/>
      <w:r>
        <w:rPr>
          <w:rFonts w:hint="eastAsia"/>
        </w:rPr>
        <w:t>6</w:t>
      </w:r>
      <w:r>
        <w:t>.</w:t>
      </w:r>
      <w:r>
        <w:rPr>
          <w:rFonts w:hint="eastAsia"/>
        </w:rPr>
        <w:t>5</w:t>
      </w:r>
      <w:r>
        <w:t>.2废污水事故排放风险分析及防范措施</w:t>
      </w:r>
      <w:bookmarkEnd w:id="981"/>
      <w:bookmarkEnd w:id="982"/>
      <w:bookmarkEnd w:id="983"/>
      <w:bookmarkEnd w:id="984"/>
    </w:p>
    <w:p>
      <w:pPr>
        <w:ind w:firstLine="0" w:firstLineChars="0"/>
        <w:rPr>
          <w:b/>
        </w:rPr>
      </w:pPr>
      <w:r>
        <w:rPr>
          <w:rFonts w:hint="eastAsia"/>
          <w:b/>
        </w:rPr>
        <w:t>6</w:t>
      </w:r>
      <w:r>
        <w:rPr>
          <w:b/>
        </w:rPr>
        <w:t>.</w:t>
      </w:r>
      <w:r>
        <w:rPr>
          <w:rFonts w:hint="eastAsia"/>
          <w:b/>
        </w:rPr>
        <w:t>5</w:t>
      </w:r>
      <w:r>
        <w:rPr>
          <w:b/>
        </w:rPr>
        <w:t>.2.1风险识别</w:t>
      </w:r>
    </w:p>
    <w:p>
      <w:pPr>
        <w:ind w:firstLine="480"/>
      </w:pPr>
      <w:r>
        <w:t>根据本项目环境保护措施设计，坝址工程施工区施工废水经处理后回用于生产，</w:t>
      </w:r>
      <w:r>
        <w:rPr>
          <w:rFonts w:hint="eastAsia"/>
        </w:rPr>
        <w:t>生活</w:t>
      </w:r>
      <w:r>
        <w:t>污水经旱厕处理后用于肥田，正常情况下，各施工区废污水对周边环境无影响。但在处理设施不能正常使用时，废污水可能事故排入周围水体、冲沟、土壤中，对环境产生不利影响。</w:t>
      </w:r>
    </w:p>
    <w:p>
      <w:pPr>
        <w:ind w:firstLine="0" w:firstLineChars="0"/>
        <w:rPr>
          <w:b/>
        </w:rPr>
      </w:pPr>
      <w:r>
        <w:rPr>
          <w:rFonts w:hint="eastAsia"/>
          <w:b/>
        </w:rPr>
        <w:t>6</w:t>
      </w:r>
      <w:r>
        <w:rPr>
          <w:b/>
        </w:rPr>
        <w:t>.</w:t>
      </w:r>
      <w:r>
        <w:rPr>
          <w:rFonts w:hint="eastAsia"/>
          <w:b/>
        </w:rPr>
        <w:t>5</w:t>
      </w:r>
      <w:r>
        <w:rPr>
          <w:b/>
        </w:rPr>
        <w:t>.2.2风险分析</w:t>
      </w:r>
    </w:p>
    <w:p>
      <w:pPr>
        <w:ind w:firstLine="480"/>
      </w:pPr>
      <w:r>
        <w:t>废污水处理措施若维护不当或受人为破坏后不能正常运行，废污水未经处理有可能直接排入</w:t>
      </w:r>
      <w:r>
        <w:rPr>
          <w:rFonts w:hint="eastAsia"/>
        </w:rPr>
        <w:t>锦</w:t>
      </w:r>
      <w:r>
        <w:t>河，对</w:t>
      </w:r>
      <w:r>
        <w:rPr>
          <w:rFonts w:hint="eastAsia"/>
        </w:rPr>
        <w:t>锦</w:t>
      </w:r>
      <w:r>
        <w:t>河下游水质造成污染。因此，需加强废污水排放、处理的管理，并制定相应的风险防范措施。</w:t>
      </w:r>
    </w:p>
    <w:p>
      <w:pPr>
        <w:ind w:firstLine="0" w:firstLineChars="0"/>
        <w:rPr>
          <w:b/>
        </w:rPr>
      </w:pPr>
      <w:r>
        <w:rPr>
          <w:rFonts w:hint="eastAsia"/>
          <w:b/>
        </w:rPr>
        <w:t>6</w:t>
      </w:r>
      <w:r>
        <w:rPr>
          <w:b/>
        </w:rPr>
        <w:t>.</w:t>
      </w:r>
      <w:r>
        <w:rPr>
          <w:rFonts w:hint="eastAsia"/>
          <w:b/>
        </w:rPr>
        <w:t>5</w:t>
      </w:r>
      <w:r>
        <w:rPr>
          <w:b/>
        </w:rPr>
        <w:t>.2.3风险防范与减缓措施</w:t>
      </w:r>
    </w:p>
    <w:p>
      <w:pPr>
        <w:ind w:firstLine="480"/>
      </w:pPr>
      <w:r>
        <w:t>为减小废水排放风险，工程环境管理部门应加强对废水处理的监控和管理。对操作人员实行培训上岗，发现事故排放造成的污染时应及时通知现场负责人和环境管理单位，并协助调查处理。针对各类废水处理系统的检修，提出完善的管理制度和施工安排；废水处理设施一旦出现故障，立即停止相关设备的运行，并将废水暂存，排除隐患后方可继续运行。</w:t>
      </w:r>
    </w:p>
    <w:p>
      <w:pPr>
        <w:pStyle w:val="835"/>
        <w:spacing w:before="0" w:line="360" w:lineRule="auto"/>
      </w:pPr>
      <w:bookmarkStart w:id="985" w:name="_Toc534807097"/>
      <w:bookmarkStart w:id="986" w:name="_Toc534895314"/>
      <w:bookmarkStart w:id="987" w:name="_Toc3903323"/>
      <w:bookmarkStart w:id="988" w:name="_Toc536265186"/>
      <w:r>
        <w:rPr>
          <w:rFonts w:hint="eastAsia"/>
        </w:rPr>
        <w:t>6</w:t>
      </w:r>
      <w:r>
        <w:t>.</w:t>
      </w:r>
      <w:r>
        <w:rPr>
          <w:rFonts w:hint="eastAsia"/>
        </w:rPr>
        <w:t>5</w:t>
      </w:r>
      <w:r>
        <w:t>.3大坝溃坝风险分析及防范措施</w:t>
      </w:r>
      <w:bookmarkEnd w:id="985"/>
      <w:bookmarkEnd w:id="986"/>
      <w:bookmarkEnd w:id="987"/>
      <w:bookmarkEnd w:id="988"/>
    </w:p>
    <w:p>
      <w:pPr>
        <w:ind w:firstLine="0" w:firstLineChars="0"/>
        <w:rPr>
          <w:b/>
        </w:rPr>
      </w:pPr>
      <w:r>
        <w:rPr>
          <w:rFonts w:hint="eastAsia"/>
          <w:b/>
        </w:rPr>
        <w:t>6</w:t>
      </w:r>
      <w:r>
        <w:rPr>
          <w:b/>
        </w:rPr>
        <w:t>.</w:t>
      </w:r>
      <w:r>
        <w:rPr>
          <w:rFonts w:hint="eastAsia"/>
          <w:b/>
        </w:rPr>
        <w:t>5</w:t>
      </w:r>
      <w:r>
        <w:rPr>
          <w:b/>
        </w:rPr>
        <w:t>.3.1风险识别</w:t>
      </w:r>
    </w:p>
    <w:p>
      <w:pPr>
        <w:ind w:firstLine="480"/>
      </w:pPr>
      <w:r>
        <w:rPr>
          <w:rFonts w:hint="eastAsia"/>
        </w:rPr>
        <w:t>上高</w:t>
      </w:r>
      <w:r>
        <w:t>县</w:t>
      </w:r>
      <w:r>
        <w:rPr>
          <w:rFonts w:hint="eastAsia"/>
        </w:rPr>
        <w:t>毛家渡</w:t>
      </w:r>
      <w:r>
        <w:t>抬水坝为</w:t>
      </w:r>
      <w:r>
        <w:rPr>
          <w:rFonts w:hint="eastAsia"/>
        </w:rPr>
        <w:t>液压</w:t>
      </w:r>
      <w:r>
        <w:t>坝，正常蓄水位</w:t>
      </w:r>
      <w:r>
        <w:rPr>
          <w:rFonts w:hint="eastAsia"/>
        </w:rPr>
        <w:t>44.5</w:t>
      </w:r>
      <w:r>
        <w:t>m，抬水闸坝(包含泄洪闸、冲砂闸) 按</w:t>
      </w:r>
      <w:r>
        <w:rPr>
          <w:rFonts w:hint="eastAsia"/>
        </w:rPr>
        <w:t>2</w:t>
      </w:r>
      <w:r>
        <w:t>0年一遇洪水设计，</w:t>
      </w:r>
      <w:r>
        <w:rPr>
          <w:rFonts w:hint="eastAsia"/>
        </w:rPr>
        <w:t>5</w:t>
      </w:r>
      <w:r>
        <w:t>0年一遇洪水校核，即大坝能抵御</w:t>
      </w:r>
      <w:r>
        <w:rPr>
          <w:rFonts w:hint="eastAsia"/>
        </w:rPr>
        <w:t>5</w:t>
      </w:r>
      <w:r>
        <w:t>0年一遇的洪水，因此水库在正常运行状况下是安全可靠的。但在</w:t>
      </w:r>
      <w:r>
        <w:rPr>
          <w:rFonts w:hint="eastAsia"/>
        </w:rPr>
        <w:t>5</w:t>
      </w:r>
      <w:r>
        <w:t>0年一遇以上特大洪水情况下以及其他极端情况下（如战争、地震、人为破坏），不排除存在溃坝事故发生的可能。溃坝将会造成下游河段水位骤增，淹没下游植被及农田，造成财产损失和人员伤亡，对下游河段两侧的居民的生产和生活造成严重的影响，造成巨大的经济损失。</w:t>
      </w:r>
    </w:p>
    <w:p>
      <w:pPr>
        <w:ind w:firstLine="0" w:firstLineChars="0"/>
        <w:rPr>
          <w:b/>
        </w:rPr>
      </w:pPr>
      <w:r>
        <w:rPr>
          <w:rFonts w:hint="eastAsia"/>
          <w:b/>
        </w:rPr>
        <w:t>6</w:t>
      </w:r>
      <w:r>
        <w:rPr>
          <w:b/>
        </w:rPr>
        <w:t>.</w:t>
      </w:r>
      <w:r>
        <w:rPr>
          <w:rFonts w:hint="eastAsia"/>
          <w:b/>
        </w:rPr>
        <w:t>5</w:t>
      </w:r>
      <w:r>
        <w:rPr>
          <w:b/>
        </w:rPr>
        <w:t>.3.2风险分析</w:t>
      </w:r>
    </w:p>
    <w:p>
      <w:pPr>
        <w:ind w:firstLine="480"/>
      </w:pPr>
      <w:r>
        <w:rPr>
          <w:rFonts w:hint="eastAsia" w:ascii="宋体" w:hAnsi="宋体" w:cs="宋体"/>
        </w:rPr>
        <w:t>⑴</w:t>
      </w:r>
      <w:r>
        <w:t>溃坝预测</w:t>
      </w:r>
    </w:p>
    <w:p>
      <w:pPr>
        <w:ind w:firstLine="480"/>
      </w:pPr>
      <w:r>
        <w:t>本风险分析仅针对非常态洪水等导致溃坝而造成的危害性进行分析。分析方法采用A.Ritter里特尔公式（《水库溃坝的模拟计算方法》师鹏飞西安理工大学环境科学研究所）估算坝体瞬间全溃时，坝址断面最大泄量：</w:t>
      </w:r>
    </w:p>
    <w:p>
      <w:pPr>
        <w:ind w:firstLine="0" w:firstLineChars="0"/>
        <w:jc w:val="center"/>
      </w:pPr>
      <w:r>
        <w:drawing>
          <wp:inline distT="0" distB="0" distL="114300" distR="114300">
            <wp:extent cx="1476375" cy="342900"/>
            <wp:effectExtent l="0" t="0" r="0"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112"/>
                    <a:stretch>
                      <a:fillRect/>
                    </a:stretch>
                  </pic:blipFill>
                  <pic:spPr>
                    <a:xfrm>
                      <a:off x="0" y="0"/>
                      <a:ext cx="1476375" cy="342900"/>
                    </a:xfrm>
                    <a:prstGeom prst="rect">
                      <a:avLst/>
                    </a:prstGeom>
                    <a:noFill/>
                    <a:ln>
                      <a:noFill/>
                    </a:ln>
                  </pic:spPr>
                </pic:pic>
              </a:graphicData>
            </a:graphic>
          </wp:inline>
        </w:drawing>
      </w:r>
    </w:p>
    <w:p>
      <w:pPr>
        <w:ind w:firstLine="480"/>
      </w:pPr>
      <w:r>
        <w:t>式中：B—坝址断面的平均宽度，m；（取4m）</w:t>
      </w:r>
    </w:p>
    <w:p>
      <w:pPr>
        <w:ind w:firstLine="1200" w:firstLineChars="500"/>
      </w:pPr>
      <w:r>
        <w:t>h</w:t>
      </w:r>
      <w:r>
        <w:rPr>
          <w:vertAlign w:val="subscript"/>
        </w:rPr>
        <w:t>0</w:t>
      </w:r>
      <w:r>
        <w:t>—溃坝前的坝前水深，m。（取5m）</w:t>
      </w:r>
    </w:p>
    <w:p>
      <w:pPr>
        <w:ind w:firstLine="480"/>
      </w:pPr>
      <w:r>
        <w:t>经计算，坝体瞬间全溃时，</w:t>
      </w:r>
      <w:r>
        <w:rPr>
          <w:rFonts w:hint="eastAsia"/>
        </w:rPr>
        <w:t>上高</w:t>
      </w:r>
      <w:r>
        <w:t>县</w:t>
      </w:r>
      <w:r>
        <w:rPr>
          <w:rFonts w:hint="eastAsia"/>
        </w:rPr>
        <w:t>毛家渡</w:t>
      </w:r>
      <w:r>
        <w:t>抬水坝坝址断面最大泄量4120m³/s，为设计洪水流量（3</w:t>
      </w:r>
      <w:r>
        <w:rPr>
          <w:rFonts w:hint="eastAsia"/>
        </w:rPr>
        <w:t>568</w:t>
      </w:r>
      <w:r>
        <w:t>m³/s）的</w:t>
      </w:r>
      <w:r>
        <w:rPr>
          <w:rFonts w:hint="eastAsia"/>
        </w:rPr>
        <w:t>1.15</w:t>
      </w:r>
      <w:r>
        <w:t>倍，校核洪水流量（4</w:t>
      </w:r>
      <w:r>
        <w:rPr>
          <w:rFonts w:hint="eastAsia"/>
        </w:rPr>
        <w:t>110</w:t>
      </w:r>
      <w:r>
        <w:t>m³/s）的</w:t>
      </w:r>
      <w:r>
        <w:rPr>
          <w:rFonts w:hint="eastAsia"/>
        </w:rPr>
        <w:t>1.00</w:t>
      </w:r>
      <w:r>
        <w:t>倍。</w:t>
      </w:r>
    </w:p>
    <w:p>
      <w:pPr>
        <w:ind w:firstLine="480"/>
      </w:pPr>
      <w:r>
        <w:rPr>
          <w:rFonts w:hint="eastAsia" w:ascii="宋体" w:hAnsi="宋体" w:cs="宋体"/>
        </w:rPr>
        <w:t>⑵</w:t>
      </w:r>
      <w:r>
        <w:t>风险评价</w:t>
      </w:r>
    </w:p>
    <w:p>
      <w:pPr>
        <w:ind w:firstLine="480"/>
      </w:pPr>
      <w:r>
        <w:t>在</w:t>
      </w:r>
      <w:r>
        <w:rPr>
          <w:rFonts w:hint="eastAsia"/>
        </w:rPr>
        <w:t>上高</w:t>
      </w:r>
      <w:r>
        <w:t>县</w:t>
      </w:r>
      <w:r>
        <w:rPr>
          <w:rFonts w:hint="eastAsia"/>
        </w:rPr>
        <w:t>毛家渡</w:t>
      </w:r>
      <w:r>
        <w:t>抬水坝溃坝的情况下，洪水将倾泄而下，冲刷下游河床，造成以下危害：</w:t>
      </w:r>
    </w:p>
    <w:p>
      <w:pPr>
        <w:ind w:firstLine="480"/>
      </w:pPr>
      <w:r>
        <w:rPr>
          <w:rFonts w:hint="eastAsia" w:ascii="宋体" w:hAnsi="宋体" w:cs="宋体"/>
        </w:rPr>
        <w:t>①</w:t>
      </w:r>
      <w:r>
        <w:t>蓄水河段下游部分耕地将被淹没，农业生产将遭受到破坏，土壤表层被冲蚀，岩石裸露，土地石化，不能耕作，使农田荒废难以恢复，同时溃坝洪水对沿河两岸造成过度冲刷，会造成岸坡失稳，影响水利设施的安全运行。</w:t>
      </w:r>
    </w:p>
    <w:p>
      <w:pPr>
        <w:ind w:firstLine="480"/>
      </w:pPr>
      <w:r>
        <w:rPr>
          <w:rFonts w:hint="eastAsia" w:ascii="宋体" w:hAnsi="宋体" w:cs="宋体"/>
        </w:rPr>
        <w:t>②</w:t>
      </w:r>
      <w:r>
        <w:t>溃坝洪水期间，水体水质恶化，特别是水体混浊度和悬浮固体物剧增，将严重影响下游两岸居民的生产生活，卫生要求难以保证；同时，洪水携带的大量泥沙、底泥，可能造成对下游水体的二次污染。</w:t>
      </w:r>
    </w:p>
    <w:p>
      <w:pPr>
        <w:ind w:firstLine="480"/>
      </w:pPr>
      <w:r>
        <w:rPr>
          <w:rFonts w:hint="eastAsia" w:ascii="宋体" w:hAnsi="宋体" w:cs="宋体"/>
        </w:rPr>
        <w:t>③</w:t>
      </w:r>
      <w:r>
        <w:t>溃坝洪水不仅会冲毁下游沿岸的房屋，造成较大的财产损失和人员伤亡，通讯、交通将中断，同时导致当地经济收入降低，增加政府救灾、救济工作的开支，且经济水平的恢复要持续几年，影响到区域的经济发展。</w:t>
      </w:r>
    </w:p>
    <w:p>
      <w:pPr>
        <w:ind w:firstLine="0" w:firstLineChars="0"/>
        <w:rPr>
          <w:b/>
        </w:rPr>
      </w:pPr>
      <w:r>
        <w:rPr>
          <w:rFonts w:hint="eastAsia"/>
          <w:b/>
        </w:rPr>
        <w:t>6</w:t>
      </w:r>
      <w:r>
        <w:rPr>
          <w:b/>
        </w:rPr>
        <w:t>.</w:t>
      </w:r>
      <w:r>
        <w:rPr>
          <w:rFonts w:hint="eastAsia"/>
          <w:b/>
        </w:rPr>
        <w:t>5</w:t>
      </w:r>
      <w:r>
        <w:rPr>
          <w:b/>
        </w:rPr>
        <w:t>.3.3防范措施</w:t>
      </w:r>
    </w:p>
    <w:p>
      <w:pPr>
        <w:ind w:firstLine="480"/>
      </w:pPr>
      <w:r>
        <w:t>经前述分析，溃坝将给坝址下游流域带来巨大灾难，因此必须通过已有科学手段，并采取有效的管理措施来加以防范：</w:t>
      </w:r>
    </w:p>
    <w:p>
      <w:pPr>
        <w:ind w:firstLine="480"/>
      </w:pPr>
      <w:r>
        <w:rPr>
          <w:rFonts w:hint="eastAsia" w:ascii="宋体" w:hAnsi="宋体" w:cs="宋体"/>
        </w:rPr>
        <w:t>⑴</w:t>
      </w:r>
      <w:r>
        <w:t>严格把好设计、施工、验收质量关，任何一个环节的质量控制不严，均有出现质量问题的可能性；</w:t>
      </w:r>
    </w:p>
    <w:p>
      <w:pPr>
        <w:ind w:firstLine="480"/>
      </w:pPr>
      <w:r>
        <w:rPr>
          <w:rFonts w:hint="eastAsia" w:ascii="宋体" w:hAnsi="宋体" w:cs="宋体"/>
        </w:rPr>
        <w:t>⑵</w:t>
      </w:r>
      <w:r>
        <w:t>建立防洪预警应急机制，当发生超标准洪水时，实施预警应急方案，避免或尽量减轻人员伤亡。针对可能的水文风险，有针对性地加强洪水的测报工作，特别要警惕超大坝安全设计标准的洪水，为大坝安全运行提供科学的依据，争取更多的时间抵御超标准洪水；</w:t>
      </w:r>
    </w:p>
    <w:p>
      <w:pPr>
        <w:ind w:firstLine="480"/>
      </w:pPr>
      <w:r>
        <w:rPr>
          <w:rFonts w:hint="eastAsia" w:ascii="宋体" w:hAnsi="宋体" w:cs="宋体"/>
        </w:rPr>
        <w:t>⑶</w:t>
      </w:r>
      <w:r>
        <w:t>加强日常维护、安全巡察工作，加强大坝安全监测，按照规定经常对闸坝安全进行监测，定期进行安全检查和鉴定，对观测资料进行整理和分析，发现异常情况必须及时处理。</w:t>
      </w:r>
    </w:p>
    <w:p>
      <w:pPr>
        <w:pStyle w:val="7"/>
        <w:spacing w:before="120" w:beforeLines="50"/>
        <w:jc w:val="both"/>
        <w:rPr>
          <w:szCs w:val="24"/>
        </w:rPr>
      </w:pPr>
      <w:bookmarkStart w:id="989" w:name="_Toc534895315"/>
      <w:bookmarkStart w:id="990" w:name="_Toc534807098"/>
      <w:bookmarkStart w:id="991" w:name="_Toc536265187"/>
      <w:bookmarkStart w:id="992" w:name="_Toc3903324"/>
      <w:r>
        <w:rPr>
          <w:rFonts w:hint="eastAsia"/>
          <w:szCs w:val="24"/>
        </w:rPr>
        <w:t>6</w:t>
      </w:r>
      <w:r>
        <w:rPr>
          <w:szCs w:val="24"/>
        </w:rPr>
        <w:t>.</w:t>
      </w:r>
      <w:r>
        <w:rPr>
          <w:rFonts w:hint="eastAsia"/>
          <w:szCs w:val="24"/>
        </w:rPr>
        <w:t>5</w:t>
      </w:r>
      <w:r>
        <w:rPr>
          <w:szCs w:val="24"/>
        </w:rPr>
        <w:t>.4渣场溃坝风险分析与防范</w:t>
      </w:r>
      <w:bookmarkEnd w:id="989"/>
      <w:bookmarkEnd w:id="990"/>
      <w:bookmarkEnd w:id="991"/>
      <w:bookmarkEnd w:id="992"/>
    </w:p>
    <w:p>
      <w:pPr>
        <w:ind w:firstLine="480"/>
      </w:pPr>
      <w:r>
        <w:t>项目在坝址</w:t>
      </w:r>
      <w:r>
        <w:rPr>
          <w:rFonts w:hint="eastAsia"/>
        </w:rPr>
        <w:t>附近</w:t>
      </w:r>
      <w:r>
        <w:t>布置</w:t>
      </w:r>
      <w:r>
        <w:rPr>
          <w:rFonts w:hint="eastAsia"/>
        </w:rPr>
        <w:t>1</w:t>
      </w:r>
      <w:r>
        <w:t>个渣场，根据水土保持设计渣场的合理性分析，采取措施后堆渣体是稳定的，不会发生通过渣体的剪切破坏而导致渣体的边坡失稳，也不会发生渣体与渣场底部的按触面的整体剪切破坏，导致渣体整体滑动；渣场的拦渣坝整体抗滑稳定和抗倾覆稳定均满足规范要求。因此，渣场出现滑坡或被暴雨洪水冲溃的可能性很小。</w:t>
      </w:r>
    </w:p>
    <w:p>
      <w:pPr>
        <w:ind w:firstLine="480"/>
      </w:pPr>
      <w:r>
        <w:t>但从安全角度出发，建议在下阶段水土保持工程设计中进一步核实渣场稳定性，在施工过程严格实施先拦后堆的施工工序，严格控制边坡坡度，避免渣场出现滑坡或被暴雨洪水冲溃的可能，运行期加强渣体稳定性监控面，及时发现并排除险情。</w:t>
      </w:r>
    </w:p>
    <w:p>
      <w:pPr>
        <w:pStyle w:val="7"/>
        <w:snapToGrid w:val="0"/>
        <w:rPr>
          <w:szCs w:val="24"/>
        </w:rPr>
      </w:pPr>
      <w:bookmarkStart w:id="993" w:name="_Toc534807099"/>
      <w:bookmarkStart w:id="994" w:name="_Toc529279119"/>
      <w:bookmarkStart w:id="995" w:name="_Toc3903325"/>
      <w:bookmarkStart w:id="996" w:name="_Toc534895316"/>
      <w:bookmarkStart w:id="997" w:name="_Toc536265188"/>
      <w:bookmarkStart w:id="998" w:name="_Toc534386363"/>
      <w:r>
        <w:rPr>
          <w:rFonts w:hint="eastAsia"/>
          <w:szCs w:val="24"/>
        </w:rPr>
        <w:t>6</w:t>
      </w:r>
      <w:r>
        <w:rPr>
          <w:szCs w:val="24"/>
        </w:rPr>
        <w:t>.</w:t>
      </w:r>
      <w:r>
        <w:rPr>
          <w:rFonts w:hint="eastAsia"/>
          <w:szCs w:val="24"/>
        </w:rPr>
        <w:t>5</w:t>
      </w:r>
      <w:r>
        <w:rPr>
          <w:szCs w:val="24"/>
        </w:rPr>
        <w:t>.5应急预案</w:t>
      </w:r>
      <w:bookmarkEnd w:id="993"/>
      <w:bookmarkEnd w:id="994"/>
      <w:bookmarkEnd w:id="995"/>
      <w:bookmarkEnd w:id="996"/>
      <w:bookmarkEnd w:id="997"/>
      <w:bookmarkEnd w:id="998"/>
    </w:p>
    <w:p>
      <w:pPr>
        <w:pStyle w:val="729"/>
        <w:spacing w:before="0" w:line="360" w:lineRule="auto"/>
        <w:ind w:firstLine="480"/>
      </w:pPr>
      <w:r>
        <w:t>项目应急预案组成如下：</w:t>
      </w:r>
    </w:p>
    <w:p>
      <w:pPr>
        <w:pStyle w:val="729"/>
        <w:spacing w:before="0" w:line="360" w:lineRule="auto"/>
        <w:ind w:firstLine="0" w:firstLineChars="0"/>
        <w:jc w:val="center"/>
      </w:pPr>
      <w:r>
        <w:object>
          <v:shape id="_x0000_i1049" o:spt="75" type="#_x0000_t75" style="height:201.5pt;width:353.2pt;" o:ole="t" filled="f" o:preferrelative="t" stroked="f" coordsize="21600,21600">
            <v:path/>
            <v:fill on="f" focussize="0,0"/>
            <v:stroke on="f"/>
            <v:imagedata r:id="rId114" o:title=""/>
            <o:lock v:ext="edit" aspectratio="t"/>
            <w10:wrap type="none"/>
            <w10:anchorlock/>
          </v:shape>
          <o:OLEObject Type="Embed" ProgID="Visio.Drawing.11" ShapeID="_x0000_i1049" DrawAspect="Content" ObjectID="_1468075749" r:id="rId113">
            <o:LockedField>false</o:LockedField>
          </o:OLEObject>
        </w:object>
      </w:r>
    </w:p>
    <w:p>
      <w:pPr>
        <w:pStyle w:val="729"/>
        <w:spacing w:before="0" w:line="360" w:lineRule="auto"/>
        <w:ind w:firstLine="0" w:firstLineChars="0"/>
        <w:jc w:val="center"/>
        <w:rPr>
          <w:rFonts w:eastAsia="黑体"/>
        </w:rPr>
      </w:pPr>
      <w:r>
        <w:rPr>
          <w:rFonts w:eastAsia="黑体"/>
        </w:rPr>
        <w:t>图</w:t>
      </w:r>
      <w:r>
        <w:rPr>
          <w:rFonts w:hint="eastAsia" w:eastAsia="黑体"/>
        </w:rPr>
        <w:t>6.5</w:t>
      </w:r>
      <w:r>
        <w:rPr>
          <w:rFonts w:eastAsia="黑体"/>
        </w:rPr>
        <w:t>-1应急预案组成</w:t>
      </w:r>
    </w:p>
    <w:p>
      <w:pPr>
        <w:pStyle w:val="729"/>
        <w:spacing w:before="0" w:line="360" w:lineRule="auto"/>
        <w:ind w:firstLine="0" w:firstLineChars="0"/>
        <w:rPr>
          <w:b/>
        </w:rPr>
      </w:pPr>
      <w:r>
        <w:rPr>
          <w:rFonts w:hint="eastAsia"/>
          <w:b/>
        </w:rPr>
        <w:t>6.5</w:t>
      </w:r>
      <w:r>
        <w:rPr>
          <w:b/>
        </w:rPr>
        <w:t>.5.1应急预案的指导思想和原则</w:t>
      </w:r>
    </w:p>
    <w:p>
      <w:pPr>
        <w:ind w:firstLine="480"/>
      </w:pPr>
      <w:r>
        <w:t>应急预案的指导思想是：体现以人为本，真正将“安全第一，预防为主”方针落到实处。一旦发生危害环境的交通事故，能以最快的速度、最大的效能，有序地实施救援，最大限度减少人员伤亡和财产损失，把事故危害降低到最低点，维护工程周边群众的生活安全和社会的稳定。</w:t>
      </w:r>
    </w:p>
    <w:p>
      <w:pPr>
        <w:ind w:firstLine="480"/>
      </w:pPr>
      <w:r>
        <w:t>风险事故应急救援的原则：快速反应、统一指挥、分级负责和社会救援相结合。</w:t>
      </w:r>
    </w:p>
    <w:p>
      <w:pPr>
        <w:pStyle w:val="729"/>
        <w:spacing w:before="0" w:line="360" w:lineRule="auto"/>
        <w:ind w:firstLine="0" w:firstLineChars="0"/>
        <w:rPr>
          <w:b/>
        </w:rPr>
      </w:pPr>
      <w:r>
        <w:rPr>
          <w:rFonts w:hint="eastAsia"/>
          <w:b/>
        </w:rPr>
        <w:t>6.5</w:t>
      </w:r>
      <w:r>
        <w:rPr>
          <w:b/>
        </w:rPr>
        <w:t>.5.2应急组织机构与人员</w:t>
      </w:r>
    </w:p>
    <w:p>
      <w:pPr>
        <w:ind w:firstLine="480"/>
      </w:pPr>
      <w:r>
        <w:rPr>
          <w:rFonts w:hint="eastAsia"/>
        </w:rPr>
        <w:t>上高</w:t>
      </w:r>
      <w:r>
        <w:t>县</w:t>
      </w:r>
      <w:r>
        <w:rPr>
          <w:rFonts w:hint="eastAsia"/>
        </w:rPr>
        <w:t>毛家渡</w:t>
      </w:r>
      <w:r>
        <w:t>抬水工程管理处下设环境应急机构，对机构成员定职定岗，并建立值班制度；安排专门人员对风险源进行常规巡视、管理和监测；环境应急机构的专职人员进行专业培训，必要时进行有计划的环境应急演练。</w:t>
      </w:r>
    </w:p>
    <w:p>
      <w:pPr>
        <w:pStyle w:val="729"/>
        <w:spacing w:before="0" w:line="360" w:lineRule="auto"/>
        <w:ind w:firstLine="0" w:firstLineChars="0"/>
        <w:rPr>
          <w:b/>
        </w:rPr>
      </w:pPr>
      <w:r>
        <w:rPr>
          <w:rFonts w:hint="eastAsia"/>
          <w:b/>
        </w:rPr>
        <w:t>6.5</w:t>
      </w:r>
      <w:r>
        <w:rPr>
          <w:b/>
        </w:rPr>
        <w:t>.5.3应急通讯联络方式</w:t>
      </w:r>
    </w:p>
    <w:p>
      <w:pPr>
        <w:ind w:firstLine="480"/>
      </w:pPr>
      <w:r>
        <w:t>在环境风险应急机构设置固定电话和无线通讯系统，并且完善与</w:t>
      </w:r>
      <w:r>
        <w:rPr>
          <w:rFonts w:hint="eastAsia"/>
        </w:rPr>
        <w:t>上高县生态环境</w:t>
      </w:r>
      <w:r>
        <w:t>、林业、水利、消防、疾控中心、医疗机构等的电话专线，一旦发生风险事故，环境应急机构负责人（或值班人员）应立即向管理所及相关行政主管部门汇报。</w:t>
      </w:r>
    </w:p>
    <w:p>
      <w:pPr>
        <w:pStyle w:val="729"/>
        <w:spacing w:before="0" w:line="360" w:lineRule="auto"/>
        <w:ind w:firstLine="0" w:firstLineChars="0"/>
        <w:rPr>
          <w:b/>
        </w:rPr>
      </w:pPr>
      <w:r>
        <w:rPr>
          <w:rFonts w:hint="eastAsia"/>
          <w:b/>
        </w:rPr>
        <w:t>6.5</w:t>
      </w:r>
      <w:r>
        <w:rPr>
          <w:b/>
        </w:rPr>
        <w:t>.5.4应急防护措施及器材</w:t>
      </w:r>
    </w:p>
    <w:p>
      <w:pPr>
        <w:ind w:firstLine="480"/>
      </w:pPr>
      <w:r>
        <w:rPr>
          <w:rFonts w:hint="eastAsia"/>
        </w:rPr>
        <w:t>上高</w:t>
      </w:r>
      <w:r>
        <w:t>县</w:t>
      </w:r>
      <w:r>
        <w:rPr>
          <w:rFonts w:hint="eastAsia"/>
        </w:rPr>
        <w:t>毛家渡</w:t>
      </w:r>
      <w:r>
        <w:t>抬水工程管理处须配备消防器材、医疗设备及常见疾病药品等。</w:t>
      </w:r>
    </w:p>
    <w:p>
      <w:pPr>
        <w:pStyle w:val="729"/>
        <w:spacing w:before="0" w:line="360" w:lineRule="auto"/>
        <w:ind w:firstLine="0" w:firstLineChars="0"/>
        <w:rPr>
          <w:b/>
        </w:rPr>
      </w:pPr>
      <w:r>
        <w:rPr>
          <w:rFonts w:hint="eastAsia"/>
          <w:b/>
        </w:rPr>
        <w:t>6.5</w:t>
      </w:r>
      <w:r>
        <w:rPr>
          <w:b/>
        </w:rPr>
        <w:t>.5.5应急环境监测方案</w:t>
      </w:r>
    </w:p>
    <w:p>
      <w:pPr>
        <w:ind w:firstLine="480"/>
      </w:pPr>
      <w:r>
        <w:t>针对本项目可能产生的环境风险事故，提出地表水、环境空气质量的监测方案。一旦发生环境风险事故，立即启动应急环境监测方案，并请相关行政主管部门指导或具有相应资质的单位协助。</w:t>
      </w:r>
    </w:p>
    <w:p>
      <w:pPr>
        <w:pStyle w:val="729"/>
        <w:spacing w:before="0" w:line="360" w:lineRule="auto"/>
        <w:ind w:firstLine="0" w:firstLineChars="0"/>
        <w:rPr>
          <w:b/>
        </w:rPr>
      </w:pPr>
      <w:r>
        <w:rPr>
          <w:rFonts w:hint="eastAsia"/>
          <w:b/>
        </w:rPr>
        <w:t>6.5</w:t>
      </w:r>
      <w:r>
        <w:rPr>
          <w:b/>
        </w:rPr>
        <w:t>.5.6环境风险应急预案编制</w:t>
      </w:r>
    </w:p>
    <w:p>
      <w:pPr>
        <w:ind w:firstLine="480"/>
      </w:pPr>
      <w:r>
        <w:t>针对水库运行可能发生的风险，应由</w:t>
      </w:r>
      <w:r>
        <w:rPr>
          <w:rFonts w:hint="eastAsia"/>
        </w:rPr>
        <w:t>上高</w:t>
      </w:r>
      <w:r>
        <w:t>县</w:t>
      </w:r>
      <w:r>
        <w:rPr>
          <w:rFonts w:hint="eastAsia"/>
        </w:rPr>
        <w:t>毛家渡</w:t>
      </w:r>
      <w:r>
        <w:t>抬水工程管理处或其上级主管部门组织编制环境风险应急预案。主要内容应包括：</w:t>
      </w:r>
    </w:p>
    <w:p>
      <w:pPr>
        <w:ind w:firstLine="480"/>
      </w:pPr>
      <w:r>
        <w:rPr>
          <w:rFonts w:hint="eastAsia" w:ascii="宋体" w:hAnsi="宋体" w:cs="宋体"/>
        </w:rPr>
        <w:t>⑴</w:t>
      </w:r>
      <w:r>
        <w:t>运行期可能存在的环境风险类型、风险几率及其危害程度；</w:t>
      </w:r>
    </w:p>
    <w:p>
      <w:pPr>
        <w:ind w:firstLine="480"/>
      </w:pPr>
      <w:r>
        <w:rPr>
          <w:rFonts w:hint="eastAsia" w:ascii="宋体" w:hAnsi="宋体" w:cs="宋体"/>
        </w:rPr>
        <w:t>⑵</w:t>
      </w:r>
      <w:r>
        <w:t>针对各类风险提出的防范和补救措施；</w:t>
      </w:r>
    </w:p>
    <w:p>
      <w:pPr>
        <w:ind w:firstLine="480"/>
      </w:pPr>
      <w:r>
        <w:rPr>
          <w:rFonts w:hint="eastAsia" w:ascii="宋体" w:hAnsi="宋体" w:cs="宋体"/>
        </w:rPr>
        <w:t>⑶</w:t>
      </w:r>
      <w:r>
        <w:t>建立风险信息上传下达通道，确保一旦风险发生能及时汇报；</w:t>
      </w:r>
    </w:p>
    <w:p>
      <w:pPr>
        <w:ind w:firstLine="480"/>
      </w:pPr>
      <w:r>
        <w:rPr>
          <w:rFonts w:hint="eastAsia" w:ascii="宋体" w:hAnsi="宋体" w:cs="宋体"/>
        </w:rPr>
        <w:t>⑷</w:t>
      </w:r>
      <w:r>
        <w:t>风险损失补偿机制；</w:t>
      </w:r>
    </w:p>
    <w:p>
      <w:pPr>
        <w:ind w:firstLine="480"/>
      </w:pPr>
      <w:r>
        <w:rPr>
          <w:rFonts w:hint="eastAsia" w:ascii="宋体" w:hAnsi="宋体" w:cs="宋体"/>
        </w:rPr>
        <w:t>⑸</w:t>
      </w:r>
      <w:r>
        <w:t>灾后重建、恢复计划等。</w:t>
      </w:r>
    </w:p>
    <w:p>
      <w:pPr>
        <w:ind w:firstLine="480"/>
      </w:pPr>
      <w:r>
        <w:t>一旦发生风险事故，需立即启动应急预案，将危害和损失降至最低；事故发生后须立即组织力量将处于危险地带的人员转移至安全地段，并向上级主管部门汇报事故状况，不得隐瞒和漏报，积极采取补救措施。应急行动程序见图</w:t>
      </w:r>
      <w:r>
        <w:rPr>
          <w:rFonts w:hint="eastAsia"/>
        </w:rPr>
        <w:t>6.5</w:t>
      </w:r>
      <w:r>
        <w:t>-2。</w:t>
      </w:r>
    </w:p>
    <w:p>
      <w:pPr>
        <w:ind w:firstLine="0" w:firstLineChars="0"/>
        <w:jc w:val="center"/>
      </w:pPr>
      <w:r>
        <w:drawing>
          <wp:inline distT="0" distB="0" distL="114300" distR="114300">
            <wp:extent cx="3780790" cy="4495165"/>
            <wp:effectExtent l="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15"/>
                    <a:stretch>
                      <a:fillRect/>
                    </a:stretch>
                  </pic:blipFill>
                  <pic:spPr>
                    <a:xfrm>
                      <a:off x="0" y="0"/>
                      <a:ext cx="3780790" cy="4495165"/>
                    </a:xfrm>
                    <a:prstGeom prst="rect">
                      <a:avLst/>
                    </a:prstGeom>
                    <a:noFill/>
                    <a:ln>
                      <a:noFill/>
                    </a:ln>
                  </pic:spPr>
                </pic:pic>
              </a:graphicData>
            </a:graphic>
          </wp:inline>
        </w:drawing>
      </w:r>
    </w:p>
    <w:p>
      <w:pPr>
        <w:pStyle w:val="729"/>
        <w:spacing w:before="0" w:line="360" w:lineRule="auto"/>
        <w:ind w:firstLine="0" w:firstLineChars="0"/>
        <w:jc w:val="center"/>
        <w:rPr>
          <w:rFonts w:eastAsia="黑体"/>
        </w:rPr>
      </w:pPr>
      <w:r>
        <w:rPr>
          <w:rFonts w:eastAsia="黑体"/>
        </w:rPr>
        <w:t>图</w:t>
      </w:r>
      <w:r>
        <w:rPr>
          <w:rFonts w:hint="eastAsia" w:eastAsia="黑体"/>
        </w:rPr>
        <w:t>6.5</w:t>
      </w:r>
      <w:r>
        <w:rPr>
          <w:rFonts w:eastAsia="黑体"/>
        </w:rPr>
        <w:t>-2应急程序行动图</w:t>
      </w:r>
    </w:p>
    <w:p>
      <w:pPr>
        <w:pStyle w:val="729"/>
        <w:spacing w:before="0" w:line="360" w:lineRule="auto"/>
        <w:ind w:firstLine="0" w:firstLineChars="0"/>
        <w:rPr>
          <w:b/>
        </w:rPr>
      </w:pPr>
      <w:r>
        <w:rPr>
          <w:rFonts w:hint="eastAsia"/>
          <w:b/>
        </w:rPr>
        <w:t>6.5</w:t>
      </w:r>
      <w:r>
        <w:rPr>
          <w:b/>
        </w:rPr>
        <w:t>.5.7突发事件应急反应对策</w:t>
      </w:r>
    </w:p>
    <w:p>
      <w:pPr>
        <w:ind w:firstLine="480"/>
        <w:sectPr>
          <w:headerReference r:id="rId18" w:type="default"/>
          <w:pgSz w:w="11906" w:h="16838"/>
          <w:pgMar w:top="1814" w:right="1134" w:bottom="1701" w:left="1418" w:header="1134" w:footer="992" w:gutter="0"/>
          <w:cols w:space="720" w:num="1"/>
          <w:docGrid w:linePitch="326" w:charSpace="0"/>
        </w:sectPr>
      </w:pPr>
      <w:r>
        <w:rPr>
          <w:rFonts w:hint="eastAsia" w:ascii="宋体" w:hAnsi="宋体" w:cs="宋体"/>
        </w:rPr>
        <w:t>①</w:t>
      </w:r>
      <w:r>
        <w:t>确认事故的责任方，责令其采取可能做到的防范措施：</w:t>
      </w:r>
      <w:r>
        <w:rPr>
          <w:rFonts w:hint="eastAsia" w:ascii="宋体" w:hAnsi="宋体" w:cs="宋体"/>
        </w:rPr>
        <w:t>②</w:t>
      </w:r>
      <w:r>
        <w:t>采取措施防止事故扩大化；</w:t>
      </w:r>
      <w:r>
        <w:rPr>
          <w:rFonts w:hint="eastAsia" w:ascii="宋体" w:hAnsi="宋体" w:cs="宋体"/>
        </w:rPr>
        <w:t>③</w:t>
      </w:r>
      <w:r>
        <w:t>必要时对事故发生地周围实行警戒或实行交通管制；</w:t>
      </w:r>
      <w:r>
        <w:rPr>
          <w:rFonts w:hint="eastAsia" w:ascii="宋体" w:hAnsi="宋体" w:cs="宋体"/>
        </w:rPr>
        <w:t>④</w:t>
      </w:r>
      <w:r>
        <w:t>对可能受威胁的环境敏感区和易受损资源采取保护措施；</w:t>
      </w:r>
      <w:r>
        <w:rPr>
          <w:rFonts w:hint="eastAsia" w:ascii="宋体" w:hAnsi="宋体" w:cs="宋体"/>
        </w:rPr>
        <w:t>⑤</w:t>
      </w:r>
      <w:r>
        <w:t>对出事水域和下游水域进行实时监测；</w:t>
      </w:r>
      <w:r>
        <w:rPr>
          <w:rFonts w:hint="eastAsia" w:ascii="宋体" w:hAnsi="宋体" w:cs="宋体"/>
        </w:rPr>
        <w:t>⑥</w:t>
      </w:r>
      <w:r>
        <w:t>制定应急对策方案，调动应急防治队伍和应急防治设备、器材等以及必要的后勤支援；</w:t>
      </w:r>
      <w:r>
        <w:rPr>
          <w:rFonts w:hint="eastAsia" w:ascii="宋体" w:hAnsi="宋体" w:cs="宋体"/>
        </w:rPr>
        <w:t>⑦</w:t>
      </w:r>
      <w:r>
        <w:t>组织协调救捞、环保、渔监、水产、公安、消防、邮电、通讯、气象、农林、保险等部门按指挥部确定的职责投入应急活动；</w:t>
      </w:r>
      <w:r>
        <w:rPr>
          <w:rFonts w:hint="eastAsia" w:ascii="宋体" w:hAnsi="宋体" w:cs="宋体"/>
        </w:rPr>
        <w:t>⑧</w:t>
      </w:r>
      <w:r>
        <w:t>制定具体的溢油、危险品、剧毒品的应急清除作业方案；</w:t>
      </w:r>
      <w:r>
        <w:rPr>
          <w:rFonts w:hint="eastAsia" w:ascii="宋体" w:hAnsi="宋体" w:cs="宋体"/>
        </w:rPr>
        <w:t>⑨</w:t>
      </w:r>
      <w:r>
        <w:t>一旦发生溢油事故应优先考虑在附近敏感水域敷设围油栏，对发生剧毒品污染水体或水体受到严重污染时应切断供水，同时，及时与敏感水域单位及时联系，通报灾情，防止溢油影响到敏感区域并启动后备水源。</w:t>
      </w:r>
      <w:r>
        <w:rPr>
          <w:rFonts w:hint="eastAsia" w:ascii="宋体" w:hAnsi="宋体" w:cs="宋体"/>
        </w:rPr>
        <w:t>⑩</w:t>
      </w:r>
      <w:r>
        <w:t>一旦发生突发事故应对事故周围的水域进行事故状态下的应急监测，对水质、鱼类的残毒进行监测分析，如果出现超标应汇报渔业等主管部门；如果污染程度较为严重，应向有关部门提出封闭水域、禁止捕捞和销售水产品的建议。</w:t>
      </w:r>
    </w:p>
    <w:p>
      <w:pPr>
        <w:pStyle w:val="5"/>
        <w:numPr>
          <w:ilvl w:val="0"/>
          <w:numId w:val="0"/>
        </w:numPr>
        <w:rPr>
          <w:rFonts w:ascii="Times New Roman"/>
        </w:rPr>
      </w:pPr>
      <w:bookmarkStart w:id="999" w:name="_Toc3903326"/>
      <w:bookmarkStart w:id="1000" w:name="_Toc534386367"/>
      <w:bookmarkStart w:id="1001" w:name="_Toc1364"/>
      <w:bookmarkStart w:id="1002" w:name="_Toc534895317"/>
      <w:bookmarkStart w:id="1003" w:name="_Toc536265189"/>
      <w:bookmarkStart w:id="1004" w:name="_Toc342575586"/>
      <w:bookmarkStart w:id="1005" w:name="_Toc529279123"/>
      <w:bookmarkStart w:id="1006" w:name="_Toc340142010"/>
      <w:bookmarkStart w:id="1007" w:name="_Toc534807100"/>
      <w:bookmarkStart w:id="1008" w:name="_Toc385083979"/>
      <w:bookmarkStart w:id="1009" w:name="_Toc366850232"/>
      <w:r>
        <w:rPr>
          <w:rFonts w:ascii="Times New Roman"/>
        </w:rPr>
        <w:t>第</w:t>
      </w:r>
      <w:r>
        <w:rPr>
          <w:rFonts w:hint="eastAsia" w:ascii="Times New Roman"/>
        </w:rPr>
        <w:t>七</w:t>
      </w:r>
      <w:r>
        <w:rPr>
          <w:rFonts w:ascii="Times New Roman"/>
        </w:rPr>
        <w:t>章 环境保护措施及技术可行性分析</w:t>
      </w:r>
      <w:bookmarkEnd w:id="999"/>
      <w:bookmarkEnd w:id="1000"/>
      <w:bookmarkEnd w:id="1001"/>
      <w:bookmarkEnd w:id="1002"/>
      <w:bookmarkEnd w:id="1003"/>
      <w:bookmarkEnd w:id="1004"/>
      <w:bookmarkEnd w:id="1005"/>
      <w:bookmarkEnd w:id="1006"/>
      <w:bookmarkEnd w:id="1007"/>
      <w:bookmarkEnd w:id="1008"/>
      <w:bookmarkEnd w:id="1009"/>
    </w:p>
    <w:p>
      <w:pPr>
        <w:pStyle w:val="6"/>
        <w:spacing w:beforeLines="50" w:afterLines="50"/>
        <w:rPr>
          <w:szCs w:val="28"/>
        </w:rPr>
      </w:pPr>
      <w:bookmarkStart w:id="1010" w:name="_Toc534386368"/>
      <w:bookmarkStart w:id="1011" w:name="_Toc529279124"/>
      <w:bookmarkStart w:id="1012" w:name="bookmark0"/>
      <w:bookmarkStart w:id="1013" w:name="_Toc534895318"/>
      <w:bookmarkStart w:id="1014" w:name="_Toc536265190"/>
      <w:bookmarkStart w:id="1015" w:name="_Toc534807101"/>
      <w:bookmarkStart w:id="1016" w:name="_Toc504"/>
      <w:bookmarkStart w:id="1017" w:name="_Toc3903327"/>
      <w:bookmarkStart w:id="1018" w:name="_Toc340142011"/>
      <w:bookmarkStart w:id="1019" w:name="_Toc342575587"/>
      <w:bookmarkStart w:id="1020" w:name="_Toc385083980"/>
      <w:bookmarkStart w:id="1021" w:name="_Toc366850233"/>
      <w:r>
        <w:rPr>
          <w:rFonts w:hint="eastAsia"/>
          <w:szCs w:val="28"/>
        </w:rPr>
        <w:t>7</w:t>
      </w:r>
      <w:r>
        <w:rPr>
          <w:szCs w:val="28"/>
        </w:rPr>
        <w:t>.1环保措施设计</w:t>
      </w:r>
      <w:bookmarkEnd w:id="1010"/>
      <w:bookmarkEnd w:id="1011"/>
      <w:bookmarkEnd w:id="1012"/>
      <w:r>
        <w:rPr>
          <w:szCs w:val="28"/>
        </w:rPr>
        <w:t>原则、总体布局</w:t>
      </w:r>
      <w:bookmarkEnd w:id="1013"/>
      <w:bookmarkEnd w:id="1014"/>
      <w:bookmarkEnd w:id="1015"/>
      <w:bookmarkEnd w:id="1016"/>
      <w:bookmarkEnd w:id="1017"/>
    </w:p>
    <w:p>
      <w:pPr>
        <w:pStyle w:val="487"/>
        <w:spacing w:before="0" w:beforeLines="0" w:after="120" w:line="360" w:lineRule="auto"/>
        <w:rPr>
          <w:rFonts w:ascii="Times New Roman" w:hAnsi="Times New Roman" w:eastAsia="宋体"/>
          <w:b/>
          <w:sz w:val="24"/>
          <w:szCs w:val="24"/>
        </w:rPr>
      </w:pPr>
      <w:bookmarkStart w:id="1022" w:name="_Toc534386369"/>
      <w:bookmarkStart w:id="1023" w:name="_Toc529279125"/>
      <w:bookmarkStart w:id="1024" w:name="_Toc3903328"/>
      <w:bookmarkStart w:id="1025" w:name="_Toc534807102"/>
      <w:bookmarkStart w:id="1026" w:name="_Toc534895319"/>
      <w:bookmarkStart w:id="1027" w:name="_Toc536265191"/>
      <w:bookmarkStart w:id="1028" w:name="bookmark1"/>
      <w:r>
        <w:rPr>
          <w:rFonts w:hint="eastAsia" w:ascii="Times New Roman" w:hAnsi="Times New Roman" w:eastAsia="宋体"/>
          <w:b/>
          <w:sz w:val="24"/>
          <w:szCs w:val="24"/>
        </w:rPr>
        <w:t>7</w:t>
      </w:r>
      <w:r>
        <w:rPr>
          <w:rFonts w:ascii="Times New Roman" w:hAnsi="Times New Roman" w:eastAsia="宋体"/>
          <w:b/>
          <w:sz w:val="24"/>
          <w:szCs w:val="24"/>
        </w:rPr>
        <w:t>.1.1</w:t>
      </w:r>
      <w:bookmarkEnd w:id="1022"/>
      <w:bookmarkEnd w:id="1023"/>
      <w:r>
        <w:rPr>
          <w:rFonts w:ascii="Times New Roman" w:hAnsi="Times New Roman" w:eastAsia="宋体"/>
          <w:b/>
          <w:sz w:val="24"/>
          <w:szCs w:val="24"/>
        </w:rPr>
        <w:t>设计原则</w:t>
      </w:r>
      <w:bookmarkEnd w:id="1024"/>
      <w:bookmarkEnd w:id="1025"/>
      <w:bookmarkEnd w:id="1026"/>
      <w:bookmarkEnd w:id="1027"/>
    </w:p>
    <w:p>
      <w:pPr>
        <w:ind w:firstLine="480"/>
        <w:rPr>
          <w:szCs w:val="24"/>
        </w:rPr>
      </w:pPr>
      <w:r>
        <w:rPr>
          <w:rFonts w:hint="eastAsia" w:ascii="宋体" w:hAnsi="宋体" w:cs="宋体"/>
          <w:szCs w:val="24"/>
        </w:rPr>
        <w:t>⑴</w:t>
      </w:r>
      <w:r>
        <w:rPr>
          <w:rFonts w:hint="eastAsia"/>
          <w:szCs w:val="24"/>
        </w:rPr>
        <w:t>预防为主原则：遵循国家有关环境保护的法律、法规要求，坚持</w:t>
      </w:r>
      <w:r>
        <w:rPr>
          <w:szCs w:val="24"/>
        </w:rPr>
        <w:t>“</w:t>
      </w:r>
      <w:r>
        <w:rPr>
          <w:rFonts w:hint="eastAsia"/>
          <w:szCs w:val="24"/>
        </w:rPr>
        <w:t>预防为主、全面规划、综合防治、因地制宜、加强管理、注重效益</w:t>
      </w:r>
      <w:r>
        <w:rPr>
          <w:szCs w:val="24"/>
        </w:rPr>
        <w:t>”</w:t>
      </w:r>
      <w:r>
        <w:rPr>
          <w:rFonts w:hint="eastAsia"/>
          <w:szCs w:val="24"/>
        </w:rPr>
        <w:t>的原则，合理布局，减少破坏。</w:t>
      </w:r>
    </w:p>
    <w:p>
      <w:pPr>
        <w:ind w:firstLine="480"/>
        <w:rPr>
          <w:szCs w:val="24"/>
        </w:rPr>
      </w:pPr>
      <w:r>
        <w:rPr>
          <w:rFonts w:hint="eastAsia" w:ascii="宋体" w:hAnsi="宋体" w:cs="宋体"/>
          <w:szCs w:val="24"/>
        </w:rPr>
        <w:t>⑵</w:t>
      </w:r>
      <w:r>
        <w:rPr>
          <w:rFonts w:hint="eastAsia"/>
          <w:szCs w:val="24"/>
        </w:rPr>
        <w:t>整体协调原则：环境保护措施制定与区域相关政策及行业发展规划协调一致，紧密结合；各项措施与工程区的生态建设紧密协调、互为裨益，切实作到生态优先。</w:t>
      </w:r>
    </w:p>
    <w:p>
      <w:pPr>
        <w:ind w:firstLine="480"/>
        <w:rPr>
          <w:szCs w:val="24"/>
        </w:rPr>
      </w:pPr>
      <w:r>
        <w:rPr>
          <w:rFonts w:hint="eastAsia" w:ascii="宋体" w:hAnsi="宋体" w:cs="宋体"/>
          <w:szCs w:val="24"/>
        </w:rPr>
        <w:t>⑶</w:t>
      </w:r>
      <w:r>
        <w:rPr>
          <w:rFonts w:hint="eastAsia"/>
          <w:szCs w:val="24"/>
        </w:rPr>
        <w:t>生态优先原则：有效减免和控制施工</w:t>
      </w:r>
      <w:r>
        <w:rPr>
          <w:szCs w:val="24"/>
        </w:rPr>
        <w:t>“</w:t>
      </w:r>
      <w:r>
        <w:rPr>
          <w:rFonts w:hint="eastAsia"/>
          <w:szCs w:val="24"/>
        </w:rPr>
        <w:t>三废</w:t>
      </w:r>
      <w:r>
        <w:rPr>
          <w:szCs w:val="24"/>
        </w:rPr>
        <w:t>”</w:t>
      </w:r>
      <w:r>
        <w:rPr>
          <w:rFonts w:hint="eastAsia"/>
          <w:szCs w:val="24"/>
        </w:rPr>
        <w:t>及噪声排放对周围居民和施工人员的影响；控制和减小生态破坏，及时恢复治理。</w:t>
      </w:r>
    </w:p>
    <w:p>
      <w:pPr>
        <w:ind w:firstLine="480"/>
        <w:rPr>
          <w:szCs w:val="24"/>
        </w:rPr>
      </w:pPr>
      <w:r>
        <w:rPr>
          <w:rFonts w:hint="eastAsia" w:ascii="宋体" w:hAnsi="宋体" w:cs="宋体"/>
          <w:szCs w:val="24"/>
        </w:rPr>
        <w:t>⑷</w:t>
      </w:r>
      <w:r>
        <w:rPr>
          <w:szCs w:val="24"/>
        </w:rPr>
        <w:t>“</w:t>
      </w:r>
      <w:r>
        <w:rPr>
          <w:rFonts w:hint="eastAsia"/>
          <w:szCs w:val="24"/>
        </w:rPr>
        <w:t>三同时</w:t>
      </w:r>
      <w:r>
        <w:rPr>
          <w:szCs w:val="24"/>
        </w:rPr>
        <w:t>”</w:t>
      </w:r>
      <w:r>
        <w:rPr>
          <w:rFonts w:hint="eastAsia"/>
          <w:szCs w:val="24"/>
        </w:rPr>
        <w:t>原则：各项环保措施与主体工程同时设计、同时施工、同时投产使用，充分发挥作用和效益。</w:t>
      </w:r>
    </w:p>
    <w:p>
      <w:pPr>
        <w:ind w:firstLine="480"/>
        <w:rPr>
          <w:szCs w:val="24"/>
        </w:rPr>
      </w:pPr>
      <w:r>
        <w:rPr>
          <w:rFonts w:hint="eastAsia" w:ascii="宋体" w:hAnsi="宋体" w:cs="宋体"/>
          <w:szCs w:val="24"/>
        </w:rPr>
        <w:t>⑸</w:t>
      </w:r>
      <w:r>
        <w:rPr>
          <w:rFonts w:hint="eastAsia"/>
          <w:szCs w:val="24"/>
        </w:rPr>
        <w:t>技术经济可行原则：遵循环境保护应具有投资省、效益优、可操作性强的原则。</w:t>
      </w:r>
    </w:p>
    <w:p>
      <w:pPr>
        <w:ind w:firstLine="480"/>
        <w:rPr>
          <w:szCs w:val="24"/>
        </w:rPr>
      </w:pPr>
      <w:r>
        <w:rPr>
          <w:rFonts w:hint="eastAsia" w:ascii="宋体" w:hAnsi="宋体" w:cs="宋体"/>
          <w:szCs w:val="24"/>
        </w:rPr>
        <w:t>⑹</w:t>
      </w:r>
      <w:r>
        <w:rPr>
          <w:rFonts w:hint="eastAsia"/>
          <w:szCs w:val="24"/>
        </w:rPr>
        <w:t>适地适时原则：本工程各项环境保护措施应遵循因地而异，因时而异，永久措施与临时措施相结合的原则。</w:t>
      </w:r>
    </w:p>
    <w:bookmarkEnd w:id="1028"/>
    <w:p>
      <w:pPr>
        <w:pStyle w:val="487"/>
        <w:spacing w:before="0" w:beforeLines="0" w:after="120" w:line="360" w:lineRule="auto"/>
        <w:rPr>
          <w:rFonts w:ascii="Times New Roman" w:hAnsi="Times New Roman" w:eastAsia="宋体"/>
          <w:b/>
          <w:sz w:val="24"/>
          <w:szCs w:val="24"/>
        </w:rPr>
      </w:pPr>
      <w:bookmarkStart w:id="1029" w:name="_Toc529279126"/>
      <w:bookmarkStart w:id="1030" w:name="_Toc534386370"/>
      <w:bookmarkStart w:id="1031" w:name="_Toc534807103"/>
      <w:bookmarkStart w:id="1032" w:name="_Toc534895320"/>
      <w:bookmarkStart w:id="1033" w:name="_Toc3903329"/>
      <w:bookmarkStart w:id="1034" w:name="_Toc536265192"/>
      <w:r>
        <w:rPr>
          <w:rFonts w:hint="eastAsia" w:ascii="Times New Roman" w:hAnsi="Times New Roman" w:eastAsia="宋体"/>
          <w:b/>
          <w:sz w:val="24"/>
          <w:szCs w:val="24"/>
        </w:rPr>
        <w:t>7</w:t>
      </w:r>
      <w:r>
        <w:rPr>
          <w:rFonts w:ascii="Times New Roman" w:hAnsi="Times New Roman" w:eastAsia="宋体"/>
          <w:b/>
          <w:sz w:val="24"/>
          <w:szCs w:val="24"/>
        </w:rPr>
        <w:t>.1.2</w:t>
      </w:r>
      <w:bookmarkEnd w:id="1029"/>
      <w:bookmarkEnd w:id="1030"/>
      <w:r>
        <w:rPr>
          <w:rFonts w:ascii="Times New Roman" w:hAnsi="Times New Roman" w:eastAsia="宋体"/>
          <w:b/>
          <w:sz w:val="24"/>
          <w:szCs w:val="24"/>
        </w:rPr>
        <w:t>总体布局</w:t>
      </w:r>
      <w:bookmarkEnd w:id="1031"/>
      <w:bookmarkEnd w:id="1032"/>
      <w:bookmarkEnd w:id="1033"/>
      <w:bookmarkEnd w:id="1034"/>
    </w:p>
    <w:p>
      <w:pPr>
        <w:ind w:firstLine="480"/>
        <w:rPr>
          <w:szCs w:val="24"/>
        </w:rPr>
      </w:pPr>
      <w:r>
        <w:rPr>
          <w:szCs w:val="24"/>
        </w:rPr>
        <w:t>环境保护措施根据本项目施工期及运行期的环境影响特点来提出，主要针对水环境、生态环境、大气环境、声环境、人群健康、环境地质等方面提出保护措施。</w:t>
      </w:r>
    </w:p>
    <w:p>
      <w:pPr>
        <w:ind w:firstLine="480"/>
        <w:rPr>
          <w:szCs w:val="24"/>
        </w:rPr>
      </w:pPr>
      <w:r>
        <w:rPr>
          <w:szCs w:val="24"/>
        </w:rPr>
        <w:t>施工期水环境主要</w:t>
      </w:r>
      <w:r>
        <w:rPr>
          <w:rFonts w:hint="eastAsia"/>
          <w:szCs w:val="24"/>
        </w:rPr>
        <w:t>基坑废水</w:t>
      </w:r>
      <w:r>
        <w:rPr>
          <w:szCs w:val="24"/>
        </w:rPr>
        <w:t>及施工人员生活污水的处理，蓄水期针对蓄水前库区清理等提出治理措施，运行期主要针对库内水质的保持提出防范措施。生态环境保护主要针对陆生动植物、水生生物等提出相应的措施。大气环境主要针对扬尘、燃油废气等提出治理措施。声环境主要针对受各类固定、流动噪声源影响的居民点，提出了防治措施。固体废物主要针对工程弃渣、生活垃圾的提出处置措施。人群健康保护主要保护对象为施工人员，提出了预防及其保护措施。环境地质保护主要针对工程区不良地质体、防渗、工程建设可能产生的地质灾害提出相应减缓和预防措施。</w:t>
      </w:r>
    </w:p>
    <w:p>
      <w:pPr>
        <w:ind w:firstLine="480"/>
        <w:rPr>
          <w:szCs w:val="24"/>
        </w:rPr>
      </w:pPr>
    </w:p>
    <w:p>
      <w:pPr>
        <w:pStyle w:val="6"/>
        <w:spacing w:beforeLines="50" w:afterLines="50"/>
        <w:rPr>
          <w:szCs w:val="28"/>
        </w:rPr>
      </w:pPr>
      <w:bookmarkStart w:id="1035" w:name="_Toc534386373"/>
      <w:bookmarkStart w:id="1036" w:name="_Toc529279129"/>
      <w:bookmarkStart w:id="1037" w:name="_Toc534895321"/>
      <w:bookmarkStart w:id="1038" w:name="_Toc3903330"/>
      <w:bookmarkStart w:id="1039" w:name="_Toc536265193"/>
      <w:bookmarkStart w:id="1040" w:name="_Toc534807104"/>
      <w:bookmarkStart w:id="1041" w:name="_Toc21059"/>
      <w:r>
        <w:rPr>
          <w:rFonts w:hint="eastAsia"/>
          <w:szCs w:val="28"/>
        </w:rPr>
        <w:t>7</w:t>
      </w:r>
      <w:r>
        <w:rPr>
          <w:szCs w:val="28"/>
        </w:rPr>
        <w:t>.2</w:t>
      </w:r>
      <w:bookmarkEnd w:id="1035"/>
      <w:bookmarkEnd w:id="1036"/>
      <w:r>
        <w:rPr>
          <w:szCs w:val="28"/>
        </w:rPr>
        <w:t>地表水环境保护措施</w:t>
      </w:r>
      <w:bookmarkEnd w:id="1037"/>
      <w:bookmarkEnd w:id="1038"/>
      <w:bookmarkEnd w:id="1039"/>
      <w:bookmarkEnd w:id="1040"/>
      <w:r>
        <w:rPr>
          <w:rFonts w:hint="eastAsia"/>
          <w:szCs w:val="28"/>
        </w:rPr>
        <w:t>及可行性分析</w:t>
      </w:r>
      <w:bookmarkEnd w:id="1041"/>
    </w:p>
    <w:p>
      <w:pPr>
        <w:pStyle w:val="7"/>
        <w:rPr>
          <w:kern w:val="0"/>
          <w:szCs w:val="24"/>
        </w:rPr>
      </w:pPr>
      <w:bookmarkStart w:id="1042" w:name="_Toc529279130"/>
      <w:bookmarkStart w:id="1043" w:name="_Toc534386374"/>
      <w:bookmarkStart w:id="1044" w:name="_Toc534895322"/>
      <w:bookmarkStart w:id="1045" w:name="_Toc534807105"/>
      <w:bookmarkStart w:id="1046" w:name="_Toc3903331"/>
      <w:bookmarkStart w:id="1047" w:name="_Toc536265194"/>
      <w:r>
        <w:rPr>
          <w:rFonts w:hint="eastAsia"/>
          <w:kern w:val="0"/>
          <w:szCs w:val="24"/>
        </w:rPr>
        <w:t>7</w:t>
      </w:r>
      <w:r>
        <w:rPr>
          <w:kern w:val="0"/>
          <w:szCs w:val="24"/>
        </w:rPr>
        <w:t>.2.</w:t>
      </w:r>
      <w:r>
        <w:rPr>
          <w:kern w:val="0"/>
          <w:szCs w:val="24"/>
          <w:lang w:val="zh-TW" w:eastAsia="zh-TW"/>
        </w:rPr>
        <w:t>1</w:t>
      </w:r>
      <w:bookmarkEnd w:id="1042"/>
      <w:bookmarkEnd w:id="1043"/>
      <w:r>
        <w:rPr>
          <w:spacing w:val="-10"/>
          <w:kern w:val="0"/>
          <w:szCs w:val="24"/>
          <w:lang w:val="zh-TW"/>
        </w:rPr>
        <w:t>施工期水污染防治措施</w:t>
      </w:r>
      <w:bookmarkEnd w:id="1044"/>
      <w:bookmarkEnd w:id="1045"/>
      <w:bookmarkEnd w:id="1046"/>
      <w:bookmarkEnd w:id="1047"/>
    </w:p>
    <w:p>
      <w:pPr>
        <w:ind w:firstLine="0" w:firstLineChars="0"/>
        <w:rPr>
          <w:b/>
        </w:rPr>
      </w:pPr>
      <w:r>
        <w:rPr>
          <w:rFonts w:hint="eastAsia"/>
          <w:b/>
          <w:szCs w:val="24"/>
        </w:rPr>
        <w:t>7</w:t>
      </w:r>
      <w:r>
        <w:rPr>
          <w:b/>
          <w:szCs w:val="24"/>
        </w:rPr>
        <w:t>.2.1.1</w:t>
      </w:r>
      <w:r>
        <w:rPr>
          <w:b/>
        </w:rPr>
        <w:t>基坑排水治理措施</w:t>
      </w:r>
    </w:p>
    <w:p>
      <w:pPr>
        <w:ind w:firstLine="480"/>
        <w:rPr>
          <w:szCs w:val="24"/>
        </w:rPr>
      </w:pPr>
      <w:r>
        <w:rPr>
          <w:szCs w:val="24"/>
        </w:rPr>
        <w:t>根据工程分析，大坝基坑废水分为初期基坑废水和经常性废水等两部分：其中主要是初期基坑废水，由基坑积水和降雨形成的地表径流等组成，废水量较大，以天然水体为主，污染物种类少、含量低，水质与</w:t>
      </w:r>
      <w:r>
        <w:rPr>
          <w:rFonts w:hint="eastAsia"/>
          <w:szCs w:val="24"/>
        </w:rPr>
        <w:t>锦</w:t>
      </w:r>
      <w:r>
        <w:rPr>
          <w:szCs w:val="24"/>
        </w:rPr>
        <w:t>河天然水体水质基本相同，对</w:t>
      </w:r>
      <w:r>
        <w:rPr>
          <w:rFonts w:hint="eastAsia"/>
          <w:szCs w:val="24"/>
        </w:rPr>
        <w:t>锦</w:t>
      </w:r>
      <w:r>
        <w:rPr>
          <w:szCs w:val="24"/>
        </w:rPr>
        <w:t>河水体水质影响微乎其微；经常性废水产生于大坝基础开挖和混凝土填筑的过程中，由降水、渗水和施工用水（主要为混凝土养护水和冲洗水）组成，悬浮物含量高，浓度为2000mg/L，pH11~12，如直接排放，对</w:t>
      </w:r>
      <w:r>
        <w:rPr>
          <w:rFonts w:hint="eastAsia"/>
          <w:szCs w:val="24"/>
        </w:rPr>
        <w:t>锦</w:t>
      </w:r>
      <w:r>
        <w:rPr>
          <w:szCs w:val="24"/>
        </w:rPr>
        <w:t>河水体水质将产生不利影响。</w:t>
      </w:r>
      <w:r>
        <w:rPr>
          <w:rFonts w:hint="eastAsia"/>
          <w:szCs w:val="24"/>
        </w:rPr>
        <w:t>考虑到经常性排水包含了大量的渗水及降水，并非真正意义的施工废水，故本工程基坑排水的处理目标为沉淀处理后尽量综合利用，剩余部分直接排入河道。</w:t>
      </w:r>
    </w:p>
    <w:p>
      <w:pPr>
        <w:ind w:firstLine="480"/>
        <w:rPr>
          <w:szCs w:val="24"/>
        </w:rPr>
      </w:pPr>
      <w:r>
        <w:rPr>
          <w:rFonts w:hint="eastAsia"/>
          <w:szCs w:val="24"/>
        </w:rPr>
        <w:t>借鉴三峡等水电项目对基坑排水的处理经验</w:t>
      </w:r>
      <w:r>
        <w:rPr>
          <w:szCs w:val="24"/>
        </w:rPr>
        <w:t>，</w:t>
      </w:r>
      <w:r>
        <w:rPr>
          <w:rFonts w:hint="eastAsia"/>
          <w:szCs w:val="24"/>
        </w:rPr>
        <w:t>本工程拟采用向基坑集水区投加</w:t>
      </w:r>
      <w:r>
        <w:rPr>
          <w:szCs w:val="24"/>
        </w:rPr>
        <w:t>絮凝剂及中和剂，坑水静置2h后，可回用于混凝土的养护和冲洗，或用于小范围洒水防尘，污泥定期清运至渣场进行处理。</w:t>
      </w:r>
    </w:p>
    <w:p>
      <w:pPr>
        <w:ind w:firstLine="480"/>
        <w:rPr>
          <w:szCs w:val="24"/>
        </w:rPr>
      </w:pPr>
      <w:r>
        <w:rPr>
          <w:szCs w:val="24"/>
        </w:rPr>
        <w:t>该处理方法简单易行，无土建、设备投资，SS去除率可达97%，技术经济指标较优越，是目前水利工程处理基坑废水的常用方法。</w:t>
      </w:r>
    </w:p>
    <w:p>
      <w:pPr>
        <w:ind w:firstLine="0" w:firstLineChars="0"/>
        <w:rPr>
          <w:b/>
          <w:szCs w:val="24"/>
        </w:rPr>
      </w:pPr>
      <w:r>
        <w:rPr>
          <w:rFonts w:hint="eastAsia"/>
          <w:b/>
          <w:szCs w:val="24"/>
        </w:rPr>
        <w:t>7</w:t>
      </w:r>
      <w:r>
        <w:rPr>
          <w:b/>
          <w:szCs w:val="24"/>
        </w:rPr>
        <w:t>.2.1.</w:t>
      </w:r>
      <w:r>
        <w:rPr>
          <w:rFonts w:hint="eastAsia"/>
          <w:b/>
          <w:szCs w:val="24"/>
        </w:rPr>
        <w:t>2</w:t>
      </w:r>
      <w:r>
        <w:rPr>
          <w:b/>
          <w:szCs w:val="24"/>
        </w:rPr>
        <w:t>含油废水治理措施</w:t>
      </w:r>
    </w:p>
    <w:p>
      <w:pPr>
        <w:autoSpaceDE w:val="0"/>
        <w:autoSpaceDN w:val="0"/>
        <w:adjustRightInd w:val="0"/>
        <w:ind w:firstLine="480"/>
      </w:pPr>
      <w:r>
        <w:rPr>
          <w:kern w:val="0"/>
          <w:szCs w:val="24"/>
        </w:rPr>
        <w:t>项目施工场地内布置机械维修站，</w:t>
      </w:r>
      <w:r>
        <w:rPr>
          <w:rFonts w:hint="eastAsia"/>
          <w:szCs w:val="24"/>
        </w:rPr>
        <w:t>工程配备施工机械及车辆约145台。</w:t>
      </w:r>
      <w:r>
        <w:rPr>
          <w:kern w:val="0"/>
          <w:szCs w:val="24"/>
        </w:rPr>
        <w:t>按照施工车辆每4天保养冲洗一次，每次冲洗保养3台、施工机械每周保养一次，每次冲洗保养15台，平均冲洗废水以0.6m³/台•次计算，本工程因冲洗保养所有机械产生的含油废水约为10.8m³/次（830m³/施工期），机械冲洗维修废水</w:t>
      </w:r>
      <w:r>
        <w:t>中主要污染物为石油类和悬浮物，浓度分别为30mg/L、1000mg/L。</w:t>
      </w:r>
    </w:p>
    <w:p>
      <w:pPr>
        <w:autoSpaceDE w:val="0"/>
        <w:autoSpaceDN w:val="0"/>
        <w:adjustRightInd w:val="0"/>
        <w:ind w:firstLine="480"/>
        <w:rPr>
          <w:szCs w:val="24"/>
        </w:rPr>
      </w:pPr>
      <w:r>
        <w:rPr>
          <w:rFonts w:hint="eastAsia"/>
          <w:szCs w:val="24"/>
        </w:rPr>
        <w:t>由于修配系统含油废水含油量较低，推荐采用隔油池进行处理。即在机修车辆维修（冲洗）场周围布置集水沟，集水沟收集的废水经隔油板隔油后，进入沉淀池处理，隔除废水中的悬浮物后回用于洗车或场地洒水。隔油沉淀池产生的污泥运往弃渣场，废油统一收集后委托具有资质的单位进行转运处理。处理工艺详见下图。</w:t>
      </w:r>
    </w:p>
    <w:p>
      <w:pPr>
        <w:autoSpaceDE w:val="0"/>
        <w:autoSpaceDN w:val="0"/>
        <w:adjustRightInd w:val="0"/>
        <w:spacing w:line="240" w:lineRule="auto"/>
        <w:ind w:firstLine="0" w:firstLineChars="0"/>
        <w:jc w:val="center"/>
        <w:rPr>
          <w:szCs w:val="24"/>
        </w:rPr>
      </w:pPr>
      <w:r>
        <w:rPr>
          <w:rFonts w:hint="eastAsia"/>
          <w:szCs w:val="24"/>
        </w:rPr>
        <w:t xml:space="preserve"> </w:t>
      </w:r>
      <w:r>
        <w:rPr>
          <w:rFonts w:hint="eastAsia"/>
          <w:szCs w:val="24"/>
        </w:rPr>
        <w:drawing>
          <wp:inline distT="0" distB="0" distL="114300" distR="114300">
            <wp:extent cx="4850765" cy="2209165"/>
            <wp:effectExtent l="0" t="0" r="0" b="0"/>
            <wp:docPr id="9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1"/>
                    <pic:cNvPicPr>
                      <a:picLocks noChangeAspect="1"/>
                    </pic:cNvPicPr>
                  </pic:nvPicPr>
                  <pic:blipFill>
                    <a:blip r:embed="rId116"/>
                    <a:stretch>
                      <a:fillRect/>
                    </a:stretch>
                  </pic:blipFill>
                  <pic:spPr>
                    <a:xfrm>
                      <a:off x="0" y="0"/>
                      <a:ext cx="4850765" cy="2209165"/>
                    </a:xfrm>
                    <a:prstGeom prst="rect">
                      <a:avLst/>
                    </a:prstGeom>
                    <a:noFill/>
                    <a:ln>
                      <a:noFill/>
                    </a:ln>
                  </pic:spPr>
                </pic:pic>
              </a:graphicData>
            </a:graphic>
          </wp:inline>
        </w:drawing>
      </w:r>
    </w:p>
    <w:p>
      <w:pPr>
        <w:autoSpaceDE w:val="0"/>
        <w:autoSpaceDN w:val="0"/>
        <w:adjustRightInd w:val="0"/>
        <w:spacing w:before="120" w:beforeLines="50" w:line="240" w:lineRule="auto"/>
        <w:ind w:firstLine="0" w:firstLineChars="0"/>
        <w:jc w:val="center"/>
        <w:rPr>
          <w:szCs w:val="24"/>
        </w:rPr>
      </w:pPr>
      <w:r>
        <w:rPr>
          <w:rFonts w:hint="eastAsia" w:ascii="榛戜綋" w:eastAsia="榛戜綋" w:cs="榛戜綋"/>
          <w:kern w:val="0"/>
          <w:szCs w:val="24"/>
        </w:rPr>
        <w:t>图</w:t>
      </w:r>
      <w:r>
        <w:rPr>
          <w:rFonts w:ascii="榛戜綋" w:eastAsia="榛戜綋" w:cs="榛戜綋"/>
          <w:kern w:val="0"/>
          <w:szCs w:val="24"/>
        </w:rPr>
        <w:t xml:space="preserve"> </w:t>
      </w:r>
      <w:r>
        <w:rPr>
          <w:rFonts w:hint="eastAsia" w:eastAsia="榛戜綋"/>
          <w:kern w:val="0"/>
          <w:szCs w:val="24"/>
        </w:rPr>
        <w:t>7</w:t>
      </w:r>
      <w:r>
        <w:rPr>
          <w:rFonts w:eastAsia="榛戜綋"/>
          <w:kern w:val="0"/>
          <w:szCs w:val="24"/>
        </w:rPr>
        <w:t>.</w:t>
      </w:r>
      <w:r>
        <w:rPr>
          <w:rFonts w:hint="eastAsia" w:eastAsia="榛戜綋"/>
          <w:kern w:val="0"/>
          <w:szCs w:val="24"/>
        </w:rPr>
        <w:t>2</w:t>
      </w:r>
      <w:r>
        <w:rPr>
          <w:rFonts w:eastAsia="榛戜綋"/>
          <w:kern w:val="0"/>
          <w:szCs w:val="24"/>
        </w:rPr>
        <w:t>-</w:t>
      </w:r>
      <w:r>
        <w:rPr>
          <w:rFonts w:hint="eastAsia" w:eastAsia="榛戜綋"/>
          <w:kern w:val="0"/>
          <w:szCs w:val="24"/>
        </w:rPr>
        <w:t>1</w:t>
      </w:r>
      <w:r>
        <w:rPr>
          <w:rFonts w:eastAsia="榛戜綋"/>
          <w:kern w:val="0"/>
          <w:szCs w:val="24"/>
        </w:rPr>
        <w:t xml:space="preserve"> </w:t>
      </w:r>
      <w:r>
        <w:rPr>
          <w:rFonts w:hint="eastAsia" w:ascii="榛戜綋" w:eastAsia="榛戜綋" w:cs="榛戜綋"/>
          <w:kern w:val="0"/>
          <w:szCs w:val="24"/>
        </w:rPr>
        <w:t>含油废水处理工艺流程图</w:t>
      </w:r>
    </w:p>
    <w:p>
      <w:pPr>
        <w:autoSpaceDE w:val="0"/>
        <w:autoSpaceDN w:val="0"/>
        <w:adjustRightInd w:val="0"/>
        <w:spacing w:before="120" w:beforeLines="50"/>
        <w:ind w:firstLine="480"/>
        <w:rPr>
          <w:szCs w:val="24"/>
        </w:rPr>
      </w:pPr>
      <w:r>
        <w:rPr>
          <w:rFonts w:hint="eastAsia"/>
          <w:szCs w:val="24"/>
        </w:rPr>
        <w:t>隔油沉淀池设计去除率均为设计去除率</w:t>
      </w:r>
      <w:r>
        <w:rPr>
          <w:szCs w:val="24"/>
        </w:rPr>
        <w:t>80%</w:t>
      </w:r>
      <w:r>
        <w:rPr>
          <w:rFonts w:hint="eastAsia"/>
          <w:szCs w:val="24"/>
        </w:rPr>
        <w:t>，停留时间</w:t>
      </w:r>
      <w:r>
        <w:rPr>
          <w:szCs w:val="24"/>
        </w:rPr>
        <w:t>2h</w:t>
      </w:r>
      <w:r>
        <w:rPr>
          <w:rFonts w:hint="eastAsia"/>
          <w:szCs w:val="24"/>
        </w:rPr>
        <w:t>，清掏周期</w:t>
      </w:r>
      <w:r>
        <w:rPr>
          <w:szCs w:val="24"/>
        </w:rPr>
        <w:t>10~15d</w:t>
      </w:r>
      <w:r>
        <w:rPr>
          <w:rFonts w:hint="eastAsia"/>
          <w:szCs w:val="24"/>
        </w:rPr>
        <w:t>。</w:t>
      </w:r>
      <w:r>
        <w:rPr>
          <w:szCs w:val="24"/>
        </w:rPr>
        <w:t>施工区含油废水产生量10.8m³/次（830m³/施工期），</w:t>
      </w:r>
      <w:r>
        <w:rPr>
          <w:rFonts w:hint="eastAsia"/>
          <w:szCs w:val="24"/>
        </w:rPr>
        <w:t>设计钢混隔油沉淀池</w:t>
      </w:r>
      <w:r>
        <w:rPr>
          <w:szCs w:val="24"/>
        </w:rPr>
        <w:t>GC-2QF</w:t>
      </w:r>
      <w:r>
        <w:rPr>
          <w:rFonts w:hint="eastAsia"/>
          <w:szCs w:val="24"/>
        </w:rPr>
        <w:t>，有效容积为6.0</w:t>
      </w:r>
      <w:r>
        <w:rPr>
          <w:szCs w:val="24"/>
        </w:rPr>
        <w:t>m³</w:t>
      </w:r>
      <w:r>
        <w:rPr>
          <w:rFonts w:hint="eastAsia"/>
          <w:szCs w:val="24"/>
        </w:rPr>
        <w:t>，净尺寸（长</w:t>
      </w:r>
      <w:r>
        <w:rPr>
          <w:szCs w:val="24"/>
        </w:rPr>
        <w:t>×</w:t>
      </w:r>
      <w:r>
        <w:rPr>
          <w:rFonts w:hint="eastAsia"/>
          <w:szCs w:val="24"/>
        </w:rPr>
        <w:t>宽</w:t>
      </w:r>
      <w:r>
        <w:rPr>
          <w:szCs w:val="24"/>
        </w:rPr>
        <w:t>×</w:t>
      </w:r>
      <w:r>
        <w:rPr>
          <w:rFonts w:hint="eastAsia"/>
          <w:szCs w:val="24"/>
        </w:rPr>
        <w:t>高）为</w:t>
      </w:r>
      <w:r>
        <w:rPr>
          <w:szCs w:val="24"/>
        </w:rPr>
        <w:t>4.0m×1.2m×</w:t>
      </w:r>
      <w:r>
        <w:rPr>
          <w:rFonts w:hint="eastAsia"/>
          <w:szCs w:val="24"/>
        </w:rPr>
        <w:t>1.5</w:t>
      </w:r>
      <w:r>
        <w:rPr>
          <w:szCs w:val="24"/>
        </w:rPr>
        <w:t>m</w:t>
      </w:r>
      <w:r>
        <w:rPr>
          <w:rFonts w:hint="eastAsia"/>
          <w:szCs w:val="24"/>
        </w:rPr>
        <w:t>，数量</w:t>
      </w:r>
      <w:r>
        <w:rPr>
          <w:szCs w:val="24"/>
        </w:rPr>
        <w:t>2</w:t>
      </w:r>
      <w:r>
        <w:rPr>
          <w:rFonts w:hint="eastAsia"/>
          <w:szCs w:val="24"/>
        </w:rPr>
        <w:t>座</w:t>
      </w:r>
      <w:r>
        <w:rPr>
          <w:szCs w:val="24"/>
        </w:rPr>
        <w:t>。含油废水经隔油池后，出水石油类浓度需达5mg/L以下，其余指标需符合《城市杂用水水质标准》，就近回用于场地道路洒水抑尘。隔油池需每天安排人员清除漂于上面的浮油与其他杂物，浮油统一收集后，外委有危险废物处理资质的单位处理。</w:t>
      </w:r>
    </w:p>
    <w:p>
      <w:pPr>
        <w:ind w:firstLine="0" w:firstLineChars="0"/>
        <w:rPr>
          <w:b/>
          <w:szCs w:val="24"/>
        </w:rPr>
      </w:pPr>
      <w:r>
        <w:rPr>
          <w:rFonts w:hint="eastAsia"/>
          <w:b/>
          <w:szCs w:val="24"/>
        </w:rPr>
        <w:t>7</w:t>
      </w:r>
      <w:r>
        <w:rPr>
          <w:b/>
          <w:szCs w:val="24"/>
        </w:rPr>
        <w:t>.2.1.</w:t>
      </w:r>
      <w:r>
        <w:rPr>
          <w:rFonts w:hint="eastAsia"/>
          <w:b/>
          <w:szCs w:val="24"/>
        </w:rPr>
        <w:t>5</w:t>
      </w:r>
      <w:r>
        <w:rPr>
          <w:b/>
          <w:szCs w:val="24"/>
        </w:rPr>
        <w:t>施工期生活污水治理措施</w:t>
      </w:r>
    </w:p>
    <w:p>
      <w:pPr>
        <w:ind w:firstLine="480"/>
        <w:rPr>
          <w:rFonts w:eastAsia="黑体"/>
        </w:rPr>
      </w:pPr>
      <w:r>
        <w:rPr>
          <w:rFonts w:hint="eastAsia"/>
        </w:rPr>
        <w:t>根据建设单位对</w:t>
      </w:r>
      <w:r>
        <w:t>施工场地</w:t>
      </w:r>
      <w:r>
        <w:rPr>
          <w:rFonts w:hint="eastAsia"/>
        </w:rPr>
        <w:t>布置规划，施工场地内仅设1~2个看护人员，其他施工人员采用</w:t>
      </w:r>
      <w:r>
        <w:t>租用</w:t>
      </w:r>
      <w:r>
        <w:rPr>
          <w:rFonts w:hint="eastAsia"/>
        </w:rPr>
        <w:t>上高县成</w:t>
      </w:r>
      <w:r>
        <w:t>当地房屋方式，</w:t>
      </w:r>
      <w:r>
        <w:rPr>
          <w:rFonts w:hint="eastAsia"/>
        </w:rPr>
        <w:t>租赁</w:t>
      </w:r>
      <w:r>
        <w:t>施工人员生活污水排入</w:t>
      </w:r>
      <w:r>
        <w:rPr>
          <w:rFonts w:hint="eastAsia"/>
        </w:rPr>
        <w:t>上高县房屋</w:t>
      </w:r>
      <w:r>
        <w:t>现有的污水处理</w:t>
      </w:r>
      <w:r>
        <w:rPr>
          <w:rFonts w:hint="eastAsia"/>
        </w:rPr>
        <w:t>设施（化粪池+上高工业园污水处理厂）</w:t>
      </w:r>
      <w:r>
        <w:t>和排水系统，</w:t>
      </w:r>
      <w:r>
        <w:rPr>
          <w:rFonts w:hint="eastAsia"/>
        </w:rPr>
        <w:t>因此，项目施工场地施工人员生活污水产生量很少，通过</w:t>
      </w:r>
      <w:r>
        <w:t>施工</w:t>
      </w:r>
      <w:r>
        <w:rPr>
          <w:rFonts w:hint="eastAsia"/>
        </w:rPr>
        <w:t>场地</w:t>
      </w:r>
      <w:r>
        <w:t>配备</w:t>
      </w:r>
      <w:r>
        <w:rPr>
          <w:rFonts w:hint="eastAsia"/>
        </w:rPr>
        <w:t>的</w:t>
      </w:r>
      <w:r>
        <w:t>简易厕所收集生活污水</w:t>
      </w:r>
      <w:r>
        <w:rPr>
          <w:rFonts w:hint="eastAsia"/>
        </w:rPr>
        <w:t>，</w:t>
      </w:r>
      <w:r>
        <w:t>污水经旱厕</w:t>
      </w:r>
      <w:r>
        <w:rPr>
          <w:rFonts w:hint="eastAsia"/>
        </w:rPr>
        <w:t>沤肥</w:t>
      </w:r>
      <w:r>
        <w:t>处理后用于肥田</w:t>
      </w:r>
      <w:r>
        <w:rPr>
          <w:rFonts w:hint="eastAsia"/>
        </w:rPr>
        <w:t>，</w:t>
      </w:r>
      <w:r>
        <w:rPr>
          <w:szCs w:val="24"/>
        </w:rPr>
        <w:t>不外排。</w:t>
      </w:r>
    </w:p>
    <w:p>
      <w:pPr>
        <w:pStyle w:val="7"/>
        <w:rPr>
          <w:kern w:val="0"/>
          <w:szCs w:val="24"/>
        </w:rPr>
      </w:pPr>
      <w:bookmarkStart w:id="1048" w:name="_Toc534386375"/>
      <w:bookmarkStart w:id="1049" w:name="_Toc529279131"/>
      <w:bookmarkStart w:id="1050" w:name="_Toc536265195"/>
      <w:bookmarkStart w:id="1051" w:name="_Toc3903332"/>
      <w:bookmarkStart w:id="1052" w:name="_Toc534807106"/>
      <w:bookmarkStart w:id="1053" w:name="_Toc534895323"/>
      <w:r>
        <w:rPr>
          <w:rFonts w:hint="eastAsia"/>
          <w:kern w:val="0"/>
          <w:szCs w:val="24"/>
        </w:rPr>
        <w:t>7</w:t>
      </w:r>
      <w:r>
        <w:rPr>
          <w:kern w:val="0"/>
          <w:szCs w:val="24"/>
        </w:rPr>
        <w:t>.2.2</w:t>
      </w:r>
      <w:bookmarkEnd w:id="1048"/>
      <w:bookmarkEnd w:id="1049"/>
      <w:r>
        <w:rPr>
          <w:kern w:val="0"/>
          <w:szCs w:val="24"/>
        </w:rPr>
        <w:t>蓄水期水环境保护措施</w:t>
      </w:r>
      <w:bookmarkEnd w:id="1050"/>
      <w:bookmarkEnd w:id="1051"/>
      <w:bookmarkEnd w:id="1052"/>
      <w:bookmarkEnd w:id="1053"/>
    </w:p>
    <w:p>
      <w:pPr>
        <w:ind w:firstLine="480"/>
        <w:rPr>
          <w:szCs w:val="24"/>
        </w:rPr>
      </w:pPr>
      <w:r>
        <w:rPr>
          <w:szCs w:val="24"/>
        </w:rPr>
        <w:t>按照《水利水电工程水库库底清理设计规范》（SL644-2014）有关规定，</w:t>
      </w:r>
      <w:r>
        <w:rPr>
          <w:rFonts w:hint="eastAsia"/>
          <w:szCs w:val="24"/>
        </w:rPr>
        <w:t>上高</w:t>
      </w:r>
      <w:r>
        <w:rPr>
          <w:szCs w:val="24"/>
        </w:rPr>
        <w:t>县</w:t>
      </w:r>
      <w:r>
        <w:rPr>
          <w:rFonts w:hint="eastAsia"/>
          <w:szCs w:val="24"/>
        </w:rPr>
        <w:t>毛家渡</w:t>
      </w:r>
      <w:r>
        <w:rPr>
          <w:szCs w:val="24"/>
        </w:rPr>
        <w:t>抬水坝在蓄水前必须对库区进行清理。</w:t>
      </w:r>
    </w:p>
    <w:p>
      <w:pPr>
        <w:ind w:firstLine="0" w:firstLineChars="0"/>
        <w:rPr>
          <w:b/>
          <w:szCs w:val="24"/>
        </w:rPr>
      </w:pPr>
      <w:r>
        <w:rPr>
          <w:rFonts w:hint="eastAsia"/>
          <w:b/>
          <w:szCs w:val="24"/>
        </w:rPr>
        <w:t>7</w:t>
      </w:r>
      <w:r>
        <w:rPr>
          <w:b/>
          <w:szCs w:val="24"/>
        </w:rPr>
        <w:t>.2.2.1库底清理原则</w:t>
      </w:r>
    </w:p>
    <w:p>
      <w:pPr>
        <w:ind w:firstLine="480"/>
        <w:rPr>
          <w:szCs w:val="24"/>
        </w:rPr>
      </w:pPr>
      <w:r>
        <w:rPr>
          <w:szCs w:val="24"/>
        </w:rPr>
        <w:t>库区清理按以下原则进行：</w:t>
      </w:r>
    </w:p>
    <w:p>
      <w:pPr>
        <w:ind w:firstLine="480"/>
        <w:rPr>
          <w:szCs w:val="24"/>
        </w:rPr>
      </w:pPr>
      <w:r>
        <w:rPr>
          <w:rFonts w:hint="eastAsia" w:ascii="宋体" w:hAnsi="宋体" w:cs="宋体"/>
          <w:szCs w:val="24"/>
        </w:rPr>
        <w:t>⑴</w:t>
      </w:r>
      <w:r>
        <w:rPr>
          <w:szCs w:val="24"/>
        </w:rPr>
        <w:t>库区清理必须坚持依法清理；</w:t>
      </w:r>
    </w:p>
    <w:p>
      <w:pPr>
        <w:ind w:firstLine="480"/>
        <w:rPr>
          <w:szCs w:val="24"/>
        </w:rPr>
      </w:pPr>
      <w:r>
        <w:rPr>
          <w:rFonts w:hint="eastAsia" w:ascii="宋体" w:hAnsi="宋体" w:cs="宋体"/>
          <w:szCs w:val="24"/>
        </w:rPr>
        <w:t>⑵</w:t>
      </w:r>
      <w:r>
        <w:rPr>
          <w:szCs w:val="24"/>
        </w:rPr>
        <w:t>清理过程中，应明确清理对象，突出清理重点，分类进行处理；</w:t>
      </w:r>
    </w:p>
    <w:p>
      <w:pPr>
        <w:ind w:firstLine="480"/>
        <w:rPr>
          <w:szCs w:val="24"/>
        </w:rPr>
      </w:pPr>
      <w:r>
        <w:rPr>
          <w:rFonts w:hint="eastAsia" w:ascii="宋体" w:hAnsi="宋体" w:cs="宋体"/>
          <w:szCs w:val="24"/>
        </w:rPr>
        <w:t>⑶</w:t>
      </w:r>
      <w:r>
        <w:rPr>
          <w:szCs w:val="24"/>
        </w:rPr>
        <w:t>卫生清理应与固体废物清理、建筑物及林木清理统筹安排；</w:t>
      </w:r>
    </w:p>
    <w:p>
      <w:pPr>
        <w:ind w:firstLine="480"/>
        <w:rPr>
          <w:szCs w:val="24"/>
        </w:rPr>
      </w:pPr>
      <w:r>
        <w:rPr>
          <w:rFonts w:hint="eastAsia" w:ascii="宋体" w:hAnsi="宋体" w:cs="宋体"/>
          <w:szCs w:val="24"/>
        </w:rPr>
        <w:t>⑷</w:t>
      </w:r>
      <w:r>
        <w:rPr>
          <w:szCs w:val="24"/>
        </w:rPr>
        <w:t>坚持清理与无害化处理相结合，防止二次污染；</w:t>
      </w:r>
    </w:p>
    <w:p>
      <w:pPr>
        <w:ind w:firstLine="480"/>
        <w:rPr>
          <w:szCs w:val="24"/>
        </w:rPr>
      </w:pPr>
      <w:r>
        <w:rPr>
          <w:rFonts w:hint="eastAsia" w:ascii="宋体" w:hAnsi="宋体" w:cs="宋体"/>
          <w:szCs w:val="24"/>
        </w:rPr>
        <w:t>⑸</w:t>
      </w:r>
      <w:r>
        <w:rPr>
          <w:szCs w:val="24"/>
        </w:rPr>
        <w:t>清理过程及清理后的质量应符合卫生、环保、劳动安全等行业部门的要求；清理期间及清理后不能影响水库水质。</w:t>
      </w:r>
    </w:p>
    <w:p>
      <w:pPr>
        <w:ind w:firstLine="0" w:firstLineChars="0"/>
        <w:rPr>
          <w:b/>
          <w:szCs w:val="24"/>
        </w:rPr>
      </w:pPr>
      <w:r>
        <w:rPr>
          <w:rFonts w:hint="eastAsia"/>
          <w:b/>
          <w:szCs w:val="24"/>
        </w:rPr>
        <w:t>7</w:t>
      </w:r>
      <w:r>
        <w:rPr>
          <w:b/>
          <w:szCs w:val="24"/>
        </w:rPr>
        <w:t>.2.2.2清理范围</w:t>
      </w:r>
    </w:p>
    <w:p>
      <w:pPr>
        <w:ind w:firstLine="480"/>
        <w:rPr>
          <w:szCs w:val="24"/>
        </w:rPr>
      </w:pPr>
      <w:r>
        <w:rPr>
          <w:szCs w:val="24"/>
        </w:rPr>
        <w:t>根据《水利水电工程水库库底清理设计规范》（SL644-2014）有关规定的要求，水库库底清理分为一般清理和特殊清理两部分。结合</w:t>
      </w:r>
      <w:r>
        <w:rPr>
          <w:rFonts w:hint="eastAsia"/>
          <w:szCs w:val="24"/>
        </w:rPr>
        <w:t>上高</w:t>
      </w:r>
      <w:r>
        <w:rPr>
          <w:szCs w:val="24"/>
        </w:rPr>
        <w:t>县</w:t>
      </w:r>
      <w:r>
        <w:rPr>
          <w:rFonts w:hint="eastAsia"/>
          <w:szCs w:val="24"/>
        </w:rPr>
        <w:t>毛家渡</w:t>
      </w:r>
      <w:r>
        <w:rPr>
          <w:szCs w:val="24"/>
        </w:rPr>
        <w:t>抬水坝运行方式的特点，确定清理范围为如下：</w:t>
      </w:r>
    </w:p>
    <w:p>
      <w:pPr>
        <w:ind w:firstLine="480"/>
        <w:rPr>
          <w:szCs w:val="24"/>
        </w:rPr>
      </w:pPr>
      <w:r>
        <w:rPr>
          <w:szCs w:val="24"/>
        </w:rPr>
        <w:t>正常蓄水位</w:t>
      </w:r>
      <w:r>
        <w:rPr>
          <w:rFonts w:hint="eastAsia"/>
          <w:szCs w:val="24"/>
        </w:rPr>
        <w:t>44.5</w:t>
      </w:r>
      <w:r>
        <w:rPr>
          <w:szCs w:val="24"/>
        </w:rPr>
        <w:t>m以下林木砍伐与迹地清理，防止水质污染的卫生防疫处理；</w:t>
      </w:r>
    </w:p>
    <w:p>
      <w:pPr>
        <w:ind w:firstLine="0" w:firstLineChars="0"/>
        <w:rPr>
          <w:b/>
          <w:szCs w:val="24"/>
        </w:rPr>
      </w:pPr>
      <w:r>
        <w:rPr>
          <w:rFonts w:hint="eastAsia"/>
          <w:b/>
          <w:szCs w:val="24"/>
        </w:rPr>
        <w:t>7</w:t>
      </w:r>
      <w:r>
        <w:rPr>
          <w:b/>
          <w:szCs w:val="24"/>
        </w:rPr>
        <w:t>.2.2.3清理内容、技术要求</w:t>
      </w:r>
    </w:p>
    <w:p>
      <w:pPr>
        <w:ind w:firstLine="480"/>
        <w:rPr>
          <w:szCs w:val="24"/>
        </w:rPr>
      </w:pPr>
      <w:r>
        <w:rPr>
          <w:rFonts w:hint="eastAsia" w:ascii="宋体" w:hAnsi="宋体" w:cs="宋体"/>
          <w:szCs w:val="24"/>
        </w:rPr>
        <w:t>⑴</w:t>
      </w:r>
      <w:r>
        <w:rPr>
          <w:szCs w:val="24"/>
        </w:rPr>
        <w:t>林木清理</w:t>
      </w:r>
    </w:p>
    <w:p>
      <w:pPr>
        <w:ind w:firstLine="480"/>
        <w:rPr>
          <w:szCs w:val="24"/>
        </w:rPr>
      </w:pPr>
      <w:r>
        <w:rPr>
          <w:rFonts w:hint="eastAsia" w:ascii="宋体" w:hAnsi="宋体" w:cs="宋体"/>
          <w:szCs w:val="24"/>
        </w:rPr>
        <w:t>①</w:t>
      </w:r>
      <w:r>
        <w:rPr>
          <w:szCs w:val="24"/>
        </w:rPr>
        <w:t>森林及零星树木尽可能齐地面砍伐并清理外运，残留树桩不得高出地面0.3m；</w:t>
      </w:r>
    </w:p>
    <w:p>
      <w:pPr>
        <w:ind w:firstLine="480"/>
        <w:rPr>
          <w:szCs w:val="24"/>
        </w:rPr>
      </w:pPr>
      <w:r>
        <w:rPr>
          <w:rFonts w:hint="eastAsia" w:ascii="宋体" w:hAnsi="宋体" w:cs="宋体"/>
          <w:szCs w:val="24"/>
        </w:rPr>
        <w:t>②</w:t>
      </w:r>
      <w:r>
        <w:rPr>
          <w:szCs w:val="24"/>
        </w:rPr>
        <w:t>迹地及林木（含竹木）砍伐残余的枝桠、枯木、灌木等易漂浮的物质，在水库蓄水之前，应就地烧毁或采取防漂措施。</w:t>
      </w:r>
    </w:p>
    <w:p>
      <w:pPr>
        <w:ind w:firstLine="480"/>
        <w:rPr>
          <w:szCs w:val="24"/>
        </w:rPr>
      </w:pPr>
      <w:r>
        <w:rPr>
          <w:rFonts w:hint="eastAsia" w:ascii="宋体" w:hAnsi="宋体" w:cs="宋体"/>
          <w:szCs w:val="24"/>
        </w:rPr>
        <w:t>⑵</w:t>
      </w:r>
      <w:r>
        <w:rPr>
          <w:szCs w:val="24"/>
        </w:rPr>
        <w:t>卫生防疫清理</w:t>
      </w:r>
    </w:p>
    <w:p>
      <w:pPr>
        <w:ind w:firstLine="480"/>
        <w:rPr>
          <w:szCs w:val="24"/>
        </w:rPr>
      </w:pPr>
      <w:r>
        <w:rPr>
          <w:rFonts w:hint="eastAsia" w:ascii="宋体" w:hAnsi="宋体" w:cs="宋体"/>
          <w:szCs w:val="24"/>
        </w:rPr>
        <w:t>①</w:t>
      </w:r>
      <w:r>
        <w:rPr>
          <w:szCs w:val="24"/>
        </w:rPr>
        <w:t>清理范围内的沼气池、粪池、厕所、牲畜栏中的粪便应彻底清掏运至库外，坑穴进行药物消毒；无法清掏的残留物，应加等量生石灰或撒布漂白粉混匀消毒，处理后的达到无害化要求。</w:t>
      </w:r>
    </w:p>
    <w:p>
      <w:pPr>
        <w:ind w:firstLine="480"/>
        <w:rPr>
          <w:szCs w:val="24"/>
        </w:rPr>
      </w:pPr>
      <w:r>
        <w:rPr>
          <w:rFonts w:hint="eastAsia" w:ascii="宋体" w:hAnsi="宋体" w:cs="宋体"/>
          <w:szCs w:val="24"/>
        </w:rPr>
        <w:t>②</w:t>
      </w:r>
      <w:r>
        <w:rPr>
          <w:szCs w:val="24"/>
        </w:rPr>
        <w:t>遗留的生活垃圾必须统一清理，污水沟内沉积的污物需曝晒消毒。</w:t>
      </w:r>
    </w:p>
    <w:p>
      <w:pPr>
        <w:ind w:firstLine="480"/>
        <w:rPr>
          <w:szCs w:val="24"/>
        </w:rPr>
      </w:pPr>
      <w:r>
        <w:rPr>
          <w:rFonts w:hint="eastAsia" w:ascii="宋体" w:hAnsi="宋体" w:cs="宋体"/>
          <w:szCs w:val="24"/>
          <w:lang w:eastAsia="ja-JP"/>
        </w:rPr>
        <w:t>③</w:t>
      </w:r>
      <w:r>
        <w:rPr>
          <w:szCs w:val="24"/>
        </w:rPr>
        <w:t>在卫生防疫清理应在卫生防疫部门指导下，在库区投放鼠药，并把死鼠的尸体集中消毒销毁等。卫生防疫清理应在卫生防疫部门指导下，由县组织专业队伍实施。</w:t>
      </w:r>
    </w:p>
    <w:p>
      <w:pPr>
        <w:pStyle w:val="7"/>
        <w:rPr>
          <w:kern w:val="0"/>
          <w:szCs w:val="24"/>
        </w:rPr>
      </w:pPr>
      <w:bookmarkStart w:id="1054" w:name="_Toc534895324"/>
      <w:bookmarkStart w:id="1055" w:name="_Toc536265196"/>
      <w:bookmarkStart w:id="1056" w:name="_Toc3903333"/>
      <w:bookmarkStart w:id="1057" w:name="_Toc534807107"/>
      <w:r>
        <w:rPr>
          <w:rFonts w:hint="eastAsia"/>
          <w:kern w:val="0"/>
          <w:szCs w:val="24"/>
        </w:rPr>
        <w:t>7</w:t>
      </w:r>
      <w:r>
        <w:rPr>
          <w:kern w:val="0"/>
          <w:szCs w:val="24"/>
        </w:rPr>
        <w:t>.2.3运营期水污染防治措施</w:t>
      </w:r>
      <w:bookmarkEnd w:id="1054"/>
      <w:bookmarkEnd w:id="1055"/>
      <w:bookmarkEnd w:id="1056"/>
      <w:bookmarkEnd w:id="1057"/>
    </w:p>
    <w:p>
      <w:pPr>
        <w:ind w:firstLine="480"/>
      </w:pPr>
      <w:r>
        <w:rPr>
          <w:rFonts w:hint="eastAsia"/>
          <w:szCs w:val="24"/>
        </w:rPr>
        <w:t>上高</w:t>
      </w:r>
      <w:r>
        <w:rPr>
          <w:szCs w:val="24"/>
        </w:rPr>
        <w:t>县</w:t>
      </w:r>
      <w:r>
        <w:rPr>
          <w:rFonts w:hint="eastAsia"/>
          <w:szCs w:val="24"/>
        </w:rPr>
        <w:t>毛家渡</w:t>
      </w:r>
      <w:r>
        <w:rPr>
          <w:szCs w:val="24"/>
        </w:rPr>
        <w:t>抬水坝管理处定员编制人员为6人，</w:t>
      </w:r>
      <w:r>
        <w:rPr>
          <w:rFonts w:hint="eastAsia"/>
        </w:rPr>
        <w:t>每次</w:t>
      </w:r>
      <w:r>
        <w:t>值班为</w:t>
      </w:r>
      <w:r>
        <w:rPr>
          <w:rFonts w:hint="eastAsia"/>
        </w:rPr>
        <w:t>1人</w:t>
      </w:r>
      <w:r>
        <w:t>，</w:t>
      </w:r>
      <w:r>
        <w:rPr>
          <w:szCs w:val="24"/>
        </w:rPr>
        <w:t>生活污水产生量为</w:t>
      </w:r>
      <w:r>
        <w:t>0.08t/d（29.2t/a）</w:t>
      </w:r>
      <w:r>
        <w:rPr>
          <w:szCs w:val="24"/>
        </w:rPr>
        <w:t>。</w:t>
      </w:r>
      <w:bookmarkStart w:id="1058" w:name="_Toc3903334"/>
      <w:bookmarkStart w:id="1059" w:name="_Toc536265197"/>
      <w:bookmarkStart w:id="1060" w:name="_Toc534895325"/>
      <w:bookmarkStart w:id="1061" w:name="_Toc534807108"/>
      <w:r>
        <w:rPr>
          <w:rFonts w:hint="eastAsia"/>
        </w:rPr>
        <w:t>生活污水</w:t>
      </w:r>
      <w:r>
        <w:rPr>
          <w:rFonts w:hint="eastAsia" w:ascii="宋体" w:cs="宋体"/>
          <w:kern w:val="0"/>
          <w:szCs w:val="24"/>
        </w:rPr>
        <w:t>经</w:t>
      </w:r>
      <w:r>
        <w:rPr>
          <w:rFonts w:hint="eastAsia"/>
        </w:rPr>
        <w:t>化粪池处理</w:t>
      </w:r>
      <w:r>
        <w:rPr>
          <w:rFonts w:hint="eastAsia" w:hAnsi="宋体"/>
        </w:rPr>
        <w:t>达</w:t>
      </w:r>
      <w:r>
        <w:t>《农田灌溉水质标准》（GB5084-2005）中旱作标准</w:t>
      </w:r>
      <w:r>
        <w:rPr>
          <w:rFonts w:hAnsi="宋体"/>
          <w:kern w:val="10"/>
        </w:rPr>
        <w:t>后</w:t>
      </w:r>
      <w:r>
        <w:t>用于周边农田菜地施肥，</w:t>
      </w:r>
      <w:r>
        <w:rPr>
          <w:rFonts w:hint="eastAsia" w:hAnsi="宋体"/>
          <w:kern w:val="10"/>
        </w:rPr>
        <w:t>不外排</w:t>
      </w:r>
      <w:r>
        <w:rPr>
          <w:rFonts w:hint="eastAsia"/>
        </w:rPr>
        <w:t>。</w:t>
      </w:r>
    </w:p>
    <w:p>
      <w:pPr>
        <w:pStyle w:val="7"/>
        <w:rPr>
          <w:kern w:val="0"/>
          <w:szCs w:val="24"/>
        </w:rPr>
      </w:pPr>
      <w:r>
        <w:rPr>
          <w:rFonts w:hint="eastAsia"/>
          <w:kern w:val="0"/>
          <w:szCs w:val="24"/>
        </w:rPr>
        <w:t>7.2.4下游河道生态流量保障措施</w:t>
      </w:r>
    </w:p>
    <w:p>
      <w:pPr>
        <w:autoSpaceDE w:val="0"/>
        <w:autoSpaceDN w:val="0"/>
        <w:adjustRightInd w:val="0"/>
        <w:ind w:firstLine="480"/>
        <w:rPr>
          <w:szCs w:val="24"/>
        </w:rPr>
      </w:pPr>
      <w:r>
        <w:rPr>
          <w:rFonts w:hint="eastAsia"/>
          <w:szCs w:val="24"/>
        </w:rPr>
        <w:t>在充分考虑了抬水坝坝址下游生态用水刚性需求的前提下，本工程提出了毛家渡抬水坝运行调度优先保障生态流量的要求，按照自然水文节律下泄生态流量。为确保生态流量在不同时段得到充分保障，评价要求布设生态流量在线监控设施，对工程下放生态流量进行实时监测。</w:t>
      </w:r>
    </w:p>
    <w:p>
      <w:pPr>
        <w:autoSpaceDE w:val="0"/>
        <w:autoSpaceDN w:val="0"/>
        <w:adjustRightInd w:val="0"/>
        <w:ind w:firstLine="480"/>
        <w:rPr>
          <w:szCs w:val="24"/>
        </w:rPr>
      </w:pPr>
      <w:r>
        <w:rPr>
          <w:rFonts w:hint="eastAsia"/>
          <w:szCs w:val="24"/>
        </w:rPr>
        <w:t>(1)施工期</w:t>
      </w:r>
    </w:p>
    <w:p>
      <w:pPr>
        <w:autoSpaceDE w:val="0"/>
        <w:autoSpaceDN w:val="0"/>
        <w:adjustRightInd w:val="0"/>
        <w:ind w:firstLine="480"/>
        <w:rPr>
          <w:szCs w:val="24"/>
        </w:rPr>
      </w:pPr>
      <w:r>
        <w:rPr>
          <w:szCs w:val="24"/>
        </w:rPr>
        <w:t>根据坝址地形、地质条件，结合整个枢纽结构布置情况及施工特点，采用分期施工方法，一期工程施工</w:t>
      </w:r>
      <w:r>
        <w:rPr>
          <w:rFonts w:hint="eastAsia"/>
          <w:szCs w:val="24"/>
        </w:rPr>
        <w:t>时</w:t>
      </w:r>
      <w:r>
        <w:rPr>
          <w:szCs w:val="24"/>
        </w:rPr>
        <w:t>利用左岸束窄河床导流，新建冲砂闸和4跨泄洪闸和右岸护岸工程；二期工程施工导流利用已建的泄洪闸和冲砂闸导流，新建左岸3跨泄洪闸和左岸护岸工程</w:t>
      </w:r>
      <w:r>
        <w:rPr>
          <w:rFonts w:hint="eastAsia"/>
          <w:szCs w:val="24"/>
        </w:rPr>
        <w:t>进行导流</w:t>
      </w:r>
      <w:r>
        <w:rPr>
          <w:szCs w:val="24"/>
        </w:rPr>
        <w:t>。</w:t>
      </w:r>
      <w:r>
        <w:rPr>
          <w:rFonts w:hint="eastAsia"/>
          <w:szCs w:val="24"/>
        </w:rPr>
        <w:t>施工期，通过导流措施下放环境，可满足下游生态流量泄放要求。</w:t>
      </w:r>
    </w:p>
    <w:p>
      <w:pPr>
        <w:autoSpaceDE w:val="0"/>
        <w:autoSpaceDN w:val="0"/>
        <w:adjustRightInd w:val="0"/>
        <w:ind w:firstLine="480"/>
        <w:rPr>
          <w:rFonts w:ascii="宋体" w:cs="宋体"/>
          <w:color w:val="0000FF"/>
          <w:kern w:val="0"/>
          <w:szCs w:val="24"/>
        </w:rPr>
      </w:pPr>
      <w:r>
        <w:rPr>
          <w:rFonts w:hint="eastAsia"/>
          <w:color w:val="0000FF"/>
          <w:szCs w:val="24"/>
        </w:rPr>
        <w:t>(2)</w:t>
      </w:r>
      <w:r>
        <w:rPr>
          <w:rFonts w:hint="eastAsia" w:ascii="宋体" w:cs="宋体"/>
          <w:color w:val="0000FF"/>
          <w:kern w:val="0"/>
          <w:szCs w:val="24"/>
        </w:rPr>
        <w:t>初期蓄水期</w:t>
      </w:r>
    </w:p>
    <w:p>
      <w:pPr>
        <w:autoSpaceDE w:val="0"/>
        <w:autoSpaceDN w:val="0"/>
        <w:adjustRightInd w:val="0"/>
        <w:ind w:firstLine="480"/>
        <w:rPr>
          <w:rFonts w:ascii="宋体" w:cs="宋体"/>
          <w:color w:val="0000FF"/>
          <w:kern w:val="0"/>
          <w:szCs w:val="24"/>
        </w:rPr>
      </w:pPr>
      <w:r>
        <w:rPr>
          <w:rFonts w:hint="eastAsia" w:ascii="宋体" w:cs="宋体"/>
          <w:color w:val="0000FF"/>
          <w:kern w:val="0"/>
          <w:szCs w:val="24"/>
        </w:rPr>
        <w:t>由于本工程为抬水景观工程，仅在蓄水初期的短暂时间会出现下游河道流量小于生态流量的可能，故为保证河道最小生态流量需求，可在蓄水同时合理开启抬水工程闸门高度下泄生态流量。蓄水初期下放环境水主要采用</w:t>
      </w:r>
      <w:r>
        <w:rPr>
          <w:color w:val="0000FF"/>
        </w:rPr>
        <w:t>坝顶溢流</w:t>
      </w:r>
      <w:r>
        <w:rPr>
          <w:rFonts w:hint="eastAsia"/>
          <w:color w:val="0000FF"/>
        </w:rPr>
        <w:t>0.07m</w:t>
      </w:r>
      <w:r>
        <w:rPr>
          <w:rFonts w:hint="eastAsia" w:ascii="宋体" w:cs="宋体"/>
          <w:color w:val="0000FF"/>
          <w:kern w:val="0"/>
          <w:szCs w:val="24"/>
        </w:rPr>
        <w:t>高程后，下放环境水。</w:t>
      </w:r>
    </w:p>
    <w:p>
      <w:pPr>
        <w:autoSpaceDE w:val="0"/>
        <w:autoSpaceDN w:val="0"/>
        <w:adjustRightInd w:val="0"/>
        <w:ind w:firstLine="480"/>
        <w:rPr>
          <w:rFonts w:ascii="宋体" w:cs="宋体"/>
          <w:color w:val="0000FF"/>
          <w:kern w:val="0"/>
          <w:szCs w:val="24"/>
        </w:rPr>
      </w:pPr>
      <w:r>
        <w:rPr>
          <w:rFonts w:hint="eastAsia"/>
          <w:color w:val="0000FF"/>
          <w:szCs w:val="24"/>
        </w:rPr>
        <w:t>(3)</w:t>
      </w:r>
      <w:r>
        <w:rPr>
          <w:rFonts w:hint="eastAsia" w:ascii="宋体" w:cs="宋体"/>
          <w:color w:val="0000FF"/>
          <w:kern w:val="0"/>
          <w:szCs w:val="24"/>
        </w:rPr>
        <w:t>运行期</w:t>
      </w:r>
    </w:p>
    <w:p>
      <w:pPr>
        <w:ind w:firstLine="480"/>
        <w:rPr>
          <w:color w:val="0000FF"/>
        </w:rPr>
      </w:pPr>
      <w:r>
        <w:rPr>
          <w:rFonts w:hint="eastAsia"/>
          <w:color w:val="0000FF"/>
        </w:rPr>
        <w:t>毛家渡抬</w:t>
      </w:r>
      <w:r>
        <w:rPr>
          <w:color w:val="0000FF"/>
        </w:rPr>
        <w:t>水坝正常运用时，</w:t>
      </w:r>
      <w:r>
        <w:rPr>
          <w:rFonts w:hint="eastAsia"/>
          <w:color w:val="0000FF"/>
        </w:rPr>
        <w:t>当</w:t>
      </w:r>
      <w:r>
        <w:rPr>
          <w:color w:val="0000FF"/>
        </w:rPr>
        <w:t>坝顶溢流</w:t>
      </w:r>
      <w:r>
        <w:rPr>
          <w:rFonts w:hint="eastAsia"/>
          <w:color w:val="0000FF"/>
        </w:rPr>
        <w:t>0.07m</w:t>
      </w:r>
      <w:r>
        <w:rPr>
          <w:color w:val="0000FF"/>
        </w:rPr>
        <w:t>，</w:t>
      </w:r>
      <w:r>
        <w:rPr>
          <w:rFonts w:hint="eastAsia"/>
          <w:color w:val="0000FF"/>
        </w:rPr>
        <w:t>泄</w:t>
      </w:r>
      <w:r>
        <w:rPr>
          <w:color w:val="0000FF"/>
        </w:rPr>
        <w:t>水流量为</w:t>
      </w:r>
      <w:r>
        <w:rPr>
          <w:rFonts w:hint="eastAsia"/>
          <w:color w:val="0000FF"/>
        </w:rPr>
        <w:t>12.11</w:t>
      </w:r>
      <w:r>
        <w:rPr>
          <w:color w:val="0000FF"/>
        </w:rPr>
        <w:t>m</w:t>
      </w:r>
      <w:r>
        <w:rPr>
          <w:color w:val="0000FF"/>
          <w:vertAlign w:val="superscript"/>
        </w:rPr>
        <w:t>3</w:t>
      </w:r>
      <w:r>
        <w:rPr>
          <w:color w:val="0000FF"/>
        </w:rPr>
        <w:t>/s</w:t>
      </w:r>
      <w:r>
        <w:rPr>
          <w:rFonts w:hint="eastAsia"/>
          <w:color w:val="0000FF"/>
        </w:rPr>
        <w:t>即</w:t>
      </w:r>
      <w:r>
        <w:rPr>
          <w:color w:val="0000FF"/>
        </w:rPr>
        <w:t>可满足最小生态流量需求</w:t>
      </w:r>
      <w:r>
        <w:rPr>
          <w:rFonts w:hint="eastAsia"/>
          <w:color w:val="0000FF"/>
        </w:rPr>
        <w:t>。在</w:t>
      </w:r>
      <w:r>
        <w:rPr>
          <w:color w:val="0000FF"/>
        </w:rPr>
        <w:t>枯</w:t>
      </w:r>
      <w:r>
        <w:rPr>
          <w:rFonts w:hint="eastAsia"/>
          <w:color w:val="0000FF"/>
        </w:rPr>
        <w:t>水</w:t>
      </w:r>
      <w:r>
        <w:rPr>
          <w:color w:val="0000FF"/>
        </w:rPr>
        <w:t>期，</w:t>
      </w:r>
      <w:r>
        <w:rPr>
          <w:rFonts w:hint="eastAsia"/>
          <w:color w:val="0000FF"/>
        </w:rPr>
        <w:t>为</w:t>
      </w:r>
      <w:r>
        <w:rPr>
          <w:color w:val="0000FF"/>
        </w:rPr>
        <w:t>保证河道最小生态流量需求，</w:t>
      </w:r>
      <w:r>
        <w:rPr>
          <w:rFonts w:hint="eastAsia"/>
          <w:color w:val="0000FF"/>
        </w:rPr>
        <w:t>可</w:t>
      </w:r>
      <w:r>
        <w:rPr>
          <w:color w:val="0000FF"/>
        </w:rPr>
        <w:t>合理</w:t>
      </w:r>
      <w:r>
        <w:rPr>
          <w:rFonts w:hint="eastAsia"/>
          <w:color w:val="0000FF"/>
        </w:rPr>
        <w:t>开启</w:t>
      </w:r>
      <w:r>
        <w:rPr>
          <w:color w:val="0000FF"/>
        </w:rPr>
        <w:t>抬水工程闸门高度</w:t>
      </w:r>
      <w:r>
        <w:rPr>
          <w:rFonts w:hint="eastAsia"/>
          <w:color w:val="0000FF"/>
        </w:rPr>
        <w:t>调节</w:t>
      </w:r>
      <w:r>
        <w:rPr>
          <w:color w:val="0000FF"/>
        </w:rPr>
        <w:t>下泄生态流量。</w:t>
      </w:r>
    </w:p>
    <w:p>
      <w:pPr>
        <w:autoSpaceDE w:val="0"/>
        <w:autoSpaceDN w:val="0"/>
        <w:adjustRightInd w:val="0"/>
        <w:ind w:firstLine="480"/>
        <w:rPr>
          <w:color w:val="0000FF"/>
          <w:szCs w:val="24"/>
        </w:rPr>
      </w:pPr>
      <w:r>
        <w:rPr>
          <w:rFonts w:hint="eastAsia"/>
          <w:color w:val="0000FF"/>
          <w:szCs w:val="24"/>
        </w:rPr>
        <w:t>（4）生态用水监控方案</w:t>
      </w:r>
    </w:p>
    <w:p>
      <w:pPr>
        <w:autoSpaceDE w:val="0"/>
        <w:autoSpaceDN w:val="0"/>
        <w:adjustRightInd w:val="0"/>
        <w:ind w:firstLine="480"/>
      </w:pPr>
      <w:r>
        <w:rPr>
          <w:rFonts w:hint="eastAsia"/>
          <w:color w:val="0000FF"/>
          <w:szCs w:val="24"/>
        </w:rPr>
        <w:t>在下泄流量设施内设置一套在线监控设施，安装于下泄闸门后端10m处。该流量计采用非接触式超声波测流，适用于河水等可均匀传导超声波、流速在0~30m/s的液体，该流量计具有自动数据储存功能，并可通过抬水坝调度运行管理综合自动化系统进行原始监测数据的长期备份、储存和传输。</w:t>
      </w:r>
    </w:p>
    <w:p>
      <w:pPr>
        <w:pStyle w:val="6"/>
        <w:spacing w:beforeLines="50" w:afterLines="50"/>
        <w:rPr>
          <w:szCs w:val="28"/>
        </w:rPr>
      </w:pPr>
      <w:bookmarkStart w:id="1062" w:name="_Toc15600"/>
      <w:r>
        <w:rPr>
          <w:rFonts w:hint="eastAsia"/>
          <w:szCs w:val="28"/>
        </w:rPr>
        <w:t>7</w:t>
      </w:r>
      <w:r>
        <w:rPr>
          <w:szCs w:val="28"/>
        </w:rPr>
        <w:t>.3地下水环境保护措施</w:t>
      </w:r>
      <w:bookmarkEnd w:id="1058"/>
      <w:bookmarkEnd w:id="1059"/>
      <w:bookmarkEnd w:id="1060"/>
      <w:bookmarkEnd w:id="1061"/>
      <w:r>
        <w:rPr>
          <w:rFonts w:hint="eastAsia"/>
          <w:szCs w:val="28"/>
        </w:rPr>
        <w:t>及可行性分析</w:t>
      </w:r>
      <w:bookmarkEnd w:id="1062"/>
    </w:p>
    <w:p>
      <w:pPr>
        <w:autoSpaceDE w:val="0"/>
        <w:autoSpaceDN w:val="0"/>
        <w:adjustRightInd w:val="0"/>
        <w:ind w:firstLine="480"/>
      </w:pPr>
      <w:r>
        <w:rPr>
          <w:rFonts w:hint="eastAsia"/>
        </w:rPr>
        <w:t>(1)施工期</w:t>
      </w:r>
    </w:p>
    <w:p>
      <w:pPr>
        <w:autoSpaceDE w:val="0"/>
        <w:autoSpaceDN w:val="0"/>
        <w:adjustRightInd w:val="0"/>
        <w:ind w:firstLine="480"/>
      </w:pPr>
      <w:r>
        <w:rPr>
          <w:rFonts w:hint="eastAsia"/>
        </w:rPr>
        <w:t>尽量选用低噪声或备有消声降噪设备的机械；施工过程中勤洒水，保持路面湿润，使工程区不得扬尘，避免扬尘对生活区环境的空气污染；加强施工现场的管理，水泥、石灰、油气等材料运送时，运输汽车应完整，不得超载，应尽量采取遮盖密闭措施；</w:t>
      </w:r>
    </w:p>
    <w:p>
      <w:pPr>
        <w:ind w:firstLine="480"/>
      </w:pPr>
      <w:r>
        <w:t>施工场地设置隔油沉淀池等废水处理设施，</w:t>
      </w:r>
      <w:r>
        <w:rPr>
          <w:rFonts w:hint="eastAsia"/>
        </w:rPr>
        <w:t>污(废)水等需经过处理后回用，以减少随处乱排经土壤层下渗到地下水，施工期生产、生活污水处理设施区以及危废暂存间等采取地下防渗措施，防止污水入渗；</w:t>
      </w:r>
    </w:p>
    <w:p>
      <w:pPr>
        <w:autoSpaceDE w:val="0"/>
        <w:autoSpaceDN w:val="0"/>
        <w:adjustRightInd w:val="0"/>
        <w:ind w:firstLine="480"/>
      </w:pPr>
      <w:r>
        <w:rPr>
          <w:rFonts w:hint="eastAsia"/>
        </w:rPr>
        <w:t>配备人员负责生活区和生产区的卫生清洁工作，定期将垃圾运至场外指定地点烧毁或掩埋，定期清扫、消毒，确保环境卫生。</w:t>
      </w:r>
    </w:p>
    <w:p>
      <w:pPr>
        <w:autoSpaceDE w:val="0"/>
        <w:autoSpaceDN w:val="0"/>
        <w:adjustRightInd w:val="0"/>
        <w:ind w:firstLine="480"/>
      </w:pPr>
      <w:r>
        <w:rPr>
          <w:rFonts w:hint="eastAsia"/>
        </w:rPr>
        <w:t>(2)运行期</w:t>
      </w:r>
    </w:p>
    <w:p>
      <w:pPr>
        <w:autoSpaceDE w:val="0"/>
        <w:autoSpaceDN w:val="0"/>
        <w:adjustRightInd w:val="0"/>
        <w:ind w:firstLine="480"/>
        <w:rPr>
          <w:rFonts w:ascii="宋体" w:cs="宋体"/>
          <w:kern w:val="0"/>
          <w:szCs w:val="24"/>
        </w:rPr>
      </w:pPr>
      <w:r>
        <w:rPr>
          <w:rFonts w:hint="eastAsia" w:ascii="宋体" w:cs="宋体"/>
          <w:kern w:val="0"/>
          <w:szCs w:val="24"/>
        </w:rPr>
        <w:t>抬水工程地下水环境保护措施应坚持“源头控制、末端防治、污染监控、应急响应相结合”原则，针对工程特点，其地下水环境保护措施主要为以下几个方面：</w:t>
      </w:r>
    </w:p>
    <w:p>
      <w:pPr>
        <w:autoSpaceDE w:val="0"/>
        <w:autoSpaceDN w:val="0"/>
        <w:adjustRightInd w:val="0"/>
        <w:ind w:firstLine="480"/>
        <w:rPr>
          <w:rFonts w:ascii="宋体" w:cs="宋体"/>
          <w:kern w:val="0"/>
          <w:szCs w:val="24"/>
        </w:rPr>
      </w:pPr>
      <w:r>
        <w:rPr>
          <w:rFonts w:ascii="宋体" w:cs="宋体"/>
          <w:kern w:val="0"/>
          <w:szCs w:val="24"/>
        </w:rPr>
        <w:fldChar w:fldCharType="begin"/>
      </w:r>
      <w:r>
        <w:rPr>
          <w:rFonts w:ascii="宋体" w:cs="宋体"/>
          <w:kern w:val="0"/>
          <w:szCs w:val="24"/>
        </w:rPr>
        <w:instrText xml:space="preserve"> </w:instrText>
      </w:r>
      <w:r>
        <w:rPr>
          <w:rFonts w:hint="eastAsia" w:ascii="宋体" w:cs="宋体"/>
          <w:kern w:val="0"/>
          <w:szCs w:val="24"/>
        </w:rPr>
        <w:instrText xml:space="preserve">= 1 \* GB3</w:instrText>
      </w:r>
      <w:r>
        <w:rPr>
          <w:rFonts w:ascii="宋体" w:cs="宋体"/>
          <w:kern w:val="0"/>
          <w:szCs w:val="24"/>
        </w:rPr>
        <w:instrText xml:space="preserve"> </w:instrText>
      </w:r>
      <w:r>
        <w:rPr>
          <w:rFonts w:ascii="宋体" w:cs="宋体"/>
          <w:kern w:val="0"/>
          <w:szCs w:val="24"/>
        </w:rPr>
        <w:fldChar w:fldCharType="separate"/>
      </w:r>
      <w:r>
        <w:rPr>
          <w:rFonts w:hint="eastAsia" w:ascii="宋体" w:cs="宋体"/>
          <w:kern w:val="0"/>
          <w:szCs w:val="24"/>
        </w:rPr>
        <w:t>①</w:t>
      </w:r>
      <w:r>
        <w:rPr>
          <w:rFonts w:ascii="宋体" w:cs="宋体"/>
          <w:kern w:val="0"/>
          <w:szCs w:val="24"/>
        </w:rPr>
        <w:fldChar w:fldCharType="end"/>
      </w:r>
      <w:r>
        <w:rPr>
          <w:rFonts w:hint="eastAsia" w:ascii="宋体" w:cs="宋体"/>
          <w:kern w:val="0"/>
          <w:szCs w:val="24"/>
        </w:rPr>
        <w:t>主动控制：即从源头控制措施。</w:t>
      </w:r>
      <w:r>
        <w:rPr>
          <w:rFonts w:hint="eastAsia"/>
        </w:rPr>
        <w:t>抬水工程蓄水后，应对生活垃圾进行集中收集和处理，减少对库水的污染。在库区建立清漂设施，加强清理库区漂浮物工作</w:t>
      </w:r>
      <w:r>
        <w:rPr>
          <w:rFonts w:hint="eastAsia" w:ascii="宋体" w:cs="宋体"/>
          <w:kern w:val="0"/>
          <w:szCs w:val="24"/>
        </w:rPr>
        <w:t>，防止对水体造成污染。</w:t>
      </w:r>
    </w:p>
    <w:p>
      <w:pPr>
        <w:autoSpaceDE w:val="0"/>
        <w:autoSpaceDN w:val="0"/>
        <w:adjustRightInd w:val="0"/>
        <w:ind w:firstLine="480"/>
        <w:rPr>
          <w:rFonts w:ascii="宋体" w:cs="宋体"/>
          <w:kern w:val="0"/>
          <w:szCs w:val="24"/>
        </w:rPr>
      </w:pPr>
      <w:r>
        <w:rPr>
          <w:rFonts w:ascii="宋体" w:cs="宋体"/>
          <w:kern w:val="0"/>
          <w:szCs w:val="24"/>
        </w:rPr>
        <w:fldChar w:fldCharType="begin"/>
      </w:r>
      <w:r>
        <w:rPr>
          <w:rFonts w:ascii="宋体" w:cs="宋体"/>
          <w:kern w:val="0"/>
          <w:szCs w:val="24"/>
        </w:rPr>
        <w:instrText xml:space="preserve"> </w:instrText>
      </w:r>
      <w:r>
        <w:rPr>
          <w:rFonts w:hint="eastAsia" w:ascii="宋体" w:cs="宋体"/>
          <w:kern w:val="0"/>
          <w:szCs w:val="24"/>
        </w:rPr>
        <w:instrText xml:space="preserve">= 2 \* GB3</w:instrText>
      </w:r>
      <w:r>
        <w:rPr>
          <w:rFonts w:ascii="宋体" w:cs="宋体"/>
          <w:kern w:val="0"/>
          <w:szCs w:val="24"/>
        </w:rPr>
        <w:instrText xml:space="preserve"> </w:instrText>
      </w:r>
      <w:r>
        <w:rPr>
          <w:rFonts w:ascii="宋体" w:cs="宋体"/>
          <w:kern w:val="0"/>
          <w:szCs w:val="24"/>
        </w:rPr>
        <w:fldChar w:fldCharType="separate"/>
      </w:r>
      <w:r>
        <w:rPr>
          <w:rFonts w:hint="eastAsia" w:ascii="宋体" w:cs="宋体"/>
          <w:kern w:val="0"/>
          <w:szCs w:val="24"/>
        </w:rPr>
        <w:t>②</w:t>
      </w:r>
      <w:r>
        <w:rPr>
          <w:rFonts w:ascii="宋体" w:cs="宋体"/>
          <w:kern w:val="0"/>
          <w:szCs w:val="24"/>
        </w:rPr>
        <w:fldChar w:fldCharType="end"/>
      </w:r>
      <w:r>
        <w:rPr>
          <w:rFonts w:hint="eastAsia" w:ascii="宋体" w:cs="宋体"/>
          <w:kern w:val="0"/>
          <w:szCs w:val="24"/>
        </w:rPr>
        <w:t>被动控制：即末端控制措施。对库岸边坡进行防护，降低沿岸土地沼泽化、盐渍化程度；改善地下水排泄途径；做好坝基（肩）防渗措施，</w:t>
      </w:r>
      <w:r>
        <w:rPr>
          <w:rFonts w:hint="eastAsia"/>
        </w:rPr>
        <w:t>防渗材料从上至下依此为1000mm 覆土、复合土工膜、100mm粗砂垫层，采取防渗措施后，</w:t>
      </w:r>
      <w:r>
        <w:rPr>
          <w:rFonts w:hint="eastAsia" w:ascii="宋体" w:cs="宋体"/>
          <w:kern w:val="0"/>
          <w:szCs w:val="24"/>
        </w:rPr>
        <w:t>降低因渗漏对大坝下游地下水位的影响。</w:t>
      </w:r>
    </w:p>
    <w:p>
      <w:pPr>
        <w:autoSpaceDE w:val="0"/>
        <w:autoSpaceDN w:val="0"/>
        <w:adjustRightInd w:val="0"/>
        <w:ind w:firstLine="480"/>
        <w:rPr>
          <w:rFonts w:ascii="宋体" w:cs="宋体"/>
          <w:kern w:val="0"/>
          <w:szCs w:val="24"/>
        </w:rPr>
      </w:pPr>
      <w:r>
        <w:rPr>
          <w:rFonts w:ascii="宋体" w:cs="宋体"/>
          <w:kern w:val="0"/>
          <w:szCs w:val="24"/>
        </w:rPr>
        <w:fldChar w:fldCharType="begin"/>
      </w:r>
      <w:r>
        <w:rPr>
          <w:rFonts w:ascii="宋体" w:cs="宋体"/>
          <w:kern w:val="0"/>
          <w:szCs w:val="24"/>
        </w:rPr>
        <w:instrText xml:space="preserve"> </w:instrText>
      </w:r>
      <w:r>
        <w:rPr>
          <w:rFonts w:hint="eastAsia" w:ascii="宋体" w:cs="宋体"/>
          <w:kern w:val="0"/>
          <w:szCs w:val="24"/>
        </w:rPr>
        <w:instrText xml:space="preserve">= 3 \* GB3</w:instrText>
      </w:r>
      <w:r>
        <w:rPr>
          <w:rFonts w:ascii="宋体" w:cs="宋体"/>
          <w:kern w:val="0"/>
          <w:szCs w:val="24"/>
        </w:rPr>
        <w:instrText xml:space="preserve"> </w:instrText>
      </w:r>
      <w:r>
        <w:rPr>
          <w:rFonts w:ascii="宋体" w:cs="宋体"/>
          <w:kern w:val="0"/>
          <w:szCs w:val="24"/>
        </w:rPr>
        <w:fldChar w:fldCharType="separate"/>
      </w:r>
      <w:r>
        <w:rPr>
          <w:rFonts w:hint="eastAsia" w:ascii="宋体" w:cs="宋体"/>
          <w:kern w:val="0"/>
          <w:szCs w:val="24"/>
        </w:rPr>
        <w:t>③</w:t>
      </w:r>
      <w:r>
        <w:rPr>
          <w:rFonts w:ascii="宋体" w:cs="宋体"/>
          <w:kern w:val="0"/>
          <w:szCs w:val="24"/>
        </w:rPr>
        <w:fldChar w:fldCharType="end"/>
      </w:r>
      <w:r>
        <w:rPr>
          <w:rFonts w:hint="eastAsia" w:ascii="宋体" w:cs="宋体"/>
          <w:kern w:val="0"/>
          <w:szCs w:val="24"/>
        </w:rPr>
        <w:t>建立地下水水质动态监测</w:t>
      </w:r>
    </w:p>
    <w:p>
      <w:pPr>
        <w:ind w:firstLine="480"/>
      </w:pPr>
      <w:r>
        <w:rPr>
          <w:rFonts w:hint="eastAsia"/>
        </w:rPr>
        <w:t>开展和加强库区周边地下水的长期观测，并根据地下水动态监测结果，提出工程运行调整建议。</w:t>
      </w:r>
    </w:p>
    <w:p>
      <w:pPr>
        <w:autoSpaceDE w:val="0"/>
        <w:autoSpaceDN w:val="0"/>
        <w:adjustRightInd w:val="0"/>
        <w:ind w:firstLine="480"/>
        <w:rPr>
          <w:rFonts w:ascii="宋体" w:cs="宋体"/>
          <w:kern w:val="0"/>
          <w:szCs w:val="24"/>
        </w:rPr>
      </w:pPr>
      <w:r>
        <w:rPr>
          <w:rFonts w:ascii="宋体" w:cs="宋体"/>
          <w:kern w:val="0"/>
          <w:szCs w:val="24"/>
        </w:rPr>
        <w:fldChar w:fldCharType="begin"/>
      </w:r>
      <w:r>
        <w:rPr>
          <w:rFonts w:ascii="宋体" w:cs="宋体"/>
          <w:kern w:val="0"/>
          <w:szCs w:val="24"/>
        </w:rPr>
        <w:instrText xml:space="preserve"> </w:instrText>
      </w:r>
      <w:r>
        <w:rPr>
          <w:rFonts w:hint="eastAsia" w:ascii="宋体" w:cs="宋体"/>
          <w:kern w:val="0"/>
          <w:szCs w:val="24"/>
        </w:rPr>
        <w:instrText xml:space="preserve">= 4 \* GB3</w:instrText>
      </w:r>
      <w:r>
        <w:rPr>
          <w:rFonts w:ascii="宋体" w:cs="宋体"/>
          <w:kern w:val="0"/>
          <w:szCs w:val="24"/>
        </w:rPr>
        <w:instrText xml:space="preserve"> </w:instrText>
      </w:r>
      <w:r>
        <w:rPr>
          <w:rFonts w:ascii="宋体" w:cs="宋体"/>
          <w:kern w:val="0"/>
          <w:szCs w:val="24"/>
        </w:rPr>
        <w:fldChar w:fldCharType="separate"/>
      </w:r>
      <w:r>
        <w:rPr>
          <w:rFonts w:hint="eastAsia" w:ascii="宋体" w:cs="宋体"/>
          <w:kern w:val="0"/>
          <w:szCs w:val="24"/>
        </w:rPr>
        <w:t>④</w:t>
      </w:r>
      <w:r>
        <w:rPr>
          <w:rFonts w:ascii="宋体" w:cs="宋体"/>
          <w:kern w:val="0"/>
          <w:szCs w:val="24"/>
        </w:rPr>
        <w:fldChar w:fldCharType="end"/>
      </w:r>
      <w:r>
        <w:rPr>
          <w:rFonts w:hint="eastAsia" w:ascii="宋体" w:cs="宋体"/>
          <w:kern w:val="0"/>
          <w:szCs w:val="24"/>
        </w:rPr>
        <w:t>编制应急响应预案，一旦发现地下水污染事故，立即启动应急预案、采取应急措施控制地下水污染，并使污染得到治理。结合国内外抬水工程施工地下水处理的经验，地下水处理应遵循“一疏、二堵、三排”因地制宜、综合治理的原则。</w:t>
      </w:r>
    </w:p>
    <w:p>
      <w:pPr>
        <w:ind w:firstLine="480"/>
        <w:rPr>
          <w:rFonts w:ascii="宋体" w:cs="宋体"/>
          <w:kern w:val="0"/>
          <w:szCs w:val="24"/>
        </w:rPr>
      </w:pPr>
      <w:r>
        <w:rPr>
          <w:rFonts w:ascii="宋体" w:cs="宋体"/>
          <w:kern w:val="0"/>
          <w:szCs w:val="24"/>
        </w:rPr>
        <w:fldChar w:fldCharType="begin"/>
      </w:r>
      <w:r>
        <w:rPr>
          <w:rFonts w:ascii="宋体" w:cs="宋体"/>
          <w:kern w:val="0"/>
          <w:szCs w:val="24"/>
        </w:rPr>
        <w:instrText xml:space="preserve"> </w:instrText>
      </w:r>
      <w:r>
        <w:rPr>
          <w:rFonts w:hint="eastAsia" w:ascii="宋体" w:cs="宋体"/>
          <w:kern w:val="0"/>
          <w:szCs w:val="24"/>
        </w:rPr>
        <w:instrText xml:space="preserve">= 5 \* GB3</w:instrText>
      </w:r>
      <w:r>
        <w:rPr>
          <w:rFonts w:ascii="宋体" w:cs="宋体"/>
          <w:kern w:val="0"/>
          <w:szCs w:val="24"/>
        </w:rPr>
        <w:instrText xml:space="preserve"> </w:instrText>
      </w:r>
      <w:r>
        <w:rPr>
          <w:rFonts w:ascii="宋体" w:cs="宋体"/>
          <w:kern w:val="0"/>
          <w:szCs w:val="24"/>
        </w:rPr>
        <w:fldChar w:fldCharType="separate"/>
      </w:r>
      <w:r>
        <w:rPr>
          <w:rFonts w:hint="eastAsia" w:ascii="宋体" w:cs="宋体"/>
          <w:kern w:val="0"/>
          <w:szCs w:val="24"/>
        </w:rPr>
        <w:t>⑤</w:t>
      </w:r>
      <w:r>
        <w:rPr>
          <w:rFonts w:ascii="宋体" w:cs="宋体"/>
          <w:kern w:val="0"/>
          <w:szCs w:val="24"/>
        </w:rPr>
        <w:fldChar w:fldCharType="end"/>
      </w:r>
      <w:r>
        <w:rPr>
          <w:rFonts w:hint="eastAsia" w:ascii="宋体" w:cs="宋体"/>
          <w:kern w:val="0"/>
          <w:szCs w:val="24"/>
        </w:rPr>
        <w:t>加强库区及厂区群众环境保护教育，加大居民点环境保护设施的建设。</w:t>
      </w:r>
    </w:p>
    <w:p>
      <w:pPr>
        <w:pStyle w:val="6"/>
        <w:spacing w:beforeLines="50" w:afterLines="50"/>
        <w:rPr>
          <w:szCs w:val="28"/>
        </w:rPr>
      </w:pPr>
      <w:bookmarkStart w:id="1063" w:name="_Toc3903338"/>
      <w:bookmarkStart w:id="1064" w:name="_Toc536265201"/>
      <w:bookmarkStart w:id="1065" w:name="_Toc534895329"/>
      <w:bookmarkStart w:id="1066" w:name="_Toc534807112"/>
      <w:bookmarkStart w:id="1067" w:name="_Toc8108"/>
      <w:r>
        <w:rPr>
          <w:rFonts w:hint="eastAsia"/>
          <w:szCs w:val="28"/>
        </w:rPr>
        <w:t>7</w:t>
      </w:r>
      <w:r>
        <w:rPr>
          <w:szCs w:val="28"/>
        </w:rPr>
        <w:t>.</w:t>
      </w:r>
      <w:r>
        <w:rPr>
          <w:rFonts w:hint="eastAsia"/>
          <w:szCs w:val="28"/>
        </w:rPr>
        <w:t>4</w:t>
      </w:r>
      <w:r>
        <w:rPr>
          <w:szCs w:val="28"/>
        </w:rPr>
        <w:t>大气环境保护措施</w:t>
      </w:r>
      <w:bookmarkEnd w:id="1063"/>
      <w:bookmarkEnd w:id="1064"/>
      <w:bookmarkEnd w:id="1065"/>
      <w:bookmarkEnd w:id="1066"/>
      <w:r>
        <w:rPr>
          <w:rFonts w:hint="eastAsia"/>
          <w:szCs w:val="28"/>
        </w:rPr>
        <w:t>及可行性分析</w:t>
      </w:r>
      <w:bookmarkEnd w:id="1067"/>
    </w:p>
    <w:p>
      <w:pPr>
        <w:pStyle w:val="7"/>
        <w:rPr>
          <w:kern w:val="0"/>
          <w:szCs w:val="24"/>
        </w:rPr>
      </w:pPr>
      <w:bookmarkStart w:id="1068" w:name="_Toc534895330"/>
      <w:bookmarkStart w:id="1069" w:name="_Toc3903339"/>
      <w:bookmarkStart w:id="1070" w:name="_Toc534807113"/>
      <w:bookmarkStart w:id="1071" w:name="_Toc536265202"/>
      <w:r>
        <w:rPr>
          <w:rFonts w:hint="eastAsia"/>
          <w:kern w:val="0"/>
          <w:szCs w:val="24"/>
        </w:rPr>
        <w:t>7</w:t>
      </w:r>
      <w:r>
        <w:rPr>
          <w:kern w:val="0"/>
          <w:szCs w:val="24"/>
        </w:rPr>
        <w:t>.</w:t>
      </w:r>
      <w:r>
        <w:rPr>
          <w:rFonts w:hint="eastAsia"/>
          <w:kern w:val="0"/>
          <w:szCs w:val="24"/>
        </w:rPr>
        <w:t>4</w:t>
      </w:r>
      <w:r>
        <w:rPr>
          <w:kern w:val="0"/>
          <w:szCs w:val="24"/>
        </w:rPr>
        <w:t>.1控制目标</w:t>
      </w:r>
      <w:bookmarkEnd w:id="1068"/>
      <w:bookmarkEnd w:id="1069"/>
      <w:bookmarkEnd w:id="1070"/>
      <w:bookmarkEnd w:id="1071"/>
    </w:p>
    <w:p>
      <w:pPr>
        <w:autoSpaceDE w:val="0"/>
        <w:autoSpaceDN w:val="0"/>
        <w:adjustRightInd w:val="0"/>
        <w:ind w:firstLine="480"/>
        <w:rPr>
          <w:szCs w:val="24"/>
        </w:rPr>
      </w:pPr>
      <w:r>
        <w:rPr>
          <w:szCs w:val="24"/>
        </w:rPr>
        <w:t>工程施工活动所产生的大气污染主要与施工粉尘和燃油燃煤机械设施排放的废气有关。</w:t>
      </w:r>
      <w:bookmarkStart w:id="1072" w:name="_Toc536265203"/>
      <w:bookmarkStart w:id="1073" w:name="_Toc3903340"/>
      <w:bookmarkStart w:id="1074" w:name="_Toc534807114"/>
      <w:bookmarkStart w:id="1075" w:name="_Toc534895331"/>
      <w:r>
        <w:rPr>
          <w:rFonts w:hint="eastAsia"/>
          <w:szCs w:val="24"/>
        </w:rPr>
        <w:t>选择符合环保标志的机械设施和环保型生产工艺，削减大气污染物的排放量，控制大气污染物的扩散，降低环境空气的污染范围，维持施工区及周围地区良好的环境，使环境空气质量满足《环境空气质量标准》（</w:t>
      </w:r>
      <w:r>
        <w:rPr>
          <w:szCs w:val="24"/>
        </w:rPr>
        <w:t>GB3095--2012</w:t>
      </w:r>
      <w:r>
        <w:rPr>
          <w:rFonts w:hint="eastAsia"/>
          <w:szCs w:val="24"/>
        </w:rPr>
        <w:t>）二级标准。</w:t>
      </w:r>
    </w:p>
    <w:p>
      <w:pPr>
        <w:pStyle w:val="7"/>
        <w:rPr>
          <w:kern w:val="0"/>
          <w:szCs w:val="24"/>
        </w:rPr>
      </w:pPr>
      <w:r>
        <w:rPr>
          <w:rFonts w:hint="eastAsia"/>
          <w:kern w:val="0"/>
          <w:szCs w:val="24"/>
        </w:rPr>
        <w:t>7</w:t>
      </w:r>
      <w:r>
        <w:rPr>
          <w:kern w:val="0"/>
          <w:szCs w:val="24"/>
        </w:rPr>
        <w:t>.</w:t>
      </w:r>
      <w:r>
        <w:rPr>
          <w:rFonts w:hint="eastAsia"/>
          <w:kern w:val="0"/>
          <w:szCs w:val="24"/>
        </w:rPr>
        <w:t>4</w:t>
      </w:r>
      <w:r>
        <w:rPr>
          <w:kern w:val="0"/>
          <w:szCs w:val="24"/>
        </w:rPr>
        <w:t>.2粉尘防治措施</w:t>
      </w:r>
      <w:bookmarkEnd w:id="1072"/>
      <w:bookmarkEnd w:id="1073"/>
      <w:bookmarkEnd w:id="1074"/>
      <w:bookmarkEnd w:id="1075"/>
    </w:p>
    <w:p>
      <w:pPr>
        <w:ind w:firstLine="480"/>
        <w:rPr>
          <w:szCs w:val="24"/>
        </w:rPr>
      </w:pPr>
      <w:r>
        <w:rPr>
          <w:rFonts w:hint="eastAsia" w:ascii="宋体" w:hAnsi="宋体" w:cs="宋体"/>
          <w:szCs w:val="24"/>
        </w:rPr>
        <w:t>⑴</w:t>
      </w:r>
      <w:r>
        <w:rPr>
          <w:szCs w:val="24"/>
        </w:rPr>
        <w:t>施工工艺要求</w:t>
      </w:r>
    </w:p>
    <w:p>
      <w:pPr>
        <w:ind w:firstLine="480"/>
        <w:rPr>
          <w:szCs w:val="24"/>
        </w:rPr>
      </w:pPr>
      <w:r>
        <w:rPr>
          <w:szCs w:val="24"/>
        </w:rPr>
        <w:t>在工程施工过程中优先选择先进、低尘施工工艺。尽量采用凿裂法施工，不仅生产率高于钻爆法，而且节省费用、安全且产尘率低；采用带有捕尘罩的浅孔钻进行钻孔，禁止把岩粉作为炮孔的堵塞炮泥，以防止岩粉在炮堆的鼓包运动过程中被扬起。</w:t>
      </w:r>
    </w:p>
    <w:p>
      <w:pPr>
        <w:ind w:firstLine="480"/>
        <w:rPr>
          <w:szCs w:val="24"/>
        </w:rPr>
      </w:pPr>
      <w:r>
        <w:rPr>
          <w:rFonts w:hint="eastAsia" w:ascii="宋体" w:hAnsi="宋体" w:cs="宋体"/>
          <w:szCs w:val="24"/>
        </w:rPr>
        <w:t>⑵</w:t>
      </w:r>
      <w:r>
        <w:rPr>
          <w:szCs w:val="24"/>
        </w:rPr>
        <w:t>土石方开挖</w:t>
      </w:r>
    </w:p>
    <w:p>
      <w:pPr>
        <w:ind w:firstLine="480"/>
        <w:rPr>
          <w:szCs w:val="24"/>
        </w:rPr>
      </w:pPr>
      <w:r>
        <w:rPr>
          <w:szCs w:val="24"/>
        </w:rPr>
        <w:t>工程土石方开挖爆破应优先选择预裂爆破、光面爆破、缓冲爆破、深孔微差挤压爆破等爆破技术，以减少粉尘产生量。在开挖、爆破高度集中的坝肩等开挖区，非雨日采取洒水措施（主要针对弃渣装载场地），以加速粉尘沉降，缩小粉尘影响时间；料场开采、爆破过程中，采用洒水、覆盖草袋等降尘、控制爆破飞石措施，控制粉尘产生量。洒水次数及用水量根据天气情况和场地粉尘产生情况确定。</w:t>
      </w:r>
    </w:p>
    <w:p>
      <w:pPr>
        <w:tabs>
          <w:tab w:val="left" w:pos="6660"/>
        </w:tabs>
        <w:ind w:firstLine="480"/>
        <w:rPr>
          <w:kern w:val="0"/>
        </w:rPr>
      </w:pPr>
      <w:r>
        <w:t>开挖、钻孔过程中，洒水使作业保持一定的湿度；</w:t>
      </w:r>
      <w:r>
        <w:rPr>
          <w:kern w:val="0"/>
        </w:rPr>
        <w:t>建设单位应要求施工承包单位每个标段至少自备1台洒水车，一般每天可洒水二次，上午下午各一次，但在干燥炎热的夏季或大风天气，应适当增加洒水次数。天气预报4级风以上天气应停止土方工程作业。</w:t>
      </w:r>
    </w:p>
    <w:p>
      <w:pPr>
        <w:ind w:firstLine="480"/>
      </w:pPr>
      <w:r>
        <w:t>对施工场地内松散、干涸的表土，无雨天也应经常洒水防治粉尘；回填土方时，在表层土质干燥时应适当洒水，防止粉尘飞扬。</w:t>
      </w:r>
    </w:p>
    <w:p>
      <w:pPr>
        <w:pStyle w:val="284"/>
        <w:ind w:firstLine="480" w:firstLineChars="200"/>
        <w:rPr>
          <w:szCs w:val="20"/>
        </w:rPr>
      </w:pPr>
      <w:r>
        <w:rPr>
          <w:rFonts w:hint="eastAsia" w:ascii="宋体" w:hAnsi="宋体" w:cs="宋体"/>
          <w:szCs w:val="24"/>
        </w:rPr>
        <w:t>(3)</w:t>
      </w:r>
      <w:r>
        <w:rPr>
          <w:szCs w:val="20"/>
        </w:rPr>
        <w:t>材料运输过程防治措施</w:t>
      </w:r>
    </w:p>
    <w:p>
      <w:pPr>
        <w:pStyle w:val="284"/>
        <w:ind w:firstLine="480" w:firstLineChars="200"/>
        <w:rPr>
          <w:szCs w:val="20"/>
        </w:rPr>
      </w:pPr>
      <w:r>
        <w:rPr>
          <w:szCs w:val="20"/>
        </w:rPr>
        <w:t>工程材料运输过程中的扬尘影响道路整洁，运输过程中洒落材料会产生二次污染，扬尘飘落在附近农作物叶片上，影响植被光合作用和正常生长，针对以上问题提出环保措施如下：</w:t>
      </w:r>
    </w:p>
    <w:tbl>
      <w:tblPr>
        <w:tblStyle w:val="82"/>
        <w:tblW w:w="5000" w:type="pct"/>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pStyle w:val="284"/>
              <w:spacing w:line="240" w:lineRule="auto"/>
              <w:ind w:firstLine="0"/>
              <w:jc w:val="center"/>
              <w:rPr>
                <w:szCs w:val="20"/>
              </w:rPr>
            </w:pPr>
            <w:r>
              <w:rPr>
                <w:szCs w:val="20"/>
              </w:rPr>
              <w:drawing>
                <wp:inline distT="0" distB="0" distL="114300" distR="114300">
                  <wp:extent cx="5400040" cy="1809750"/>
                  <wp:effectExtent l="0" t="0" r="0" b="0"/>
                  <wp:docPr id="1"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27"/>
                          <pic:cNvPicPr>
                            <a:picLocks noChangeAspect="1"/>
                          </pic:cNvPicPr>
                        </pic:nvPicPr>
                        <pic:blipFill>
                          <a:blip r:embed="rId117"/>
                          <a:stretch>
                            <a:fillRect/>
                          </a:stretch>
                        </pic:blipFill>
                        <pic:spPr>
                          <a:xfrm>
                            <a:off x="0" y="0"/>
                            <a:ext cx="5400040" cy="1809750"/>
                          </a:xfrm>
                          <a:prstGeom prst="rect">
                            <a:avLst/>
                          </a:prstGeom>
                          <a:noFill/>
                          <a:ln>
                            <a:noFill/>
                          </a:ln>
                        </pic:spPr>
                      </pic:pic>
                    </a:graphicData>
                  </a:graphic>
                </wp:inline>
              </w:drawing>
            </w:r>
          </w:p>
          <w:p>
            <w:pPr>
              <w:pStyle w:val="284"/>
              <w:spacing w:line="240" w:lineRule="auto"/>
              <w:ind w:firstLine="0"/>
              <w:jc w:val="center"/>
              <w:rPr>
                <w:szCs w:val="20"/>
              </w:rPr>
            </w:pPr>
            <w:r>
              <w:rPr>
                <w:szCs w:val="20"/>
              </w:rPr>
              <w:drawing>
                <wp:inline distT="0" distB="0" distL="114300" distR="114300">
                  <wp:extent cx="5400040" cy="1819275"/>
                  <wp:effectExtent l="0" t="0" r="0" b="0"/>
                  <wp:docPr id="2"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6"/>
                          <pic:cNvPicPr>
                            <a:picLocks noChangeAspect="1"/>
                          </pic:cNvPicPr>
                        </pic:nvPicPr>
                        <pic:blipFill>
                          <a:blip r:embed="rId118"/>
                          <a:stretch>
                            <a:fillRect/>
                          </a:stretch>
                        </pic:blipFill>
                        <pic:spPr>
                          <a:xfrm>
                            <a:off x="0" y="0"/>
                            <a:ext cx="5400040" cy="1819275"/>
                          </a:xfrm>
                          <a:prstGeom prst="rect">
                            <a:avLst/>
                          </a:prstGeom>
                          <a:noFill/>
                          <a:ln>
                            <a:noFill/>
                          </a:ln>
                        </pic:spPr>
                      </pic:pic>
                    </a:graphicData>
                  </a:graphic>
                </wp:inline>
              </w:drawing>
            </w:r>
          </w:p>
          <w:p>
            <w:pPr>
              <w:pStyle w:val="284"/>
              <w:spacing w:line="240" w:lineRule="auto"/>
              <w:ind w:firstLine="0"/>
              <w:jc w:val="center"/>
              <w:rPr>
                <w:szCs w:val="20"/>
              </w:rPr>
            </w:pPr>
            <w:r>
              <w:rPr>
                <w:szCs w:val="20"/>
              </w:rPr>
              <w:drawing>
                <wp:inline distT="0" distB="0" distL="114300" distR="114300">
                  <wp:extent cx="5390515" cy="1809750"/>
                  <wp:effectExtent l="0" t="0" r="0" b="0"/>
                  <wp:docPr id="3"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25"/>
                          <pic:cNvPicPr>
                            <a:picLocks noChangeAspect="1"/>
                          </pic:cNvPicPr>
                        </pic:nvPicPr>
                        <pic:blipFill>
                          <a:blip r:embed="rId119"/>
                          <a:stretch>
                            <a:fillRect/>
                          </a:stretch>
                        </pic:blipFill>
                        <pic:spPr>
                          <a:xfrm>
                            <a:off x="0" y="0"/>
                            <a:ext cx="5390515" cy="1809750"/>
                          </a:xfrm>
                          <a:prstGeom prst="rect">
                            <a:avLst/>
                          </a:prstGeom>
                          <a:noFill/>
                          <a:ln>
                            <a:noFill/>
                          </a:ln>
                        </pic:spPr>
                      </pic:pic>
                    </a:graphicData>
                  </a:graphic>
                </wp:inline>
              </w:drawing>
            </w:r>
          </w:p>
          <w:p>
            <w:pPr>
              <w:spacing w:before="120" w:beforeLines="50" w:line="240" w:lineRule="auto"/>
              <w:ind w:firstLine="0" w:firstLineChars="0"/>
              <w:jc w:val="center"/>
            </w:pPr>
            <w:r>
              <w:rPr>
                <w:rFonts w:eastAsia="黑体"/>
              </w:rPr>
              <w:t>图</w:t>
            </w:r>
            <w:r>
              <w:rPr>
                <w:rFonts w:hint="eastAsia" w:eastAsia="黑体"/>
              </w:rPr>
              <w:t>7</w:t>
            </w:r>
            <w:r>
              <w:rPr>
                <w:rFonts w:eastAsia="黑体"/>
              </w:rPr>
              <w:t>.</w:t>
            </w:r>
            <w:r>
              <w:rPr>
                <w:rFonts w:hint="eastAsia" w:eastAsia="黑体"/>
              </w:rPr>
              <w:t>4</w:t>
            </w:r>
            <w:r>
              <w:rPr>
                <w:rFonts w:eastAsia="黑体"/>
              </w:rPr>
              <w:t>-</w:t>
            </w:r>
            <w:r>
              <w:rPr>
                <w:rFonts w:hint="eastAsia" w:eastAsia="黑体"/>
              </w:rPr>
              <w:t>1</w:t>
            </w:r>
            <w:r>
              <w:rPr>
                <w:rFonts w:eastAsia="黑体"/>
              </w:rPr>
              <w:t xml:space="preserve">  防治粉尘措施示意图</w:t>
            </w:r>
          </w:p>
        </w:tc>
      </w:tr>
    </w:tbl>
    <w:p>
      <w:pPr>
        <w:spacing w:before="120" w:beforeLines="50"/>
        <w:ind w:firstLine="480"/>
      </w:pPr>
      <w:r>
        <w:t>a.运土、砂等易洒落散装物料的卡车及建筑材料运输车应按规定配置防洒装备（如图</w:t>
      </w:r>
      <w:r>
        <w:rPr>
          <w:rFonts w:hint="eastAsia"/>
        </w:rPr>
        <w:t>7</w:t>
      </w:r>
      <w:r>
        <w:t>.</w:t>
      </w:r>
      <w:r>
        <w:rPr>
          <w:rFonts w:hint="eastAsia"/>
        </w:rPr>
        <w:t>4</w:t>
      </w:r>
      <w:r>
        <w:t>-1），装载不宜过满，保证运输过程中不散落；并规划好运输车辆的运行路线与时间，尽量避免在繁华区、交通集中区和居民住宅等敏感区行驶；对环境要求高的路段，应根据实际情况选择在夜间运输，以减少粉尘对环境的影响。</w:t>
      </w:r>
    </w:p>
    <w:p>
      <w:pPr>
        <w:ind w:firstLine="480"/>
      </w:pPr>
      <w:r>
        <w:t>b.土料、砂料的运输车辆应加盖防尘布（如图</w:t>
      </w:r>
      <w:r>
        <w:rPr>
          <w:rFonts w:hint="eastAsia"/>
        </w:rPr>
        <w:t>7</w:t>
      </w:r>
      <w:r>
        <w:t>.</w:t>
      </w:r>
      <w:r>
        <w:rPr>
          <w:rFonts w:hint="eastAsia"/>
        </w:rPr>
        <w:t>4</w:t>
      </w:r>
      <w:r>
        <w:t>-</w:t>
      </w:r>
      <w:r>
        <w:rPr>
          <w:rFonts w:hint="eastAsia"/>
        </w:rPr>
        <w:t>1</w:t>
      </w:r>
      <w:r>
        <w:t>），防止散落和被风吹扬对大气造成污染；施工时须加强养护工作，并作好工艺安排，防止二次污染。</w:t>
      </w:r>
    </w:p>
    <w:p>
      <w:pPr>
        <w:ind w:firstLine="480"/>
      </w:pPr>
      <w:r>
        <w:t>c.运输车辆加蓬盖、装卸场地在装卸前应先冲洗干净，减少车轮、底盘等携带泥土散落路面；应限制施工区内运输车辆的速度，将卡车在施工场地的车速控制在8km/h内；对运输过程中洒落在路面上的泥土要及时清扫，以减少运行过程中的扬尘产生。</w:t>
      </w:r>
    </w:p>
    <w:p>
      <w:pPr>
        <w:ind w:firstLine="480"/>
        <w:rPr>
          <w:szCs w:val="24"/>
        </w:rPr>
      </w:pPr>
      <w:r>
        <w:rPr>
          <w:rFonts w:hint="eastAsia" w:ascii="宋体" w:hAnsi="宋体" w:cs="宋体"/>
          <w:szCs w:val="24"/>
        </w:rPr>
        <w:t>⑸</w:t>
      </w:r>
      <w:r>
        <w:rPr>
          <w:szCs w:val="24"/>
        </w:rPr>
        <w:t>交通运输</w:t>
      </w:r>
    </w:p>
    <w:p>
      <w:pPr>
        <w:ind w:firstLine="480"/>
        <w:rPr>
          <w:szCs w:val="24"/>
        </w:rPr>
      </w:pPr>
      <w:r>
        <w:rPr>
          <w:szCs w:val="24"/>
        </w:rPr>
        <w:t>交通车辆扬尘主要来自公路路面尘土和道路的损坏，只要有效的控制来源，就可以减少扬尘。应加强道路管理和维护，保持路面平坦清洁，无雨日要勤洒水；配备公路养护、维修、清扫队伍，使道路常年处于良好的运用状态，削减车辆运输产生的扬尘。结合水保措施，做好公路绿化，依不同路段地形情况，在绿化区段有针对性的种植树木或草坪，以降低扬尘污染。</w:t>
      </w:r>
    </w:p>
    <w:p>
      <w:pPr>
        <w:ind w:firstLine="480"/>
        <w:rPr>
          <w:szCs w:val="24"/>
        </w:rPr>
      </w:pPr>
      <w:r>
        <w:rPr>
          <w:szCs w:val="24"/>
        </w:rPr>
        <w:t>在物资运输过程中注意防止环境空气污染。细颗粒材料运输采用密封罐车；采用敞篷车运输的应用篷布遮盖；装卸、堆放中应防止物料流散。在施工区控制车速，在靠近村寨居民点、施工营地及辅助企业行驶的车辆，车速不得超过20km/h。</w:t>
      </w:r>
    </w:p>
    <w:p>
      <w:pPr>
        <w:ind w:firstLine="480"/>
        <w:rPr>
          <w:szCs w:val="24"/>
        </w:rPr>
      </w:pPr>
      <w:r>
        <w:rPr>
          <w:szCs w:val="24"/>
        </w:rPr>
        <w:t>通过上述措施可减免施工粉尘、道路扬尘对施工营地、附近村寨的影响。</w:t>
      </w:r>
    </w:p>
    <w:p>
      <w:pPr>
        <w:pStyle w:val="7"/>
        <w:rPr>
          <w:kern w:val="0"/>
          <w:szCs w:val="24"/>
        </w:rPr>
      </w:pPr>
      <w:bookmarkStart w:id="1076" w:name="_Toc534895332"/>
      <w:bookmarkStart w:id="1077" w:name="_Toc536265204"/>
      <w:bookmarkStart w:id="1078" w:name="_Toc3903341"/>
      <w:bookmarkStart w:id="1079" w:name="_Toc534807115"/>
      <w:r>
        <w:rPr>
          <w:rFonts w:hint="eastAsia"/>
          <w:kern w:val="0"/>
          <w:szCs w:val="24"/>
        </w:rPr>
        <w:t>7</w:t>
      </w:r>
      <w:r>
        <w:rPr>
          <w:kern w:val="0"/>
          <w:szCs w:val="24"/>
        </w:rPr>
        <w:t>.</w:t>
      </w:r>
      <w:r>
        <w:rPr>
          <w:rFonts w:hint="eastAsia"/>
          <w:kern w:val="0"/>
          <w:szCs w:val="24"/>
        </w:rPr>
        <w:t>4</w:t>
      </w:r>
      <w:r>
        <w:rPr>
          <w:kern w:val="0"/>
          <w:szCs w:val="24"/>
        </w:rPr>
        <w:t>.3施工机械废气控制措施</w:t>
      </w:r>
      <w:bookmarkEnd w:id="1076"/>
      <w:bookmarkEnd w:id="1077"/>
      <w:bookmarkEnd w:id="1078"/>
      <w:bookmarkEnd w:id="1079"/>
    </w:p>
    <w:p>
      <w:pPr>
        <w:ind w:firstLine="480"/>
        <w:rPr>
          <w:szCs w:val="24"/>
        </w:rPr>
      </w:pPr>
      <w:r>
        <w:rPr>
          <w:szCs w:val="24"/>
        </w:rPr>
        <w:t>选用符合国家有关标准的施工机械和运输车辆，对排烟量大的车辆安装尾气净化器，使用符合标准的油料或清洁能源，使其排放的废气能够达到国家标准。严格执行《在用汽车报废标准》，推行强制更新报废制度。特别是发动机耗油多、效率低、排放尾气严重超标的老旧车辆，应予以更新。加强对燃油机械设备的维护和保养，使发动机处于正常、良好的工作状态。</w:t>
      </w:r>
    </w:p>
    <w:p>
      <w:pPr>
        <w:pStyle w:val="7"/>
        <w:rPr>
          <w:kern w:val="0"/>
          <w:szCs w:val="24"/>
        </w:rPr>
      </w:pPr>
      <w:bookmarkStart w:id="1080" w:name="_Toc536265205"/>
      <w:bookmarkStart w:id="1081" w:name="_Toc534895333"/>
      <w:bookmarkStart w:id="1082" w:name="_Toc3903342"/>
      <w:bookmarkStart w:id="1083" w:name="_Toc534807116"/>
      <w:r>
        <w:rPr>
          <w:rFonts w:hint="eastAsia"/>
          <w:kern w:val="0"/>
          <w:szCs w:val="24"/>
        </w:rPr>
        <w:t>7</w:t>
      </w:r>
      <w:r>
        <w:rPr>
          <w:kern w:val="0"/>
          <w:szCs w:val="24"/>
        </w:rPr>
        <w:t>.</w:t>
      </w:r>
      <w:r>
        <w:rPr>
          <w:rFonts w:hint="eastAsia"/>
          <w:kern w:val="0"/>
          <w:szCs w:val="24"/>
        </w:rPr>
        <w:t>4</w:t>
      </w:r>
      <w:r>
        <w:rPr>
          <w:kern w:val="0"/>
          <w:szCs w:val="24"/>
        </w:rPr>
        <w:t>.4施工人员保护措施</w:t>
      </w:r>
      <w:bookmarkEnd w:id="1080"/>
      <w:bookmarkEnd w:id="1081"/>
      <w:bookmarkEnd w:id="1082"/>
      <w:bookmarkEnd w:id="1083"/>
    </w:p>
    <w:p>
      <w:pPr>
        <w:ind w:firstLine="480"/>
        <w:rPr>
          <w:szCs w:val="24"/>
        </w:rPr>
      </w:pPr>
      <w:r>
        <w:rPr>
          <w:szCs w:val="24"/>
        </w:rPr>
        <w:t>在施工过程中，由于施工人员身处施工前线，受大气污染物影响的主要是现场施工人员，爆破时施工人员远离现场；按照国家有关劳动保护的规定，应对施工人员加强个人保护措施，发放防尘口罩等个人防护用品。</w:t>
      </w:r>
    </w:p>
    <w:p>
      <w:pPr>
        <w:pStyle w:val="7"/>
        <w:rPr>
          <w:kern w:val="0"/>
          <w:szCs w:val="24"/>
        </w:rPr>
      </w:pPr>
      <w:bookmarkStart w:id="1084" w:name="_Toc534895334"/>
      <w:bookmarkStart w:id="1085" w:name="_Toc3903343"/>
      <w:bookmarkStart w:id="1086" w:name="_Toc536265206"/>
      <w:bookmarkStart w:id="1087" w:name="_Toc534807117"/>
      <w:r>
        <w:rPr>
          <w:rFonts w:hint="eastAsia"/>
          <w:kern w:val="0"/>
          <w:szCs w:val="24"/>
        </w:rPr>
        <w:t>7</w:t>
      </w:r>
      <w:r>
        <w:rPr>
          <w:kern w:val="0"/>
          <w:szCs w:val="24"/>
        </w:rPr>
        <w:t>.</w:t>
      </w:r>
      <w:r>
        <w:rPr>
          <w:rFonts w:hint="eastAsia"/>
          <w:kern w:val="0"/>
          <w:szCs w:val="24"/>
        </w:rPr>
        <w:t>4</w:t>
      </w:r>
      <w:r>
        <w:rPr>
          <w:kern w:val="0"/>
          <w:szCs w:val="24"/>
        </w:rPr>
        <w:t>.5其它保护措施</w:t>
      </w:r>
      <w:bookmarkEnd w:id="1084"/>
      <w:bookmarkEnd w:id="1085"/>
      <w:bookmarkEnd w:id="1086"/>
      <w:bookmarkEnd w:id="1087"/>
    </w:p>
    <w:p>
      <w:pPr>
        <w:ind w:firstLine="480"/>
        <w:rPr>
          <w:szCs w:val="24"/>
        </w:rPr>
      </w:pPr>
      <w:r>
        <w:rPr>
          <w:szCs w:val="24"/>
        </w:rPr>
        <w:t>加强施工区及两侧绿化，对周围环境空气质量具有一定的净化作用。在施工营地四周栽植当地乡土乔木、灌木，空闲地上撒播草籽、培养草坪；在对外公路、场内公路两侧栽植行道树，边坡撒播草籽，形成乔木、灌木、草丛相结合的绿化防护体系。绿化措施的实施，将阻挡、吸附空气中粉尘、废气等污染物，降低空气污染物浓度，净化环境空气。</w:t>
      </w:r>
    </w:p>
    <w:p>
      <w:pPr>
        <w:pStyle w:val="6"/>
        <w:spacing w:beforeLines="50" w:afterLines="50"/>
        <w:rPr>
          <w:szCs w:val="28"/>
        </w:rPr>
      </w:pPr>
      <w:bookmarkStart w:id="1088" w:name="_Toc536265207"/>
      <w:bookmarkStart w:id="1089" w:name="_Toc3903344"/>
      <w:bookmarkStart w:id="1090" w:name="_Toc534807118"/>
      <w:bookmarkStart w:id="1091" w:name="_Toc534895335"/>
      <w:bookmarkStart w:id="1092" w:name="_Toc11998"/>
      <w:r>
        <w:rPr>
          <w:rFonts w:hint="eastAsia"/>
          <w:szCs w:val="28"/>
        </w:rPr>
        <w:t>7</w:t>
      </w:r>
      <w:r>
        <w:rPr>
          <w:szCs w:val="28"/>
        </w:rPr>
        <w:t>.</w:t>
      </w:r>
      <w:r>
        <w:rPr>
          <w:rFonts w:hint="eastAsia"/>
          <w:szCs w:val="28"/>
        </w:rPr>
        <w:t>5</w:t>
      </w:r>
      <w:r>
        <w:rPr>
          <w:szCs w:val="28"/>
        </w:rPr>
        <w:t>声环境保护措施</w:t>
      </w:r>
      <w:bookmarkEnd w:id="1088"/>
      <w:bookmarkEnd w:id="1089"/>
      <w:bookmarkEnd w:id="1090"/>
      <w:bookmarkEnd w:id="1091"/>
      <w:r>
        <w:rPr>
          <w:rFonts w:hint="eastAsia"/>
          <w:szCs w:val="28"/>
        </w:rPr>
        <w:t>及可行性分析</w:t>
      </w:r>
      <w:bookmarkEnd w:id="1092"/>
    </w:p>
    <w:p>
      <w:pPr>
        <w:pStyle w:val="7"/>
        <w:rPr>
          <w:kern w:val="0"/>
          <w:szCs w:val="24"/>
        </w:rPr>
      </w:pPr>
      <w:bookmarkStart w:id="1093" w:name="_Toc536265208"/>
      <w:bookmarkStart w:id="1094" w:name="_Toc534895336"/>
      <w:bookmarkStart w:id="1095" w:name="_Toc534807119"/>
      <w:bookmarkStart w:id="1096" w:name="_Toc3903345"/>
      <w:r>
        <w:rPr>
          <w:rFonts w:hint="eastAsia"/>
          <w:kern w:val="0"/>
          <w:szCs w:val="24"/>
        </w:rPr>
        <w:t>7</w:t>
      </w:r>
      <w:r>
        <w:rPr>
          <w:kern w:val="0"/>
          <w:szCs w:val="24"/>
        </w:rPr>
        <w:t>.</w:t>
      </w:r>
      <w:r>
        <w:rPr>
          <w:rFonts w:hint="eastAsia"/>
          <w:kern w:val="0"/>
          <w:szCs w:val="24"/>
        </w:rPr>
        <w:t>5</w:t>
      </w:r>
      <w:r>
        <w:rPr>
          <w:kern w:val="0"/>
          <w:szCs w:val="24"/>
        </w:rPr>
        <w:t>.1控制目标</w:t>
      </w:r>
      <w:bookmarkEnd w:id="1093"/>
      <w:bookmarkEnd w:id="1094"/>
      <w:bookmarkEnd w:id="1095"/>
      <w:bookmarkEnd w:id="1096"/>
    </w:p>
    <w:p>
      <w:pPr>
        <w:ind w:firstLine="480"/>
        <w:rPr>
          <w:szCs w:val="24"/>
        </w:rPr>
      </w:pPr>
      <w:r>
        <w:rPr>
          <w:szCs w:val="24"/>
        </w:rPr>
        <w:t>根据本项目评价区声环境质量要求，施工区应达到《建筑施工场界环境噪声排放标准》（GB12523-2011）要求，本次环评主要从噪声源、传播途径、受体三方面来采取相应的控制措施。</w:t>
      </w:r>
    </w:p>
    <w:p>
      <w:pPr>
        <w:pStyle w:val="7"/>
        <w:rPr>
          <w:kern w:val="0"/>
          <w:szCs w:val="24"/>
        </w:rPr>
      </w:pPr>
      <w:bookmarkStart w:id="1097" w:name="_Toc534807120"/>
      <w:bookmarkStart w:id="1098" w:name="_Toc534895337"/>
      <w:bookmarkStart w:id="1099" w:name="_Toc3903346"/>
      <w:bookmarkStart w:id="1100" w:name="_Toc536265209"/>
      <w:r>
        <w:rPr>
          <w:rFonts w:hint="eastAsia"/>
          <w:kern w:val="0"/>
          <w:szCs w:val="24"/>
        </w:rPr>
        <w:t>7</w:t>
      </w:r>
      <w:r>
        <w:rPr>
          <w:kern w:val="0"/>
          <w:szCs w:val="24"/>
        </w:rPr>
        <w:t>.</w:t>
      </w:r>
      <w:r>
        <w:rPr>
          <w:rFonts w:hint="eastAsia"/>
          <w:kern w:val="0"/>
          <w:szCs w:val="24"/>
        </w:rPr>
        <w:t>5</w:t>
      </w:r>
      <w:r>
        <w:rPr>
          <w:kern w:val="0"/>
          <w:szCs w:val="24"/>
        </w:rPr>
        <w:t>.2噪声源控制措施</w:t>
      </w:r>
      <w:bookmarkEnd w:id="1097"/>
      <w:bookmarkEnd w:id="1098"/>
      <w:bookmarkEnd w:id="1099"/>
      <w:bookmarkEnd w:id="1100"/>
    </w:p>
    <w:p>
      <w:pPr>
        <w:ind w:firstLine="480"/>
        <w:rPr>
          <w:szCs w:val="24"/>
        </w:rPr>
      </w:pPr>
      <w:r>
        <w:rPr>
          <w:rFonts w:hint="eastAsia" w:ascii="宋体" w:hAnsi="宋体" w:cs="宋体"/>
          <w:szCs w:val="24"/>
        </w:rPr>
        <w:t>⑴</w:t>
      </w:r>
      <w:r>
        <w:rPr>
          <w:szCs w:val="24"/>
        </w:rPr>
        <w:t>固定点源控制</w:t>
      </w:r>
    </w:p>
    <w:p>
      <w:pPr>
        <w:ind w:firstLine="480"/>
        <w:rPr>
          <w:szCs w:val="24"/>
        </w:rPr>
      </w:pPr>
      <w:r>
        <w:rPr>
          <w:rFonts w:hint="eastAsia" w:ascii="宋体" w:hAnsi="宋体" w:cs="宋体"/>
          <w:szCs w:val="24"/>
        </w:rPr>
        <w:t>①</w:t>
      </w:r>
      <w:r>
        <w:rPr>
          <w:szCs w:val="24"/>
        </w:rPr>
        <w:t>施工单位必须选用符合国家有关标准的施工机械；</w:t>
      </w:r>
    </w:p>
    <w:p>
      <w:pPr>
        <w:ind w:firstLine="480"/>
        <w:rPr>
          <w:szCs w:val="24"/>
        </w:rPr>
      </w:pPr>
      <w:r>
        <w:rPr>
          <w:rFonts w:hint="eastAsia" w:ascii="宋体" w:hAnsi="宋体" w:cs="宋体"/>
          <w:szCs w:val="24"/>
          <w:lang w:eastAsia="ja-JP"/>
        </w:rPr>
        <w:t>②</w:t>
      </w:r>
      <w:r>
        <w:rPr>
          <w:szCs w:val="24"/>
        </w:rPr>
        <w:t>加强设备的维护和保养，保持机械润滑，降低运行噪声；</w:t>
      </w:r>
    </w:p>
    <w:p>
      <w:pPr>
        <w:ind w:firstLine="480"/>
        <w:rPr>
          <w:szCs w:val="24"/>
        </w:rPr>
      </w:pPr>
      <w:r>
        <w:rPr>
          <w:rFonts w:hint="eastAsia" w:ascii="宋体" w:hAnsi="宋体" w:cs="宋体"/>
          <w:szCs w:val="24"/>
        </w:rPr>
        <w:t>③</w:t>
      </w:r>
      <w:r>
        <w:rPr>
          <w:szCs w:val="24"/>
        </w:rPr>
        <w:t>施工单位应该选用符合国家有关标准的施工机具，采用低噪声的生产机械和设备，从根本上降低噪声源强。对振动较大的设备可使用减振机座，加强设备的维护和保养，保持机械的润滑，降低运行噪声。在风钻、空压机等高噪声设备安装隔声罩，在午休时间12:00~14:00和夜间10:00~次日8:00，禁止爆破等源强大的施工活动，尽量避免夜间施工，严格控制施工时间，防止对周围居民的噪声干扰。</w:t>
      </w:r>
    </w:p>
    <w:p>
      <w:pPr>
        <w:ind w:firstLine="480"/>
        <w:rPr>
          <w:szCs w:val="24"/>
        </w:rPr>
      </w:pPr>
      <w:r>
        <w:rPr>
          <w:rFonts w:hint="eastAsia" w:ascii="宋体" w:hAnsi="宋体" w:cs="宋体"/>
          <w:szCs w:val="24"/>
        </w:rPr>
        <w:t>⑤</w:t>
      </w:r>
      <w:r>
        <w:rPr>
          <w:szCs w:val="24"/>
        </w:rPr>
        <w:t>施工爆破过程中，优先采用先进爆破技术，如微差松动爆破可降低噪声3~10dB，确定合理的起爆方向和起爆顺序，确定合理的爆破参数，避免一次爆破药量过大。</w:t>
      </w:r>
    </w:p>
    <w:p>
      <w:pPr>
        <w:ind w:firstLine="480"/>
        <w:rPr>
          <w:szCs w:val="24"/>
        </w:rPr>
      </w:pPr>
      <w:r>
        <w:rPr>
          <w:rFonts w:hint="eastAsia" w:ascii="宋体" w:hAnsi="宋体" w:cs="宋体"/>
          <w:szCs w:val="24"/>
        </w:rPr>
        <w:t>⑵</w:t>
      </w:r>
      <w:r>
        <w:rPr>
          <w:szCs w:val="24"/>
        </w:rPr>
        <w:t>交通噪声控制</w:t>
      </w:r>
    </w:p>
    <w:p>
      <w:pPr>
        <w:ind w:firstLine="480"/>
        <w:rPr>
          <w:szCs w:val="24"/>
        </w:rPr>
      </w:pPr>
      <w:r>
        <w:rPr>
          <w:szCs w:val="24"/>
        </w:rPr>
        <w:t>禁止使用高噪声车辆，在危险路段、降噪路段设执勤人员，加强道路养护和车辆的维修保养，限制车速（经过居民点时车速低于20km/h），禁止鸣笛。为保护生活营地、环境敏感点，减轻交通噪声的干扰，应设置警示牌，限制车速，禁止鸣笛，提醒来往车辆减速慢行；加强道路养护和车辆的维修保养，禁止使用高噪声车辆。</w:t>
      </w:r>
    </w:p>
    <w:p>
      <w:pPr>
        <w:pStyle w:val="7"/>
        <w:rPr>
          <w:kern w:val="0"/>
          <w:szCs w:val="24"/>
        </w:rPr>
      </w:pPr>
      <w:bookmarkStart w:id="1101" w:name="_Toc3903347"/>
      <w:bookmarkStart w:id="1102" w:name="_Toc534807121"/>
      <w:bookmarkStart w:id="1103" w:name="_Toc536265210"/>
      <w:bookmarkStart w:id="1104" w:name="_Toc534895338"/>
      <w:r>
        <w:rPr>
          <w:rFonts w:hint="eastAsia"/>
          <w:kern w:val="0"/>
          <w:szCs w:val="24"/>
        </w:rPr>
        <w:t>7</w:t>
      </w:r>
      <w:r>
        <w:rPr>
          <w:kern w:val="0"/>
          <w:szCs w:val="24"/>
        </w:rPr>
        <w:t>.</w:t>
      </w:r>
      <w:r>
        <w:rPr>
          <w:rFonts w:hint="eastAsia"/>
          <w:kern w:val="0"/>
          <w:szCs w:val="24"/>
        </w:rPr>
        <w:t>5</w:t>
      </w:r>
      <w:r>
        <w:rPr>
          <w:kern w:val="0"/>
          <w:szCs w:val="24"/>
        </w:rPr>
        <w:t>.3传播途径控制措施</w:t>
      </w:r>
      <w:bookmarkEnd w:id="1101"/>
      <w:bookmarkEnd w:id="1102"/>
      <w:bookmarkEnd w:id="1103"/>
      <w:bookmarkEnd w:id="1104"/>
    </w:p>
    <w:p>
      <w:pPr>
        <w:autoSpaceDE w:val="0"/>
        <w:autoSpaceDN w:val="0"/>
        <w:adjustRightInd w:val="0"/>
        <w:ind w:firstLine="480"/>
        <w:rPr>
          <w:szCs w:val="24"/>
        </w:rPr>
      </w:pPr>
      <w:r>
        <w:rPr>
          <w:rFonts w:hint="eastAsia"/>
          <w:szCs w:val="24"/>
        </w:rPr>
        <w:t>(1)对于高噪声设备，如切割机、空压机等强噪声源声级均在</w:t>
      </w:r>
      <w:r>
        <w:rPr>
          <w:szCs w:val="24"/>
        </w:rPr>
        <w:t xml:space="preserve">100dB </w:t>
      </w:r>
      <w:r>
        <w:rPr>
          <w:rFonts w:hint="eastAsia"/>
          <w:szCs w:val="24"/>
        </w:rPr>
        <w:t>左右，上述高噪声机械设备应分别置于机械加工厂房、空压机房内，设备房内设置吸声材料，可隔声</w:t>
      </w:r>
      <w:r>
        <w:rPr>
          <w:szCs w:val="24"/>
        </w:rPr>
        <w:t>20~25dB</w:t>
      </w:r>
      <w:r>
        <w:rPr>
          <w:rFonts w:hint="eastAsia"/>
          <w:szCs w:val="24"/>
        </w:rPr>
        <w:t>（</w:t>
      </w:r>
      <w:r>
        <w:rPr>
          <w:szCs w:val="24"/>
        </w:rPr>
        <w:t>A</w:t>
      </w:r>
      <w:r>
        <w:rPr>
          <w:rFonts w:hint="eastAsia"/>
          <w:szCs w:val="24"/>
        </w:rPr>
        <w:t>）；</w:t>
      </w:r>
    </w:p>
    <w:p>
      <w:pPr>
        <w:autoSpaceDE w:val="0"/>
        <w:autoSpaceDN w:val="0"/>
        <w:adjustRightInd w:val="0"/>
        <w:ind w:firstLine="480"/>
        <w:rPr>
          <w:szCs w:val="24"/>
        </w:rPr>
      </w:pPr>
      <w:r>
        <w:rPr>
          <w:rFonts w:hint="eastAsia"/>
          <w:szCs w:val="24"/>
        </w:rPr>
        <w:t>(2)针对综合加工厂噪声强度较高、占地面积较小特点以及噪声传播的方向性，在生产系统周边设置声屏障进行隔声作业，可隔声</w:t>
      </w:r>
      <w:r>
        <w:rPr>
          <w:szCs w:val="24"/>
        </w:rPr>
        <w:t>15~20dB</w:t>
      </w:r>
      <w:r>
        <w:rPr>
          <w:rFonts w:hint="eastAsia"/>
          <w:szCs w:val="24"/>
        </w:rPr>
        <w:t>（</w:t>
      </w:r>
      <w:r>
        <w:rPr>
          <w:szCs w:val="24"/>
        </w:rPr>
        <w:t>A</w:t>
      </w:r>
      <w:r>
        <w:rPr>
          <w:rFonts w:hint="eastAsia"/>
          <w:szCs w:val="24"/>
        </w:rPr>
        <w:t>）</w:t>
      </w:r>
      <w:r>
        <w:rPr>
          <w:szCs w:val="24"/>
        </w:rPr>
        <w:t>。</w:t>
      </w:r>
    </w:p>
    <w:p>
      <w:pPr>
        <w:pStyle w:val="7"/>
        <w:rPr>
          <w:kern w:val="0"/>
          <w:szCs w:val="24"/>
        </w:rPr>
      </w:pPr>
      <w:bookmarkStart w:id="1105" w:name="_Toc534895339"/>
      <w:bookmarkStart w:id="1106" w:name="_Toc536265211"/>
      <w:bookmarkStart w:id="1107" w:name="_Toc3903348"/>
      <w:bookmarkStart w:id="1108" w:name="_Toc534807122"/>
      <w:r>
        <w:rPr>
          <w:rFonts w:hint="eastAsia"/>
          <w:kern w:val="0"/>
          <w:szCs w:val="24"/>
        </w:rPr>
        <w:t>7</w:t>
      </w:r>
      <w:r>
        <w:rPr>
          <w:kern w:val="0"/>
          <w:szCs w:val="24"/>
        </w:rPr>
        <w:t>.</w:t>
      </w:r>
      <w:r>
        <w:rPr>
          <w:rFonts w:hint="eastAsia"/>
          <w:kern w:val="0"/>
          <w:szCs w:val="24"/>
        </w:rPr>
        <w:t>5</w:t>
      </w:r>
      <w:r>
        <w:rPr>
          <w:kern w:val="0"/>
          <w:szCs w:val="24"/>
        </w:rPr>
        <w:t>.4其它保护措施</w:t>
      </w:r>
      <w:bookmarkEnd w:id="1105"/>
      <w:bookmarkEnd w:id="1106"/>
      <w:bookmarkEnd w:id="1107"/>
      <w:bookmarkEnd w:id="1108"/>
    </w:p>
    <w:p>
      <w:pPr>
        <w:ind w:firstLine="480"/>
        <w:rPr>
          <w:szCs w:val="24"/>
        </w:rPr>
      </w:pPr>
      <w:r>
        <w:rPr>
          <w:rFonts w:hint="eastAsia" w:ascii="宋体" w:hAnsi="宋体" w:cs="宋体"/>
          <w:szCs w:val="24"/>
        </w:rPr>
        <w:t>⑴</w:t>
      </w:r>
      <w:r>
        <w:rPr>
          <w:szCs w:val="24"/>
        </w:rPr>
        <w:t>合理安排施工时间</w:t>
      </w:r>
    </w:p>
    <w:p>
      <w:pPr>
        <w:ind w:firstLine="480"/>
        <w:rPr>
          <w:szCs w:val="24"/>
        </w:rPr>
      </w:pPr>
      <w:r>
        <w:rPr>
          <w:szCs w:val="24"/>
        </w:rPr>
        <w:t>在午休时间12:00～14:00和夜间2</w:t>
      </w:r>
      <w:r>
        <w:rPr>
          <w:rFonts w:hint="eastAsia"/>
          <w:szCs w:val="24"/>
        </w:rPr>
        <w:t>0</w:t>
      </w:r>
      <w:r>
        <w:rPr>
          <w:szCs w:val="24"/>
        </w:rPr>
        <w:t>:00～次日8:00，严禁爆破等源强大的施工活动。</w:t>
      </w:r>
    </w:p>
    <w:p>
      <w:pPr>
        <w:ind w:firstLine="480"/>
        <w:rPr>
          <w:szCs w:val="24"/>
        </w:rPr>
      </w:pPr>
      <w:r>
        <w:rPr>
          <w:rFonts w:hint="eastAsia" w:ascii="宋体" w:hAnsi="宋体" w:cs="宋体"/>
          <w:szCs w:val="24"/>
        </w:rPr>
        <w:t>⑵</w:t>
      </w:r>
      <w:r>
        <w:rPr>
          <w:szCs w:val="24"/>
        </w:rPr>
        <w:t>劳动保护措施</w:t>
      </w:r>
    </w:p>
    <w:p>
      <w:pPr>
        <w:ind w:firstLine="480"/>
        <w:rPr>
          <w:szCs w:val="24"/>
        </w:rPr>
      </w:pPr>
      <w:r>
        <w:rPr>
          <w:szCs w:val="24"/>
        </w:rPr>
        <w:t>对于强噪声源，应尽量提高作业的自动化程度，实现远距离的监视操作，既可以减少作业人员，又可以使作业人员尽量远离噪声源。在施工过程中，当施工人员进入强噪声环境中作业时，如凿岩、钻孔、开挖、机械检修工等，应给施工人员配戴防噪声耳塞、耳罩、防声棉、防噪声头盔等个人防护工具，具体的防护工具根据不同岗位择优选取使用。</w:t>
      </w:r>
    </w:p>
    <w:p>
      <w:pPr>
        <w:ind w:firstLine="480"/>
        <w:rPr>
          <w:szCs w:val="24"/>
        </w:rPr>
      </w:pPr>
      <w:r>
        <w:rPr>
          <w:rFonts w:hint="eastAsia" w:ascii="宋体" w:hAnsi="宋体" w:cs="宋体"/>
          <w:szCs w:val="24"/>
        </w:rPr>
        <w:t>⑶</w:t>
      </w:r>
      <w:r>
        <w:rPr>
          <w:szCs w:val="24"/>
        </w:rPr>
        <w:t>发布公告公示</w:t>
      </w:r>
    </w:p>
    <w:p>
      <w:pPr>
        <w:ind w:firstLine="480"/>
        <w:rPr>
          <w:szCs w:val="24"/>
        </w:rPr>
      </w:pPr>
      <w:r>
        <w:rPr>
          <w:szCs w:val="24"/>
        </w:rPr>
        <w:t>加强与敏感点村寨和个人的沟通，在施工前首先在工程影响范围内，特别是工程周边居民点等敏感目标处，以报纸或其他方式对施工情况发布公告，以获得村民谅解。</w:t>
      </w:r>
    </w:p>
    <w:p>
      <w:pPr>
        <w:pStyle w:val="7"/>
        <w:rPr>
          <w:kern w:val="0"/>
          <w:szCs w:val="24"/>
        </w:rPr>
      </w:pPr>
      <w:bookmarkStart w:id="1109" w:name="_Toc3903349"/>
      <w:bookmarkStart w:id="1110" w:name="_Toc534895340"/>
      <w:bookmarkStart w:id="1111" w:name="_Toc534807123"/>
      <w:bookmarkStart w:id="1112" w:name="_Toc536265212"/>
      <w:r>
        <w:rPr>
          <w:rFonts w:hint="eastAsia"/>
          <w:kern w:val="0"/>
          <w:szCs w:val="24"/>
        </w:rPr>
        <w:t>7</w:t>
      </w:r>
      <w:r>
        <w:rPr>
          <w:kern w:val="0"/>
          <w:szCs w:val="24"/>
        </w:rPr>
        <w:t>.</w:t>
      </w:r>
      <w:r>
        <w:rPr>
          <w:rFonts w:hint="eastAsia"/>
          <w:kern w:val="0"/>
          <w:szCs w:val="24"/>
        </w:rPr>
        <w:t>5</w:t>
      </w:r>
      <w:r>
        <w:rPr>
          <w:kern w:val="0"/>
          <w:szCs w:val="24"/>
        </w:rPr>
        <w:t>.5噪声敏感点保护措施</w:t>
      </w:r>
      <w:bookmarkEnd w:id="1109"/>
      <w:bookmarkEnd w:id="1110"/>
      <w:bookmarkEnd w:id="1111"/>
      <w:bookmarkEnd w:id="1112"/>
    </w:p>
    <w:p>
      <w:pPr>
        <w:autoSpaceDE w:val="0"/>
        <w:autoSpaceDN w:val="0"/>
        <w:adjustRightInd w:val="0"/>
        <w:ind w:firstLine="480"/>
        <w:rPr>
          <w:szCs w:val="24"/>
        </w:rPr>
      </w:pPr>
      <w:r>
        <w:rPr>
          <w:rFonts w:hint="eastAsia"/>
          <w:szCs w:val="24"/>
        </w:rPr>
        <w:t>针对施工期噪声超标的居民点，采取的降噪措施如下：</w:t>
      </w:r>
    </w:p>
    <w:p>
      <w:pPr>
        <w:autoSpaceDE w:val="0"/>
        <w:autoSpaceDN w:val="0"/>
        <w:adjustRightInd w:val="0"/>
        <w:ind w:firstLine="480"/>
        <w:rPr>
          <w:szCs w:val="24"/>
        </w:rPr>
      </w:pPr>
      <w:r>
        <w:rPr>
          <w:rFonts w:hint="eastAsia"/>
          <w:szCs w:val="24"/>
        </w:rPr>
        <w:t>(1)合理安排施工时间：在临近噪声预测超标的何家工程段，禁止在夜间（</w:t>
      </w:r>
      <w:r>
        <w:rPr>
          <w:szCs w:val="24"/>
        </w:rPr>
        <w:t>20:00</w:t>
      </w:r>
      <w:r>
        <w:rPr>
          <w:rFonts w:hint="eastAsia"/>
          <w:szCs w:val="24"/>
        </w:rPr>
        <w:t>～次日</w:t>
      </w:r>
      <w:r>
        <w:rPr>
          <w:szCs w:val="24"/>
        </w:rPr>
        <w:t xml:space="preserve"> </w:t>
      </w:r>
      <w:r>
        <w:rPr>
          <w:rFonts w:hint="eastAsia"/>
          <w:szCs w:val="24"/>
        </w:rPr>
        <w:t>8</w:t>
      </w:r>
      <w:r>
        <w:rPr>
          <w:szCs w:val="24"/>
        </w:rPr>
        <w:t>:00</w:t>
      </w:r>
      <w:r>
        <w:rPr>
          <w:rFonts w:hint="eastAsia"/>
          <w:szCs w:val="24"/>
        </w:rPr>
        <w:t>）及午休时间</w:t>
      </w:r>
      <w:r>
        <w:rPr>
          <w:szCs w:val="24"/>
        </w:rPr>
        <w:t xml:space="preserve"> </w:t>
      </w:r>
      <w:r>
        <w:rPr>
          <w:rFonts w:hint="eastAsia"/>
          <w:szCs w:val="24"/>
        </w:rPr>
        <w:t>（</w:t>
      </w:r>
      <w:r>
        <w:rPr>
          <w:szCs w:val="24"/>
        </w:rPr>
        <w:t>12:00</w:t>
      </w:r>
      <w:r>
        <w:rPr>
          <w:rFonts w:hint="eastAsia"/>
          <w:szCs w:val="24"/>
        </w:rPr>
        <w:t>～</w:t>
      </w:r>
      <w:r>
        <w:rPr>
          <w:szCs w:val="24"/>
        </w:rPr>
        <w:t xml:space="preserve">14:00 </w:t>
      </w:r>
      <w:r>
        <w:rPr>
          <w:rFonts w:hint="eastAsia"/>
          <w:szCs w:val="24"/>
        </w:rPr>
        <w:t>）施工；禁止使用强噪声设备，尤其是禁止放炮作业。</w:t>
      </w:r>
    </w:p>
    <w:p>
      <w:pPr>
        <w:autoSpaceDE w:val="0"/>
        <w:autoSpaceDN w:val="0"/>
        <w:adjustRightInd w:val="0"/>
        <w:ind w:firstLine="480"/>
        <w:rPr>
          <w:szCs w:val="24"/>
        </w:rPr>
      </w:pPr>
      <w:r>
        <w:rPr>
          <w:rFonts w:hint="eastAsia"/>
          <w:szCs w:val="24"/>
        </w:rPr>
        <w:t>(2)如有特殊情况必须夜间施工，需申报当地环保主管部门，获得批准后方可施工，并须公告附近居民。</w:t>
      </w:r>
    </w:p>
    <w:p>
      <w:pPr>
        <w:autoSpaceDE w:val="0"/>
        <w:autoSpaceDN w:val="0"/>
        <w:adjustRightInd w:val="0"/>
        <w:ind w:firstLine="480"/>
        <w:rPr>
          <w:szCs w:val="24"/>
        </w:rPr>
      </w:pPr>
      <w:r>
        <w:rPr>
          <w:rFonts w:hint="eastAsia"/>
          <w:szCs w:val="24"/>
        </w:rPr>
        <w:t>(3)优化施工布局，施工机械尽量远离声环境保护目标布置，对于无法避开村庄时，设置移动式隔声屏障，设置长度约</w:t>
      </w:r>
      <w:r>
        <w:rPr>
          <w:szCs w:val="24"/>
        </w:rPr>
        <w:t>2120m</w:t>
      </w:r>
      <w:r>
        <w:rPr>
          <w:rFonts w:hint="eastAsia"/>
          <w:szCs w:val="24"/>
        </w:rPr>
        <w:t>，可大约隔声</w:t>
      </w:r>
      <w:r>
        <w:rPr>
          <w:szCs w:val="24"/>
        </w:rPr>
        <w:t>15~20dB</w:t>
      </w:r>
      <w:r>
        <w:rPr>
          <w:rFonts w:hint="eastAsia"/>
          <w:szCs w:val="24"/>
        </w:rPr>
        <w:t>（</w:t>
      </w:r>
      <w:r>
        <w:rPr>
          <w:szCs w:val="24"/>
        </w:rPr>
        <w:t>A</w:t>
      </w:r>
      <w:r>
        <w:rPr>
          <w:rFonts w:hint="eastAsia"/>
          <w:szCs w:val="24"/>
        </w:rPr>
        <w:t>）。</w:t>
      </w:r>
    </w:p>
    <w:p>
      <w:pPr>
        <w:pStyle w:val="6"/>
        <w:spacing w:beforeLines="50" w:afterLines="50"/>
        <w:rPr>
          <w:szCs w:val="28"/>
        </w:rPr>
      </w:pPr>
      <w:bookmarkStart w:id="1113" w:name="_Toc536265213"/>
      <w:bookmarkStart w:id="1114" w:name="_Toc3903350"/>
      <w:bookmarkStart w:id="1115" w:name="_Toc534807124"/>
      <w:bookmarkStart w:id="1116" w:name="_Toc534895341"/>
      <w:bookmarkStart w:id="1117" w:name="_Toc15373"/>
      <w:r>
        <w:rPr>
          <w:rFonts w:hint="eastAsia"/>
          <w:szCs w:val="28"/>
        </w:rPr>
        <w:t>7</w:t>
      </w:r>
      <w:r>
        <w:rPr>
          <w:szCs w:val="28"/>
        </w:rPr>
        <w:t>.</w:t>
      </w:r>
      <w:r>
        <w:rPr>
          <w:rFonts w:hint="eastAsia"/>
          <w:szCs w:val="28"/>
        </w:rPr>
        <w:t>6</w:t>
      </w:r>
      <w:r>
        <w:rPr>
          <w:szCs w:val="28"/>
        </w:rPr>
        <w:t>固体废物处置</w:t>
      </w:r>
      <w:bookmarkEnd w:id="1113"/>
      <w:bookmarkEnd w:id="1114"/>
      <w:bookmarkEnd w:id="1115"/>
      <w:bookmarkEnd w:id="1116"/>
      <w:r>
        <w:rPr>
          <w:rFonts w:hint="eastAsia"/>
          <w:szCs w:val="28"/>
        </w:rPr>
        <w:t>措施及可行性分析</w:t>
      </w:r>
      <w:bookmarkEnd w:id="1117"/>
    </w:p>
    <w:p>
      <w:pPr>
        <w:pStyle w:val="7"/>
        <w:rPr>
          <w:kern w:val="0"/>
          <w:szCs w:val="24"/>
        </w:rPr>
      </w:pPr>
      <w:bookmarkStart w:id="1118" w:name="_Toc534807125"/>
      <w:bookmarkStart w:id="1119" w:name="_Toc534895342"/>
      <w:bookmarkStart w:id="1120" w:name="_Toc536265214"/>
      <w:bookmarkStart w:id="1121" w:name="_Toc3903351"/>
      <w:r>
        <w:rPr>
          <w:rFonts w:hint="eastAsia"/>
          <w:kern w:val="0"/>
          <w:szCs w:val="24"/>
        </w:rPr>
        <w:t>7</w:t>
      </w:r>
      <w:r>
        <w:rPr>
          <w:kern w:val="0"/>
          <w:szCs w:val="24"/>
        </w:rPr>
        <w:t>.</w:t>
      </w:r>
      <w:r>
        <w:rPr>
          <w:rFonts w:hint="eastAsia"/>
          <w:kern w:val="0"/>
          <w:szCs w:val="24"/>
        </w:rPr>
        <w:t>6</w:t>
      </w:r>
      <w:r>
        <w:rPr>
          <w:kern w:val="0"/>
          <w:szCs w:val="24"/>
        </w:rPr>
        <w:t>.1工程弃渣处理</w:t>
      </w:r>
      <w:bookmarkEnd w:id="1118"/>
      <w:bookmarkEnd w:id="1119"/>
      <w:bookmarkEnd w:id="1120"/>
      <w:bookmarkEnd w:id="1121"/>
    </w:p>
    <w:p>
      <w:pPr>
        <w:ind w:firstLine="480"/>
        <w:rPr>
          <w:szCs w:val="24"/>
        </w:rPr>
      </w:pPr>
      <w:r>
        <w:rPr>
          <w:szCs w:val="24"/>
        </w:rPr>
        <w:t>为了防止弃渣增加水土流失量，应该对土石弃渣采取妥善处理措施。堆渣前，先拦后弃，在弃渣的过程中要逐层压实，始终保持渣场平整，并且根据弃渣场的现状，修建完善的排水沟、砌筑挡墙等防护设施，避免环境污染和水土流失。施工完毕后要对弃渣场进行迹地恢复，加强植树种草等绿化措施，防治水土流失。</w:t>
      </w:r>
    </w:p>
    <w:p>
      <w:pPr>
        <w:ind w:firstLine="480"/>
        <w:rPr>
          <w:szCs w:val="24"/>
        </w:rPr>
      </w:pPr>
      <w:r>
        <w:rPr>
          <w:szCs w:val="24"/>
        </w:rPr>
        <w:t>为最大限度的降低本项目建设对环境的影响，结合工程实际情况，本次环评建议工程设计单位对开挖弃渣中的石方做相关调查、试验分析，确定该部分弃石方能否满足工程建设原材料要求。若能用于工程建设中，本环评建议将该部分弃渣全部合理利用，减少料场的开挖量，亦减少工程弃渣总量。</w:t>
      </w:r>
    </w:p>
    <w:p>
      <w:pPr>
        <w:pStyle w:val="7"/>
        <w:rPr>
          <w:kern w:val="0"/>
          <w:szCs w:val="24"/>
        </w:rPr>
      </w:pPr>
      <w:bookmarkStart w:id="1122" w:name="_Toc534807126"/>
      <w:bookmarkStart w:id="1123" w:name="_Toc3903352"/>
      <w:bookmarkStart w:id="1124" w:name="_Toc534895343"/>
      <w:bookmarkStart w:id="1125" w:name="_Toc536265215"/>
      <w:r>
        <w:rPr>
          <w:rFonts w:hint="eastAsia"/>
          <w:kern w:val="0"/>
          <w:szCs w:val="24"/>
        </w:rPr>
        <w:t>7</w:t>
      </w:r>
      <w:r>
        <w:rPr>
          <w:kern w:val="0"/>
          <w:szCs w:val="24"/>
        </w:rPr>
        <w:t>.</w:t>
      </w:r>
      <w:r>
        <w:rPr>
          <w:rFonts w:hint="eastAsia"/>
          <w:kern w:val="0"/>
          <w:szCs w:val="24"/>
        </w:rPr>
        <w:t>6</w:t>
      </w:r>
      <w:r>
        <w:rPr>
          <w:kern w:val="0"/>
          <w:szCs w:val="24"/>
        </w:rPr>
        <w:t>.2危险废物处理</w:t>
      </w:r>
      <w:bookmarkEnd w:id="1122"/>
      <w:bookmarkEnd w:id="1123"/>
      <w:bookmarkEnd w:id="1124"/>
      <w:bookmarkEnd w:id="1125"/>
    </w:p>
    <w:p>
      <w:pPr>
        <w:ind w:firstLine="480"/>
      </w:pPr>
      <w:bookmarkStart w:id="1126" w:name="_Toc536265216"/>
      <w:bookmarkStart w:id="1127" w:name="_Toc3903353"/>
      <w:bookmarkStart w:id="1128" w:name="_Toc534895344"/>
      <w:bookmarkStart w:id="1129" w:name="_Toc534807127"/>
      <w:r>
        <w:rPr>
          <w:rFonts w:hint="eastAsia"/>
        </w:rPr>
        <w:t>根据《国家危险废物名录》（</w:t>
      </w:r>
      <w:r>
        <w:rPr>
          <w:rFonts w:hint="eastAsia"/>
          <w:color w:val="0000FF"/>
        </w:rPr>
        <w:t>2021版</w:t>
      </w:r>
      <w:r>
        <w:rPr>
          <w:rFonts w:hint="eastAsia"/>
        </w:rPr>
        <w:t>），本工程机修厂产生的废机油、机械冲洗废水处理设施含油污泥、废油抹布、空压机废油及废油桶均为危险废物，废物类别为“</w:t>
      </w:r>
      <w:r>
        <w:t xml:space="preserve">HW08 </w:t>
      </w:r>
      <w:r>
        <w:rPr>
          <w:rFonts w:hint="eastAsia"/>
        </w:rPr>
        <w:t>废矿物油”。根据豁免管理清单，废油抹布可以与生活垃圾一同处置。废油桶由生产厂家进行回收。废机油、空压机废油、含油污泥均应由施工单位交由有危废处理资质的单位进行处置。</w:t>
      </w:r>
    </w:p>
    <w:p>
      <w:pPr>
        <w:ind w:firstLine="480"/>
      </w:pPr>
      <w:r>
        <w:rPr>
          <w:rFonts w:hint="eastAsia"/>
        </w:rPr>
        <w:t>施工期在施工场地内设置危险废物临时贮存设施，该设施地面与裙脚用坚固、防渗的材料建造，采取防风、防雨、防晒措施，并设置明显的警示标志，及时收集贮存危险废物并定期交由有危险废物处理资质的单位处理，在收集、临时贮存过程中严格按照《危险废物贮存污染控制标准》（</w:t>
      </w:r>
      <w:r>
        <w:t>GB18597-2001</w:t>
      </w:r>
      <w:r>
        <w:rPr>
          <w:rFonts w:hint="eastAsia"/>
        </w:rPr>
        <w:t>）及</w:t>
      </w:r>
      <w:r>
        <w:t xml:space="preserve"> 2013 </w:t>
      </w:r>
      <w:r>
        <w:rPr>
          <w:rFonts w:hint="eastAsia"/>
        </w:rPr>
        <w:t>年修改单中的有关规定执行，从而避免本项目产生的危险废物对周围环境产生影响。</w:t>
      </w:r>
    </w:p>
    <w:p>
      <w:pPr>
        <w:ind w:firstLine="480"/>
      </w:pPr>
      <w:r>
        <w:rPr>
          <w:rFonts w:hint="eastAsia"/>
        </w:rPr>
        <w:t>项目运行期管理区设备维修过程也可能会产生一定的废机油，管理区应设危险废物临时贮存设施，定期将该危废交由有危废处理资质的单位进行处置。在收集、临时贮存过程中严格按照《危险废物贮存污染控制标准》（</w:t>
      </w:r>
      <w:r>
        <w:t>GB18597-2001</w:t>
      </w:r>
      <w:r>
        <w:rPr>
          <w:rFonts w:hint="eastAsia"/>
        </w:rPr>
        <w:t>）及</w:t>
      </w:r>
      <w:r>
        <w:t>2013</w:t>
      </w:r>
      <w:r>
        <w:rPr>
          <w:rFonts w:hint="eastAsia"/>
        </w:rPr>
        <w:t>年修改单中的有关规定执行。</w:t>
      </w:r>
    </w:p>
    <w:p>
      <w:pPr>
        <w:pStyle w:val="7"/>
        <w:rPr>
          <w:kern w:val="0"/>
          <w:szCs w:val="24"/>
        </w:rPr>
      </w:pPr>
      <w:r>
        <w:rPr>
          <w:rFonts w:hint="eastAsia"/>
          <w:kern w:val="0"/>
          <w:szCs w:val="24"/>
        </w:rPr>
        <w:t>7</w:t>
      </w:r>
      <w:r>
        <w:rPr>
          <w:kern w:val="0"/>
          <w:szCs w:val="24"/>
        </w:rPr>
        <w:t>.</w:t>
      </w:r>
      <w:r>
        <w:rPr>
          <w:rFonts w:hint="eastAsia"/>
          <w:kern w:val="0"/>
          <w:szCs w:val="24"/>
        </w:rPr>
        <w:t>6</w:t>
      </w:r>
      <w:r>
        <w:rPr>
          <w:kern w:val="0"/>
          <w:szCs w:val="24"/>
        </w:rPr>
        <w:t>.3生活垃圾处理</w:t>
      </w:r>
      <w:bookmarkEnd w:id="1126"/>
      <w:bookmarkEnd w:id="1127"/>
      <w:bookmarkEnd w:id="1128"/>
      <w:bookmarkEnd w:id="1129"/>
    </w:p>
    <w:p>
      <w:pPr>
        <w:ind w:firstLine="480"/>
        <w:rPr>
          <w:szCs w:val="24"/>
        </w:rPr>
      </w:pPr>
      <w:r>
        <w:rPr>
          <w:rFonts w:hint="eastAsia" w:ascii="宋体" w:hAnsi="宋体" w:cs="宋体"/>
          <w:szCs w:val="24"/>
        </w:rPr>
        <w:t>⑴</w:t>
      </w:r>
      <w:r>
        <w:rPr>
          <w:szCs w:val="24"/>
        </w:rPr>
        <w:t>施工期生活垃圾处理</w:t>
      </w:r>
    </w:p>
    <w:p>
      <w:pPr>
        <w:ind w:firstLine="480"/>
        <w:rPr>
          <w:szCs w:val="24"/>
        </w:rPr>
      </w:pPr>
      <w:r>
        <w:rPr>
          <w:szCs w:val="24"/>
        </w:rPr>
        <w:t>根据工程分析，项目坝址施工区生活垃圾产生量54t。为避免生活垃圾污染环境，在坝址施工区设置垃圾桶，安排清洁工负责清扫日常垃圾，每日将垃圾集中到垃圾桶内，经常喷洒灭害灵等药水，以防止苍蝇等害虫的滋生。每周用运渣车清运一次，与当地生活垃圾一同处理。</w:t>
      </w:r>
    </w:p>
    <w:p>
      <w:pPr>
        <w:ind w:firstLine="480"/>
        <w:rPr>
          <w:szCs w:val="24"/>
        </w:rPr>
      </w:pPr>
      <w:r>
        <w:rPr>
          <w:rFonts w:hint="eastAsia" w:ascii="宋体" w:hAnsi="宋体" w:cs="宋体"/>
          <w:szCs w:val="24"/>
        </w:rPr>
        <w:t>⑵</w:t>
      </w:r>
      <w:r>
        <w:rPr>
          <w:szCs w:val="24"/>
        </w:rPr>
        <w:t>运行期生活垃圾处理</w:t>
      </w:r>
    </w:p>
    <w:p>
      <w:pPr>
        <w:autoSpaceDE w:val="0"/>
        <w:autoSpaceDN w:val="0"/>
        <w:adjustRightInd w:val="0"/>
        <w:ind w:firstLine="480"/>
        <w:rPr>
          <w:szCs w:val="24"/>
        </w:rPr>
      </w:pPr>
      <w:r>
        <w:rPr>
          <w:szCs w:val="24"/>
        </w:rPr>
        <w:t>本项目管理所设置管理人员6人，生活垃圾产生量为3kg/d，1.095t/a。</w:t>
      </w:r>
      <w:r>
        <w:rPr>
          <w:rFonts w:hint="eastAsia"/>
          <w:szCs w:val="24"/>
        </w:rPr>
        <w:t>在管理所内分散设置</w:t>
      </w:r>
      <w:r>
        <w:rPr>
          <w:szCs w:val="24"/>
        </w:rPr>
        <w:t xml:space="preserve">2 </w:t>
      </w:r>
      <w:r>
        <w:rPr>
          <w:rFonts w:hint="eastAsia"/>
          <w:szCs w:val="24"/>
        </w:rPr>
        <w:t>个垃圾桶，每天定时由地方环卫部门进行清运至地方垃圾处理站，严禁随意倾倒。</w:t>
      </w:r>
    </w:p>
    <w:p>
      <w:pPr>
        <w:pStyle w:val="6"/>
        <w:spacing w:beforeLines="50" w:afterLines="50"/>
        <w:rPr>
          <w:szCs w:val="28"/>
        </w:rPr>
      </w:pPr>
      <w:bookmarkStart w:id="1130" w:name="_Toc350"/>
      <w:r>
        <w:rPr>
          <w:rFonts w:hint="eastAsia"/>
          <w:szCs w:val="28"/>
        </w:rPr>
        <w:t>7.7土壤污染防治措施及可行性分析</w:t>
      </w:r>
      <w:bookmarkEnd w:id="1130"/>
    </w:p>
    <w:p>
      <w:pPr>
        <w:autoSpaceDE w:val="0"/>
        <w:autoSpaceDN w:val="0"/>
        <w:adjustRightInd w:val="0"/>
        <w:ind w:firstLine="480"/>
        <w:rPr>
          <w:szCs w:val="24"/>
        </w:rPr>
      </w:pPr>
      <w:r>
        <w:rPr>
          <w:rFonts w:hint="eastAsia"/>
          <w:szCs w:val="24"/>
        </w:rPr>
        <w:t>本项目土壤污染防治采取源头控制和过程防控措施，并通过跟踪监测，以便及时发现问题采取措施。为进一步减免工程建设和运行对土壤环境的影响，应采取如下对策措施：</w:t>
      </w:r>
    </w:p>
    <w:p>
      <w:pPr>
        <w:ind w:firstLine="480"/>
        <w:rPr>
          <w:szCs w:val="24"/>
        </w:rPr>
      </w:pPr>
      <w:r>
        <w:rPr>
          <w:rFonts w:hint="eastAsia"/>
          <w:szCs w:val="24"/>
        </w:rPr>
        <w:t>(1)施工期做好表土剥离和堆存，及时采取拦挡、截排水及种植水保植物等措施，有效防治土壤流失。</w:t>
      </w:r>
    </w:p>
    <w:p>
      <w:pPr>
        <w:autoSpaceDE w:val="0"/>
        <w:autoSpaceDN w:val="0"/>
        <w:adjustRightInd w:val="0"/>
        <w:ind w:firstLine="480"/>
        <w:rPr>
          <w:szCs w:val="24"/>
        </w:rPr>
      </w:pPr>
      <w:r>
        <w:rPr>
          <w:rFonts w:hint="eastAsia"/>
          <w:szCs w:val="24"/>
        </w:rPr>
        <w:t>(2)对施工生产区进行场地硬化，加强施工物料的防流失措施，做好污水沉淀池防渗措施。</w:t>
      </w:r>
    </w:p>
    <w:p>
      <w:pPr>
        <w:autoSpaceDE w:val="0"/>
        <w:autoSpaceDN w:val="0"/>
        <w:adjustRightInd w:val="0"/>
        <w:ind w:firstLine="480"/>
        <w:rPr>
          <w:szCs w:val="24"/>
        </w:rPr>
      </w:pPr>
      <w:r>
        <w:rPr>
          <w:rFonts w:hint="eastAsia"/>
          <w:szCs w:val="24"/>
        </w:rPr>
        <w:t>(3)定期维护机械设备， 杜绝跑冒漏滴现象。</w:t>
      </w:r>
    </w:p>
    <w:p>
      <w:pPr>
        <w:autoSpaceDE w:val="0"/>
        <w:autoSpaceDN w:val="0"/>
        <w:adjustRightInd w:val="0"/>
        <w:ind w:firstLine="480"/>
        <w:rPr>
          <w:szCs w:val="24"/>
        </w:rPr>
      </w:pPr>
      <w:r>
        <w:rPr>
          <w:rFonts w:hint="eastAsia"/>
          <w:szCs w:val="24"/>
        </w:rPr>
        <w:t>(4)运行期应建立土壤环境质量监管机制，发现有明显盐化、潜育化等不良影响的应及时采取改进措施，把不利影响降至最低水平。</w:t>
      </w:r>
    </w:p>
    <w:p>
      <w:pPr>
        <w:pStyle w:val="6"/>
        <w:spacing w:beforeLines="50" w:afterLines="50"/>
        <w:rPr>
          <w:szCs w:val="28"/>
        </w:rPr>
      </w:pPr>
      <w:bookmarkStart w:id="1131" w:name="_Toc529279132"/>
      <w:bookmarkStart w:id="1132" w:name="_Toc3903335"/>
      <w:bookmarkStart w:id="1133" w:name="_Toc534895326"/>
      <w:bookmarkStart w:id="1134" w:name="_Toc534807109"/>
      <w:bookmarkStart w:id="1135" w:name="_Toc534386376"/>
      <w:bookmarkStart w:id="1136" w:name="_Toc536265198"/>
      <w:bookmarkStart w:id="1137" w:name="_Toc21310"/>
      <w:r>
        <w:rPr>
          <w:rFonts w:hint="eastAsia"/>
          <w:szCs w:val="28"/>
        </w:rPr>
        <w:t>7</w:t>
      </w:r>
      <w:r>
        <w:rPr>
          <w:szCs w:val="28"/>
        </w:rPr>
        <w:t>.</w:t>
      </w:r>
      <w:r>
        <w:rPr>
          <w:rFonts w:hint="eastAsia"/>
          <w:szCs w:val="28"/>
        </w:rPr>
        <w:t>8</w:t>
      </w:r>
      <w:r>
        <w:rPr>
          <w:szCs w:val="28"/>
        </w:rPr>
        <w:t>生态环境保护措施</w:t>
      </w:r>
      <w:bookmarkEnd w:id="1131"/>
      <w:bookmarkEnd w:id="1132"/>
      <w:bookmarkEnd w:id="1133"/>
      <w:bookmarkEnd w:id="1134"/>
      <w:bookmarkEnd w:id="1135"/>
      <w:bookmarkEnd w:id="1136"/>
      <w:bookmarkEnd w:id="1137"/>
    </w:p>
    <w:p>
      <w:pPr>
        <w:pStyle w:val="7"/>
        <w:rPr>
          <w:kern w:val="0"/>
          <w:szCs w:val="24"/>
        </w:rPr>
      </w:pPr>
      <w:bookmarkStart w:id="1138" w:name="_Toc534895327"/>
      <w:bookmarkStart w:id="1139" w:name="_Toc529279133"/>
      <w:bookmarkStart w:id="1140" w:name="_Toc534807110"/>
      <w:bookmarkStart w:id="1141" w:name="_Toc3903336"/>
      <w:bookmarkStart w:id="1142" w:name="_Toc534386377"/>
      <w:bookmarkStart w:id="1143" w:name="_Toc536265199"/>
      <w:r>
        <w:rPr>
          <w:rFonts w:hint="eastAsia"/>
          <w:kern w:val="0"/>
          <w:szCs w:val="24"/>
        </w:rPr>
        <w:t>7</w:t>
      </w:r>
      <w:r>
        <w:rPr>
          <w:kern w:val="0"/>
          <w:szCs w:val="24"/>
        </w:rPr>
        <w:t>.</w:t>
      </w:r>
      <w:r>
        <w:rPr>
          <w:rFonts w:hint="eastAsia"/>
          <w:kern w:val="0"/>
          <w:szCs w:val="24"/>
        </w:rPr>
        <w:t>8.1</w:t>
      </w:r>
      <w:r>
        <w:rPr>
          <w:kern w:val="0"/>
          <w:szCs w:val="24"/>
        </w:rPr>
        <w:t>施工迹地恢复</w:t>
      </w:r>
    </w:p>
    <w:p>
      <w:pPr>
        <w:ind w:firstLine="480"/>
        <w:rPr>
          <w:szCs w:val="24"/>
        </w:rPr>
      </w:pPr>
      <w:r>
        <w:rPr>
          <w:rFonts w:hint="eastAsia" w:ascii="宋体" w:hAnsi="宋体" w:cs="宋体"/>
          <w:szCs w:val="24"/>
        </w:rPr>
        <w:t>⑴</w:t>
      </w:r>
      <w:r>
        <w:rPr>
          <w:szCs w:val="24"/>
        </w:rPr>
        <w:t>临时占地生态恢复措施</w:t>
      </w:r>
    </w:p>
    <w:p>
      <w:pPr>
        <w:ind w:firstLine="480"/>
        <w:rPr>
          <w:szCs w:val="24"/>
        </w:rPr>
      </w:pPr>
      <w:r>
        <w:rPr>
          <w:szCs w:val="24"/>
        </w:rPr>
        <w:t>施工临时用地主要是指施工临时用房、加工厂、施工场地等。施工结束后及时拆除施工临时设施，清理场地。对非硬化地面进行土地整治，或造林种草或复耕；对硬化地面进行拆除，然后对施工场地进行土地整治利用，或造林种草或复耕。所有污水处理沉淀池均用土石填埋至原高程，其上覆土30cm，种植火棘等灌木。对施工区形成的裸地要及时采取工程措施，可绿化的土地要全部进行绿化。场地内建筑物垃圾、生活垃圾清扫干净后，施工单位方可退场，防止工程弃渣挤占植被生存空间。弃渣结束后，整平渣面并压实，渣场周围沿等高线修筑排水沟，疏导外来至沉沙池，沉沙池连接现有排水系统，渣面覆0.3m厚的种植土，土料从开挖弃土中选取，然后造林种草；对弃渣堆积边坡及时整理，采用浆砌石框架护坡和种草护坡。</w:t>
      </w:r>
    </w:p>
    <w:p>
      <w:pPr>
        <w:ind w:firstLine="480"/>
        <w:rPr>
          <w:szCs w:val="24"/>
        </w:rPr>
      </w:pPr>
      <w:r>
        <w:rPr>
          <w:szCs w:val="24"/>
        </w:rPr>
        <w:t>加强对水土流失的综合治理，严格按照水土保持方案做好水土保持工作。对渣、料场做好植被恢复工作，增加区域绿地面积，对主干道两侧选用区内主体树种和特点树种进行配置，并间以与此相协调的灌木和地被植物。</w:t>
      </w:r>
    </w:p>
    <w:p>
      <w:pPr>
        <w:ind w:firstLine="480"/>
        <w:rPr>
          <w:szCs w:val="24"/>
        </w:rPr>
      </w:pPr>
      <w:r>
        <w:rPr>
          <w:rFonts w:hint="eastAsia" w:ascii="宋体" w:hAnsi="宋体" w:cs="宋体"/>
          <w:szCs w:val="24"/>
        </w:rPr>
        <w:t>⑵</w:t>
      </w:r>
      <w:r>
        <w:rPr>
          <w:szCs w:val="24"/>
        </w:rPr>
        <w:t>临时用地复垦规划</w:t>
      </w:r>
    </w:p>
    <w:p>
      <w:pPr>
        <w:ind w:firstLine="480"/>
        <w:rPr>
          <w:szCs w:val="24"/>
        </w:rPr>
      </w:pPr>
      <w:r>
        <w:rPr>
          <w:szCs w:val="24"/>
        </w:rPr>
        <w:t>对本项目施工临时占用的耕地，在施工期根据占用面积给予影响人口相应的补偿，施工结束后进行土地恢复、农业复垦，及时归还农户耕种；土地复垦工作应遵循“谁破坏，谁复垦”的原则，建设单位需严格按照《土地复垦条例》（国务院令第592号）的要求，编制项目土地复垦方案，进行土地复垦，使其恢复到可供利用状态，并优先用于农业。施工占地和开挖前应将剥离的表土集中堆放，并用于复垦或植被恢复。</w:t>
      </w:r>
    </w:p>
    <w:p>
      <w:pPr>
        <w:pStyle w:val="7"/>
        <w:rPr>
          <w:kern w:val="0"/>
          <w:szCs w:val="24"/>
        </w:rPr>
      </w:pPr>
      <w:r>
        <w:rPr>
          <w:rFonts w:hint="eastAsia"/>
          <w:kern w:val="0"/>
          <w:szCs w:val="24"/>
        </w:rPr>
        <w:t>7</w:t>
      </w:r>
      <w:r>
        <w:rPr>
          <w:kern w:val="0"/>
          <w:szCs w:val="24"/>
        </w:rPr>
        <w:t>.</w:t>
      </w:r>
      <w:r>
        <w:rPr>
          <w:rFonts w:hint="eastAsia"/>
          <w:kern w:val="0"/>
          <w:szCs w:val="24"/>
        </w:rPr>
        <w:t>8</w:t>
      </w:r>
      <w:r>
        <w:rPr>
          <w:kern w:val="0"/>
          <w:szCs w:val="24"/>
        </w:rPr>
        <w:t>.</w:t>
      </w:r>
      <w:r>
        <w:rPr>
          <w:rFonts w:hint="eastAsia"/>
          <w:kern w:val="0"/>
          <w:szCs w:val="24"/>
        </w:rPr>
        <w:t>2陆生生态保护措施</w:t>
      </w:r>
    </w:p>
    <w:p>
      <w:pPr>
        <w:autoSpaceDE w:val="0"/>
        <w:autoSpaceDN w:val="0"/>
        <w:adjustRightInd w:val="0"/>
        <w:ind w:firstLine="0" w:firstLineChars="0"/>
        <w:rPr>
          <w:b/>
          <w:szCs w:val="24"/>
        </w:rPr>
      </w:pPr>
      <w:r>
        <w:rPr>
          <w:rFonts w:hint="eastAsia"/>
          <w:b/>
          <w:szCs w:val="24"/>
        </w:rPr>
        <w:t>7</w:t>
      </w:r>
      <w:r>
        <w:rPr>
          <w:b/>
          <w:szCs w:val="24"/>
        </w:rPr>
        <w:t>.8.</w:t>
      </w:r>
      <w:r>
        <w:rPr>
          <w:rFonts w:hint="eastAsia"/>
          <w:b/>
          <w:szCs w:val="24"/>
        </w:rPr>
        <w:t>2</w:t>
      </w:r>
      <w:r>
        <w:rPr>
          <w:b/>
          <w:szCs w:val="24"/>
        </w:rPr>
        <w:t>.1</w:t>
      </w:r>
      <w:r>
        <w:rPr>
          <w:rFonts w:hAnsi="宋体"/>
          <w:b/>
          <w:szCs w:val="24"/>
        </w:rPr>
        <w:t>保护目标</w:t>
      </w:r>
    </w:p>
    <w:p>
      <w:pPr>
        <w:autoSpaceDE w:val="0"/>
        <w:autoSpaceDN w:val="0"/>
        <w:adjustRightInd w:val="0"/>
        <w:ind w:firstLine="480"/>
      </w:pPr>
      <w:r>
        <w:rPr>
          <w:rFonts w:hint="eastAsia"/>
          <w:szCs w:val="24"/>
        </w:rPr>
        <w:t>保护抬水工程周边景观生态系统异质性、区域生物多样性和区域生态系统完整性。使工程现状生态环境不因工程兴建受到严重破坏，区域生态环境不致因兴建本工程而恶化；保护工程地带性植被和国家重点保护野生动物不因项目建设而减</w:t>
      </w:r>
      <w:r>
        <w:rPr>
          <w:rFonts w:hint="eastAsia"/>
        </w:rPr>
        <w:t>少。</w:t>
      </w:r>
    </w:p>
    <w:p>
      <w:pPr>
        <w:autoSpaceDE w:val="0"/>
        <w:autoSpaceDN w:val="0"/>
        <w:adjustRightInd w:val="0"/>
        <w:ind w:firstLine="0" w:firstLineChars="0"/>
        <w:rPr>
          <w:b/>
          <w:szCs w:val="24"/>
        </w:rPr>
      </w:pPr>
      <w:r>
        <w:rPr>
          <w:rFonts w:hint="eastAsia"/>
          <w:b/>
          <w:szCs w:val="24"/>
        </w:rPr>
        <w:t>7</w:t>
      </w:r>
      <w:r>
        <w:rPr>
          <w:b/>
          <w:szCs w:val="24"/>
        </w:rPr>
        <w:t>.</w:t>
      </w:r>
      <w:r>
        <w:rPr>
          <w:rFonts w:hint="eastAsia"/>
          <w:b/>
          <w:szCs w:val="24"/>
        </w:rPr>
        <w:t>8</w:t>
      </w:r>
      <w:r>
        <w:rPr>
          <w:b/>
          <w:szCs w:val="24"/>
        </w:rPr>
        <w:t>.</w:t>
      </w:r>
      <w:r>
        <w:rPr>
          <w:rFonts w:hint="eastAsia"/>
          <w:b/>
          <w:szCs w:val="24"/>
        </w:rPr>
        <w:t>2</w:t>
      </w:r>
      <w:r>
        <w:rPr>
          <w:b/>
          <w:szCs w:val="24"/>
        </w:rPr>
        <w:t xml:space="preserve">.2 </w:t>
      </w:r>
      <w:r>
        <w:rPr>
          <w:rFonts w:hint="eastAsia"/>
          <w:b/>
          <w:szCs w:val="24"/>
        </w:rPr>
        <w:t>陆生生态保护</w:t>
      </w:r>
    </w:p>
    <w:p>
      <w:pPr>
        <w:autoSpaceDE w:val="0"/>
        <w:autoSpaceDN w:val="0"/>
        <w:adjustRightInd w:val="0"/>
        <w:ind w:firstLine="480"/>
        <w:rPr>
          <w:szCs w:val="24"/>
        </w:rPr>
      </w:pPr>
      <w:r>
        <w:rPr>
          <w:rFonts w:hint="eastAsia"/>
          <w:szCs w:val="24"/>
        </w:rPr>
        <w:t>(1)生态影响的避免、减缓和补偿</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生态影响的避免</w:t>
      </w:r>
    </w:p>
    <w:p>
      <w:pPr>
        <w:autoSpaceDE w:val="0"/>
        <w:autoSpaceDN w:val="0"/>
        <w:adjustRightInd w:val="0"/>
        <w:ind w:firstLine="480"/>
        <w:rPr>
          <w:szCs w:val="24"/>
        </w:rPr>
      </w:pPr>
      <w:r>
        <w:rPr>
          <w:rFonts w:hint="eastAsia"/>
          <w:szCs w:val="24"/>
        </w:rPr>
        <w:t>生态影响的避免就是采取适当的措施，尽可能最大程度避免潜在的不利生态影响。毛家渡抬水工程在施工过程中应该避免造成大量的水土流失。施工便道新建和改建、弃渣堆放、开挖等工程施工活动易产生水土流失，因此，应做好相应的挖填方平衡、边坡开挖和防护等，渣场堆放应设置挡渣设施、修建排水沟等措施，减免对生态环境产生的不利影响。</w:t>
      </w:r>
    </w:p>
    <w:p>
      <w:pPr>
        <w:autoSpaceDE w:val="0"/>
        <w:autoSpaceDN w:val="0"/>
        <w:adjustRightInd w:val="0"/>
        <w:ind w:firstLine="480"/>
        <w:rPr>
          <w:szCs w:val="24"/>
        </w:rPr>
      </w:pPr>
      <w:r>
        <w:rPr>
          <w:rFonts w:hint="eastAsia"/>
          <w:szCs w:val="24"/>
        </w:rPr>
        <w:t>工程建设涉及各类林地和灌草丛，淹没造成的生态损失是不可避免的，由于施工区植被相对较少，因此在工程建设中应该高度重视对森林植被保护，加强对工程周边现有森林的有效保护，充分发挥这部分林地的生态效应，而且也将成为扩大森林的基础。为此有必要采取以下措施：</w:t>
      </w:r>
    </w:p>
    <w:p>
      <w:pPr>
        <w:autoSpaceDE w:val="0"/>
        <w:autoSpaceDN w:val="0"/>
        <w:adjustRightInd w:val="0"/>
        <w:ind w:firstLine="480"/>
        <w:rPr>
          <w:szCs w:val="24"/>
        </w:rPr>
      </w:pPr>
      <w:r>
        <w:rPr>
          <w:rFonts w:hint="eastAsia"/>
          <w:szCs w:val="24"/>
        </w:rPr>
        <w:t>A.坚决制止工程周边的植被资源滥砍乱伐、过量采伐等不良经营方式，保护和培育现有植被，特别要防止趁工程建设之机大肆砍伐林木事件的发生，在工程施工、公路修建和房屋建筑等人为活动中，重视对现有植被的保护。</w:t>
      </w:r>
    </w:p>
    <w:p>
      <w:pPr>
        <w:autoSpaceDE w:val="0"/>
        <w:autoSpaceDN w:val="0"/>
        <w:adjustRightInd w:val="0"/>
        <w:ind w:firstLine="480"/>
        <w:rPr>
          <w:szCs w:val="24"/>
        </w:rPr>
      </w:pPr>
      <w:r>
        <w:rPr>
          <w:rFonts w:hint="eastAsia"/>
          <w:szCs w:val="24"/>
        </w:rPr>
        <w:t>B.严禁山火，加强林地病虫害的防治，强化对现有林地的管理。</w:t>
      </w:r>
    </w:p>
    <w:p>
      <w:pPr>
        <w:autoSpaceDE w:val="0"/>
        <w:autoSpaceDN w:val="0"/>
        <w:adjustRightInd w:val="0"/>
        <w:ind w:firstLine="480"/>
        <w:rPr>
          <w:szCs w:val="24"/>
        </w:rPr>
      </w:pPr>
      <w:r>
        <w:rPr>
          <w:rFonts w:hint="eastAsia"/>
          <w:szCs w:val="24"/>
        </w:rPr>
        <w:t>C.对淹没区分布的乔木，结合库底清理，尽可能移植用于工程周边的植被恢复。</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生态影响的减缓</w:t>
      </w:r>
    </w:p>
    <w:p>
      <w:pPr>
        <w:autoSpaceDE w:val="0"/>
        <w:autoSpaceDN w:val="0"/>
        <w:adjustRightInd w:val="0"/>
        <w:ind w:firstLine="480"/>
        <w:rPr>
          <w:szCs w:val="24"/>
        </w:rPr>
      </w:pPr>
      <w:r>
        <w:rPr>
          <w:rFonts w:hint="eastAsia"/>
          <w:szCs w:val="24"/>
        </w:rPr>
        <w:t>抬水工程在施工过程中不可避免对生态环境造成一定的影响，主要表现在水土流失及陆生植物的影响方面，为了将施工活动的生态影响削减至合理的程度，拟采取措施如下：根据施工总平面布置图确定施工用地范围，进行标桩划界，禁止施工人员进入非施工占地区域；非施工区严禁烟火、狩猎和垂钓等活动；为消减施工造成的弃土弃渣进入水体，要对施工机械运行方式和施工季节等进行严格设计；施工区表层土储存在弃渣场，做好施工期的遮盖和防护，以便回采利用。</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生态影响的补偿</w:t>
      </w:r>
    </w:p>
    <w:p>
      <w:pPr>
        <w:autoSpaceDE w:val="0"/>
        <w:autoSpaceDN w:val="0"/>
        <w:adjustRightInd w:val="0"/>
        <w:ind w:firstLine="480"/>
        <w:rPr>
          <w:szCs w:val="24"/>
        </w:rPr>
      </w:pPr>
      <w:r>
        <w:rPr>
          <w:rFonts w:hint="eastAsia"/>
          <w:szCs w:val="24"/>
        </w:rPr>
        <w:t>由于工程建设，施工占地范围内大部分地区的原生地貌将遭到不同程度开挖、占压等形式的破坏，对此需要进行相应补偿，具体的方法将工程占地范围分为弃渣场、土料场、施工便道、施工场地等进行分区水土流失防治，并进行相应的投资概算，为施工区生态环境保护提供资金保障。</w:t>
      </w:r>
    </w:p>
    <w:p>
      <w:pPr>
        <w:autoSpaceDE w:val="0"/>
        <w:autoSpaceDN w:val="0"/>
        <w:adjustRightInd w:val="0"/>
        <w:ind w:firstLine="480"/>
        <w:rPr>
          <w:szCs w:val="24"/>
        </w:rPr>
      </w:pPr>
      <w:r>
        <w:rPr>
          <w:rFonts w:hint="eastAsia"/>
          <w:szCs w:val="24"/>
        </w:rPr>
        <w:t>A.充分考虑工程周边自然环境条件的差异性，在树种选择、林种配置时，做到因地制宜，适地适树。针对各类施工迹地恢复和绿化、美化，推荐了一些具有经济价值、美观、速生、防冲、固土作用强且为当地土著植物，为植被恢复、水土保持方案编制提供参考。</w:t>
      </w:r>
    </w:p>
    <w:p>
      <w:pPr>
        <w:autoSpaceDE w:val="0"/>
        <w:autoSpaceDN w:val="0"/>
        <w:adjustRightInd w:val="0"/>
        <w:ind w:firstLine="480"/>
        <w:rPr>
          <w:szCs w:val="24"/>
        </w:rPr>
      </w:pPr>
      <w:r>
        <w:rPr>
          <w:rFonts w:hint="eastAsia"/>
          <w:szCs w:val="24"/>
        </w:rPr>
        <w:t>B.充分考虑“绿色工程”的生态学目标，以保护生态环境、提高环境质量，实现抬水工程的可持续利用为重要目标。坚持生态目标与经济目标协调一致，兼顾生态、经济、社会三大效益的原则，不可偏废，力争在取得明显生态效益的同时，还获得明显的经济效益和社会效益，使上高县城人民群众得到实惠。</w:t>
      </w:r>
    </w:p>
    <w:p>
      <w:pPr>
        <w:autoSpaceDE w:val="0"/>
        <w:autoSpaceDN w:val="0"/>
        <w:adjustRightInd w:val="0"/>
        <w:ind w:firstLine="480"/>
        <w:rPr>
          <w:szCs w:val="24"/>
        </w:rPr>
      </w:pPr>
      <w:r>
        <w:rPr>
          <w:rFonts w:hint="eastAsia"/>
          <w:szCs w:val="24"/>
        </w:rPr>
        <w:t>C.坚持“绿色工程”规划与区域经济建设规划的整体性与同步性原则，使“绿色工程”与工程开发建设同步规划、同步实施，做到项目集成，资金捆梆，效益倍增。</w:t>
      </w:r>
    </w:p>
    <w:p>
      <w:pPr>
        <w:autoSpaceDE w:val="0"/>
        <w:autoSpaceDN w:val="0"/>
        <w:adjustRightInd w:val="0"/>
        <w:ind w:firstLine="480"/>
        <w:rPr>
          <w:szCs w:val="24"/>
        </w:rPr>
      </w:pPr>
      <w:r>
        <w:rPr>
          <w:rFonts w:hint="eastAsia"/>
          <w:szCs w:val="24"/>
        </w:rPr>
        <w:t>(2)陆生生态恢复</w:t>
      </w:r>
    </w:p>
    <w:p>
      <w:pPr>
        <w:autoSpaceDE w:val="0"/>
        <w:autoSpaceDN w:val="0"/>
        <w:adjustRightInd w:val="0"/>
        <w:ind w:firstLine="480"/>
        <w:rPr>
          <w:szCs w:val="24"/>
        </w:rPr>
      </w:pPr>
      <w:r>
        <w:rPr>
          <w:rFonts w:hint="eastAsia"/>
          <w:szCs w:val="24"/>
        </w:rPr>
        <w:t>为了保护锦河及其生态环境，应加强防护林建设，在河岸两侧，可配置灌木护岸林带，选择耐水湿、耐冲击、根系发达、萌生性强的灌木；在最高水位线以上的较干燥的坡地上，配置以耐水湿耐瘠的乔木。</w:t>
      </w:r>
    </w:p>
    <w:p>
      <w:pPr>
        <w:autoSpaceDE w:val="0"/>
        <w:autoSpaceDN w:val="0"/>
        <w:adjustRightInd w:val="0"/>
        <w:ind w:firstLine="480"/>
        <w:rPr>
          <w:szCs w:val="24"/>
        </w:rPr>
      </w:pPr>
      <w:r>
        <w:rPr>
          <w:rFonts w:hint="eastAsia"/>
          <w:szCs w:val="24"/>
        </w:rPr>
        <w:t>在植被的培育过程中，应针对区内河道两岸生境特点，有针对性的进行选择部分适宜树种进行林相改造，建议人工引进经济价值较高的、用途较广的阔叶树种及马尾松、杉木等针叶树种混合栽种。使其逐渐形成针阔叶混交林，让森林抗病虫害的能力提高，同时又增加森林的经济利用价值。</w:t>
      </w:r>
    </w:p>
    <w:p>
      <w:pPr>
        <w:autoSpaceDE w:val="0"/>
        <w:autoSpaceDN w:val="0"/>
        <w:adjustRightInd w:val="0"/>
        <w:ind w:firstLine="480"/>
        <w:rPr>
          <w:szCs w:val="24"/>
        </w:rPr>
      </w:pPr>
      <w:r>
        <w:rPr>
          <w:rFonts w:hint="eastAsia"/>
          <w:szCs w:val="24"/>
        </w:rPr>
        <w:t>在工程的施工区范围内可栽种一些园林树种或观赏植物，不但可以起到对植物损失的补偿，还可以起到美化环境的作用，在工程建设施工结束后，可以采用同样的方法对料场、施工场地等受施工影响区域进行处理。</w:t>
      </w:r>
    </w:p>
    <w:p>
      <w:pPr>
        <w:autoSpaceDE w:val="0"/>
        <w:autoSpaceDN w:val="0"/>
        <w:adjustRightInd w:val="0"/>
        <w:ind w:firstLine="480"/>
        <w:rPr>
          <w:szCs w:val="24"/>
        </w:rPr>
      </w:pPr>
      <w:r>
        <w:rPr>
          <w:rFonts w:hint="eastAsia"/>
          <w:szCs w:val="24"/>
        </w:rPr>
        <w:t>通过实施以上发展措施，将使本区优势植物资源得到充分发挥，并使森林面积得到较大提高，减小因淹没、工程施工及占地等因素对植被的影响使评价区域生态环境得到较大程度的保护和改善。</w:t>
      </w:r>
    </w:p>
    <w:p>
      <w:pPr>
        <w:autoSpaceDE w:val="0"/>
        <w:autoSpaceDN w:val="0"/>
        <w:adjustRightInd w:val="0"/>
        <w:ind w:firstLine="480"/>
        <w:rPr>
          <w:szCs w:val="24"/>
        </w:rPr>
      </w:pPr>
      <w:r>
        <w:rPr>
          <w:rFonts w:hint="eastAsia"/>
          <w:szCs w:val="24"/>
        </w:rPr>
        <w:t>(3)管理措施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宣传教育，遵纪守法</w:t>
      </w:r>
    </w:p>
    <w:p>
      <w:pPr>
        <w:autoSpaceDE w:val="0"/>
        <w:autoSpaceDN w:val="0"/>
        <w:adjustRightInd w:val="0"/>
        <w:ind w:firstLine="480"/>
        <w:rPr>
          <w:szCs w:val="24"/>
        </w:rPr>
      </w:pPr>
      <w:r>
        <w:rPr>
          <w:rFonts w:hint="eastAsia"/>
          <w:szCs w:val="24"/>
        </w:rPr>
        <w:t>全面贯彻执行《中华人民共和国野生植物保护法》，对施工人员和移民进行环境教育、生物多样性保护教育及有关法律、法规的宣传教育。要让群众明确知道重点保护野生植物是受国家法律保护的，破坏生物多样性将要承担相应的法律责任。</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挂牌标记，明确告示</w:t>
      </w:r>
    </w:p>
    <w:p>
      <w:pPr>
        <w:autoSpaceDE w:val="0"/>
        <w:autoSpaceDN w:val="0"/>
        <w:adjustRightInd w:val="0"/>
        <w:ind w:firstLine="480"/>
        <w:rPr>
          <w:szCs w:val="24"/>
        </w:rPr>
      </w:pPr>
      <w:r>
        <w:rPr>
          <w:rFonts w:hint="eastAsia"/>
          <w:szCs w:val="24"/>
        </w:rPr>
        <w:t>在人员活动较多和较集中的施工营地，以及植被较好的区域，设置生态保护警示牌，提醒人们依法保护生态环境和生物多样性。</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加强施工管理</w:t>
      </w:r>
    </w:p>
    <w:p>
      <w:pPr>
        <w:autoSpaceDE w:val="0"/>
        <w:autoSpaceDN w:val="0"/>
        <w:adjustRightInd w:val="0"/>
        <w:ind w:firstLine="480"/>
        <w:rPr>
          <w:szCs w:val="24"/>
        </w:rPr>
      </w:pPr>
      <w:r>
        <w:rPr>
          <w:rFonts w:hint="eastAsia"/>
          <w:szCs w:val="24"/>
        </w:rPr>
        <w:t>施工过程中，加强施工人员的管理，禁止施工人员对植被滥砍滥伐，严格限制人员的活动范围，破坏沿线的生态环境。</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4 \* GB3</w:instrText>
      </w:r>
      <w:r>
        <w:rPr>
          <w:szCs w:val="24"/>
        </w:rPr>
        <w:instrText xml:space="preserve"> </w:instrText>
      </w:r>
      <w:r>
        <w:rPr>
          <w:szCs w:val="24"/>
        </w:rPr>
        <w:fldChar w:fldCharType="separate"/>
      </w:r>
      <w:r>
        <w:rPr>
          <w:rFonts w:hint="eastAsia"/>
          <w:szCs w:val="24"/>
        </w:rPr>
        <w:t>④</w:t>
      </w:r>
      <w:r>
        <w:rPr>
          <w:szCs w:val="24"/>
        </w:rPr>
        <w:fldChar w:fldCharType="end"/>
      </w:r>
      <w:r>
        <w:rPr>
          <w:rFonts w:hint="eastAsia"/>
          <w:szCs w:val="24"/>
        </w:rPr>
        <w:t>开展生态监测和管理</w:t>
      </w:r>
    </w:p>
    <w:p>
      <w:pPr>
        <w:autoSpaceDE w:val="0"/>
        <w:autoSpaceDN w:val="0"/>
        <w:adjustRightInd w:val="0"/>
        <w:ind w:firstLine="480"/>
        <w:rPr>
          <w:szCs w:val="24"/>
        </w:rPr>
      </w:pPr>
      <w:r>
        <w:rPr>
          <w:rFonts w:hint="eastAsia"/>
          <w:szCs w:val="24"/>
        </w:rPr>
        <w:t>工程施工期前应对重点保护动植物种类进行重点调查，明确活动范围、主要生境和数量。一旦施工过程中发现重点保护动植物，应及时上报野生动植物主管部门，对其进行保护。</w:t>
      </w:r>
    </w:p>
    <w:p>
      <w:pPr>
        <w:autoSpaceDE w:val="0"/>
        <w:autoSpaceDN w:val="0"/>
        <w:adjustRightInd w:val="0"/>
        <w:ind w:firstLine="480"/>
        <w:rPr>
          <w:szCs w:val="24"/>
        </w:rPr>
      </w:pPr>
      <w:r>
        <w:rPr>
          <w:rFonts w:hint="eastAsia"/>
          <w:szCs w:val="24"/>
        </w:rPr>
        <w:t>运行期主要监测生境的变化，植被的变化以及生态系统整体性变化。通过监测，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pPr>
        <w:autoSpaceDE w:val="0"/>
        <w:autoSpaceDN w:val="0"/>
        <w:adjustRightInd w:val="0"/>
        <w:ind w:firstLine="0" w:firstLineChars="0"/>
        <w:rPr>
          <w:b/>
          <w:szCs w:val="24"/>
        </w:rPr>
      </w:pPr>
      <w:r>
        <w:rPr>
          <w:rFonts w:hint="eastAsia"/>
          <w:b/>
          <w:szCs w:val="24"/>
        </w:rPr>
        <w:t>7.8.2.3陆生动物保护</w:t>
      </w:r>
    </w:p>
    <w:p>
      <w:pPr>
        <w:autoSpaceDE w:val="0"/>
        <w:autoSpaceDN w:val="0"/>
        <w:adjustRightInd w:val="0"/>
        <w:ind w:firstLine="480"/>
        <w:rPr>
          <w:szCs w:val="24"/>
        </w:rPr>
      </w:pPr>
      <w:r>
        <w:rPr>
          <w:rFonts w:hint="eastAsia"/>
          <w:szCs w:val="24"/>
        </w:rPr>
        <w:t>(1)避免措施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施工前开展陆生动物洞穴、窝巢的清查，避免施工占地或工程蓄水破坏洞穴、窝巢内的野生动物。</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做好施工期废水、废渣的处置措施。废水处理后不外排入锦河，避免对水体水质污染，影响水体中两栖和爬行动物生存环境；施工废渣或建筑垃圾及时外运，避免长时间堆积，污染土壤环境，对土壤中陆生动物产生不利影响。</w:t>
      </w:r>
    </w:p>
    <w:p>
      <w:pPr>
        <w:autoSpaceDE w:val="0"/>
        <w:autoSpaceDN w:val="0"/>
        <w:adjustRightInd w:val="0"/>
        <w:ind w:firstLine="480"/>
        <w:rPr>
          <w:szCs w:val="24"/>
        </w:rPr>
      </w:pPr>
      <w:r>
        <w:rPr>
          <w:rFonts w:hint="eastAsia"/>
          <w:szCs w:val="24"/>
        </w:rPr>
        <w:t>(2)减缓措施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枢纽工程区中的弃渣场、料场、施工场地、施工道路等临时占地，通过工程比选，进行优化布置，减对动物生境的占用。</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根据实际情况安排施工时间和施工方式，做好爆破方式、数量、时间的计划，采用乳化炸药，进行无声爆破，减小爆破噪声对野生动物的惊扰。</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在工程清库前及施工场地场平前，应组织农林部门的专业技术人员对施工区和淹没区内的地面、灌丛、树林等仔细搜索，如发现洞穴、窝巢，应注意查看是否有野生动物幼崽、卵或鸟蛋。一旦发现，及时采取迁地保护措施，以减野生动物后代的损失，保证该区域某些动物的种群数量的相对恒定。</w:t>
      </w:r>
    </w:p>
    <w:p>
      <w:pPr>
        <w:autoSpaceDE w:val="0"/>
        <w:autoSpaceDN w:val="0"/>
        <w:adjustRightInd w:val="0"/>
        <w:ind w:firstLine="480"/>
        <w:rPr>
          <w:szCs w:val="24"/>
        </w:rPr>
      </w:pPr>
      <w:r>
        <w:rPr>
          <w:rFonts w:hint="eastAsia"/>
          <w:szCs w:val="24"/>
        </w:rPr>
        <w:t>(3)恢复与补偿措施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对于生境被占用的一些水塘等湿地里面生活的两栖动物，由于其迁移能力差，繁殖生存等各个方面不能离开水，所以可以请专业技术人员将这些两栖动物人为迁移至施工区和淹没区以外的合适生境，以最大程度的保护这些两栖动物的种群数量。</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在各主要施工洞口附近设置生态保护警示牌。警示牌上标明工程施工区范围，禁止越界施工占地或砍伐林木、禁止捕猎野生动物，减少占地造成的植被损失和对野生动物的伤害。</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由于工程修建和蓄水占用了野生动物的生境，其觅食范围也相应减小，工程完工后所占据的临时用地如弃渣场、料场、临时道路、施工场地等区域的植被恢复工作应尽快进行，以利于施工区陆生动物重新选择栖息环境。</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4 \* GB3</w:instrText>
      </w:r>
      <w:r>
        <w:rPr>
          <w:szCs w:val="24"/>
        </w:rPr>
        <w:instrText xml:space="preserve"> </w:instrText>
      </w:r>
      <w:r>
        <w:rPr>
          <w:szCs w:val="24"/>
        </w:rPr>
        <w:fldChar w:fldCharType="separate"/>
      </w:r>
      <w:r>
        <w:rPr>
          <w:rFonts w:hint="eastAsia"/>
          <w:szCs w:val="24"/>
        </w:rPr>
        <w:t>④</w:t>
      </w:r>
      <w:r>
        <w:rPr>
          <w:szCs w:val="24"/>
        </w:rPr>
        <w:fldChar w:fldCharType="end"/>
      </w:r>
      <w:r>
        <w:rPr>
          <w:rFonts w:hint="eastAsia"/>
          <w:szCs w:val="24"/>
        </w:rPr>
        <w:t>在植被覆盖率高的路段采用加密绿化带，防止噪声对动物的不利影响，有利于动物适应新的生境。</w:t>
      </w:r>
    </w:p>
    <w:p>
      <w:pPr>
        <w:autoSpaceDE w:val="0"/>
        <w:autoSpaceDN w:val="0"/>
        <w:adjustRightInd w:val="0"/>
        <w:ind w:firstLine="480"/>
        <w:rPr>
          <w:szCs w:val="24"/>
        </w:rPr>
      </w:pPr>
      <w:r>
        <w:rPr>
          <w:rFonts w:hint="eastAsia"/>
          <w:szCs w:val="24"/>
        </w:rPr>
        <w:t>(4)管理措施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广泛开展宣传和教育</w:t>
      </w:r>
    </w:p>
    <w:p>
      <w:pPr>
        <w:autoSpaceDE w:val="0"/>
        <w:autoSpaceDN w:val="0"/>
        <w:adjustRightInd w:val="0"/>
        <w:ind w:firstLine="480"/>
        <w:rPr>
          <w:szCs w:val="24"/>
        </w:rPr>
      </w:pPr>
      <w:r>
        <w:rPr>
          <w:rFonts w:hint="eastAsia"/>
          <w:szCs w:val="24"/>
        </w:rPr>
        <w:t>在认真做好工程周边生态环境建设和对动物栖息地很好保护的同时，还必需通过多种途径广泛开展保护野生动物的宣传和法制教育。充分利用当地机会，采用广播、电视、墙报和黑板报、张贴标语、散发宣传单、出动宣传车、印制动物保护小册子等多种形式，广泛宣传《中华人民共</w:t>
      </w:r>
      <w:r>
        <w:rPr>
          <w:rFonts w:hint="eastAsia"/>
          <w:szCs w:val="24"/>
          <w:lang w:eastAsia="zh-CN"/>
        </w:rPr>
        <w:t>和</w:t>
      </w:r>
      <w:r>
        <w:rPr>
          <w:rFonts w:hint="eastAsia"/>
          <w:szCs w:val="24"/>
        </w:rPr>
        <w:t>国野生动物保护法》、《中华人民共</w:t>
      </w:r>
      <w:r>
        <w:rPr>
          <w:rFonts w:hint="eastAsia"/>
          <w:szCs w:val="24"/>
          <w:lang w:eastAsia="zh-CN"/>
        </w:rPr>
        <w:t>和</w:t>
      </w:r>
      <w:r>
        <w:rPr>
          <w:rFonts w:hint="eastAsia"/>
          <w:szCs w:val="24"/>
        </w:rPr>
        <w:t>国水生野生动物保护条例》等政策法规，提高施工人员野生动物保护意识和责任感。宣传工程周边有关野生动物的知识及保护的意义，保护野生动物的栖息环境，禁止非法狩猎、诱捕、毒杀野生动物，有效控制其它威胁野生动物生息繁衍的活动，使当地的居民能够自觉地保护当地的重点保护动物。</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加大破坏野生动物的惩罚力度。建设单位可联合当地公安、工商、林业等相关部门，在动物经常出入的地方要加强巡护，对故意猎捕野生动物的个人和组织依法惩罚，严厉打击捕捉、收购、贩卖国家重点保护野生动物的不法行为。</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工程的实施会使动物的分布格局发生一些改变，如一些与人类伴生的啮齿目鼠类、蚊虫种类数量将增加，导致库区野生动物食物链发生变化。应重视库区灭鼠、灭蚊工作，保护库区野生动物正常的食物链和生态环境。</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4 \* GB3</w:instrText>
      </w:r>
      <w:r>
        <w:rPr>
          <w:szCs w:val="24"/>
        </w:rPr>
        <w:instrText xml:space="preserve"> </w:instrText>
      </w:r>
      <w:r>
        <w:rPr>
          <w:szCs w:val="24"/>
        </w:rPr>
        <w:fldChar w:fldCharType="separate"/>
      </w:r>
      <w:r>
        <w:rPr>
          <w:rFonts w:hint="eastAsia"/>
          <w:szCs w:val="24"/>
        </w:rPr>
        <w:t>④</w:t>
      </w:r>
      <w:r>
        <w:rPr>
          <w:szCs w:val="24"/>
        </w:rPr>
        <w:fldChar w:fldCharType="end"/>
      </w:r>
      <w:r>
        <w:rPr>
          <w:rFonts w:hint="eastAsia"/>
          <w:szCs w:val="24"/>
        </w:rPr>
        <w:t>随着工程的蓄水，库区的水禽将增多，必须对抬水坝加强管理，减少污染，保护水禽，以形成新的景观。</w:t>
      </w:r>
    </w:p>
    <w:p>
      <w:pPr>
        <w:autoSpaceDE w:val="0"/>
        <w:autoSpaceDN w:val="0"/>
        <w:adjustRightInd w:val="0"/>
        <w:ind w:firstLine="0" w:firstLineChars="0"/>
        <w:rPr>
          <w:b/>
          <w:szCs w:val="24"/>
        </w:rPr>
      </w:pPr>
      <w:r>
        <w:rPr>
          <w:rFonts w:hint="eastAsia"/>
          <w:b/>
          <w:szCs w:val="24"/>
        </w:rPr>
        <w:t>7.8.2.4重点保护野生动物保护措施</w:t>
      </w:r>
    </w:p>
    <w:p>
      <w:pPr>
        <w:autoSpaceDE w:val="0"/>
        <w:autoSpaceDN w:val="0"/>
        <w:adjustRightInd w:val="0"/>
        <w:ind w:firstLine="480"/>
        <w:rPr>
          <w:szCs w:val="24"/>
        </w:rPr>
      </w:pPr>
      <w:r>
        <w:rPr>
          <w:szCs w:val="24"/>
        </w:rPr>
        <w:t>据统计，评价范围内</w:t>
      </w:r>
      <w:r>
        <w:rPr>
          <w:rFonts w:hint="eastAsia"/>
          <w:szCs w:val="24"/>
        </w:rPr>
        <w:t>无</w:t>
      </w:r>
      <w:r>
        <w:rPr>
          <w:szCs w:val="24"/>
        </w:rPr>
        <w:t>国家级保护野生动物，省级重点保护的共8种，其中两栖类2种、爬行类1种、鸟类5种，</w:t>
      </w:r>
      <w:r>
        <w:rPr>
          <w:rFonts w:hint="eastAsia"/>
          <w:szCs w:val="24"/>
        </w:rPr>
        <w:t>对于重点保护野生动物，除了进行一般动物的避让、减缓等保护措施外，还要重点加强有关野生动物及国家、省级（自治区级）重点保护野生动物法律法规宣传工作，在主要的施工区和施工人员的生活区设立野生动物保护的宣传栏，包括重点保护野生动物图片、保护级别、保护意义及对捕杀野生保护动物的惩罚措施。针对本工程对重点保护野生动物所产生的影响建议采取的保护措施见下表。</w:t>
      </w:r>
    </w:p>
    <w:p>
      <w:pPr>
        <w:spacing w:before="120" w:beforeLines="50" w:line="240" w:lineRule="auto"/>
        <w:ind w:firstLine="480"/>
        <w:jc w:val="center"/>
        <w:rPr>
          <w:rFonts w:eastAsia="黑体"/>
          <w:b/>
          <w:szCs w:val="24"/>
          <w:highlight w:val="yellow"/>
        </w:rPr>
      </w:pPr>
      <w:r>
        <w:rPr>
          <w:rFonts w:eastAsia="黑体"/>
          <w:szCs w:val="24"/>
        </w:rPr>
        <w:t>表</w:t>
      </w:r>
      <w:r>
        <w:rPr>
          <w:rFonts w:hint="eastAsia" w:eastAsia="黑体"/>
          <w:szCs w:val="24"/>
        </w:rPr>
        <w:t>7</w:t>
      </w:r>
      <w:r>
        <w:rPr>
          <w:rFonts w:eastAsia="黑体"/>
          <w:szCs w:val="24"/>
        </w:rPr>
        <w:t>.</w:t>
      </w:r>
      <w:r>
        <w:rPr>
          <w:rFonts w:hint="eastAsia" w:eastAsia="黑体"/>
          <w:szCs w:val="24"/>
        </w:rPr>
        <w:t>8</w:t>
      </w:r>
      <w:r>
        <w:rPr>
          <w:rFonts w:eastAsia="黑体"/>
          <w:szCs w:val="24"/>
        </w:rPr>
        <w:t>-1  评价范围内国家级和省级重点保护陆生野生动物保护措施</w:t>
      </w:r>
    </w:p>
    <w:tbl>
      <w:tblPr>
        <w:tblStyle w:val="82"/>
        <w:tblW w:w="0" w:type="auto"/>
        <w:tblInd w:w="-3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2114"/>
        <w:gridCol w:w="1276"/>
        <w:gridCol w:w="1845"/>
        <w:gridCol w:w="29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430" w:type="dxa"/>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种名</w:t>
            </w:r>
          </w:p>
        </w:tc>
        <w:tc>
          <w:tcPr>
            <w:tcW w:w="2114" w:type="dxa"/>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分布区域</w:t>
            </w:r>
          </w:p>
        </w:tc>
        <w:tc>
          <w:tcPr>
            <w:tcW w:w="1276" w:type="dxa"/>
            <w:tcBorders>
              <w:top w:val="single" w:color="auto" w:sz="12" w:space="0"/>
              <w:bottom w:val="single" w:color="auto" w:sz="4" w:space="0"/>
            </w:tcBorders>
            <w:vAlign w:val="center"/>
          </w:tcPr>
          <w:p>
            <w:pPr>
              <w:spacing w:line="340" w:lineRule="exact"/>
              <w:ind w:firstLine="0" w:firstLineChars="0"/>
              <w:jc w:val="center"/>
              <w:rPr>
                <w:sz w:val="21"/>
                <w:szCs w:val="21"/>
              </w:rPr>
            </w:pPr>
            <w:r>
              <w:rPr>
                <w:sz w:val="21"/>
                <w:szCs w:val="21"/>
              </w:rPr>
              <w:t>保护等级</w:t>
            </w:r>
          </w:p>
        </w:tc>
        <w:tc>
          <w:tcPr>
            <w:tcW w:w="1845" w:type="dxa"/>
            <w:tcBorders>
              <w:top w:val="single" w:color="auto" w:sz="12" w:space="0"/>
              <w:bottom w:val="single" w:color="auto" w:sz="4" w:space="0"/>
            </w:tcBorders>
            <w:vAlign w:val="center"/>
          </w:tcPr>
          <w:p>
            <w:pPr>
              <w:spacing w:line="340" w:lineRule="exact"/>
              <w:ind w:firstLine="0" w:firstLineChars="0"/>
              <w:jc w:val="center"/>
              <w:rPr>
                <w:b/>
                <w:spacing w:val="-2"/>
                <w:sz w:val="21"/>
                <w:szCs w:val="21"/>
                <w:highlight w:val="yellow"/>
              </w:rPr>
            </w:pPr>
            <w:r>
              <w:rPr>
                <w:sz w:val="21"/>
                <w:szCs w:val="21"/>
              </w:rPr>
              <w:t>施工期的影响</w:t>
            </w:r>
          </w:p>
        </w:tc>
        <w:tc>
          <w:tcPr>
            <w:tcW w:w="2939" w:type="dxa"/>
            <w:tcBorders>
              <w:top w:val="single" w:color="auto" w:sz="12" w:space="0"/>
              <w:bottom w:val="single" w:color="auto" w:sz="4" w:space="0"/>
            </w:tcBorders>
            <w:vAlign w:val="center"/>
          </w:tcPr>
          <w:p>
            <w:pPr>
              <w:spacing w:line="340" w:lineRule="exact"/>
              <w:ind w:firstLine="420"/>
              <w:jc w:val="center"/>
              <w:rPr>
                <w:b/>
                <w:spacing w:val="-2"/>
                <w:sz w:val="21"/>
                <w:szCs w:val="21"/>
                <w:highlight w:val="yellow"/>
              </w:rPr>
            </w:pPr>
            <w:r>
              <w:rPr>
                <w:sz w:val="21"/>
                <w:szCs w:val="21"/>
              </w:rPr>
              <w:t>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tcBorders>
              <w:top w:val="single" w:color="auto" w:sz="4" w:space="0"/>
            </w:tcBorders>
            <w:vAlign w:val="center"/>
          </w:tcPr>
          <w:p>
            <w:pPr>
              <w:adjustRightInd w:val="0"/>
              <w:snapToGrid w:val="0"/>
              <w:spacing w:line="340" w:lineRule="exact"/>
              <w:ind w:firstLine="0" w:firstLineChars="0"/>
              <w:rPr>
                <w:sz w:val="21"/>
                <w:szCs w:val="21"/>
              </w:rPr>
            </w:pPr>
            <w:r>
              <w:rPr>
                <w:sz w:val="21"/>
                <w:szCs w:val="21"/>
              </w:rPr>
              <w:t>(一〉两栖类</w:t>
            </w:r>
          </w:p>
        </w:tc>
        <w:tc>
          <w:tcPr>
            <w:tcW w:w="2114" w:type="dxa"/>
            <w:tcBorders>
              <w:top w:val="single" w:color="auto" w:sz="4" w:space="0"/>
            </w:tcBorders>
            <w:vAlign w:val="center"/>
          </w:tcPr>
          <w:p>
            <w:pPr>
              <w:spacing w:line="340" w:lineRule="exact"/>
              <w:ind w:firstLine="0" w:firstLineChars="0"/>
              <w:jc w:val="center"/>
              <w:rPr>
                <w:sz w:val="21"/>
                <w:szCs w:val="21"/>
              </w:rPr>
            </w:pPr>
          </w:p>
        </w:tc>
        <w:tc>
          <w:tcPr>
            <w:tcW w:w="1276" w:type="dxa"/>
            <w:tcBorders>
              <w:top w:val="single" w:color="auto" w:sz="4" w:space="0"/>
            </w:tcBorders>
            <w:vAlign w:val="center"/>
          </w:tcPr>
          <w:p>
            <w:pPr>
              <w:spacing w:line="340" w:lineRule="exact"/>
              <w:ind w:firstLine="0" w:firstLineChars="0"/>
              <w:jc w:val="center"/>
              <w:rPr>
                <w:sz w:val="21"/>
                <w:szCs w:val="21"/>
              </w:rPr>
            </w:pPr>
          </w:p>
        </w:tc>
        <w:tc>
          <w:tcPr>
            <w:tcW w:w="1845" w:type="dxa"/>
            <w:tcBorders>
              <w:top w:val="single" w:color="auto" w:sz="4" w:space="0"/>
            </w:tcBorders>
            <w:vAlign w:val="center"/>
          </w:tcPr>
          <w:p>
            <w:pPr>
              <w:spacing w:line="340" w:lineRule="exact"/>
              <w:ind w:firstLine="0" w:firstLineChars="0"/>
              <w:jc w:val="center"/>
              <w:rPr>
                <w:spacing w:val="-2"/>
                <w:sz w:val="21"/>
                <w:szCs w:val="21"/>
                <w:highlight w:val="yellow"/>
              </w:rPr>
            </w:pPr>
          </w:p>
        </w:tc>
        <w:tc>
          <w:tcPr>
            <w:tcW w:w="2939" w:type="dxa"/>
            <w:tcBorders>
              <w:top w:val="single" w:color="auto" w:sz="4" w:space="0"/>
            </w:tcBorders>
            <w:vAlign w:val="center"/>
          </w:tcPr>
          <w:p>
            <w:pPr>
              <w:spacing w:line="340" w:lineRule="exact"/>
              <w:ind w:firstLine="0" w:firstLineChars="0"/>
              <w:jc w:val="center"/>
              <w:rPr>
                <w:spacing w:val="-2"/>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adjustRightInd w:val="0"/>
              <w:snapToGrid w:val="0"/>
              <w:spacing w:line="340" w:lineRule="exact"/>
              <w:ind w:firstLine="0" w:firstLineChars="0"/>
              <w:rPr>
                <w:sz w:val="21"/>
                <w:szCs w:val="21"/>
              </w:rPr>
            </w:pPr>
            <w:r>
              <w:rPr>
                <w:sz w:val="21"/>
                <w:szCs w:val="21"/>
              </w:rPr>
              <w:t>中华蟾蜍</w:t>
            </w:r>
          </w:p>
        </w:tc>
        <w:tc>
          <w:tcPr>
            <w:tcW w:w="2114" w:type="dxa"/>
            <w:vAlign w:val="center"/>
          </w:tcPr>
          <w:p>
            <w:pPr>
              <w:adjustRightInd w:val="0"/>
              <w:snapToGrid w:val="0"/>
              <w:spacing w:line="340" w:lineRule="exact"/>
              <w:ind w:firstLine="0" w:firstLineChars="0"/>
              <w:jc w:val="center"/>
              <w:rPr>
                <w:sz w:val="21"/>
                <w:szCs w:val="21"/>
              </w:rPr>
            </w:pPr>
            <w:r>
              <w:rPr>
                <w:spacing w:val="-2"/>
                <w:sz w:val="21"/>
                <w:szCs w:val="21"/>
              </w:rPr>
              <w:t>稻田与沟渠附近</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restart"/>
            <w:vAlign w:val="center"/>
          </w:tcPr>
          <w:p>
            <w:pPr>
              <w:spacing w:line="340" w:lineRule="exact"/>
              <w:ind w:firstLine="0" w:firstLineChars="0"/>
              <w:jc w:val="center"/>
              <w:rPr>
                <w:spacing w:val="-2"/>
                <w:sz w:val="21"/>
                <w:szCs w:val="21"/>
                <w:highlight w:val="yellow"/>
              </w:rPr>
            </w:pPr>
            <w:r>
              <w:rPr>
                <w:sz w:val="21"/>
                <w:szCs w:val="21"/>
              </w:rPr>
              <w:t>水质污染，植被破坏，施工动土、噪声、非法捕猎</w:t>
            </w:r>
          </w:p>
        </w:tc>
        <w:tc>
          <w:tcPr>
            <w:tcW w:w="2939" w:type="dxa"/>
            <w:vMerge w:val="restart"/>
            <w:vAlign w:val="center"/>
          </w:tcPr>
          <w:p>
            <w:pPr>
              <w:adjustRightInd w:val="0"/>
              <w:snapToGrid w:val="0"/>
              <w:spacing w:line="340" w:lineRule="exact"/>
              <w:ind w:firstLine="0" w:firstLineChars="0"/>
              <w:jc w:val="center"/>
              <w:rPr>
                <w:kern w:val="0"/>
                <w:sz w:val="21"/>
                <w:szCs w:val="21"/>
              </w:rPr>
            </w:pPr>
            <w:r>
              <w:rPr>
                <w:kern w:val="0"/>
                <w:sz w:val="21"/>
                <w:szCs w:val="21"/>
              </w:rPr>
              <w:t>防止水质污染；尽量减少生境的扰动；减少噪声；严禁捕捉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adjustRightInd w:val="0"/>
              <w:snapToGrid w:val="0"/>
              <w:spacing w:line="340" w:lineRule="exact"/>
              <w:ind w:firstLine="0" w:firstLineChars="0"/>
              <w:jc w:val="center"/>
              <w:rPr>
                <w:sz w:val="21"/>
                <w:szCs w:val="21"/>
              </w:rPr>
            </w:pPr>
            <w:r>
              <w:rPr>
                <w:sz w:val="21"/>
                <w:szCs w:val="21"/>
              </w:rPr>
              <w:t>黑斑(侧褶)蛙</w:t>
            </w:r>
          </w:p>
        </w:tc>
        <w:tc>
          <w:tcPr>
            <w:tcW w:w="2114" w:type="dxa"/>
            <w:vAlign w:val="center"/>
          </w:tcPr>
          <w:p>
            <w:pPr>
              <w:spacing w:line="340" w:lineRule="exact"/>
              <w:ind w:firstLine="0" w:firstLineChars="0"/>
              <w:rPr>
                <w:spacing w:val="-2"/>
                <w:sz w:val="21"/>
                <w:szCs w:val="21"/>
              </w:rPr>
            </w:pPr>
            <w:r>
              <w:rPr>
                <w:spacing w:val="-2"/>
                <w:sz w:val="21"/>
                <w:szCs w:val="21"/>
              </w:rPr>
              <w:t>稻田与沟渠附近</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continue"/>
            <w:vAlign w:val="center"/>
          </w:tcPr>
          <w:p>
            <w:pPr>
              <w:spacing w:line="340" w:lineRule="exact"/>
              <w:ind w:firstLine="0" w:firstLineChars="0"/>
              <w:jc w:val="center"/>
              <w:rPr>
                <w:sz w:val="21"/>
                <w:szCs w:val="21"/>
              </w:rPr>
            </w:pPr>
          </w:p>
        </w:tc>
        <w:tc>
          <w:tcPr>
            <w:tcW w:w="2939" w:type="dxa"/>
            <w:vMerge w:val="continue"/>
            <w:vAlign w:val="center"/>
          </w:tcPr>
          <w:p>
            <w:pPr>
              <w:adjustRightInd w:val="0"/>
              <w:snapToGri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sz w:val="21"/>
                <w:szCs w:val="21"/>
              </w:rPr>
            </w:pPr>
            <w:r>
              <w:rPr>
                <w:sz w:val="21"/>
                <w:szCs w:val="21"/>
              </w:rPr>
              <w:t>(二〉爬行类</w:t>
            </w:r>
          </w:p>
        </w:tc>
        <w:tc>
          <w:tcPr>
            <w:tcW w:w="2114" w:type="dxa"/>
            <w:vAlign w:val="center"/>
          </w:tcPr>
          <w:p>
            <w:pPr>
              <w:spacing w:line="340" w:lineRule="exact"/>
              <w:ind w:firstLine="0" w:firstLineChars="0"/>
              <w:jc w:val="center"/>
              <w:rPr>
                <w:sz w:val="21"/>
                <w:szCs w:val="21"/>
              </w:rPr>
            </w:pPr>
          </w:p>
        </w:tc>
        <w:tc>
          <w:tcPr>
            <w:tcW w:w="1276" w:type="dxa"/>
            <w:vAlign w:val="center"/>
          </w:tcPr>
          <w:p>
            <w:pPr>
              <w:spacing w:line="340" w:lineRule="exact"/>
              <w:ind w:firstLine="0" w:firstLineChars="0"/>
              <w:jc w:val="center"/>
              <w:rPr>
                <w:sz w:val="21"/>
                <w:szCs w:val="21"/>
              </w:rPr>
            </w:pPr>
          </w:p>
        </w:tc>
        <w:tc>
          <w:tcPr>
            <w:tcW w:w="1845" w:type="dxa"/>
            <w:vAlign w:val="center"/>
          </w:tcPr>
          <w:p>
            <w:pPr>
              <w:spacing w:line="340" w:lineRule="exact"/>
              <w:ind w:firstLine="420"/>
              <w:jc w:val="center"/>
              <w:rPr>
                <w:sz w:val="21"/>
                <w:szCs w:val="21"/>
              </w:rPr>
            </w:pPr>
          </w:p>
        </w:tc>
        <w:tc>
          <w:tcPr>
            <w:tcW w:w="2939" w:type="dxa"/>
            <w:vAlign w:val="center"/>
          </w:tcPr>
          <w:p>
            <w:pPr>
              <w:adjustRightInd w:val="0"/>
              <w:snapToGrid w:val="0"/>
              <w:spacing w:line="340" w:lineRule="exact"/>
              <w:ind w:firstLine="0" w:firstLineChars="0"/>
              <w:jc w:val="center"/>
              <w:rPr>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adjustRightInd w:val="0"/>
              <w:snapToGrid w:val="0"/>
              <w:spacing w:line="340" w:lineRule="exact"/>
              <w:ind w:firstLine="0" w:firstLineChars="0"/>
              <w:jc w:val="center"/>
              <w:rPr>
                <w:sz w:val="21"/>
                <w:szCs w:val="21"/>
              </w:rPr>
            </w:pPr>
            <w:r>
              <w:rPr>
                <w:sz w:val="21"/>
                <w:szCs w:val="21"/>
              </w:rPr>
              <w:t>鳖</w:t>
            </w:r>
          </w:p>
        </w:tc>
        <w:tc>
          <w:tcPr>
            <w:tcW w:w="2114" w:type="dxa"/>
            <w:vAlign w:val="center"/>
          </w:tcPr>
          <w:p>
            <w:pPr>
              <w:spacing w:line="340" w:lineRule="exact"/>
              <w:ind w:firstLine="0" w:firstLineChars="0"/>
              <w:jc w:val="center"/>
              <w:rPr>
                <w:sz w:val="21"/>
                <w:szCs w:val="21"/>
              </w:rPr>
            </w:pPr>
            <w:r>
              <w:rPr>
                <w:sz w:val="21"/>
                <w:szCs w:val="21"/>
              </w:rPr>
              <w:t>水库、池塘</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Align w:val="center"/>
          </w:tcPr>
          <w:p>
            <w:pPr>
              <w:spacing w:line="340" w:lineRule="exact"/>
              <w:ind w:firstLine="0" w:firstLineChars="0"/>
              <w:jc w:val="center"/>
              <w:rPr>
                <w:spacing w:val="-2"/>
                <w:sz w:val="21"/>
                <w:szCs w:val="21"/>
                <w:highlight w:val="yellow"/>
              </w:rPr>
            </w:pPr>
            <w:r>
              <w:rPr>
                <w:sz w:val="21"/>
                <w:szCs w:val="21"/>
              </w:rPr>
              <w:t>施工噪声、动土，草丛植被破坏、水质污染、非法捕猎</w:t>
            </w:r>
          </w:p>
        </w:tc>
        <w:tc>
          <w:tcPr>
            <w:tcW w:w="2939" w:type="dxa"/>
            <w:vAlign w:val="center"/>
          </w:tcPr>
          <w:p>
            <w:pPr>
              <w:adjustRightInd w:val="0"/>
              <w:snapToGrid w:val="0"/>
              <w:spacing w:line="340" w:lineRule="exact"/>
              <w:ind w:firstLine="0" w:firstLineChars="0"/>
              <w:jc w:val="center"/>
              <w:rPr>
                <w:kern w:val="0"/>
                <w:sz w:val="21"/>
                <w:szCs w:val="21"/>
              </w:rPr>
            </w:pPr>
            <w:r>
              <w:rPr>
                <w:rFonts w:hint="eastAsia"/>
                <w:kern w:val="0"/>
                <w:sz w:val="21"/>
                <w:szCs w:val="21"/>
              </w:rPr>
              <w:t>加强宣传和管理措施，严禁捕杀，控制施工机械、车辆和爆破噪声，车辆禁止鸣笛，地面爆破避开晨昏和中午时段;</w:t>
            </w:r>
            <w:r>
              <w:rPr>
                <w:kern w:val="0"/>
                <w:sz w:val="21"/>
                <w:szCs w:val="21"/>
              </w:rPr>
              <w:t>防止水质污染：尽量减少生境的扰动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sz w:val="21"/>
                <w:szCs w:val="21"/>
              </w:rPr>
            </w:pPr>
            <w:r>
              <w:rPr>
                <w:sz w:val="21"/>
                <w:szCs w:val="21"/>
              </w:rPr>
              <w:t>㈢鸟类</w:t>
            </w:r>
          </w:p>
        </w:tc>
        <w:tc>
          <w:tcPr>
            <w:tcW w:w="2114" w:type="dxa"/>
            <w:vAlign w:val="center"/>
          </w:tcPr>
          <w:p>
            <w:pPr>
              <w:spacing w:line="340" w:lineRule="exact"/>
              <w:ind w:firstLine="0" w:firstLineChars="0"/>
              <w:jc w:val="center"/>
              <w:rPr>
                <w:sz w:val="21"/>
                <w:szCs w:val="21"/>
              </w:rPr>
            </w:pPr>
          </w:p>
        </w:tc>
        <w:tc>
          <w:tcPr>
            <w:tcW w:w="1276" w:type="dxa"/>
            <w:vAlign w:val="center"/>
          </w:tcPr>
          <w:p>
            <w:pPr>
              <w:spacing w:line="340" w:lineRule="exact"/>
              <w:ind w:firstLine="0" w:firstLineChars="0"/>
              <w:jc w:val="center"/>
              <w:rPr>
                <w:sz w:val="21"/>
                <w:szCs w:val="21"/>
              </w:rPr>
            </w:pPr>
          </w:p>
        </w:tc>
        <w:tc>
          <w:tcPr>
            <w:tcW w:w="1845" w:type="dxa"/>
            <w:vAlign w:val="center"/>
          </w:tcPr>
          <w:p>
            <w:pPr>
              <w:spacing w:line="340" w:lineRule="exact"/>
              <w:ind w:firstLine="412"/>
              <w:jc w:val="center"/>
              <w:rPr>
                <w:spacing w:val="-2"/>
                <w:sz w:val="21"/>
                <w:szCs w:val="21"/>
                <w:highlight w:val="yellow"/>
              </w:rPr>
            </w:pPr>
          </w:p>
        </w:tc>
        <w:tc>
          <w:tcPr>
            <w:tcW w:w="2939" w:type="dxa"/>
            <w:vAlign w:val="center"/>
          </w:tcPr>
          <w:p>
            <w:pPr>
              <w:spacing w:line="340" w:lineRule="exact"/>
              <w:ind w:firstLine="412"/>
              <w:jc w:val="center"/>
              <w:rPr>
                <w:spacing w:val="-2"/>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adjustRightInd w:val="0"/>
              <w:snapToGrid w:val="0"/>
              <w:spacing w:line="340" w:lineRule="exact"/>
              <w:ind w:firstLine="0" w:firstLineChars="0"/>
              <w:jc w:val="center"/>
              <w:rPr>
                <w:kern w:val="0"/>
                <w:sz w:val="21"/>
                <w:szCs w:val="21"/>
              </w:rPr>
            </w:pPr>
            <w:r>
              <w:rPr>
                <w:kern w:val="0"/>
                <w:sz w:val="21"/>
                <w:szCs w:val="21"/>
              </w:rPr>
              <w:t>白鹭</w:t>
            </w:r>
          </w:p>
        </w:tc>
        <w:tc>
          <w:tcPr>
            <w:tcW w:w="2114" w:type="dxa"/>
            <w:vAlign w:val="center"/>
          </w:tcPr>
          <w:p>
            <w:pPr>
              <w:adjustRightInd w:val="0"/>
              <w:snapToGrid w:val="0"/>
              <w:spacing w:line="340" w:lineRule="exact"/>
              <w:ind w:firstLine="0" w:firstLineChars="0"/>
              <w:jc w:val="center"/>
              <w:rPr>
                <w:kern w:val="0"/>
                <w:sz w:val="21"/>
                <w:szCs w:val="21"/>
              </w:rPr>
            </w:pPr>
            <w:r>
              <w:rPr>
                <w:kern w:val="0"/>
                <w:sz w:val="21"/>
                <w:szCs w:val="21"/>
              </w:rPr>
              <w:t>评价区稻田</w:t>
            </w:r>
          </w:p>
        </w:tc>
        <w:tc>
          <w:tcPr>
            <w:tcW w:w="1276" w:type="dxa"/>
            <w:vAlign w:val="center"/>
          </w:tcPr>
          <w:p>
            <w:pPr>
              <w:adjustRightInd w:val="0"/>
              <w:snapToGrid w:val="0"/>
              <w:spacing w:line="340" w:lineRule="exact"/>
              <w:ind w:firstLine="0" w:firstLineChars="0"/>
              <w:jc w:val="center"/>
              <w:rPr>
                <w:kern w:val="0"/>
                <w:sz w:val="21"/>
                <w:szCs w:val="21"/>
              </w:rPr>
            </w:pPr>
            <w:r>
              <w:rPr>
                <w:kern w:val="0"/>
                <w:sz w:val="21"/>
                <w:szCs w:val="21"/>
              </w:rPr>
              <w:t>省重点</w:t>
            </w:r>
          </w:p>
        </w:tc>
        <w:tc>
          <w:tcPr>
            <w:tcW w:w="1845" w:type="dxa"/>
            <w:vMerge w:val="restart"/>
            <w:vAlign w:val="center"/>
          </w:tcPr>
          <w:p>
            <w:pPr>
              <w:adjustRightInd w:val="0"/>
              <w:snapToGrid w:val="0"/>
              <w:spacing w:line="340" w:lineRule="exact"/>
              <w:ind w:firstLine="0" w:firstLineChars="0"/>
              <w:jc w:val="center"/>
              <w:rPr>
                <w:kern w:val="0"/>
                <w:sz w:val="21"/>
                <w:szCs w:val="21"/>
              </w:rPr>
            </w:pPr>
            <w:r>
              <w:rPr>
                <w:kern w:val="0"/>
                <w:sz w:val="21"/>
                <w:szCs w:val="21"/>
              </w:rPr>
              <w:t>施工噪声、非法捕猎、人为惊扰</w:t>
            </w:r>
          </w:p>
        </w:tc>
        <w:tc>
          <w:tcPr>
            <w:tcW w:w="2939" w:type="dxa"/>
            <w:vMerge w:val="restart"/>
            <w:vAlign w:val="center"/>
          </w:tcPr>
          <w:p>
            <w:pPr>
              <w:autoSpaceDE w:val="0"/>
              <w:autoSpaceDN w:val="0"/>
              <w:adjustRightInd w:val="0"/>
              <w:snapToGrid w:val="0"/>
              <w:spacing w:line="240" w:lineRule="auto"/>
              <w:ind w:firstLine="0" w:firstLineChars="0"/>
              <w:jc w:val="left"/>
              <w:rPr>
                <w:kern w:val="0"/>
                <w:sz w:val="21"/>
                <w:szCs w:val="21"/>
              </w:rPr>
            </w:pPr>
            <w:r>
              <w:rPr>
                <w:rFonts w:hint="eastAsia"/>
                <w:kern w:val="0"/>
                <w:sz w:val="21"/>
                <w:szCs w:val="21"/>
              </w:rPr>
              <w:t>蓄水前如发现其幼鸟，应采取保护措施；加强施工管理，严禁捕杀；施工迹地及时恢复，营造栖息生境。在鸟类繁殖期间，如发现成鸟和幼鸟，应及时上报并采取保护措施，控制施工机械、车辆和爆破噪声，车辆禁止鸣笛，地面爆破避开晨昏和中午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sz w:val="21"/>
                <w:szCs w:val="21"/>
              </w:rPr>
            </w:pPr>
            <w:r>
              <w:rPr>
                <w:spacing w:val="-2"/>
                <w:sz w:val="21"/>
                <w:szCs w:val="21"/>
              </w:rPr>
              <w:t>灰胸竹鸡</w:t>
            </w:r>
          </w:p>
        </w:tc>
        <w:tc>
          <w:tcPr>
            <w:tcW w:w="2114" w:type="dxa"/>
            <w:vAlign w:val="center"/>
          </w:tcPr>
          <w:p>
            <w:pPr>
              <w:spacing w:line="340" w:lineRule="exact"/>
              <w:ind w:firstLine="0" w:firstLineChars="0"/>
              <w:jc w:val="center"/>
              <w:rPr>
                <w:sz w:val="21"/>
                <w:szCs w:val="21"/>
              </w:rPr>
            </w:pPr>
            <w:r>
              <w:rPr>
                <w:spacing w:val="-2"/>
                <w:sz w:val="21"/>
                <w:szCs w:val="21"/>
              </w:rPr>
              <w:t>评价区灌草丛</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continue"/>
            <w:vAlign w:val="center"/>
          </w:tcPr>
          <w:p>
            <w:pPr>
              <w:spacing w:line="340" w:lineRule="exact"/>
              <w:ind w:firstLine="412"/>
              <w:jc w:val="center"/>
              <w:rPr>
                <w:spacing w:val="-2"/>
                <w:sz w:val="21"/>
                <w:szCs w:val="21"/>
                <w:highlight w:val="yellow"/>
              </w:rPr>
            </w:pPr>
          </w:p>
        </w:tc>
        <w:tc>
          <w:tcPr>
            <w:tcW w:w="2939" w:type="dxa"/>
            <w:vMerge w:val="continue"/>
            <w:vAlign w:val="center"/>
          </w:tcPr>
          <w:p>
            <w:pPr>
              <w:spacing w:line="340" w:lineRule="exact"/>
              <w:ind w:firstLine="412"/>
              <w:jc w:val="center"/>
              <w:rPr>
                <w:spacing w:val="-2"/>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spacing w:val="-2"/>
                <w:sz w:val="21"/>
                <w:szCs w:val="21"/>
              </w:rPr>
            </w:pPr>
            <w:r>
              <w:rPr>
                <w:spacing w:val="-2"/>
                <w:sz w:val="21"/>
                <w:szCs w:val="21"/>
              </w:rPr>
              <w:t>普通翠鸟</w:t>
            </w:r>
          </w:p>
        </w:tc>
        <w:tc>
          <w:tcPr>
            <w:tcW w:w="2114" w:type="dxa"/>
            <w:vAlign w:val="center"/>
          </w:tcPr>
          <w:p>
            <w:pPr>
              <w:spacing w:line="340" w:lineRule="exact"/>
              <w:ind w:firstLine="0" w:firstLineChars="0"/>
              <w:jc w:val="center"/>
              <w:rPr>
                <w:sz w:val="21"/>
                <w:szCs w:val="21"/>
              </w:rPr>
            </w:pPr>
            <w:r>
              <w:rPr>
                <w:spacing w:val="-2"/>
                <w:sz w:val="21"/>
                <w:szCs w:val="21"/>
              </w:rPr>
              <w:t>评价区溪流池塘</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continue"/>
            <w:vAlign w:val="center"/>
          </w:tcPr>
          <w:p>
            <w:pPr>
              <w:spacing w:line="340" w:lineRule="exact"/>
              <w:ind w:firstLine="412"/>
              <w:jc w:val="center"/>
              <w:rPr>
                <w:spacing w:val="-2"/>
                <w:sz w:val="21"/>
                <w:szCs w:val="21"/>
                <w:highlight w:val="yellow"/>
              </w:rPr>
            </w:pPr>
          </w:p>
        </w:tc>
        <w:tc>
          <w:tcPr>
            <w:tcW w:w="2939" w:type="dxa"/>
            <w:vMerge w:val="continue"/>
            <w:vAlign w:val="center"/>
          </w:tcPr>
          <w:p>
            <w:pPr>
              <w:spacing w:line="340" w:lineRule="exact"/>
              <w:ind w:firstLine="412"/>
              <w:jc w:val="center"/>
              <w:rPr>
                <w:spacing w:val="-2"/>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spacing w:val="-2"/>
                <w:sz w:val="21"/>
                <w:szCs w:val="21"/>
              </w:rPr>
            </w:pPr>
            <w:r>
              <w:rPr>
                <w:sz w:val="21"/>
                <w:szCs w:val="21"/>
              </w:rPr>
              <w:t>家燕</w:t>
            </w:r>
          </w:p>
        </w:tc>
        <w:tc>
          <w:tcPr>
            <w:tcW w:w="2114" w:type="dxa"/>
            <w:vAlign w:val="center"/>
          </w:tcPr>
          <w:p>
            <w:pPr>
              <w:spacing w:line="340" w:lineRule="exact"/>
              <w:ind w:firstLine="0" w:firstLineChars="0"/>
              <w:jc w:val="center"/>
              <w:rPr>
                <w:sz w:val="21"/>
                <w:szCs w:val="21"/>
              </w:rPr>
            </w:pPr>
            <w:r>
              <w:rPr>
                <w:spacing w:val="-2"/>
                <w:sz w:val="21"/>
                <w:szCs w:val="21"/>
              </w:rPr>
              <w:t>评价区广布</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continue"/>
            <w:vAlign w:val="center"/>
          </w:tcPr>
          <w:p>
            <w:pPr>
              <w:spacing w:line="340" w:lineRule="exact"/>
              <w:ind w:firstLine="412"/>
              <w:jc w:val="center"/>
              <w:rPr>
                <w:spacing w:val="-2"/>
                <w:sz w:val="21"/>
                <w:szCs w:val="21"/>
                <w:highlight w:val="yellow"/>
              </w:rPr>
            </w:pPr>
          </w:p>
        </w:tc>
        <w:tc>
          <w:tcPr>
            <w:tcW w:w="2939" w:type="dxa"/>
            <w:vMerge w:val="continue"/>
            <w:vAlign w:val="center"/>
          </w:tcPr>
          <w:p>
            <w:pPr>
              <w:spacing w:line="340" w:lineRule="exact"/>
              <w:ind w:firstLine="412"/>
              <w:jc w:val="center"/>
              <w:rPr>
                <w:spacing w:val="-2"/>
                <w:sz w:val="21"/>
                <w:szCs w:val="21"/>
                <w:highlight w:val="yello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0" w:type="dxa"/>
            <w:vAlign w:val="center"/>
          </w:tcPr>
          <w:p>
            <w:pPr>
              <w:spacing w:line="340" w:lineRule="exact"/>
              <w:ind w:firstLine="0" w:firstLineChars="0"/>
              <w:jc w:val="center"/>
              <w:rPr>
                <w:i/>
                <w:sz w:val="21"/>
                <w:szCs w:val="21"/>
              </w:rPr>
            </w:pPr>
            <w:r>
              <w:rPr>
                <w:spacing w:val="-2"/>
                <w:sz w:val="21"/>
                <w:szCs w:val="21"/>
              </w:rPr>
              <w:t>画眉</w:t>
            </w:r>
          </w:p>
        </w:tc>
        <w:tc>
          <w:tcPr>
            <w:tcW w:w="2114" w:type="dxa"/>
            <w:vAlign w:val="center"/>
          </w:tcPr>
          <w:p>
            <w:pPr>
              <w:spacing w:line="340" w:lineRule="exact"/>
              <w:ind w:firstLine="0" w:firstLineChars="0"/>
              <w:jc w:val="center"/>
              <w:rPr>
                <w:sz w:val="21"/>
                <w:szCs w:val="21"/>
              </w:rPr>
            </w:pPr>
            <w:r>
              <w:rPr>
                <w:spacing w:val="-2"/>
                <w:sz w:val="21"/>
                <w:szCs w:val="21"/>
              </w:rPr>
              <w:t>评价区灌丛</w:t>
            </w:r>
          </w:p>
        </w:tc>
        <w:tc>
          <w:tcPr>
            <w:tcW w:w="1276" w:type="dxa"/>
            <w:vAlign w:val="center"/>
          </w:tcPr>
          <w:p>
            <w:pPr>
              <w:spacing w:line="340" w:lineRule="exact"/>
              <w:ind w:firstLine="0" w:firstLineChars="0"/>
              <w:jc w:val="center"/>
              <w:rPr>
                <w:sz w:val="21"/>
                <w:szCs w:val="21"/>
              </w:rPr>
            </w:pPr>
            <w:r>
              <w:rPr>
                <w:sz w:val="21"/>
                <w:szCs w:val="21"/>
              </w:rPr>
              <w:t>省重点</w:t>
            </w:r>
          </w:p>
        </w:tc>
        <w:tc>
          <w:tcPr>
            <w:tcW w:w="1845" w:type="dxa"/>
            <w:vMerge w:val="continue"/>
            <w:vAlign w:val="center"/>
          </w:tcPr>
          <w:p>
            <w:pPr>
              <w:spacing w:line="340" w:lineRule="exact"/>
              <w:ind w:firstLine="412"/>
              <w:jc w:val="center"/>
              <w:rPr>
                <w:spacing w:val="-2"/>
                <w:sz w:val="21"/>
                <w:szCs w:val="21"/>
                <w:highlight w:val="yellow"/>
              </w:rPr>
            </w:pPr>
          </w:p>
        </w:tc>
        <w:tc>
          <w:tcPr>
            <w:tcW w:w="2939" w:type="dxa"/>
            <w:vMerge w:val="continue"/>
            <w:vAlign w:val="center"/>
          </w:tcPr>
          <w:p>
            <w:pPr>
              <w:spacing w:line="340" w:lineRule="exact"/>
              <w:ind w:firstLine="412"/>
              <w:jc w:val="center"/>
              <w:rPr>
                <w:spacing w:val="-2"/>
                <w:sz w:val="21"/>
                <w:szCs w:val="21"/>
                <w:highlight w:val="yellow"/>
              </w:rPr>
            </w:pPr>
          </w:p>
        </w:tc>
      </w:tr>
      <w:bookmarkEnd w:id="1018"/>
      <w:bookmarkEnd w:id="1019"/>
      <w:bookmarkEnd w:id="1020"/>
      <w:bookmarkEnd w:id="1021"/>
      <w:bookmarkEnd w:id="1138"/>
      <w:bookmarkEnd w:id="1139"/>
      <w:bookmarkEnd w:id="1140"/>
      <w:bookmarkEnd w:id="1141"/>
      <w:bookmarkEnd w:id="1142"/>
      <w:bookmarkEnd w:id="1143"/>
    </w:tbl>
    <w:p>
      <w:pPr>
        <w:pStyle w:val="7"/>
        <w:rPr>
          <w:kern w:val="0"/>
          <w:szCs w:val="24"/>
        </w:rPr>
      </w:pPr>
      <w:bookmarkStart w:id="1144" w:name="_Toc346195894"/>
      <w:bookmarkStart w:id="1145" w:name="_Toc240193641"/>
      <w:bookmarkStart w:id="1146" w:name="_Toc250657175"/>
      <w:bookmarkStart w:id="1147" w:name="_Toc249621057"/>
      <w:bookmarkStart w:id="1148" w:name="_Toc240193446"/>
      <w:r>
        <w:rPr>
          <w:rFonts w:hint="eastAsia"/>
          <w:kern w:val="0"/>
          <w:szCs w:val="24"/>
        </w:rPr>
        <w:t>7</w:t>
      </w:r>
      <w:r>
        <w:rPr>
          <w:kern w:val="0"/>
          <w:szCs w:val="24"/>
        </w:rPr>
        <w:t>.</w:t>
      </w:r>
      <w:r>
        <w:rPr>
          <w:rFonts w:hint="eastAsia"/>
          <w:kern w:val="0"/>
          <w:szCs w:val="24"/>
        </w:rPr>
        <w:t>8</w:t>
      </w:r>
      <w:r>
        <w:rPr>
          <w:kern w:val="0"/>
          <w:szCs w:val="24"/>
        </w:rPr>
        <w:t>.</w:t>
      </w:r>
      <w:r>
        <w:rPr>
          <w:rFonts w:hint="eastAsia"/>
          <w:kern w:val="0"/>
          <w:szCs w:val="24"/>
        </w:rPr>
        <w:t>3水生生态保护措施</w:t>
      </w:r>
    </w:p>
    <w:p>
      <w:pPr>
        <w:autoSpaceDE w:val="0"/>
        <w:autoSpaceDN w:val="0"/>
        <w:adjustRightInd w:val="0"/>
        <w:ind w:firstLine="480"/>
        <w:rPr>
          <w:szCs w:val="24"/>
        </w:rPr>
      </w:pPr>
      <w:r>
        <w:rPr>
          <w:rFonts w:hint="eastAsia"/>
          <w:szCs w:val="24"/>
        </w:rPr>
        <w:t>(1)保护目标</w:t>
      </w:r>
    </w:p>
    <w:p>
      <w:pPr>
        <w:autoSpaceDE w:val="0"/>
        <w:autoSpaceDN w:val="0"/>
        <w:adjustRightInd w:val="0"/>
        <w:ind w:firstLine="480"/>
        <w:rPr>
          <w:szCs w:val="24"/>
        </w:rPr>
      </w:pPr>
      <w:r>
        <w:rPr>
          <w:rFonts w:hint="eastAsia"/>
          <w:szCs w:val="24"/>
        </w:rPr>
        <w:t>保护评价区水域生物多样性不受破坏；重要鱼类生境不受破坏；保护区水生生态系统完整性。</w:t>
      </w:r>
    </w:p>
    <w:p>
      <w:pPr>
        <w:autoSpaceDE w:val="0"/>
        <w:autoSpaceDN w:val="0"/>
        <w:adjustRightInd w:val="0"/>
        <w:ind w:firstLine="480"/>
        <w:rPr>
          <w:szCs w:val="24"/>
        </w:rPr>
      </w:pPr>
      <w:r>
        <w:rPr>
          <w:rFonts w:hint="eastAsia"/>
          <w:szCs w:val="24"/>
        </w:rPr>
        <w:t>(2)加强宣传和管理，增强环保意识</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szCs w:val="24"/>
        </w:rPr>
        <w:t>加强宣传，编印施工环境保护手册，增强施工人员的环境保护意识。</w:t>
      </w:r>
      <w:r>
        <w:rPr>
          <w:rFonts w:hint="eastAsia"/>
          <w:szCs w:val="24"/>
        </w:rPr>
        <w:t>施工期施工人员进驻，将带来鱼类消费需求量的增加，可能使施工期对鱼类的捕捞量有所增加。因此，施工期应加强施工及管理人员水生生态保护宣传，树立良好生态保护意识，制作相关环境保护手册、警示牌、管理制度等，严禁施工人员捕捉河道鱼类等事件发生。</w:t>
      </w:r>
    </w:p>
    <w:p>
      <w:pPr>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szCs w:val="24"/>
        </w:rPr>
        <w:t>加强施工期环境管理。施工区域尽量远离河道布置，避免和减少泥沙及有害物质进入</w:t>
      </w:r>
      <w:r>
        <w:rPr>
          <w:rFonts w:hint="eastAsia"/>
          <w:szCs w:val="24"/>
        </w:rPr>
        <w:t>锦河</w:t>
      </w:r>
      <w:r>
        <w:rPr>
          <w:szCs w:val="24"/>
        </w:rPr>
        <w:t>内，影响水域环境</w:t>
      </w:r>
      <w:r>
        <w:rPr>
          <w:rFonts w:hint="eastAsia"/>
          <w:szCs w:val="24"/>
        </w:rPr>
        <w:t>；</w:t>
      </w:r>
      <w:r>
        <w:rPr>
          <w:szCs w:val="24"/>
        </w:rPr>
        <w:t>严格按照环保要求施工，避免生产废水、生活污水直接排入水体及周边环境，避免发生水污染事故。对围堰内鱼类及时进行捕捞、暂养或放归；需要进行水下爆破的，事先需对影响水域采用声、电或网具等手段驱赶鱼类，以免受到爆破波及；若因施工需要施工点靠近河边，应采取拦挡措施并在施工完毕后及时进行植被恢复，建立生态防护体系，防止水土流失</w:t>
      </w:r>
      <w:r>
        <w:rPr>
          <w:rFonts w:hint="eastAsia"/>
          <w:szCs w:val="24"/>
        </w:rPr>
        <w:t>。</w:t>
      </w:r>
    </w:p>
    <w:p>
      <w:pPr>
        <w:ind w:firstLine="480"/>
        <w:rPr>
          <w:szCs w:val="24"/>
        </w:rPr>
      </w:pPr>
      <w:r>
        <w:rPr>
          <w:szCs w:val="24"/>
        </w:rPr>
        <w:t xml:space="preserve"> </w:t>
      </w: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加强渔政宣传和管理。本项目建成后，除依靠生态系统自身的恢复功能外，加强库区资源的保护有利于降低项目建设对鱼类资源的影响。要加强渔政管理，严格执行禁渔期和禁渔区管理，防止电、毒、炸鱼事件的发生，对水产养殖限制开发，加强管理，防止过度开发利用造成资源破坏，影响资源的可持续利用。</w:t>
      </w:r>
    </w:p>
    <w:p>
      <w:pPr>
        <w:ind w:firstLine="480"/>
      </w:pPr>
      <w:r>
        <w:rPr>
          <w:rFonts w:hint="eastAsia"/>
        </w:rPr>
        <w:t>(3)优化设计，技术上保护措施</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rFonts w:hint="eastAsia"/>
          <w:szCs w:val="24"/>
        </w:rPr>
        <w:t>优化工艺设计，确保相关环保措施的落实</w:t>
      </w:r>
    </w:p>
    <w:p>
      <w:pPr>
        <w:autoSpaceDE w:val="0"/>
        <w:autoSpaceDN w:val="0"/>
        <w:adjustRightInd w:val="0"/>
        <w:ind w:firstLine="480"/>
        <w:rPr>
          <w:szCs w:val="24"/>
        </w:rPr>
      </w:pPr>
      <w:r>
        <w:rPr>
          <w:rFonts w:hint="eastAsia"/>
          <w:szCs w:val="24"/>
        </w:rPr>
        <w:t>对施工期间的生产废水、生活污水等严格监管，采取集中收集、回收利用，固体废弃物弃于指定渣场，禁止排入河道。工程设计尽量减少对河道、河床及植被的破坏，杜绝影响水生生境的污染事故发生。尽量减少和避免在河道中挖沙、取石、改变水流流向，引起下游河道严重缺水甚至断流等行为和事件的发生，水下施工、爆破时，应提前驱赶相关水域鱼类，避免造成直接伤害。对破坏的植被要尽快恢复，建立生态防护林和防护体系，防止水土流失，应尽量避免和减少泥沙和有害物质进入河道。</w:t>
      </w:r>
    </w:p>
    <w:p>
      <w:pPr>
        <w:autoSpaceDE w:val="0"/>
        <w:autoSpaceDN w:val="0"/>
        <w:adjustRightInd w:val="0"/>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rFonts w:hint="eastAsia"/>
          <w:szCs w:val="24"/>
        </w:rPr>
        <w:t>优化施工组织设计，减少对鱼类资源的影响</w:t>
      </w:r>
    </w:p>
    <w:p>
      <w:pPr>
        <w:autoSpaceDE w:val="0"/>
        <w:autoSpaceDN w:val="0"/>
        <w:adjustRightInd w:val="0"/>
        <w:ind w:firstLine="480"/>
        <w:rPr>
          <w:szCs w:val="24"/>
        </w:rPr>
      </w:pPr>
      <w:r>
        <w:rPr>
          <w:rFonts w:hint="eastAsia"/>
          <w:szCs w:val="24"/>
        </w:rPr>
        <w:t>鱼类繁殖期主要集中在</w:t>
      </w:r>
      <w:r>
        <w:rPr>
          <w:szCs w:val="24"/>
        </w:rPr>
        <w:t>3</w:t>
      </w:r>
      <w:r>
        <w:rPr>
          <w:rFonts w:hint="eastAsia"/>
          <w:szCs w:val="24"/>
        </w:rPr>
        <w:t>～</w:t>
      </w:r>
      <w:r>
        <w:rPr>
          <w:szCs w:val="24"/>
        </w:rPr>
        <w:t xml:space="preserve">6 </w:t>
      </w:r>
      <w:r>
        <w:rPr>
          <w:rFonts w:hint="eastAsia"/>
          <w:szCs w:val="24"/>
        </w:rPr>
        <w:t>月，为减少对鱼类的影响，应调整施工进度，在</w:t>
      </w:r>
      <w:r>
        <w:rPr>
          <w:szCs w:val="24"/>
        </w:rPr>
        <w:t>3</w:t>
      </w:r>
      <w:r>
        <w:rPr>
          <w:rFonts w:hint="eastAsia"/>
          <w:szCs w:val="24"/>
        </w:rPr>
        <w:t>～</w:t>
      </w:r>
      <w:r>
        <w:rPr>
          <w:szCs w:val="24"/>
        </w:rPr>
        <w:t xml:space="preserve">6 </w:t>
      </w:r>
      <w:r>
        <w:rPr>
          <w:rFonts w:hint="eastAsia"/>
          <w:szCs w:val="24"/>
        </w:rPr>
        <w:t>月</w:t>
      </w:r>
      <w:r>
        <w:rPr>
          <w:szCs w:val="24"/>
        </w:rPr>
        <w:t>(</w:t>
      </w:r>
      <w:r>
        <w:rPr>
          <w:rFonts w:hint="eastAsia"/>
          <w:szCs w:val="24"/>
        </w:rPr>
        <w:t>尤其</w:t>
      </w:r>
      <w:r>
        <w:rPr>
          <w:szCs w:val="24"/>
        </w:rPr>
        <w:t>4</w:t>
      </w:r>
      <w:r>
        <w:rPr>
          <w:rFonts w:hint="eastAsia"/>
          <w:szCs w:val="24"/>
        </w:rPr>
        <w:t>～</w:t>
      </w:r>
      <w:r>
        <w:rPr>
          <w:szCs w:val="24"/>
        </w:rPr>
        <w:t xml:space="preserve">6 </w:t>
      </w:r>
      <w:r>
        <w:rPr>
          <w:rFonts w:hint="eastAsia"/>
          <w:szCs w:val="24"/>
        </w:rPr>
        <w:t>月</w:t>
      </w:r>
      <w:r>
        <w:rPr>
          <w:szCs w:val="24"/>
        </w:rPr>
        <w:t>)</w:t>
      </w:r>
      <w:r>
        <w:rPr>
          <w:rFonts w:hint="eastAsia"/>
          <w:szCs w:val="24"/>
        </w:rPr>
        <w:t>尽量避免在河道及周边进行爆破、截流等施工作业，以减少对鱼类繁殖的影响。</w:t>
      </w:r>
    </w:p>
    <w:p>
      <w:pPr>
        <w:ind w:firstLine="480"/>
        <w:rPr>
          <w:color w:val="0000FF"/>
        </w:rPr>
      </w:pPr>
      <w:r>
        <w:rPr>
          <w:rFonts w:hint="eastAsia"/>
          <w:color w:val="0000FF"/>
        </w:rPr>
        <w:t>(4)</w:t>
      </w:r>
      <w:r>
        <w:rPr>
          <w:color w:val="0000FF"/>
        </w:rPr>
        <w:t>鱼类增殖放流措施</w:t>
      </w:r>
    </w:p>
    <w:p>
      <w:pPr>
        <w:ind w:firstLine="480"/>
        <w:rPr>
          <w:color w:val="0000FF"/>
          <w:szCs w:val="24"/>
        </w:rPr>
      </w:pPr>
      <w:r>
        <w:rPr>
          <w:rFonts w:hint="eastAsia"/>
          <w:color w:val="0000FF"/>
          <w:szCs w:val="24"/>
        </w:rPr>
        <w:t>根据调查，未发现濒危珍稀鱼类，没有产卵场、索饵场和越冬场，因此，本项目不考虑修建鱼道，采用增殖放流措施来减缓工程运行对鱼类的影响。</w:t>
      </w:r>
      <w:r>
        <w:rPr>
          <w:color w:val="0000FF"/>
          <w:szCs w:val="24"/>
        </w:rPr>
        <w:t>鱼类增殖放流是目前保护物种、增加鱼类种群数量的重要措施之一，在一定程度上可以缓和水利工程对鱼类种群资源数量的不利影响。</w:t>
      </w:r>
    </w:p>
    <w:p>
      <w:pPr>
        <w:ind w:firstLine="480"/>
        <w:rPr>
          <w:color w:val="0000FF"/>
          <w:szCs w:val="24"/>
        </w:rPr>
      </w:pPr>
      <w:r>
        <w:rPr>
          <w:color w:val="0000FF"/>
          <w:szCs w:val="24"/>
        </w:rPr>
        <w:t>实践证明，建立鱼类资源增殖放流站，实行人工繁育苗种、放流鱼种是补偿因水利工程造成渔业资源损失行之有效的措施。由于本项目涉及区域无珍稀特有鱼类，故不单独设置鱼类增殖站，参考同类水利工程，采取具有合理性及可行性的增殖放流方案，放流工作可委托当地渔业管理部门、科研部门、附近增殖站进行，考虑对滤食性鱼类和土著名优鱼类适当进行人工增殖放流，每年向</w:t>
      </w:r>
      <w:r>
        <w:rPr>
          <w:rFonts w:hint="eastAsia"/>
          <w:color w:val="0000FF"/>
          <w:szCs w:val="24"/>
        </w:rPr>
        <w:t>锦江</w:t>
      </w:r>
      <w:r>
        <w:rPr>
          <w:color w:val="0000FF"/>
          <w:szCs w:val="24"/>
        </w:rPr>
        <w:t>投放鱼苗，保护</w:t>
      </w:r>
      <w:r>
        <w:rPr>
          <w:rFonts w:hint="eastAsia"/>
          <w:color w:val="0000FF"/>
          <w:szCs w:val="24"/>
        </w:rPr>
        <w:t>锦江</w:t>
      </w:r>
      <w:r>
        <w:rPr>
          <w:color w:val="0000FF"/>
          <w:szCs w:val="24"/>
        </w:rPr>
        <w:t>水生生物的生态平衡。放流对象、规格和数量：</w:t>
      </w:r>
      <w:r>
        <w:fldChar w:fldCharType="begin"/>
      </w:r>
      <w:r>
        <w:instrText xml:space="preserve"> HYPERLINK "https://baike.baidu.com/item/%E9%9D%92%E9%B1%BC/680135" \t "_blank" </w:instrText>
      </w:r>
      <w:r>
        <w:fldChar w:fldCharType="separate"/>
      </w:r>
      <w:r>
        <w:rPr>
          <w:color w:val="0000FF"/>
          <w:szCs w:val="24"/>
        </w:rPr>
        <w:t>青鱼</w:t>
      </w:r>
      <w:r>
        <w:rPr>
          <w:color w:val="0000FF"/>
          <w:szCs w:val="24"/>
        </w:rPr>
        <w:fldChar w:fldCharType="end"/>
      </w:r>
      <w:r>
        <w:rPr>
          <w:color w:val="0000FF"/>
          <w:szCs w:val="24"/>
        </w:rPr>
        <w:t>、</w:t>
      </w:r>
      <w:r>
        <w:fldChar w:fldCharType="begin"/>
      </w:r>
      <w:r>
        <w:instrText xml:space="preserve"> HYPERLINK "https://baike.baidu.com/item/%E8%8D%89%E9%B1%BC/680268" \t "_blank" </w:instrText>
      </w:r>
      <w:r>
        <w:fldChar w:fldCharType="separate"/>
      </w:r>
      <w:r>
        <w:rPr>
          <w:color w:val="0000FF"/>
          <w:szCs w:val="24"/>
        </w:rPr>
        <w:t>草鱼</w:t>
      </w:r>
      <w:r>
        <w:rPr>
          <w:color w:val="0000FF"/>
          <w:szCs w:val="24"/>
        </w:rPr>
        <w:fldChar w:fldCharType="end"/>
      </w:r>
      <w:r>
        <w:rPr>
          <w:color w:val="0000FF"/>
          <w:szCs w:val="24"/>
        </w:rPr>
        <w:t>、</w:t>
      </w:r>
      <w:r>
        <w:fldChar w:fldCharType="begin"/>
      </w:r>
      <w:r>
        <w:instrText xml:space="preserve"> HYPERLINK "https://baike.baidu.com/item/%E9%B2%A2%E9%B1%BC/1352881" \t "_blank" </w:instrText>
      </w:r>
      <w:r>
        <w:fldChar w:fldCharType="separate"/>
      </w:r>
      <w:r>
        <w:rPr>
          <w:color w:val="0000FF"/>
          <w:szCs w:val="24"/>
        </w:rPr>
        <w:t>鲢鱼</w:t>
      </w:r>
      <w:r>
        <w:rPr>
          <w:color w:val="0000FF"/>
          <w:szCs w:val="24"/>
        </w:rPr>
        <w:fldChar w:fldCharType="end"/>
      </w:r>
      <w:r>
        <w:rPr>
          <w:color w:val="0000FF"/>
          <w:szCs w:val="24"/>
        </w:rPr>
        <w:t>、</w:t>
      </w:r>
      <w:r>
        <w:fldChar w:fldCharType="begin"/>
      </w:r>
      <w:r>
        <w:instrText xml:space="preserve"> HYPERLINK "https://baike.baidu.com/item/%E9%B3%99%E9%B1%BC/6812945" \t "_blank" </w:instrText>
      </w:r>
      <w:r>
        <w:fldChar w:fldCharType="separate"/>
      </w:r>
      <w:r>
        <w:rPr>
          <w:color w:val="0000FF"/>
          <w:szCs w:val="24"/>
        </w:rPr>
        <w:t>鳙鱼</w:t>
      </w:r>
      <w:r>
        <w:rPr>
          <w:color w:val="0000FF"/>
          <w:szCs w:val="24"/>
        </w:rPr>
        <w:fldChar w:fldCharType="end"/>
      </w:r>
      <w:r>
        <w:rPr>
          <w:color w:val="0000FF"/>
          <w:szCs w:val="24"/>
        </w:rPr>
        <w:t>4种鱼类，每年放流15000尾，放流规格为6～10厘米，放流地点选择本项目库尾上游河段。在</w:t>
      </w:r>
      <w:r>
        <w:rPr>
          <w:rFonts w:hint="eastAsia"/>
          <w:color w:val="0000FF"/>
          <w:szCs w:val="24"/>
        </w:rPr>
        <w:t>锦江</w:t>
      </w:r>
      <w:r>
        <w:rPr>
          <w:color w:val="0000FF"/>
          <w:szCs w:val="24"/>
        </w:rPr>
        <w:t>运行期，制定具体的水生生物环境监测方案，不断地进行观测、调查、分析和评估，有效保护</w:t>
      </w:r>
      <w:r>
        <w:rPr>
          <w:rFonts w:hint="eastAsia"/>
          <w:color w:val="0000FF"/>
          <w:szCs w:val="24"/>
        </w:rPr>
        <w:t>锦河水质</w:t>
      </w:r>
      <w:r>
        <w:rPr>
          <w:color w:val="0000FF"/>
          <w:szCs w:val="24"/>
        </w:rPr>
        <w:t>及鱼类资源。</w:t>
      </w:r>
    </w:p>
    <w:p>
      <w:pPr>
        <w:autoSpaceDE w:val="0"/>
        <w:autoSpaceDN w:val="0"/>
        <w:adjustRightInd w:val="0"/>
        <w:ind w:firstLine="480"/>
        <w:rPr>
          <w:color w:val="0000FF"/>
          <w:szCs w:val="24"/>
        </w:rPr>
      </w:pPr>
      <w:r>
        <w:rPr>
          <w:color w:val="0000FF"/>
          <w:szCs w:val="24"/>
        </w:rPr>
        <w:t>(</w:t>
      </w:r>
      <w:r>
        <w:rPr>
          <w:rFonts w:hint="eastAsia"/>
          <w:color w:val="0000FF"/>
          <w:szCs w:val="24"/>
        </w:rPr>
        <w:t>5</w:t>
      </w:r>
      <w:r>
        <w:rPr>
          <w:color w:val="0000FF"/>
          <w:szCs w:val="24"/>
        </w:rPr>
        <w:t>)</w:t>
      </w:r>
      <w:r>
        <w:rPr>
          <w:rFonts w:hint="eastAsia"/>
          <w:color w:val="0000FF"/>
          <w:szCs w:val="24"/>
        </w:rPr>
        <w:t>建立鱼类保护应急机制</w:t>
      </w:r>
    </w:p>
    <w:p>
      <w:pPr>
        <w:autoSpaceDE w:val="0"/>
        <w:autoSpaceDN w:val="0"/>
        <w:adjustRightInd w:val="0"/>
        <w:ind w:firstLine="480"/>
        <w:rPr>
          <w:color w:val="0000FF"/>
          <w:szCs w:val="24"/>
        </w:rPr>
      </w:pPr>
      <w:r>
        <w:rPr>
          <w:rFonts w:hint="eastAsia"/>
          <w:color w:val="0000FF"/>
          <w:szCs w:val="24"/>
        </w:rPr>
        <w:t>对施工围堰内的鱼类要及时捕捞、暂养、救治，并放归河道。截流、蓄水期间下游出现减水情况前，要通知并配合渔业主管部门启动应急保护机制，禁止在减水河段捕捞或限捕，对搁浅、受伤的鱼类及时救护，最大限度降低相关影响。</w:t>
      </w:r>
    </w:p>
    <w:p>
      <w:pPr>
        <w:ind w:firstLine="480"/>
        <w:rPr>
          <w:color w:val="0000FF"/>
          <w:szCs w:val="24"/>
        </w:rPr>
      </w:pPr>
      <w:r>
        <w:rPr>
          <w:color w:val="0000FF"/>
          <w:szCs w:val="24"/>
        </w:rPr>
        <w:t>(</w:t>
      </w:r>
      <w:r>
        <w:rPr>
          <w:rFonts w:hint="eastAsia"/>
          <w:color w:val="0000FF"/>
          <w:szCs w:val="24"/>
        </w:rPr>
        <w:t>6</w:t>
      </w:r>
      <w:r>
        <w:rPr>
          <w:color w:val="0000FF"/>
          <w:szCs w:val="24"/>
        </w:rPr>
        <w:t>)进行水生生物和鱼类资源的监测</w:t>
      </w:r>
    </w:p>
    <w:p>
      <w:pPr>
        <w:ind w:firstLine="480"/>
        <w:rPr>
          <w:color w:val="0000FF"/>
          <w:szCs w:val="24"/>
        </w:rPr>
      </w:pPr>
      <w:r>
        <w:rPr>
          <w:color w:val="0000FF"/>
          <w:szCs w:val="24"/>
        </w:rPr>
        <w:t>生态环境的恢复、形成和保护是一项长期的工作，需要不断地进行观测、调查、分析、评估和保护。在水利工程对环境的各种影响中，对水生生物的影响是主要内容之一，需要进行长期的监测。本次环评生态环境调查、分析、评价是针对现有的资源状况进行的，由于流域开发是一个渐进的过程，以及其他各种因素的影响，在进行资源保护的过程中，将出现许多新的问题和现象，可能出现与本次分析、评估不一致的情况。因此，需要进行不断的调查、分析，针对性的提出措施进行保护，是资源得到长期、有效地保护。</w:t>
      </w:r>
    </w:p>
    <w:p>
      <w:pPr>
        <w:ind w:firstLine="480"/>
        <w:rPr>
          <w:color w:val="0000FF"/>
        </w:rPr>
      </w:pPr>
      <w:r>
        <w:rPr>
          <w:rFonts w:hint="eastAsia"/>
          <w:color w:val="0000FF"/>
        </w:rPr>
        <w:t>（7）生态流量保障措施</w:t>
      </w:r>
    </w:p>
    <w:p>
      <w:pPr>
        <w:ind w:firstLine="480"/>
        <w:jc w:val="left"/>
        <w:rPr>
          <w:color w:val="0000FF"/>
        </w:rPr>
      </w:pPr>
      <w:r>
        <w:rPr>
          <w:rFonts w:hint="eastAsia"/>
          <w:color w:val="0000FF"/>
        </w:rPr>
        <w:t>本工程主要通泄水闸下泄生态流量，</w:t>
      </w:r>
      <w:r>
        <w:rPr>
          <w:color w:val="0000FF"/>
        </w:rPr>
        <w:t>根据本流域特点，本次设计采用“Tennant法”计算河道内生态用水量，即坝址处河道内最小生态流量按河道多年平均径流量的10%计算得12.11m</w:t>
      </w:r>
      <w:r>
        <w:rPr>
          <w:color w:val="0000FF"/>
          <w:vertAlign w:val="superscript"/>
        </w:rPr>
        <w:t>3</w:t>
      </w:r>
      <w:r>
        <w:rPr>
          <w:color w:val="0000FF"/>
        </w:rPr>
        <w:t>/s。</w:t>
      </w:r>
    </w:p>
    <w:p>
      <w:pPr>
        <w:ind w:firstLine="480"/>
        <w:rPr>
          <w:color w:val="0000FF"/>
        </w:rPr>
      </w:pPr>
      <w:r>
        <w:rPr>
          <w:rFonts w:hint="eastAsia"/>
          <w:color w:val="0000FF"/>
        </w:rPr>
        <w:t>拟建项目进行抬水坝建设，无取水和灌溉任务，建成后初期蓄水过程严格按照工程设计每月生态下泄径流量为 12.11m</w:t>
      </w:r>
      <w:r>
        <w:rPr>
          <w:rFonts w:hint="eastAsia"/>
          <w:color w:val="0000FF"/>
          <w:vertAlign w:val="superscript"/>
        </w:rPr>
        <w:t>3</w:t>
      </w:r>
      <w:r>
        <w:rPr>
          <w:rFonts w:hint="eastAsia"/>
          <w:color w:val="0000FF"/>
        </w:rPr>
        <w:t>/s，可减缓抬水坝建设对下游水文情势产生不良影响；蓄水完成后，河道天然来水全部下泄，且当天然来水不足时，项目通过冲砂闸，严格按照工程设计下泄生态基流，不会因项目建设对下游生态需水等产生不利影响。</w:t>
      </w:r>
    </w:p>
    <w:p>
      <w:pPr>
        <w:pStyle w:val="7"/>
        <w:rPr>
          <w:kern w:val="0"/>
          <w:szCs w:val="24"/>
        </w:rPr>
      </w:pPr>
      <w:r>
        <w:rPr>
          <w:rFonts w:hint="eastAsia"/>
          <w:kern w:val="0"/>
          <w:szCs w:val="24"/>
        </w:rPr>
        <w:t>7.8.4生态监测与监理措施</w:t>
      </w:r>
    </w:p>
    <w:p>
      <w:pPr>
        <w:ind w:firstLine="0" w:firstLineChars="0"/>
        <w:rPr>
          <w:b/>
          <w:szCs w:val="24"/>
        </w:rPr>
      </w:pPr>
      <w:r>
        <w:rPr>
          <w:rFonts w:hint="eastAsia"/>
          <w:b/>
          <w:szCs w:val="24"/>
        </w:rPr>
        <w:t>7.8.4.1 生态监测</w:t>
      </w:r>
    </w:p>
    <w:p>
      <w:pPr>
        <w:ind w:firstLine="480"/>
      </w:pPr>
      <w:r>
        <w:rPr>
          <w:rFonts w:hint="eastAsia"/>
        </w:rPr>
        <w:t>为有效地控制对湿地的影响，需要对湿地的影响进行监测。此方面工作可委托湿地公园或相关单位完成，监测方法及内容如下：</w:t>
      </w:r>
    </w:p>
    <w:p>
      <w:pPr>
        <w:ind w:firstLine="480"/>
      </w:pPr>
      <w:r>
        <w:rPr>
          <w:rFonts w:hint="eastAsia"/>
        </w:rPr>
        <w:t>（1）监测点的布置</w:t>
      </w:r>
    </w:p>
    <w:p>
      <w:pPr>
        <w:ind w:firstLine="480"/>
      </w:pPr>
      <w:r>
        <w:rPr>
          <w:rFonts w:hint="eastAsia"/>
        </w:rPr>
        <w:t>①固定点监测</w:t>
      </w:r>
    </w:p>
    <w:p>
      <w:pPr>
        <w:ind w:firstLine="480"/>
      </w:pPr>
      <w:r>
        <w:rPr>
          <w:rFonts w:hint="eastAsia"/>
        </w:rPr>
        <w:t>设置监测点作为日常湿地水体、水生生物及野生动植监测的固定点，主要观测在建设项目建设前后湿地水体、水生生物及野生动植野生动物种类、数量及分布的变化。</w:t>
      </w:r>
    </w:p>
    <w:p>
      <w:pPr>
        <w:ind w:firstLine="480"/>
      </w:pPr>
      <w:r>
        <w:rPr>
          <w:rFonts w:hint="eastAsia"/>
        </w:rPr>
        <w:t>②样带监测</w:t>
      </w:r>
    </w:p>
    <w:p>
      <w:pPr>
        <w:ind w:firstLine="480"/>
      </w:pPr>
      <w:r>
        <w:rPr>
          <w:rFonts w:hint="eastAsia"/>
        </w:rPr>
        <w:t>对建设项目红线范围内的湿地水体、大气、土壤及野生动物种类、数量及分布的变化等情况，评价该工程建设前后湿地水体、大气、水生生物及野生动植野生动物种类、数量及分布的变化。</w:t>
      </w:r>
    </w:p>
    <w:p>
      <w:pPr>
        <w:ind w:firstLine="480"/>
      </w:pPr>
      <w:r>
        <w:rPr>
          <w:rFonts w:hint="eastAsia"/>
        </w:rPr>
        <w:t>（2）监测内容</w:t>
      </w:r>
    </w:p>
    <w:p>
      <w:pPr>
        <w:ind w:firstLine="480"/>
      </w:pPr>
      <w:r>
        <w:rPr>
          <w:rFonts w:hint="eastAsia"/>
        </w:rPr>
        <w:t>①监测建设项目范围内湿地公园路段的附近区域的水体、大气、土壤在工程建设前后的变化情况；</w:t>
      </w:r>
    </w:p>
    <w:p>
      <w:pPr>
        <w:ind w:firstLine="480"/>
      </w:pPr>
      <w:r>
        <w:rPr>
          <w:rFonts w:hint="eastAsia"/>
        </w:rPr>
        <w:t>②监测建设项目范围内湿地公园路段的附近区域的野生动植物种群、数量在工程线路建设前后的变化情况；</w:t>
      </w:r>
    </w:p>
    <w:p>
      <w:pPr>
        <w:ind w:firstLine="480"/>
      </w:pPr>
      <w:r>
        <w:rPr>
          <w:rFonts w:hint="eastAsia"/>
        </w:rPr>
        <w:t>③救护因施工或营运期间导致野生动物受伤的个体；</w:t>
      </w:r>
    </w:p>
    <w:p>
      <w:pPr>
        <w:ind w:firstLine="480"/>
      </w:pPr>
      <w:r>
        <w:rPr>
          <w:rFonts w:hint="eastAsia"/>
        </w:rPr>
        <w:t>④监测建设项目范围内建设前后入侵生物及病虫害发生情况；</w:t>
      </w:r>
    </w:p>
    <w:p>
      <w:pPr>
        <w:ind w:firstLine="480"/>
      </w:pPr>
      <w:r>
        <w:rPr>
          <w:rFonts w:hint="eastAsia"/>
        </w:rPr>
        <w:t>⑤及时清理建设项目范围内安全隐患。</w:t>
      </w:r>
    </w:p>
    <w:p>
      <w:pPr>
        <w:ind w:firstLine="0" w:firstLineChars="0"/>
        <w:rPr>
          <w:b/>
          <w:szCs w:val="24"/>
        </w:rPr>
      </w:pPr>
      <w:r>
        <w:rPr>
          <w:rFonts w:hint="eastAsia"/>
          <w:b/>
          <w:szCs w:val="24"/>
        </w:rPr>
        <w:t>7.8.4.2生态监理</w:t>
      </w:r>
    </w:p>
    <w:p>
      <w:pPr>
        <w:ind w:firstLine="480"/>
      </w:pPr>
      <w:r>
        <w:rPr>
          <w:rFonts w:hint="eastAsia"/>
        </w:rPr>
        <w:t>根据工程所在区域的生态的特点，要有专人负责并做好以下工作：</w:t>
      </w:r>
    </w:p>
    <w:p>
      <w:pPr>
        <w:ind w:firstLine="480"/>
      </w:pPr>
      <w:r>
        <w:rPr>
          <w:rFonts w:hint="eastAsia"/>
        </w:rPr>
        <w:t>（1）定期实施减缓对湿地水体、大气、土壤及野生动植物影响措施的监督管理计划；</w:t>
      </w:r>
    </w:p>
    <w:p>
      <w:pPr>
        <w:ind w:firstLine="480"/>
      </w:pPr>
      <w:r>
        <w:rPr>
          <w:rFonts w:hint="eastAsia"/>
        </w:rPr>
        <w:t>（2）定期对湿地内对湿地水体、大气、土壤及野生动植物影响进行巡查，编写巡查报告；</w:t>
      </w:r>
    </w:p>
    <w:p>
      <w:pPr>
        <w:ind w:firstLine="480"/>
      </w:pPr>
      <w:r>
        <w:rPr>
          <w:rFonts w:hint="eastAsia"/>
        </w:rPr>
        <w:t>（3）协调配合湿地管理部门进行的湿地调查及保护活动。</w:t>
      </w:r>
    </w:p>
    <w:p>
      <w:pPr>
        <w:pStyle w:val="7"/>
        <w:rPr>
          <w:kern w:val="0"/>
          <w:szCs w:val="24"/>
        </w:rPr>
      </w:pPr>
      <w:r>
        <w:rPr>
          <w:rFonts w:hint="eastAsia"/>
          <w:kern w:val="0"/>
          <w:szCs w:val="24"/>
        </w:rPr>
        <w:t>7</w:t>
      </w:r>
      <w:r>
        <w:rPr>
          <w:kern w:val="0"/>
          <w:szCs w:val="24"/>
        </w:rPr>
        <w:t>.</w:t>
      </w:r>
      <w:r>
        <w:rPr>
          <w:rFonts w:hint="eastAsia"/>
          <w:kern w:val="0"/>
          <w:szCs w:val="24"/>
        </w:rPr>
        <w:t>8</w:t>
      </w:r>
      <w:r>
        <w:rPr>
          <w:kern w:val="0"/>
          <w:szCs w:val="24"/>
        </w:rPr>
        <w:t>.</w:t>
      </w:r>
      <w:r>
        <w:rPr>
          <w:rFonts w:hint="eastAsia"/>
          <w:kern w:val="0"/>
          <w:szCs w:val="24"/>
        </w:rPr>
        <w:t>5水土保持措施</w:t>
      </w:r>
    </w:p>
    <w:p>
      <w:pPr>
        <w:ind w:firstLine="0" w:firstLineChars="0"/>
        <w:rPr>
          <w:b/>
          <w:szCs w:val="24"/>
        </w:rPr>
      </w:pPr>
      <w:r>
        <w:rPr>
          <w:rFonts w:hint="eastAsia"/>
          <w:b/>
          <w:szCs w:val="24"/>
        </w:rPr>
        <w:t>7.8.5.1</w:t>
      </w:r>
      <w:r>
        <w:rPr>
          <w:b/>
          <w:szCs w:val="24"/>
        </w:rPr>
        <w:t>防治目标及总体布设</w:t>
      </w:r>
    </w:p>
    <w:p>
      <w:pPr>
        <w:autoSpaceDE w:val="0"/>
        <w:autoSpaceDN w:val="0"/>
        <w:adjustRightInd w:val="0"/>
        <w:ind w:firstLine="480"/>
        <w:rPr>
          <w:szCs w:val="24"/>
        </w:rPr>
      </w:pPr>
      <w:r>
        <w:rPr>
          <w:rFonts w:hint="eastAsia"/>
          <w:szCs w:val="24"/>
        </w:rPr>
        <w:t>本项目</w:t>
      </w:r>
      <w:r>
        <w:rPr>
          <w:szCs w:val="24"/>
        </w:rPr>
        <w:t>属于省级水土流失重点预防保护区。根据《开发建设项目水土流失防治标准》的相关规定，该</w:t>
      </w:r>
      <w:r>
        <w:rPr>
          <w:rFonts w:hint="eastAsia"/>
          <w:szCs w:val="24"/>
        </w:rPr>
        <w:t>区</w:t>
      </w:r>
      <w:r>
        <w:rPr>
          <w:szCs w:val="24"/>
        </w:rPr>
        <w:t>应执行南方红壤区一级防治标准，水土流失治理度98%，水土流失控制比1.0，渣土防护率97%，表土保护率92%，林草植被恢复率98%，林草覆盖率27%。</w:t>
      </w:r>
    </w:p>
    <w:p>
      <w:pPr>
        <w:ind w:firstLine="0" w:firstLineChars="0"/>
        <w:rPr>
          <w:b/>
          <w:szCs w:val="24"/>
        </w:rPr>
      </w:pPr>
      <w:r>
        <w:rPr>
          <w:rFonts w:hint="eastAsia"/>
          <w:b/>
          <w:szCs w:val="24"/>
        </w:rPr>
        <w:t>7.8.5.2水土保持措施</w:t>
      </w:r>
    </w:p>
    <w:p>
      <w:pPr>
        <w:autoSpaceDE w:val="0"/>
        <w:autoSpaceDN w:val="0"/>
        <w:adjustRightInd w:val="0"/>
        <w:ind w:firstLine="480"/>
        <w:rPr>
          <w:szCs w:val="24"/>
        </w:rPr>
      </w:pPr>
      <w:r>
        <w:rPr>
          <w:szCs w:val="24"/>
        </w:rPr>
        <w:t>项目工程水土流失治理措施体系由工程措施、植物措施和临时措施等构成。工程措施主要有：浆砌石挡墙工程、边坡防护工程、区内截水、排水工程等；植物措施包括土料场、交通道路区、弃渣场、施工场地乔灌草结合恢复植被等；临时措施为施工过程中采取的临时拦挡和排水措施，包括临时排水沟、沉沙池、临时装土草袋挡土墙等。本项目水土保持防治措施体系和总体布局图见图</w:t>
      </w:r>
      <w:r>
        <w:rPr>
          <w:rFonts w:hint="eastAsia"/>
          <w:szCs w:val="24"/>
        </w:rPr>
        <w:t>7</w:t>
      </w:r>
      <w:r>
        <w:rPr>
          <w:szCs w:val="24"/>
        </w:rPr>
        <w:t>.</w:t>
      </w:r>
      <w:r>
        <w:rPr>
          <w:rFonts w:hint="eastAsia"/>
          <w:szCs w:val="24"/>
        </w:rPr>
        <w:t>8</w:t>
      </w:r>
      <w:r>
        <w:rPr>
          <w:szCs w:val="24"/>
        </w:rPr>
        <w:t>-1</w:t>
      </w:r>
      <w:r>
        <w:rPr>
          <w:rFonts w:hint="eastAsia"/>
          <w:szCs w:val="24"/>
        </w:rPr>
        <w:t>。</w:t>
      </w:r>
    </w:p>
    <w:p>
      <w:pPr>
        <w:ind w:left="480" w:firstLine="0" w:firstLineChars="0"/>
      </w:pPr>
      <w:r>
        <w:rPr>
          <w:rFonts w:hint="eastAsia"/>
        </w:rPr>
        <w:drawing>
          <wp:inline distT="0" distB="0" distL="114300" distR="114300">
            <wp:extent cx="4276090" cy="5333365"/>
            <wp:effectExtent l="0" t="0" r="0" b="0"/>
            <wp:docPr id="9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2"/>
                    <pic:cNvPicPr>
                      <a:picLocks noChangeAspect="1"/>
                    </pic:cNvPicPr>
                  </pic:nvPicPr>
                  <pic:blipFill>
                    <a:blip r:embed="rId120"/>
                    <a:stretch>
                      <a:fillRect/>
                    </a:stretch>
                  </pic:blipFill>
                  <pic:spPr>
                    <a:xfrm>
                      <a:off x="0" y="0"/>
                      <a:ext cx="4276090" cy="5333365"/>
                    </a:xfrm>
                    <a:prstGeom prst="rect">
                      <a:avLst/>
                    </a:prstGeom>
                    <a:noFill/>
                    <a:ln>
                      <a:noFill/>
                    </a:ln>
                  </pic:spPr>
                </pic:pic>
              </a:graphicData>
            </a:graphic>
          </wp:inline>
        </w:drawing>
      </w:r>
    </w:p>
    <w:p>
      <w:pPr>
        <w:spacing w:before="120" w:beforeLines="50" w:line="240" w:lineRule="auto"/>
        <w:ind w:left="482" w:firstLine="0" w:firstLineChars="0"/>
        <w:jc w:val="center"/>
        <w:rPr>
          <w:rFonts w:ascii="黑体" w:hAnsi="黑体" w:eastAsia="黑体"/>
        </w:rPr>
      </w:pPr>
      <w:r>
        <w:rPr>
          <w:rFonts w:ascii="黑体" w:hAnsi="黑体" w:eastAsia="黑体"/>
          <w:szCs w:val="24"/>
        </w:rPr>
        <w:t>图</w:t>
      </w:r>
      <w:r>
        <w:rPr>
          <w:rFonts w:hint="eastAsia" w:ascii="黑体" w:hAnsi="黑体" w:eastAsia="黑体"/>
          <w:szCs w:val="24"/>
        </w:rPr>
        <w:t>7</w:t>
      </w:r>
      <w:r>
        <w:rPr>
          <w:rFonts w:ascii="黑体" w:hAnsi="黑体" w:eastAsia="黑体"/>
          <w:szCs w:val="24"/>
        </w:rPr>
        <w:t>.</w:t>
      </w:r>
      <w:r>
        <w:rPr>
          <w:rFonts w:hint="eastAsia" w:ascii="黑体" w:hAnsi="黑体" w:eastAsia="黑体"/>
          <w:szCs w:val="24"/>
        </w:rPr>
        <w:t>8</w:t>
      </w:r>
      <w:r>
        <w:rPr>
          <w:rFonts w:ascii="黑体" w:hAnsi="黑体" w:eastAsia="黑体"/>
          <w:szCs w:val="24"/>
        </w:rPr>
        <w:t>-1</w:t>
      </w:r>
      <w:r>
        <w:rPr>
          <w:rFonts w:hint="eastAsia" w:ascii="黑体" w:hAnsi="黑体" w:eastAsia="黑体"/>
          <w:szCs w:val="24"/>
        </w:rPr>
        <w:t xml:space="preserve"> </w:t>
      </w:r>
      <w:r>
        <w:rPr>
          <w:rFonts w:ascii="黑体" w:hAnsi="黑体" w:eastAsia="黑体"/>
          <w:szCs w:val="24"/>
        </w:rPr>
        <w:t>水土保持防治措施体系和总体布局图</w:t>
      </w:r>
    </w:p>
    <w:p>
      <w:pPr>
        <w:spacing w:before="120" w:beforeLines="50"/>
        <w:ind w:firstLine="480"/>
        <w:rPr>
          <w:szCs w:val="24"/>
        </w:rPr>
      </w:pPr>
      <w:r>
        <w:rPr>
          <w:rFonts w:hint="eastAsia"/>
          <w:szCs w:val="24"/>
        </w:rPr>
        <w:t>(1)</w:t>
      </w:r>
      <w:r>
        <w:rPr>
          <w:szCs w:val="24"/>
        </w:rPr>
        <w:t>主体工程区</w:t>
      </w:r>
      <w:r>
        <w:rPr>
          <w:rFonts w:hint="eastAsia"/>
          <w:szCs w:val="24"/>
        </w:rPr>
        <w:t>水土保持措施</w:t>
      </w:r>
    </w:p>
    <w:p>
      <w:pPr>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szCs w:val="24"/>
        </w:rPr>
        <w:t>表土剥离</w:t>
      </w:r>
    </w:p>
    <w:p>
      <w:pPr>
        <w:ind w:firstLine="480"/>
        <w:rPr>
          <w:szCs w:val="24"/>
        </w:rPr>
      </w:pPr>
      <w:r>
        <w:rPr>
          <w:szCs w:val="24"/>
        </w:rPr>
        <w:t>施工前对需要剥离表土的区域进行表土剥离，并将临时表土堆放在表土临时堆放场，做好临时防护措施。表土剥离平均厚度为30cm，剥离量为0.11万m</w:t>
      </w:r>
      <w:r>
        <w:rPr>
          <w:szCs w:val="24"/>
          <w:vertAlign w:val="superscript"/>
        </w:rPr>
        <w:t>3</w:t>
      </w:r>
      <w:r>
        <w:rPr>
          <w:szCs w:val="24"/>
        </w:rPr>
        <w:t>。</w:t>
      </w:r>
    </w:p>
    <w:p>
      <w:pPr>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szCs w:val="24"/>
        </w:rPr>
        <w:t>排水沟、植物护坡</w:t>
      </w:r>
    </w:p>
    <w:p>
      <w:pPr>
        <w:ind w:firstLine="480"/>
        <w:rPr>
          <w:szCs w:val="24"/>
        </w:rPr>
      </w:pPr>
      <w:r>
        <w:rPr>
          <w:szCs w:val="24"/>
        </w:rPr>
        <w:t>施工过程中，沿亲水平台周边布C20砼排水沟以便于雨水有序排放，断面尺寸为0.3×0.3m，在护岸表土回填后布置绿化措施。</w:t>
      </w:r>
      <w:r>
        <w:rPr>
          <w:rFonts w:hint="eastAsia"/>
          <w:szCs w:val="24"/>
        </w:rPr>
        <w:t>设置</w:t>
      </w:r>
      <w:r>
        <w:rPr>
          <w:szCs w:val="24"/>
        </w:rPr>
        <w:t>C20砼排水沟35.6m</w:t>
      </w:r>
      <w:r>
        <w:rPr>
          <w:szCs w:val="24"/>
          <w:vertAlign w:val="superscript"/>
        </w:rPr>
        <w:t>3</w:t>
      </w:r>
      <w:r>
        <w:rPr>
          <w:szCs w:val="24"/>
        </w:rPr>
        <w:t>，草皮护坡15456 m</w:t>
      </w:r>
      <w:r>
        <w:rPr>
          <w:szCs w:val="24"/>
          <w:vertAlign w:val="superscript"/>
        </w:rPr>
        <w:t>2</w:t>
      </w:r>
      <w:r>
        <w:rPr>
          <w:szCs w:val="24"/>
        </w:rPr>
        <w:t>。</w:t>
      </w:r>
    </w:p>
    <w:p>
      <w:pPr>
        <w:ind w:firstLine="480"/>
        <w:rPr>
          <w:szCs w:val="24"/>
        </w:rPr>
      </w:pPr>
      <w:r>
        <w:rPr>
          <w:rFonts w:hint="eastAsia"/>
          <w:szCs w:val="24"/>
        </w:rPr>
        <w:t>(2)</w:t>
      </w:r>
      <w:r>
        <w:rPr>
          <w:szCs w:val="24"/>
        </w:rPr>
        <w:t>施工场地区</w:t>
      </w:r>
      <w:r>
        <w:rPr>
          <w:rFonts w:hint="eastAsia"/>
          <w:szCs w:val="24"/>
        </w:rPr>
        <w:t>水土保持措施</w:t>
      </w:r>
    </w:p>
    <w:p>
      <w:pPr>
        <w:ind w:firstLine="480"/>
        <w:rPr>
          <w:szCs w:val="24"/>
        </w:rPr>
      </w:pPr>
      <w:r>
        <w:rPr>
          <w:szCs w:val="24"/>
        </w:rPr>
        <w:fldChar w:fldCharType="begin"/>
      </w:r>
      <w:r>
        <w:rPr>
          <w:szCs w:val="24"/>
        </w:rPr>
        <w:instrText xml:space="preserve"> </w:instrText>
      </w:r>
      <w:r>
        <w:rPr>
          <w:rFonts w:hint="eastAsia"/>
          <w:szCs w:val="24"/>
        </w:rPr>
        <w:instrText xml:space="preserve">= 1 \* GB3</w:instrText>
      </w:r>
      <w:r>
        <w:rPr>
          <w:szCs w:val="24"/>
        </w:rPr>
        <w:instrText xml:space="preserve"> </w:instrText>
      </w:r>
      <w:r>
        <w:rPr>
          <w:szCs w:val="24"/>
        </w:rPr>
        <w:fldChar w:fldCharType="separate"/>
      </w:r>
      <w:r>
        <w:rPr>
          <w:rFonts w:hint="eastAsia"/>
          <w:szCs w:val="24"/>
        </w:rPr>
        <w:t>①</w:t>
      </w:r>
      <w:r>
        <w:rPr>
          <w:szCs w:val="24"/>
        </w:rPr>
        <w:fldChar w:fldCharType="end"/>
      </w:r>
      <w:r>
        <w:rPr>
          <w:szCs w:val="24"/>
        </w:rPr>
        <w:t>表土剥离、表土回填、土地平整</w:t>
      </w:r>
    </w:p>
    <w:p>
      <w:pPr>
        <w:ind w:firstLine="480"/>
        <w:rPr>
          <w:szCs w:val="24"/>
        </w:rPr>
      </w:pPr>
      <w:r>
        <w:rPr>
          <w:szCs w:val="24"/>
        </w:rPr>
        <w:t>施工场地区开挖前需剥离表土，剥离量为0.12万m</w:t>
      </w:r>
      <w:r>
        <w:rPr>
          <w:szCs w:val="24"/>
          <w:vertAlign w:val="superscript"/>
        </w:rPr>
        <w:t>3</w:t>
      </w:r>
      <w:r>
        <w:rPr>
          <w:szCs w:val="24"/>
        </w:rPr>
        <w:t>，剥离的表土集中堆放在表土临时堆放场，施工结束后，进行土地平整，回填表土，布置绿化措施，共</w:t>
      </w:r>
      <w:r>
        <w:rPr>
          <w:rFonts w:hint="eastAsia"/>
          <w:szCs w:val="24"/>
        </w:rPr>
        <w:t>需</w:t>
      </w:r>
      <w:r>
        <w:rPr>
          <w:szCs w:val="24"/>
        </w:rPr>
        <w:t>平整土地0.4hm</w:t>
      </w:r>
      <w:r>
        <w:rPr>
          <w:szCs w:val="24"/>
          <w:vertAlign w:val="superscript"/>
        </w:rPr>
        <w:t>2</w:t>
      </w:r>
      <w:r>
        <w:rPr>
          <w:szCs w:val="24"/>
        </w:rPr>
        <w:t>，回填表土0.12万m</w:t>
      </w:r>
      <w:r>
        <w:rPr>
          <w:szCs w:val="24"/>
          <w:vertAlign w:val="superscript"/>
        </w:rPr>
        <w:t>3</w:t>
      </w:r>
      <w:r>
        <w:rPr>
          <w:szCs w:val="24"/>
        </w:rPr>
        <w:t>。</w:t>
      </w:r>
    </w:p>
    <w:p>
      <w:pPr>
        <w:ind w:firstLine="480"/>
        <w:rPr>
          <w:szCs w:val="24"/>
        </w:rPr>
      </w:pPr>
      <w:r>
        <w:rPr>
          <w:szCs w:val="24"/>
        </w:rPr>
        <w:fldChar w:fldCharType="begin"/>
      </w:r>
      <w:r>
        <w:rPr>
          <w:szCs w:val="24"/>
        </w:rPr>
        <w:instrText xml:space="preserve"> </w:instrText>
      </w:r>
      <w:r>
        <w:rPr>
          <w:rFonts w:hint="eastAsia"/>
          <w:szCs w:val="24"/>
        </w:rPr>
        <w:instrText xml:space="preserve">= 2 \* GB3</w:instrText>
      </w:r>
      <w:r>
        <w:rPr>
          <w:szCs w:val="24"/>
        </w:rPr>
        <w:instrText xml:space="preserve"> </w:instrText>
      </w:r>
      <w:r>
        <w:rPr>
          <w:szCs w:val="24"/>
        </w:rPr>
        <w:fldChar w:fldCharType="separate"/>
      </w:r>
      <w:r>
        <w:rPr>
          <w:rFonts w:hint="eastAsia"/>
          <w:szCs w:val="24"/>
        </w:rPr>
        <w:t>②</w:t>
      </w:r>
      <w:r>
        <w:rPr>
          <w:szCs w:val="24"/>
        </w:rPr>
        <w:fldChar w:fldCharType="end"/>
      </w:r>
      <w:r>
        <w:rPr>
          <w:szCs w:val="24"/>
        </w:rPr>
        <w:t>临时排水沟、沉沙池</w:t>
      </w:r>
    </w:p>
    <w:p>
      <w:pPr>
        <w:ind w:firstLine="480"/>
        <w:rPr>
          <w:szCs w:val="24"/>
        </w:rPr>
      </w:pPr>
      <w:r>
        <w:rPr>
          <w:szCs w:val="24"/>
        </w:rPr>
        <w:t>在施工场地区周边布置临时排水沟、并在排水沟末端或拐角处布置临时沉沙池沉淀泥沙，共布置临时排水沟160m，临时沉沙池2个。</w:t>
      </w:r>
    </w:p>
    <w:p>
      <w:pPr>
        <w:ind w:firstLine="480"/>
        <w:rPr>
          <w:szCs w:val="24"/>
        </w:rPr>
      </w:pPr>
      <w:r>
        <w:rPr>
          <w:szCs w:val="24"/>
        </w:rPr>
        <w:fldChar w:fldCharType="begin"/>
      </w:r>
      <w:r>
        <w:rPr>
          <w:szCs w:val="24"/>
        </w:rPr>
        <w:instrText xml:space="preserve"> </w:instrText>
      </w:r>
      <w:r>
        <w:rPr>
          <w:rFonts w:hint="eastAsia"/>
          <w:szCs w:val="24"/>
        </w:rPr>
        <w:instrText xml:space="preserve">= 3 \* GB3</w:instrText>
      </w:r>
      <w:r>
        <w:rPr>
          <w:szCs w:val="24"/>
        </w:rPr>
        <w:instrText xml:space="preserve"> </w:instrText>
      </w:r>
      <w:r>
        <w:rPr>
          <w:szCs w:val="24"/>
        </w:rPr>
        <w:fldChar w:fldCharType="separate"/>
      </w:r>
      <w:r>
        <w:rPr>
          <w:rFonts w:hint="eastAsia"/>
          <w:szCs w:val="24"/>
        </w:rPr>
        <w:t>③</w:t>
      </w:r>
      <w:r>
        <w:rPr>
          <w:szCs w:val="24"/>
        </w:rPr>
        <w:fldChar w:fldCharType="end"/>
      </w:r>
      <w:r>
        <w:rPr>
          <w:rFonts w:hint="eastAsia"/>
          <w:szCs w:val="24"/>
        </w:rPr>
        <w:t>临时性堆土堆置高度控制在3m以内，堆置边坡比控制在1：1.5 以内。临时挡土墙采用装土编织袋堆砌而成， 采用梯形断面， 断面尺寸为高×顶宽×底宽=1m×0.5m×1.5m，堆砌时应相互咬合、搭接，搭接长度不小于装土编织袋长度的1/3。在临时挡土墙的周边开挖临时排水沟，防止雨水冲刷墙角或积水。临时排水沟采用土质排水沟，断面尺寸为：底宽0.3m，沟深0.3m，内边坡比为1：1.0，梯形断面。</w:t>
      </w:r>
    </w:p>
    <w:p>
      <w:pPr>
        <w:ind w:firstLine="480"/>
        <w:rPr>
          <w:szCs w:val="24"/>
        </w:rPr>
      </w:pPr>
      <w:r>
        <w:rPr>
          <w:szCs w:val="24"/>
        </w:rPr>
        <w:fldChar w:fldCharType="begin"/>
      </w:r>
      <w:r>
        <w:rPr>
          <w:szCs w:val="24"/>
        </w:rPr>
        <w:instrText xml:space="preserve"> </w:instrText>
      </w:r>
      <w:r>
        <w:rPr>
          <w:rFonts w:hint="eastAsia"/>
          <w:szCs w:val="24"/>
        </w:rPr>
        <w:instrText xml:space="preserve">= 4 \* GB3</w:instrText>
      </w:r>
      <w:r>
        <w:rPr>
          <w:szCs w:val="24"/>
        </w:rPr>
        <w:instrText xml:space="preserve"> </w:instrText>
      </w:r>
      <w:r>
        <w:rPr>
          <w:szCs w:val="24"/>
        </w:rPr>
        <w:fldChar w:fldCharType="separate"/>
      </w:r>
      <w:r>
        <w:rPr>
          <w:rFonts w:hint="eastAsia"/>
          <w:szCs w:val="24"/>
        </w:rPr>
        <w:t>④</w:t>
      </w:r>
      <w:r>
        <w:rPr>
          <w:szCs w:val="24"/>
        </w:rPr>
        <w:fldChar w:fldCharType="end"/>
      </w:r>
      <w:r>
        <w:rPr>
          <w:rFonts w:hint="eastAsia"/>
          <w:szCs w:val="24"/>
        </w:rPr>
        <w:t>施工完毕后应平整场地，对没有绿化的地方进行绿化。本区域的绿化除满足水土保持要求外，还因考虑美观，建议按园林化绿化模式进行。对于建筑物周边空地，建议种植各种树形美观、花叶茂盛的树种，如樟树、桂花、玉兰等。</w:t>
      </w:r>
    </w:p>
    <w:p>
      <w:pPr>
        <w:ind w:firstLine="480"/>
        <w:rPr>
          <w:szCs w:val="24"/>
        </w:rPr>
      </w:pPr>
      <w:r>
        <w:rPr>
          <w:rFonts w:hint="eastAsia"/>
          <w:szCs w:val="24"/>
        </w:rPr>
        <w:t>(3)</w:t>
      </w:r>
      <w:r>
        <w:rPr>
          <w:szCs w:val="24"/>
        </w:rPr>
        <w:t>料场区</w:t>
      </w:r>
      <w:r>
        <w:rPr>
          <w:rFonts w:hint="eastAsia"/>
          <w:szCs w:val="24"/>
        </w:rPr>
        <w:t>水土保持措施</w:t>
      </w:r>
    </w:p>
    <w:p>
      <w:pPr>
        <w:ind w:firstLine="480"/>
        <w:jc w:val="left"/>
        <w:rPr>
          <w:szCs w:val="24"/>
        </w:rPr>
      </w:pPr>
      <w:r>
        <w:rPr>
          <w:rFonts w:hint="eastAsia"/>
          <w:szCs w:val="24"/>
        </w:rPr>
        <w:t>料场开采前，在开采边界以外沿等高线修筑排水沟，排走坡面来水，以免雨季产生地表径流冲刷开挖面形成各种形式的水土流失。料场开采剥离的表层土，集中堆放在地势比较平缓的地面上或开挖平台上，堆置高度不高于3.5m，堆置边坡比控制在1:2.0 以内，并</w:t>
      </w:r>
    </w:p>
    <w:p>
      <w:pPr>
        <w:ind w:firstLine="480"/>
        <w:jc w:val="left"/>
        <w:rPr>
          <w:szCs w:val="24"/>
        </w:rPr>
      </w:pPr>
      <w:r>
        <w:rPr>
          <w:rFonts w:hint="eastAsia"/>
          <w:szCs w:val="24"/>
        </w:rPr>
        <w:t>在边坡坡脚修筑装土草袋临时挡土墙进行挡土；土料场开挖边坡坡比控制在1:1.5 以内，开挖平台修筑排水土沟；取土结束后，采用土地整治和覆土措施，并且选择合适季节进行造林种草，重建植被。</w:t>
      </w:r>
    </w:p>
    <w:p>
      <w:pPr>
        <w:ind w:firstLine="480"/>
        <w:jc w:val="left"/>
        <w:rPr>
          <w:szCs w:val="24"/>
        </w:rPr>
      </w:pPr>
      <w:r>
        <w:rPr>
          <w:rFonts w:hint="eastAsia"/>
          <w:szCs w:val="24"/>
        </w:rPr>
        <w:t>排水沟采用M7.5 浆砌石衬砌，厚20cm；M10 水泥砂浆抹面，厚2cm；过水断面采用梯形断面，尺寸为0.4m×0.6m（底宽×深），边坡为1：0.3；为避免排水沟基础不均匀沉陷，排水沟底部设置5cm厚的碎石垫层。</w:t>
      </w:r>
    </w:p>
    <w:p>
      <w:pPr>
        <w:ind w:firstLine="480"/>
        <w:jc w:val="left"/>
        <w:rPr>
          <w:szCs w:val="24"/>
        </w:rPr>
      </w:pPr>
      <w:r>
        <w:rPr>
          <w:rFonts w:hint="eastAsia"/>
          <w:szCs w:val="24"/>
        </w:rPr>
        <w:t>植物措施技术要求：</w:t>
      </w:r>
    </w:p>
    <w:p>
      <w:pPr>
        <w:ind w:firstLine="480"/>
        <w:jc w:val="left"/>
        <w:rPr>
          <w:szCs w:val="24"/>
        </w:rPr>
      </w:pPr>
      <w:r>
        <w:rPr>
          <w:rFonts w:hint="eastAsia"/>
          <w:szCs w:val="24"/>
        </w:rPr>
        <w:t>①造林种草地点：土料场开挖裸露面、因堆放表层土而破坏植被的地面。</w:t>
      </w:r>
    </w:p>
    <w:p>
      <w:pPr>
        <w:ind w:firstLine="480"/>
        <w:jc w:val="left"/>
        <w:rPr>
          <w:szCs w:val="24"/>
        </w:rPr>
      </w:pPr>
      <w:r>
        <w:rPr>
          <w:rFonts w:hint="eastAsia"/>
          <w:szCs w:val="24"/>
        </w:rPr>
        <w:t>②造林种草种类：湿地松、混合草种（百喜草、狗牙根草两种或两种以上混合）；代替树种为火炬松、马尾松。</w:t>
      </w:r>
    </w:p>
    <w:p>
      <w:pPr>
        <w:ind w:firstLine="480"/>
        <w:jc w:val="left"/>
        <w:rPr>
          <w:szCs w:val="24"/>
        </w:rPr>
      </w:pPr>
      <w:r>
        <w:rPr>
          <w:rFonts w:hint="eastAsia"/>
          <w:szCs w:val="24"/>
        </w:rPr>
        <w:t>③苗木规格：湿地松地径2cm。</w:t>
      </w:r>
    </w:p>
    <w:p>
      <w:pPr>
        <w:ind w:firstLine="480"/>
        <w:jc w:val="left"/>
        <w:rPr>
          <w:szCs w:val="24"/>
        </w:rPr>
      </w:pPr>
      <w:r>
        <w:rPr>
          <w:rFonts w:hint="eastAsia"/>
          <w:szCs w:val="24"/>
        </w:rPr>
        <w:t>④造林季节：春季或秋季</w:t>
      </w:r>
    </w:p>
    <w:p>
      <w:pPr>
        <w:ind w:firstLine="480"/>
        <w:jc w:val="left"/>
        <w:rPr>
          <w:szCs w:val="24"/>
        </w:rPr>
      </w:pPr>
      <w:r>
        <w:rPr>
          <w:rFonts w:hint="eastAsia"/>
          <w:szCs w:val="24"/>
        </w:rPr>
        <w:t>⑤整地方式：穴状整地，湿地松穴规格40cm×40cm×40cm，保证充分伸展不窝根，苗木栽植深度超过苗木根颈处原土痕2～3cm即可。</w:t>
      </w:r>
    </w:p>
    <w:p>
      <w:pPr>
        <w:ind w:firstLine="480"/>
        <w:rPr>
          <w:szCs w:val="24"/>
        </w:rPr>
      </w:pPr>
      <w:r>
        <w:rPr>
          <w:rFonts w:hint="eastAsia"/>
          <w:szCs w:val="24"/>
        </w:rPr>
        <w:t>(4)施工便道水土保持措施</w:t>
      </w:r>
    </w:p>
    <w:p>
      <w:pPr>
        <w:ind w:firstLine="480"/>
        <w:jc w:val="left"/>
        <w:rPr>
          <w:szCs w:val="24"/>
        </w:rPr>
      </w:pPr>
      <w:r>
        <w:rPr>
          <w:rFonts w:hint="eastAsia"/>
          <w:szCs w:val="24"/>
        </w:rPr>
        <w:t>本项目需修建临时道路，临时道路需进行硬化处理。本区水土保持防治的主要任务是施工期间注意临时排水、运输车辆携带泥沙、运输物料扬尘问题，施工期间在道路两侧设置临时排水沟，排水沟末端设置沉沙池。在车辆主要出入口布置车辆冲洗平台，并对运输物料车辆的物料表面进行苫盖。在施工结束后，清除路面杂物，进行硬化层清除、土质疏松，覆盖表土，根据土地使用功能进行土地整治，耕地复耕，荒地植树或种草，植物措施技术要求同料场区。</w:t>
      </w:r>
    </w:p>
    <w:p>
      <w:pPr>
        <w:ind w:firstLine="480"/>
        <w:jc w:val="left"/>
        <w:rPr>
          <w:szCs w:val="24"/>
        </w:rPr>
      </w:pPr>
      <w:r>
        <w:rPr>
          <w:rFonts w:hint="eastAsia"/>
          <w:szCs w:val="24"/>
        </w:rPr>
        <w:t>(5)施工生产生活区</w:t>
      </w:r>
    </w:p>
    <w:p>
      <w:pPr>
        <w:ind w:firstLine="480"/>
        <w:rPr>
          <w:szCs w:val="24"/>
        </w:rPr>
      </w:pPr>
      <w:r>
        <w:rPr>
          <w:rFonts w:hint="eastAsia"/>
          <w:szCs w:val="24"/>
        </w:rPr>
        <w:t>本次施工生活管理用房等在就近租用民房基础上，不足部分近搭建临时工棚，在施工阶段划定施工活动范围，尽量减少对原地表的破坏。</w:t>
      </w:r>
    </w:p>
    <w:p>
      <w:pPr>
        <w:ind w:firstLine="480"/>
        <w:rPr>
          <w:szCs w:val="24"/>
        </w:rPr>
      </w:pPr>
      <w:r>
        <w:rPr>
          <w:rFonts w:hint="eastAsia"/>
          <w:szCs w:val="24"/>
        </w:rPr>
        <w:t>本区水土保持防治的主要任务是施工期间注意施工场地周边的排水问题，施工结束后，拆除各种临时建筑，清理杂物，平整场地，进行植树造林，铺种草皮。</w:t>
      </w:r>
    </w:p>
    <w:p>
      <w:pPr>
        <w:ind w:firstLine="480"/>
        <w:rPr>
          <w:szCs w:val="24"/>
        </w:rPr>
      </w:pPr>
      <w:r>
        <w:rPr>
          <w:rFonts w:hint="eastAsia"/>
          <w:szCs w:val="24"/>
        </w:rPr>
        <w:t>植物措施安排在水土流失防治功能的基础上还应遵循园林艺术的基本原则，即统一、调和、均衡和韵律四大原则。根据不同的地形地势和植物造景要求，分别采取孤植、对植、丛植、群植、带植和绿篱等多种形式。建议采取以下绿化美化措施：</w:t>
      </w:r>
    </w:p>
    <w:p>
      <w:pPr>
        <w:ind w:firstLine="480"/>
        <w:rPr>
          <w:szCs w:val="24"/>
        </w:rPr>
      </w:pPr>
      <w:r>
        <w:rPr>
          <w:rFonts w:hint="eastAsia"/>
          <w:szCs w:val="24"/>
        </w:rPr>
        <w:t>河道两岸：种植单行樟树、白玉兰、广玉兰等阔叶树种，株距按5m 计。</w:t>
      </w:r>
    </w:p>
    <w:p>
      <w:pPr>
        <w:ind w:firstLine="480"/>
        <w:rPr>
          <w:szCs w:val="24"/>
        </w:rPr>
      </w:pPr>
      <w:r>
        <w:rPr>
          <w:rFonts w:hint="eastAsia"/>
          <w:szCs w:val="24"/>
        </w:rPr>
        <w:t>草坪：草坪随地形呈自然式布设，可选用草皮块铺植，草种选用马尼拉、结缕草等。</w:t>
      </w:r>
    </w:p>
    <w:p>
      <w:pPr>
        <w:ind w:firstLine="480"/>
        <w:rPr>
          <w:szCs w:val="24"/>
        </w:rPr>
      </w:pPr>
      <w:r>
        <w:rPr>
          <w:rFonts w:hint="eastAsia"/>
          <w:szCs w:val="24"/>
        </w:rPr>
        <w:t>花卉种植：在一些混凝土覆盖的地面上，不适宜植树种草，可用盆栽花木摆设成一定艺术图案或几何形状进行装饰，也可依地形、建筑物布局用砖、水泥沙浆砌筑成花坛、花境或花台，中央填土施肥后再种上各种花木，作局部小面积的装饰。</w:t>
      </w:r>
    </w:p>
    <w:p>
      <w:pPr>
        <w:ind w:firstLine="480"/>
        <w:rPr>
          <w:szCs w:val="24"/>
        </w:rPr>
      </w:pPr>
      <w:r>
        <w:rPr>
          <w:rFonts w:hint="eastAsia"/>
          <w:szCs w:val="24"/>
        </w:rPr>
        <w:t>(6)</w:t>
      </w:r>
      <w:r>
        <w:rPr>
          <w:szCs w:val="24"/>
        </w:rPr>
        <w:t>弃渣场</w:t>
      </w:r>
    </w:p>
    <w:p>
      <w:pPr>
        <w:ind w:firstLine="480"/>
        <w:jc w:val="left"/>
        <w:rPr>
          <w:szCs w:val="24"/>
        </w:rPr>
      </w:pPr>
      <w:r>
        <w:rPr>
          <w:rFonts w:hint="eastAsia"/>
          <w:szCs w:val="24"/>
        </w:rPr>
        <w:t>弃渣首先可考虑运往料场取土坑，本方案设置专门的弃渣场地，位于河道上游荒草地。弃渣堆弃边坡比采用1:2.0。在弃渣前先修筑浆砌石挡渣墙。在弃渣终止堆放后对弃渣场进行土地整治；在堆积平台内侧修一条排水沟，排水沟两端与挡渣墙相连处修建急流槽，在渣场周围沿挡渣墙墙址前1m 处修筑一条截水沟，用于汇集堆积平台外侧和堆积边坡来水，边沟进水口接浆砼急流槽，出水口经沉沙池与周边排水系统相接。在施工过程中，应将临时性弃渣集中堆放，禁止随意堆放，尽量做到随挖随运；如不能及时运走，必须采取拦护措施进行拦挡；需回填利用的土方采用装土草袋修筑临时挡墙，沿临时挡墙设置临时排水沟，排水沟末端设置沉沙池，同时对临时弃渣采用塑料布进行覆盖，避免遇到强降水等不得天气，弃渣四处散落，产生水土流失。弃渣完毕后。进行造林、种草，恢复植被。植物措施技术要求同土料场。</w:t>
      </w:r>
    </w:p>
    <w:p>
      <w:pPr>
        <w:pStyle w:val="6"/>
        <w:spacing w:beforeLines="50" w:afterLines="50"/>
        <w:rPr>
          <w:szCs w:val="28"/>
        </w:rPr>
      </w:pPr>
      <w:bookmarkStart w:id="1149" w:name="_Toc3903357"/>
      <w:bookmarkStart w:id="1150" w:name="_Toc534807131"/>
      <w:bookmarkStart w:id="1151" w:name="_Toc534895348"/>
      <w:bookmarkStart w:id="1152" w:name="_Toc536265220"/>
      <w:bookmarkStart w:id="1153" w:name="_Toc32472"/>
      <w:r>
        <w:rPr>
          <w:rFonts w:hint="eastAsia"/>
          <w:szCs w:val="28"/>
        </w:rPr>
        <w:t>7</w:t>
      </w:r>
      <w:r>
        <w:rPr>
          <w:szCs w:val="28"/>
        </w:rPr>
        <w:t>.9</w:t>
      </w:r>
      <w:bookmarkEnd w:id="1149"/>
      <w:bookmarkEnd w:id="1150"/>
      <w:bookmarkEnd w:id="1151"/>
      <w:bookmarkEnd w:id="1152"/>
      <w:r>
        <w:rPr>
          <w:rFonts w:hint="eastAsia"/>
          <w:szCs w:val="28"/>
        </w:rPr>
        <w:t>环境地质保护措施</w:t>
      </w:r>
      <w:bookmarkEnd w:id="1153"/>
    </w:p>
    <w:p>
      <w:pPr>
        <w:pStyle w:val="7"/>
        <w:rPr>
          <w:kern w:val="0"/>
          <w:szCs w:val="24"/>
        </w:rPr>
      </w:pPr>
      <w:r>
        <w:rPr>
          <w:rFonts w:hint="eastAsia"/>
          <w:kern w:val="0"/>
          <w:szCs w:val="24"/>
        </w:rPr>
        <w:t>7</w:t>
      </w:r>
      <w:r>
        <w:rPr>
          <w:kern w:val="0"/>
          <w:szCs w:val="24"/>
        </w:rPr>
        <w:t>.</w:t>
      </w:r>
      <w:r>
        <w:rPr>
          <w:rFonts w:hint="eastAsia"/>
          <w:kern w:val="0"/>
          <w:szCs w:val="24"/>
        </w:rPr>
        <w:t>9</w:t>
      </w:r>
      <w:r>
        <w:rPr>
          <w:kern w:val="0"/>
          <w:szCs w:val="24"/>
        </w:rPr>
        <w:t>.1</w:t>
      </w:r>
      <w:r>
        <w:rPr>
          <w:rFonts w:hint="eastAsia"/>
          <w:kern w:val="0"/>
          <w:szCs w:val="24"/>
        </w:rPr>
        <w:t>工程措施</w:t>
      </w:r>
    </w:p>
    <w:p>
      <w:pPr>
        <w:autoSpaceDE w:val="0"/>
        <w:autoSpaceDN w:val="0"/>
        <w:adjustRightInd w:val="0"/>
        <w:ind w:firstLine="480"/>
        <w:rPr>
          <w:szCs w:val="24"/>
        </w:rPr>
      </w:pPr>
      <w:r>
        <w:rPr>
          <w:rFonts w:hint="eastAsia"/>
          <w:szCs w:val="24"/>
        </w:rPr>
        <w:t>本工程地质灾害防治工程措施为：</w:t>
      </w:r>
    </w:p>
    <w:p>
      <w:pPr>
        <w:autoSpaceDE w:val="0"/>
        <w:autoSpaceDN w:val="0"/>
        <w:adjustRightInd w:val="0"/>
        <w:ind w:firstLine="480"/>
        <w:rPr>
          <w:szCs w:val="24"/>
        </w:rPr>
      </w:pPr>
      <w:r>
        <w:rPr>
          <w:rFonts w:hint="eastAsia"/>
          <w:szCs w:val="24"/>
        </w:rPr>
        <w:t>(1)对坝区各枢纽建筑物的开挖边坡设置排水沟和可靠的支护工程，设置高边坡变形观测网；对局部完整性较差，易产生崩（滑）塌的强风化坡面作挂网喷锚支护。做到先治理后建设，确保施工及拟建建筑物安全。</w:t>
      </w:r>
    </w:p>
    <w:p>
      <w:pPr>
        <w:autoSpaceDE w:val="0"/>
        <w:autoSpaceDN w:val="0"/>
        <w:adjustRightInd w:val="0"/>
        <w:ind w:firstLine="480"/>
        <w:rPr>
          <w:szCs w:val="24"/>
        </w:rPr>
      </w:pPr>
      <w:r>
        <w:rPr>
          <w:rFonts w:hint="eastAsia"/>
          <w:szCs w:val="24"/>
        </w:rPr>
        <w:t>(2)对开挖的高边坡，应作挡墙或护坡，对局部岩层完整性较差地段及高边坡危岩体应清除危石及作适量抗滑锚杆处理。</w:t>
      </w:r>
    </w:p>
    <w:p>
      <w:pPr>
        <w:autoSpaceDE w:val="0"/>
        <w:autoSpaceDN w:val="0"/>
        <w:adjustRightInd w:val="0"/>
        <w:ind w:firstLine="480"/>
        <w:rPr>
          <w:szCs w:val="24"/>
        </w:rPr>
      </w:pPr>
      <w:r>
        <w:rPr>
          <w:rFonts w:hint="eastAsia"/>
          <w:szCs w:val="24"/>
        </w:rPr>
        <w:t>(3)针对较高的顺层边坡地段，应进行专项岩土工程勘察，边坡稳定性评价，并根据评价成果，设置可靠的抗滑工程。</w:t>
      </w:r>
    </w:p>
    <w:p>
      <w:pPr>
        <w:autoSpaceDE w:val="0"/>
        <w:autoSpaceDN w:val="0"/>
        <w:adjustRightInd w:val="0"/>
        <w:ind w:firstLine="480"/>
        <w:rPr>
          <w:szCs w:val="24"/>
        </w:rPr>
      </w:pPr>
      <w:r>
        <w:rPr>
          <w:rFonts w:hint="eastAsia"/>
          <w:szCs w:val="24"/>
        </w:rPr>
        <w:t>(4)在开采块（碎）石料过程中，应组织恰当的开采措施，分级开采、合理放坡。工程完工后，对料场边坡进行处理，对料场和临时渣场的余料予以清除，择地堆放，并做好防护措施。</w:t>
      </w:r>
    </w:p>
    <w:p>
      <w:pPr>
        <w:pStyle w:val="7"/>
        <w:rPr>
          <w:kern w:val="0"/>
          <w:szCs w:val="24"/>
        </w:rPr>
      </w:pPr>
      <w:r>
        <w:rPr>
          <w:rFonts w:hint="eastAsia"/>
          <w:kern w:val="0"/>
          <w:szCs w:val="24"/>
        </w:rPr>
        <w:t>7</w:t>
      </w:r>
      <w:r>
        <w:rPr>
          <w:kern w:val="0"/>
          <w:szCs w:val="24"/>
        </w:rPr>
        <w:t>.</w:t>
      </w:r>
      <w:r>
        <w:rPr>
          <w:rFonts w:hint="eastAsia"/>
          <w:kern w:val="0"/>
          <w:szCs w:val="24"/>
        </w:rPr>
        <w:t>9</w:t>
      </w:r>
      <w:r>
        <w:rPr>
          <w:kern w:val="0"/>
          <w:szCs w:val="24"/>
        </w:rPr>
        <w:t>.</w:t>
      </w:r>
      <w:r>
        <w:rPr>
          <w:rFonts w:hint="eastAsia"/>
          <w:kern w:val="0"/>
          <w:szCs w:val="24"/>
        </w:rPr>
        <w:t>2管理措施</w:t>
      </w:r>
    </w:p>
    <w:p>
      <w:pPr>
        <w:autoSpaceDE w:val="0"/>
        <w:autoSpaceDN w:val="0"/>
        <w:adjustRightInd w:val="0"/>
        <w:ind w:firstLine="480"/>
        <w:rPr>
          <w:szCs w:val="24"/>
        </w:rPr>
      </w:pPr>
      <w:r>
        <w:rPr>
          <w:rFonts w:hint="eastAsia"/>
          <w:szCs w:val="24"/>
        </w:rPr>
        <w:t>工程建设应遵循“先勘察、后设计、再施工”的建设程序和“先治理、后建设，重点地段、重点治理”的地质灾害防治原则。在工程建设前必须对工程区灾害危险区采取切实、可靠的防治工程措施和工程处理措施，消除地质灾害隐患，在确保安全的前提条件下，才能进行工程建设。</w:t>
      </w:r>
    </w:p>
    <w:p>
      <w:pPr>
        <w:autoSpaceDE w:val="0"/>
        <w:autoSpaceDN w:val="0"/>
        <w:adjustRightInd w:val="0"/>
        <w:ind w:firstLine="480"/>
        <w:rPr>
          <w:szCs w:val="24"/>
        </w:rPr>
      </w:pPr>
      <w:r>
        <w:rPr>
          <w:rFonts w:hint="eastAsia"/>
          <w:szCs w:val="24"/>
        </w:rPr>
        <w:t>加强施工现场的管理和施工人员的安全知识教育，提高施工人员的安全意识，并在施工过程中制定相应的安全规程和救急预案。</w:t>
      </w:r>
    </w:p>
    <w:p>
      <w:pPr>
        <w:pStyle w:val="6"/>
        <w:spacing w:beforeLines="50" w:afterLines="50"/>
        <w:rPr>
          <w:szCs w:val="28"/>
        </w:rPr>
      </w:pPr>
      <w:bookmarkStart w:id="1154" w:name="_Toc536265217"/>
      <w:bookmarkStart w:id="1155" w:name="_Toc17484"/>
      <w:bookmarkStart w:id="1156" w:name="_Toc534807128"/>
      <w:bookmarkStart w:id="1157" w:name="_Toc534895345"/>
      <w:bookmarkStart w:id="1158" w:name="_Toc3903354"/>
      <w:r>
        <w:rPr>
          <w:rFonts w:hint="eastAsia"/>
          <w:szCs w:val="28"/>
        </w:rPr>
        <w:t>7</w:t>
      </w:r>
      <w:r>
        <w:rPr>
          <w:szCs w:val="28"/>
        </w:rPr>
        <w:t>.</w:t>
      </w:r>
      <w:r>
        <w:rPr>
          <w:rFonts w:hint="eastAsia"/>
          <w:szCs w:val="28"/>
        </w:rPr>
        <w:t>10</w:t>
      </w:r>
      <w:r>
        <w:rPr>
          <w:szCs w:val="28"/>
        </w:rPr>
        <w:t>人群健康保护措施</w:t>
      </w:r>
      <w:bookmarkEnd w:id="1154"/>
      <w:bookmarkEnd w:id="1155"/>
      <w:bookmarkEnd w:id="1156"/>
      <w:bookmarkEnd w:id="1157"/>
      <w:bookmarkEnd w:id="1158"/>
    </w:p>
    <w:p>
      <w:pPr>
        <w:pStyle w:val="7"/>
        <w:rPr>
          <w:kern w:val="0"/>
          <w:szCs w:val="24"/>
        </w:rPr>
      </w:pPr>
      <w:bookmarkStart w:id="1159" w:name="_Toc534807129"/>
      <w:bookmarkStart w:id="1160" w:name="_Toc534895346"/>
      <w:bookmarkStart w:id="1161" w:name="_Toc3903355"/>
      <w:bookmarkStart w:id="1162" w:name="_Toc536265218"/>
      <w:r>
        <w:rPr>
          <w:rFonts w:hint="eastAsia"/>
          <w:kern w:val="0"/>
          <w:szCs w:val="24"/>
        </w:rPr>
        <w:t>7</w:t>
      </w:r>
      <w:r>
        <w:rPr>
          <w:kern w:val="0"/>
          <w:szCs w:val="24"/>
        </w:rPr>
        <w:t>.</w:t>
      </w:r>
      <w:r>
        <w:rPr>
          <w:rFonts w:hint="eastAsia"/>
          <w:kern w:val="0"/>
          <w:szCs w:val="24"/>
        </w:rPr>
        <w:t>10</w:t>
      </w:r>
      <w:r>
        <w:rPr>
          <w:kern w:val="0"/>
          <w:szCs w:val="24"/>
        </w:rPr>
        <w:t>.1施工期人群健康保护措施</w:t>
      </w:r>
      <w:bookmarkEnd w:id="1159"/>
      <w:bookmarkEnd w:id="1160"/>
      <w:bookmarkEnd w:id="1161"/>
      <w:bookmarkEnd w:id="1162"/>
    </w:p>
    <w:p>
      <w:pPr>
        <w:ind w:firstLine="480"/>
        <w:rPr>
          <w:szCs w:val="24"/>
        </w:rPr>
      </w:pPr>
      <w:r>
        <w:rPr>
          <w:rFonts w:hint="eastAsia" w:ascii="宋体" w:hAnsi="宋体" w:cs="宋体"/>
          <w:szCs w:val="24"/>
        </w:rPr>
        <w:t>⑴</w:t>
      </w:r>
      <w:r>
        <w:rPr>
          <w:szCs w:val="24"/>
        </w:rPr>
        <w:t>环境卫生宣传与管理</w:t>
      </w:r>
    </w:p>
    <w:p>
      <w:pPr>
        <w:ind w:firstLine="480"/>
        <w:rPr>
          <w:szCs w:val="24"/>
        </w:rPr>
      </w:pPr>
      <w:r>
        <w:rPr>
          <w:szCs w:val="24"/>
        </w:rPr>
        <w:t>加强施工区卫生宣传，提高施工区人群卫生知识水平和健康保护意识；定时灭蚊、灭蝇、灭鼠，减少传染病的传播途径；加强生活区食堂的卫生管理，与公共厕所距离在30m以上，每季度进行一次卫生检查，取得防疫部门卫生许可证的人员才可从事餐饮工作；施工区生活用水需作消毒净化处理，达到国家规定的卫生标准后才可作为生活用水。</w:t>
      </w:r>
    </w:p>
    <w:p>
      <w:pPr>
        <w:ind w:firstLine="480"/>
        <w:rPr>
          <w:szCs w:val="24"/>
        </w:rPr>
      </w:pPr>
      <w:r>
        <w:rPr>
          <w:rFonts w:hint="eastAsia" w:ascii="宋体" w:hAnsi="宋体" w:cs="宋体"/>
          <w:szCs w:val="24"/>
        </w:rPr>
        <w:t>⑵</w:t>
      </w:r>
      <w:r>
        <w:rPr>
          <w:szCs w:val="24"/>
        </w:rPr>
        <w:t>施工人员劳动保护措施</w:t>
      </w:r>
    </w:p>
    <w:p>
      <w:pPr>
        <w:ind w:firstLine="480"/>
        <w:rPr>
          <w:szCs w:val="24"/>
        </w:rPr>
      </w:pPr>
      <w:r>
        <w:rPr>
          <w:szCs w:val="24"/>
        </w:rPr>
        <w:t>在施工过程中，为减轻废气、粉尘及噪声等对施工人员的健康造成的不良影响，应对施工人员配发必要的劳动保护用品及装备。施工中采用的各类施工机械和运输工具应符合国家的有关规定，废气排放量需达标。</w:t>
      </w:r>
    </w:p>
    <w:p>
      <w:pPr>
        <w:ind w:firstLine="480"/>
        <w:rPr>
          <w:szCs w:val="24"/>
        </w:rPr>
      </w:pPr>
      <w:r>
        <w:rPr>
          <w:rFonts w:hint="eastAsia" w:ascii="宋体" w:hAnsi="宋体" w:cs="宋体"/>
          <w:szCs w:val="24"/>
        </w:rPr>
        <w:t>⑶</w:t>
      </w:r>
      <w:r>
        <w:rPr>
          <w:szCs w:val="24"/>
        </w:rPr>
        <w:t>卫生防疫措施</w:t>
      </w:r>
    </w:p>
    <w:p>
      <w:pPr>
        <w:ind w:firstLine="480"/>
        <w:rPr>
          <w:szCs w:val="24"/>
        </w:rPr>
      </w:pPr>
      <w:r>
        <w:rPr>
          <w:szCs w:val="24"/>
        </w:rPr>
        <w:t>为预防施工区传染病的流行，在施工人员进驻工地前，各施工单位应配合地方防疫部门对施工人员进行一次全面的健康调查和疫情建档，并根据实际调查情况进行抽样检查。调查和建档内容主要包括年龄、性别、健康状况、传染病史、来自地区等；调查和建档人数按施工高峰期人数为200人。检疫内容为肠道传染病呼吸道传染病以及其它传染病；检疫人数按调查人数的10％计，为20人。</w:t>
      </w:r>
    </w:p>
    <w:p>
      <w:pPr>
        <w:ind w:firstLine="480"/>
        <w:rPr>
          <w:szCs w:val="24"/>
        </w:rPr>
      </w:pPr>
      <w:r>
        <w:rPr>
          <w:szCs w:val="24"/>
        </w:rPr>
        <w:t>施工单位应明确卫生防疫责任人，按当地防疫部门的疫情管理及报送制度进行管理，并接受卫生防疫部门的监督。施工区应备有肝炎、痢疾等常见传染病的处理药品和器材，并发放防疫药品。一旦发现疫情，应立即对传染源采取治疗、隔离和观察，对易感人群采取预防措施。</w:t>
      </w:r>
    </w:p>
    <w:p>
      <w:pPr>
        <w:pStyle w:val="7"/>
        <w:rPr>
          <w:kern w:val="0"/>
          <w:szCs w:val="24"/>
        </w:rPr>
      </w:pPr>
      <w:bookmarkStart w:id="1163" w:name="_Toc534895347"/>
      <w:bookmarkStart w:id="1164" w:name="_Toc534807130"/>
      <w:bookmarkStart w:id="1165" w:name="_Toc3903356"/>
      <w:bookmarkStart w:id="1166" w:name="_Toc536265219"/>
      <w:r>
        <w:rPr>
          <w:rFonts w:hint="eastAsia"/>
          <w:kern w:val="0"/>
          <w:szCs w:val="24"/>
        </w:rPr>
        <w:t>7</w:t>
      </w:r>
      <w:r>
        <w:rPr>
          <w:kern w:val="0"/>
          <w:szCs w:val="24"/>
        </w:rPr>
        <w:t>.</w:t>
      </w:r>
      <w:r>
        <w:rPr>
          <w:rFonts w:hint="eastAsia"/>
          <w:kern w:val="0"/>
          <w:szCs w:val="24"/>
        </w:rPr>
        <w:t>10</w:t>
      </w:r>
      <w:r>
        <w:rPr>
          <w:kern w:val="0"/>
          <w:szCs w:val="24"/>
        </w:rPr>
        <w:t>.2运行期人群健康保护措施</w:t>
      </w:r>
      <w:bookmarkEnd w:id="1163"/>
      <w:bookmarkEnd w:id="1164"/>
      <w:bookmarkEnd w:id="1165"/>
      <w:bookmarkEnd w:id="1166"/>
    </w:p>
    <w:p>
      <w:pPr>
        <w:ind w:firstLine="480"/>
        <w:rPr>
          <w:szCs w:val="24"/>
        </w:rPr>
      </w:pPr>
      <w:r>
        <w:rPr>
          <w:szCs w:val="24"/>
        </w:rPr>
        <w:t>本项目建成运行后，抬水坝周边浅水环境增多，有利于蚊虫的生长繁殖，如不采取相应的防治措施，可能会引起库周居民疾病的传播和扩散。为防止居民发病率的提高，应注意清除库周浅水区杂草，以减少蚊蝇孳生环境，并用药物喷洒消灭成虫。发生洪水的地区应注意监控鼠类及蚊蝇密度，并向群众宣传自我防护知识，防止疾病流行。</w:t>
      </w:r>
    </w:p>
    <w:p>
      <w:pPr>
        <w:autoSpaceDE w:val="0"/>
        <w:autoSpaceDN w:val="0"/>
        <w:adjustRightInd w:val="0"/>
        <w:ind w:firstLine="480"/>
        <w:rPr>
          <w:szCs w:val="24"/>
        </w:rPr>
        <w:sectPr>
          <w:headerReference r:id="rId19" w:type="default"/>
          <w:pgSz w:w="11906" w:h="16838"/>
          <w:pgMar w:top="1814" w:right="1134" w:bottom="1701" w:left="1418" w:header="1134" w:footer="992" w:gutter="0"/>
          <w:cols w:space="720" w:num="1"/>
          <w:docGrid w:linePitch="326" w:charSpace="0"/>
        </w:sectPr>
      </w:pPr>
    </w:p>
    <w:p>
      <w:pPr>
        <w:pStyle w:val="1064"/>
        <w:spacing w:before="240" w:beforeLines="0" w:after="240" w:afterLines="0" w:line="360" w:lineRule="auto"/>
        <w:ind w:firstLine="601"/>
        <w:rPr>
          <w:rFonts w:eastAsia="宋体" w:cs="Times New Roman"/>
          <w:kern w:val="30"/>
          <w:sz w:val="30"/>
        </w:rPr>
      </w:pPr>
      <w:bookmarkStart w:id="1167" w:name="_Toc3903358"/>
      <w:bookmarkStart w:id="1168" w:name="_Toc536265221"/>
      <w:bookmarkStart w:id="1169" w:name="_Toc534807132"/>
      <w:bookmarkStart w:id="1170" w:name="_Toc534895349"/>
      <w:bookmarkStart w:id="1171" w:name="_Toc22363"/>
      <w:r>
        <w:rPr>
          <w:rFonts w:eastAsia="宋体" w:cs="Times New Roman"/>
          <w:b/>
          <w:kern w:val="30"/>
          <w:sz w:val="30"/>
        </w:rPr>
        <w:t>第</w:t>
      </w:r>
      <w:r>
        <w:rPr>
          <w:rFonts w:hint="eastAsia" w:eastAsia="宋体" w:cs="Times New Roman"/>
          <w:b/>
          <w:kern w:val="30"/>
          <w:sz w:val="30"/>
        </w:rPr>
        <w:t>八</w:t>
      </w:r>
      <w:r>
        <w:rPr>
          <w:rFonts w:eastAsia="宋体" w:cs="Times New Roman"/>
          <w:b/>
          <w:kern w:val="30"/>
          <w:sz w:val="30"/>
        </w:rPr>
        <w:t>章  环境</w:t>
      </w:r>
      <w:r>
        <w:rPr>
          <w:rFonts w:hint="eastAsia" w:eastAsia="宋体" w:cs="Times New Roman"/>
          <w:b/>
          <w:kern w:val="30"/>
          <w:sz w:val="30"/>
        </w:rPr>
        <w:t>管理</w:t>
      </w:r>
      <w:r>
        <w:rPr>
          <w:rFonts w:eastAsia="宋体" w:cs="Times New Roman"/>
          <w:b/>
          <w:kern w:val="30"/>
          <w:sz w:val="30"/>
        </w:rPr>
        <w:t>与</w:t>
      </w:r>
      <w:bookmarkEnd w:id="1167"/>
      <w:bookmarkEnd w:id="1168"/>
      <w:bookmarkEnd w:id="1169"/>
      <w:bookmarkEnd w:id="1170"/>
      <w:r>
        <w:rPr>
          <w:rFonts w:hint="eastAsia" w:eastAsia="宋体" w:cs="Times New Roman"/>
          <w:b/>
          <w:kern w:val="30"/>
          <w:sz w:val="30"/>
        </w:rPr>
        <w:t>监测计划</w:t>
      </w:r>
      <w:bookmarkEnd w:id="1171"/>
    </w:p>
    <w:p>
      <w:pPr>
        <w:ind w:firstLine="480"/>
      </w:pPr>
      <w:r>
        <w:t>为了保护工程周边环境，确保工程的各种不良环境影响得到有效控制和缓解，必须对本项目的全过程进行严格、科学的跟踪，并进行规范的环境管理与环境监控</w:t>
      </w:r>
      <w:r>
        <w:rPr>
          <w:rFonts w:hint="eastAsia"/>
        </w:rPr>
        <w:t>。</w:t>
      </w:r>
    </w:p>
    <w:p>
      <w:pPr>
        <w:pStyle w:val="6"/>
        <w:spacing w:beforeLines="50" w:afterLines="50"/>
        <w:rPr>
          <w:szCs w:val="28"/>
        </w:rPr>
      </w:pPr>
      <w:bookmarkStart w:id="1172" w:name="_Toc248717038"/>
      <w:bookmarkStart w:id="1173" w:name="_Toc257295309"/>
      <w:bookmarkStart w:id="1174" w:name="_Toc242683228"/>
      <w:bookmarkStart w:id="1175" w:name="_Toc263272022"/>
      <w:bookmarkStart w:id="1176" w:name="_Toc237249076"/>
      <w:bookmarkStart w:id="1177" w:name="_Toc238818009"/>
      <w:bookmarkStart w:id="1178" w:name="_Toc241113933"/>
      <w:bookmarkStart w:id="1179" w:name="_Toc242870423"/>
      <w:bookmarkStart w:id="1180" w:name="_Toc242930001"/>
      <w:bookmarkStart w:id="1181" w:name="_Toc334643221"/>
      <w:bookmarkStart w:id="1182" w:name="_Toc534386392"/>
      <w:bookmarkStart w:id="1183" w:name="_Toc529279148"/>
      <w:bookmarkStart w:id="1184" w:name="_Toc250961259"/>
      <w:bookmarkStart w:id="1185" w:name="_Toc534895356"/>
      <w:bookmarkStart w:id="1186" w:name="_Toc32601"/>
      <w:bookmarkStart w:id="1187" w:name="_Toc534807139"/>
      <w:bookmarkStart w:id="1188" w:name="_Toc3903365"/>
      <w:bookmarkStart w:id="1189" w:name="_Toc536265228"/>
      <w:r>
        <w:rPr>
          <w:rFonts w:hint="eastAsia"/>
          <w:szCs w:val="28"/>
        </w:rPr>
        <w:t>8</w:t>
      </w:r>
      <w:r>
        <w:rPr>
          <w:szCs w:val="28"/>
        </w:rPr>
        <w:t>.</w:t>
      </w:r>
      <w:r>
        <w:rPr>
          <w:rFonts w:hint="eastAsia"/>
          <w:szCs w:val="28"/>
        </w:rPr>
        <w:t>1</w:t>
      </w:r>
      <w:r>
        <w:rPr>
          <w:szCs w:val="28"/>
        </w:rPr>
        <w:t>环境</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r>
        <w:rPr>
          <w:szCs w:val="28"/>
        </w:rPr>
        <w:t>管理</w:t>
      </w:r>
      <w:bookmarkEnd w:id="1185"/>
      <w:bookmarkEnd w:id="1186"/>
      <w:bookmarkEnd w:id="1187"/>
      <w:bookmarkEnd w:id="1188"/>
      <w:bookmarkEnd w:id="1189"/>
    </w:p>
    <w:p>
      <w:pPr>
        <w:pStyle w:val="7"/>
        <w:rPr>
          <w:kern w:val="0"/>
          <w:szCs w:val="24"/>
        </w:rPr>
      </w:pPr>
      <w:bookmarkStart w:id="1190" w:name="_Toc200267341"/>
      <w:bookmarkStart w:id="1191" w:name="_Toc529279149"/>
      <w:bookmarkStart w:id="1192" w:name="_Toc344296404"/>
      <w:bookmarkStart w:id="1193" w:name="_Toc215890846"/>
      <w:bookmarkStart w:id="1194" w:name="_Toc341965841"/>
      <w:bookmarkStart w:id="1195" w:name="_Toc215312950"/>
      <w:bookmarkStart w:id="1196" w:name="_Toc534386393"/>
      <w:bookmarkStart w:id="1197" w:name="_Toc185305989"/>
      <w:bookmarkStart w:id="1198" w:name="_Toc90178060"/>
      <w:bookmarkStart w:id="1199" w:name="_Toc214781242"/>
      <w:bookmarkStart w:id="1200" w:name="_Toc536265229"/>
      <w:bookmarkStart w:id="1201" w:name="_Toc534895357"/>
      <w:bookmarkStart w:id="1202" w:name="_Toc534807140"/>
      <w:bookmarkStart w:id="1203" w:name="_Toc3903366"/>
      <w:r>
        <w:rPr>
          <w:rFonts w:hint="eastAsia"/>
          <w:kern w:val="0"/>
          <w:szCs w:val="24"/>
        </w:rPr>
        <w:t>8.1</w:t>
      </w:r>
      <w:r>
        <w:rPr>
          <w:kern w:val="0"/>
          <w:szCs w:val="24"/>
        </w:rPr>
        <w:t>.1</w:t>
      </w:r>
      <w:bookmarkEnd w:id="1190"/>
      <w:bookmarkEnd w:id="1191"/>
      <w:bookmarkEnd w:id="1192"/>
      <w:bookmarkEnd w:id="1193"/>
      <w:bookmarkEnd w:id="1194"/>
      <w:bookmarkEnd w:id="1195"/>
      <w:bookmarkEnd w:id="1196"/>
      <w:bookmarkEnd w:id="1197"/>
      <w:bookmarkEnd w:id="1198"/>
      <w:bookmarkEnd w:id="1199"/>
      <w:r>
        <w:rPr>
          <w:kern w:val="0"/>
          <w:szCs w:val="24"/>
        </w:rPr>
        <w:t>环境管理目标</w:t>
      </w:r>
      <w:bookmarkEnd w:id="1200"/>
      <w:bookmarkEnd w:id="1201"/>
      <w:bookmarkEnd w:id="1202"/>
      <w:bookmarkEnd w:id="1203"/>
    </w:p>
    <w:p>
      <w:pPr>
        <w:autoSpaceDE w:val="0"/>
        <w:autoSpaceDN w:val="0"/>
        <w:adjustRightInd w:val="0"/>
        <w:ind w:firstLine="480"/>
        <w:rPr>
          <w:szCs w:val="24"/>
        </w:rPr>
      </w:pPr>
      <w:bookmarkStart w:id="1204" w:name="_Toc185305990"/>
      <w:bookmarkStart w:id="1205" w:name="_Toc215890847"/>
      <w:bookmarkStart w:id="1206" w:name="_Toc534386394"/>
      <w:bookmarkStart w:id="1207" w:name="_Toc215312951"/>
      <w:bookmarkStart w:id="1208" w:name="_Toc90178061"/>
      <w:bookmarkStart w:id="1209" w:name="_Toc529279150"/>
      <w:bookmarkStart w:id="1210" w:name="_Toc341965842"/>
      <w:bookmarkStart w:id="1211" w:name="_Toc200267342"/>
      <w:bookmarkStart w:id="1212" w:name="_Toc344296405"/>
      <w:bookmarkStart w:id="1213" w:name="_Toc214781244"/>
      <w:bookmarkStart w:id="1214" w:name="_Toc3903367"/>
      <w:bookmarkStart w:id="1215" w:name="_Toc534895358"/>
      <w:bookmarkStart w:id="1216" w:name="_Toc534807141"/>
      <w:bookmarkStart w:id="1217" w:name="_Toc536265230"/>
      <w:r>
        <w:rPr>
          <w:rFonts w:hint="eastAsia"/>
          <w:szCs w:val="24"/>
        </w:rPr>
        <w:t>(1)保证各项环境保护措施按照工程环境影响报告书及其批复、环境保护设计的要求实施，并保证各项环境保护设施正常、有效运行。</w:t>
      </w:r>
    </w:p>
    <w:p>
      <w:pPr>
        <w:autoSpaceDE w:val="0"/>
        <w:autoSpaceDN w:val="0"/>
        <w:adjustRightInd w:val="0"/>
        <w:ind w:firstLine="480"/>
        <w:rPr>
          <w:szCs w:val="24"/>
        </w:rPr>
      </w:pPr>
      <w:r>
        <w:rPr>
          <w:rFonts w:hint="eastAsia"/>
          <w:szCs w:val="24"/>
        </w:rPr>
        <w:t>(2)预防污染事故的发生，保证各类污染物达标排放、合理回用，使工程区及其附近的水环境、环境空气和声环境质量达到环境功能区划要求的标准。</w:t>
      </w:r>
    </w:p>
    <w:p>
      <w:pPr>
        <w:autoSpaceDE w:val="0"/>
        <w:autoSpaceDN w:val="0"/>
        <w:adjustRightInd w:val="0"/>
        <w:ind w:firstLine="480"/>
        <w:rPr>
          <w:szCs w:val="24"/>
        </w:rPr>
      </w:pPr>
      <w:r>
        <w:rPr>
          <w:rFonts w:hint="eastAsia"/>
          <w:szCs w:val="24"/>
        </w:rPr>
        <w:t>(3)水土流失和生态破坏得到有效控制，并通过采取措施恢复原有的水土保持功能和生态环境质量。</w:t>
      </w:r>
    </w:p>
    <w:p>
      <w:pPr>
        <w:autoSpaceDE w:val="0"/>
        <w:autoSpaceDN w:val="0"/>
        <w:adjustRightInd w:val="0"/>
        <w:ind w:firstLine="480"/>
        <w:rPr>
          <w:szCs w:val="24"/>
        </w:rPr>
      </w:pPr>
      <w:r>
        <w:rPr>
          <w:rFonts w:hint="eastAsia"/>
          <w:szCs w:val="24"/>
        </w:rPr>
        <w:t>(4)做好施工区卫生防疫工作，完善疫情管理体系，控制施工人群传染病发病率，避免传染病爆发和蔓延。</w:t>
      </w:r>
    </w:p>
    <w:p>
      <w:pPr>
        <w:autoSpaceDE w:val="0"/>
        <w:autoSpaceDN w:val="0"/>
        <w:adjustRightInd w:val="0"/>
        <w:ind w:firstLine="480"/>
        <w:rPr>
          <w:szCs w:val="24"/>
        </w:rPr>
      </w:pPr>
      <w:r>
        <w:rPr>
          <w:rFonts w:hint="eastAsia"/>
          <w:szCs w:val="24"/>
        </w:rPr>
        <w:t>(5)协调工程建设与环境保护的关系，保障工程建设的顺利进行，促进施工区环境美化，争创环保优秀工程。</w:t>
      </w:r>
    </w:p>
    <w:p>
      <w:pPr>
        <w:pStyle w:val="7"/>
        <w:snapToGrid w:val="0"/>
        <w:rPr>
          <w:szCs w:val="24"/>
        </w:rPr>
      </w:pPr>
      <w:r>
        <w:rPr>
          <w:rFonts w:hint="eastAsia"/>
          <w:szCs w:val="24"/>
        </w:rPr>
        <w:t>8</w:t>
      </w:r>
      <w:r>
        <w:rPr>
          <w:szCs w:val="24"/>
        </w:rPr>
        <w:t>.</w:t>
      </w:r>
      <w:r>
        <w:rPr>
          <w:rFonts w:hint="eastAsia"/>
          <w:szCs w:val="24"/>
        </w:rPr>
        <w:t>1</w:t>
      </w:r>
      <w:r>
        <w:rPr>
          <w:szCs w:val="24"/>
        </w:rPr>
        <w:t>.2</w:t>
      </w:r>
      <w:bookmarkEnd w:id="1204"/>
      <w:bookmarkEnd w:id="1205"/>
      <w:bookmarkEnd w:id="1206"/>
      <w:bookmarkEnd w:id="1207"/>
      <w:bookmarkEnd w:id="1208"/>
      <w:bookmarkEnd w:id="1209"/>
      <w:bookmarkEnd w:id="1210"/>
      <w:bookmarkEnd w:id="1211"/>
      <w:bookmarkEnd w:id="1212"/>
      <w:bookmarkEnd w:id="1213"/>
      <w:r>
        <w:rPr>
          <w:szCs w:val="24"/>
        </w:rPr>
        <w:t>环境管理机构设置</w:t>
      </w:r>
      <w:bookmarkEnd w:id="1214"/>
      <w:bookmarkEnd w:id="1215"/>
      <w:bookmarkEnd w:id="1216"/>
      <w:bookmarkEnd w:id="1217"/>
    </w:p>
    <w:p>
      <w:pPr>
        <w:ind w:firstLine="480"/>
        <w:rPr>
          <w:kern w:val="0"/>
        </w:rPr>
      </w:pPr>
      <w:bookmarkStart w:id="1218" w:name="_Toc214781245"/>
      <w:r>
        <w:rPr>
          <w:rFonts w:hint="eastAsia" w:ascii="宋体" w:hAnsi="宋体" w:cs="宋体"/>
          <w:kern w:val="0"/>
        </w:rPr>
        <w:t>⑴</w:t>
      </w:r>
      <w:r>
        <w:rPr>
          <w:kern w:val="0"/>
        </w:rPr>
        <w:t>管理机构</w:t>
      </w:r>
    </w:p>
    <w:p>
      <w:pPr>
        <w:ind w:firstLine="480"/>
        <w:rPr>
          <w:kern w:val="0"/>
        </w:rPr>
      </w:pPr>
      <w:r>
        <w:rPr>
          <w:kern w:val="0"/>
        </w:rPr>
        <w:t>建设单位应成立</w:t>
      </w:r>
      <w:r>
        <w:rPr>
          <w:rFonts w:hint="eastAsia"/>
          <w:szCs w:val="24"/>
        </w:rPr>
        <w:t>上高</w:t>
      </w:r>
      <w:r>
        <w:rPr>
          <w:szCs w:val="24"/>
        </w:rPr>
        <w:t>县</w:t>
      </w:r>
      <w:r>
        <w:rPr>
          <w:rFonts w:hint="eastAsia"/>
          <w:szCs w:val="24"/>
        </w:rPr>
        <w:t>毛家渡</w:t>
      </w:r>
      <w:r>
        <w:rPr>
          <w:szCs w:val="24"/>
        </w:rPr>
        <w:t>抬水</w:t>
      </w:r>
      <w:r>
        <w:rPr>
          <w:kern w:val="0"/>
        </w:rPr>
        <w:t>工程环境保护管理机构，具体负责工程从前期工作、施工至运行后的一系列有关环境保护管理工作，落实环境保护工作经费，对施工期和运行期环境保护工作进行监督和管理，并负责与政府环境保护行政主管部门联系和协调环境管理事宜。其具体工作内容为：</w:t>
      </w:r>
    </w:p>
    <w:p>
      <w:pPr>
        <w:ind w:firstLine="480"/>
        <w:rPr>
          <w:kern w:val="0"/>
        </w:rPr>
      </w:pPr>
      <w:r>
        <w:rPr>
          <w:kern w:val="0"/>
        </w:rPr>
        <w:t>开展工程环境保护前期工作，应委托有资质的设计单位根据环境保护行政主管部门批复的环境影响报告书开展设计工作，包括环境保护初步设计、施工图设计；应委托有资质的招标单位编制环境保护招标文件，开展招标工作。</w:t>
      </w:r>
    </w:p>
    <w:p>
      <w:pPr>
        <w:ind w:firstLine="480"/>
        <w:rPr>
          <w:kern w:val="0"/>
        </w:rPr>
      </w:pPr>
      <w:r>
        <w:rPr>
          <w:kern w:val="0"/>
        </w:rPr>
        <w:t>施工期应制定年度环境保护工作计划；落实环境保护工作经费；监督承包商的环境保护措施执行情况；委托有资质的单位开展环境监测工作；编写年度环境保护阶段报告等工作。</w:t>
      </w:r>
    </w:p>
    <w:p>
      <w:pPr>
        <w:ind w:firstLine="480"/>
        <w:rPr>
          <w:kern w:val="0"/>
        </w:rPr>
      </w:pPr>
      <w:r>
        <w:rPr>
          <w:kern w:val="0"/>
        </w:rPr>
        <w:t>运行期应负责制定年度环境保护工作计划；落实环境保护工作经费；监督生态环境保护措施的实施情况；委托有资质的单位开展环境监测工作；编写年度环境保护工作阶段报告等工作。</w:t>
      </w:r>
    </w:p>
    <w:p>
      <w:pPr>
        <w:ind w:firstLine="480"/>
        <w:rPr>
          <w:kern w:val="0"/>
        </w:rPr>
      </w:pPr>
      <w:r>
        <w:rPr>
          <w:rFonts w:hint="eastAsia" w:ascii="宋体" w:hAnsi="宋体" w:cs="宋体"/>
          <w:kern w:val="0"/>
        </w:rPr>
        <w:t>⑵</w:t>
      </w:r>
      <w:r>
        <w:rPr>
          <w:kern w:val="0"/>
        </w:rPr>
        <w:t>执行单位</w:t>
      </w:r>
    </w:p>
    <w:p>
      <w:pPr>
        <w:ind w:firstLine="480"/>
        <w:rPr>
          <w:kern w:val="0"/>
        </w:rPr>
      </w:pPr>
      <w:r>
        <w:rPr>
          <w:kern w:val="0"/>
        </w:rPr>
        <w:t>环境保护的具体措施必须由工程建设单位、运行管理单位和施工单位执行、落实，各负其责。在招投标阶段，承包商在标书中应有环境保护内容，中标后合同中应有实施环保措施的条款，并应明确违约责任，即在接受本项目的施工任务时，也同时接受环境保护设施的施工任务。建设单位和施工单位必须将环保工程的施工纳入项目的施工计划，保证其建设进度和资金落实，并将环保工程进度情况报告环境保护部门。在施工开始后，建设单位应配备环保人员负责施工期环境管理与监督；施工单位要具备相应的环保施工资质，同时应配备环保人员，监督环保措施的实施。环境监测任务可委托当地具有相应资质的环境监测单位承担。运行期，工程运行管理单位应根据环境管理与监测计划，落实运行期的环保措施。项目竣工后，建设单位应当按照规定的标准和程序，对配套建设的环境保护设施进行验收，编制验收报告。</w:t>
      </w:r>
    </w:p>
    <w:p>
      <w:pPr>
        <w:ind w:firstLine="480"/>
        <w:rPr>
          <w:kern w:val="0"/>
        </w:rPr>
      </w:pPr>
      <w:r>
        <w:rPr>
          <w:rFonts w:hint="eastAsia" w:ascii="宋体" w:hAnsi="宋体" w:cs="宋体"/>
          <w:kern w:val="0"/>
        </w:rPr>
        <w:t>⑶</w:t>
      </w:r>
      <w:r>
        <w:rPr>
          <w:kern w:val="0"/>
        </w:rPr>
        <w:t>监督机构</w:t>
      </w:r>
    </w:p>
    <w:p>
      <w:pPr>
        <w:ind w:firstLine="480"/>
        <w:rPr>
          <w:kern w:val="0"/>
        </w:rPr>
      </w:pPr>
      <w:r>
        <w:rPr>
          <w:kern w:val="0"/>
        </w:rPr>
        <w:t>根据《中华人民共和国环境保护法》以及《建设项目环境保护管理条例》所规定的环境保护管理权限，本项目的环境影响报告书由宜春市</w:t>
      </w:r>
      <w:r>
        <w:rPr>
          <w:rFonts w:hint="eastAsia"/>
          <w:kern w:val="0"/>
        </w:rPr>
        <w:t>上高</w:t>
      </w:r>
      <w:r>
        <w:rPr>
          <w:kern w:val="0"/>
        </w:rPr>
        <w:t>生态环境局负责审批，宜春市</w:t>
      </w:r>
      <w:r>
        <w:rPr>
          <w:rFonts w:hint="eastAsia"/>
          <w:kern w:val="0"/>
        </w:rPr>
        <w:t>上高</w:t>
      </w:r>
      <w:r>
        <w:rPr>
          <w:kern w:val="0"/>
        </w:rPr>
        <w:t>生态环境局为该项目的监督机构，其职责是根据项目的环境影响报告书提出的各项环保要求负责工程的环保监督管理，对项目环保设施设计、施工、验收、投入生产或者使用情况，以及有关环境影响评价文件确定的其他环保措施的落实情况进行监督检查。</w:t>
      </w:r>
    </w:p>
    <w:p>
      <w:pPr>
        <w:pStyle w:val="7"/>
        <w:snapToGrid w:val="0"/>
        <w:rPr>
          <w:szCs w:val="24"/>
        </w:rPr>
      </w:pPr>
      <w:r>
        <w:rPr>
          <w:rFonts w:hint="eastAsia"/>
          <w:szCs w:val="24"/>
        </w:rPr>
        <w:t>8</w:t>
      </w:r>
      <w:r>
        <w:rPr>
          <w:szCs w:val="24"/>
        </w:rPr>
        <w:t>.1.</w:t>
      </w:r>
      <w:r>
        <w:rPr>
          <w:rFonts w:hint="eastAsia"/>
          <w:szCs w:val="24"/>
        </w:rPr>
        <w:t>3</w:t>
      </w:r>
      <w:r>
        <w:rPr>
          <w:szCs w:val="24"/>
        </w:rPr>
        <w:t>环境管理计划</w:t>
      </w:r>
    </w:p>
    <w:p>
      <w:pPr>
        <w:autoSpaceDE w:val="0"/>
        <w:autoSpaceDN w:val="0"/>
        <w:adjustRightInd w:val="0"/>
        <w:ind w:firstLine="480"/>
        <w:rPr>
          <w:kern w:val="0"/>
        </w:rPr>
      </w:pPr>
      <w:r>
        <w:rPr>
          <w:rFonts w:hint="eastAsia"/>
          <w:kern w:val="0"/>
        </w:rPr>
        <w:t>施工期的环境管理包括项目前期阶段管理、施工阶段管理和竣工验收阶段的管理。</w:t>
      </w:r>
    </w:p>
    <w:p>
      <w:pPr>
        <w:autoSpaceDE w:val="0"/>
        <w:autoSpaceDN w:val="0"/>
        <w:adjustRightInd w:val="0"/>
        <w:ind w:firstLine="0" w:firstLineChars="0"/>
        <w:rPr>
          <w:b/>
          <w:kern w:val="0"/>
          <w:szCs w:val="24"/>
        </w:rPr>
      </w:pPr>
      <w:r>
        <w:rPr>
          <w:b/>
          <w:kern w:val="0"/>
          <w:szCs w:val="24"/>
        </w:rPr>
        <w:t>8.1.3.1</w:t>
      </w:r>
      <w:r>
        <w:rPr>
          <w:rFonts w:hAnsi="宋体"/>
          <w:b/>
          <w:kern w:val="0"/>
          <w:szCs w:val="24"/>
        </w:rPr>
        <w:t>项目前期阶段环境管理</w:t>
      </w:r>
    </w:p>
    <w:p>
      <w:pPr>
        <w:autoSpaceDE w:val="0"/>
        <w:autoSpaceDN w:val="0"/>
        <w:adjustRightInd w:val="0"/>
        <w:ind w:firstLine="480"/>
        <w:rPr>
          <w:kern w:val="0"/>
        </w:rPr>
      </w:pPr>
      <w:r>
        <w:rPr>
          <w:rFonts w:hint="eastAsia"/>
          <w:kern w:val="0"/>
        </w:rPr>
        <w:t>应根据环评报告书的要求和建议，提出工程施工时的环境保护措施的要求和管理规定，纳入招标要求，要求承包商在标书中要有相应的环保措施内容，并要求承包商在中标后提出较详细的实施计划，确保环保措施在施工时的实施。</w:t>
      </w:r>
    </w:p>
    <w:p>
      <w:pPr>
        <w:autoSpaceDE w:val="0"/>
        <w:autoSpaceDN w:val="0"/>
        <w:adjustRightInd w:val="0"/>
        <w:ind w:firstLine="0" w:firstLineChars="0"/>
        <w:rPr>
          <w:b/>
          <w:kern w:val="0"/>
          <w:szCs w:val="24"/>
        </w:rPr>
      </w:pPr>
      <w:r>
        <w:rPr>
          <w:b/>
          <w:kern w:val="0"/>
          <w:szCs w:val="24"/>
        </w:rPr>
        <w:t>8.1.</w:t>
      </w:r>
      <w:r>
        <w:rPr>
          <w:rFonts w:hint="eastAsia"/>
          <w:b/>
          <w:kern w:val="0"/>
          <w:szCs w:val="24"/>
        </w:rPr>
        <w:t>3</w:t>
      </w:r>
      <w:r>
        <w:rPr>
          <w:b/>
          <w:kern w:val="0"/>
          <w:szCs w:val="24"/>
        </w:rPr>
        <w:t>.2</w:t>
      </w:r>
      <w:r>
        <w:rPr>
          <w:rFonts w:hint="eastAsia"/>
          <w:b/>
          <w:kern w:val="0"/>
          <w:szCs w:val="24"/>
        </w:rPr>
        <w:t>施工阶段环境管理</w:t>
      </w:r>
    </w:p>
    <w:p>
      <w:pPr>
        <w:ind w:firstLine="480"/>
      </w:pPr>
      <w:r>
        <w:rPr>
          <w:rFonts w:hint="eastAsia"/>
        </w:rPr>
        <w:t>(1)施工期环保实施计划</w:t>
      </w:r>
    </w:p>
    <w:p>
      <w:pPr>
        <w:ind w:firstLine="480"/>
      </w:pPr>
      <w:r>
        <w:rPr>
          <w:rFonts w:hint="eastAsia"/>
        </w:rPr>
        <w:t>建设单位应于施工开始前编制好施工期环境保护实施计划，以便于施工期的环境管理。环境保护实施计划应着重以下几个方面：</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水土流失防治计划</w:t>
      </w:r>
    </w:p>
    <w:p>
      <w:pPr>
        <w:ind w:firstLine="480"/>
      </w:pPr>
      <w:r>
        <w:rPr>
          <w:rFonts w:hint="eastAsia"/>
        </w:rPr>
        <w:t>A.工程施工应制定土石方平衡方案。</w:t>
      </w:r>
    </w:p>
    <w:p>
      <w:pPr>
        <w:ind w:firstLine="480"/>
      </w:pPr>
      <w:r>
        <w:rPr>
          <w:rFonts w:hint="eastAsia"/>
        </w:rPr>
        <w:t>B.临时堆放的土石方应边填边夯实，防止新填土进入水体中；边坡要及时加固，防止水土流失。</w:t>
      </w:r>
    </w:p>
    <w:p>
      <w:pPr>
        <w:ind w:firstLine="480"/>
      </w:pPr>
      <w:r>
        <w:rPr>
          <w:rFonts w:hint="eastAsia"/>
        </w:rPr>
        <w:t>C.弃渣不得随意乱倒，应清运到弃土场。</w:t>
      </w:r>
    </w:p>
    <w:p>
      <w:pPr>
        <w:ind w:firstLine="480"/>
      </w:pPr>
      <w:r>
        <w:rPr>
          <w:rFonts w:hint="eastAsia"/>
        </w:rPr>
        <w:t>D.对取土场、临时堆土场应制定水土保持措施，不得随意到处乱挖土石方。临时堆土场使用结束后，施工单位要负责平整地面，恢复植被。</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施工噪声和扬尘防治计划</w:t>
      </w:r>
    </w:p>
    <w:p>
      <w:pPr>
        <w:ind w:firstLine="480"/>
      </w:pPr>
      <w:r>
        <w:rPr>
          <w:rFonts w:hint="eastAsia"/>
        </w:rPr>
        <w:t>选用施工机械噪声低的设备，并加强劳动保护措施。严格控制夜间施工。施工过程汽车进出场地的噪声和道路的扬尘对环境影响较大，因此对扬尘要采取防治措施，干燥季节、有风季节要对运输路段洒水。</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植被恢复和绿化计划</w:t>
      </w:r>
    </w:p>
    <w:p>
      <w:pPr>
        <w:ind w:firstLine="480"/>
      </w:pPr>
      <w:r>
        <w:rPr>
          <w:rFonts w:hint="eastAsia"/>
        </w:rPr>
        <w:t>对施工中造成的植被破坏，应制定植被恢复、建设及维护计划，绿化应有层次，有点线面结合，有乔灌草结合，集中绿化和分散绿化结合。</w:t>
      </w:r>
    </w:p>
    <w:p>
      <w:pPr>
        <w:ind w:firstLine="480"/>
      </w:pPr>
      <w:r>
        <w:rPr>
          <w:rFonts w:hint="eastAsia"/>
        </w:rPr>
        <w:t>(2)施工期环境管理</w:t>
      </w:r>
    </w:p>
    <w:p>
      <w:pPr>
        <w:ind w:firstLine="480"/>
      </w:pPr>
      <w:r>
        <w:rPr>
          <w:rFonts w:hint="eastAsia"/>
        </w:rPr>
        <w:t>在工程招标过程中将环境保护措施纳入工程建设招标合同内容，包括生产废水的沉淀、隔油处理，生活污水处理，生产原料及设备的防泄漏及除尘，对敏感区的噪声防护，生活垃圾、弃渣的及时清运等项内容。施工工程指挥部设立环境管理科室，每个施工单位各配置</w:t>
      </w:r>
      <w:r>
        <w:t xml:space="preserve">1 </w:t>
      </w:r>
      <w:r>
        <w:rPr>
          <w:rFonts w:hint="eastAsia"/>
        </w:rPr>
        <w:t>名专职环保人员，负责本单位在施工过程中的环境保护工作。具体职责为：对施工人员进行宣传教育，将环境保护意识灌输到每个施工人员的思想中去，尽量减免由生产和生活活动引起的环境污染；监督落实各项环保措施，制定相应的奖惩措施，协调工程建设和环境保护的关系，促进文明施工，以保障工程建设顺利进行。工程指挥部门的环境管理机构，需建立环境质量报告制度，实施环境监理和环境工程“三同时”验收检查制度，制定施工区环境管理办法，加强宣传教育，增强施工人员的环保意识。</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施工期的环境管理应着重于施工场所的现场检查和监督。应采取日常的、全面的检查和重点监督检查相结合。</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施工中环境管理和监督检查的第一个重点，是防止植被破坏和水土流失。其次是施工人员进驻区及施工临时占地区。检查其是否认真实施了植被保护措施、水土保持和养护措施。对于违规施工的，应及时予以制止和警告；对于造成严重植被破坏、水土流失或其它生态破坏者，应给予处罚或追究责任。</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施工中环境管理的监督检查的另一个重点，是防止施工中的水、气、声、固体废弃物污染。检查的重点是施工的高峰期和重点施工段。检查其是否实施了有关的水、气、声、渣污染防治措施。对于违规施工的，应及时予以制止和警告；对于造成严重污染者应给予处罚和追究责任。在敏感区应进行施工噪声的监测，若超标频繁或幅度较大，应及时采取措施。</w:t>
      </w:r>
    </w:p>
    <w:p>
      <w:pPr>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所有的检查计划、检查情况和处理情况都应当有现场的文字记录，并应及时通报给各有关部门。记录应定期汇总、归档。</w:t>
      </w:r>
    </w:p>
    <w:p>
      <w:pPr>
        <w:autoSpaceDE w:val="0"/>
        <w:autoSpaceDN w:val="0"/>
        <w:adjustRightInd w:val="0"/>
        <w:ind w:firstLine="0" w:firstLineChars="0"/>
        <w:rPr>
          <w:b/>
          <w:kern w:val="0"/>
          <w:szCs w:val="24"/>
        </w:rPr>
      </w:pPr>
      <w:r>
        <w:rPr>
          <w:b/>
          <w:kern w:val="0"/>
          <w:szCs w:val="24"/>
        </w:rPr>
        <w:t>8.1.</w:t>
      </w:r>
      <w:r>
        <w:rPr>
          <w:rFonts w:hint="eastAsia"/>
          <w:b/>
          <w:kern w:val="0"/>
          <w:szCs w:val="24"/>
        </w:rPr>
        <w:t>3</w:t>
      </w:r>
      <w:r>
        <w:rPr>
          <w:b/>
          <w:kern w:val="0"/>
          <w:szCs w:val="24"/>
        </w:rPr>
        <w:t>.3</w:t>
      </w:r>
      <w:r>
        <w:rPr>
          <w:rFonts w:hint="eastAsia"/>
          <w:b/>
          <w:kern w:val="0"/>
          <w:szCs w:val="24"/>
        </w:rPr>
        <w:t>验收阶段的环境管理</w:t>
      </w:r>
    </w:p>
    <w:p>
      <w:pPr>
        <w:ind w:firstLine="480"/>
      </w:pPr>
      <w:r>
        <w:rPr>
          <w:rFonts w:hint="eastAsia"/>
        </w:rPr>
        <w:t>(1)施工后，应对施工场所、施工人员进驻区及施工临时占地区的清场情况进行检查验收。要求施工固体废物清理干净，生活垃圾清理干净，土地平整清楚，地面上植被得以恢复，周围景观得以修复或改善。</w:t>
      </w:r>
    </w:p>
    <w:p>
      <w:pPr>
        <w:ind w:firstLine="480"/>
      </w:pPr>
      <w:r>
        <w:rPr>
          <w:rFonts w:hint="eastAsia"/>
        </w:rPr>
        <w:t>(2)配合有关部门，做好水土保持工程、绿化工程的验收工作。</w:t>
      </w:r>
    </w:p>
    <w:p>
      <w:pPr>
        <w:ind w:firstLine="480"/>
      </w:pPr>
      <w:r>
        <w:rPr>
          <w:rFonts w:hint="eastAsia"/>
        </w:rPr>
        <w:t>(3)环保管理机构应将施工期的环境管理工作计划、工作情况、现场监督检查记录和监测记录进行汇总统计，编制施工期的环境管理工作总结报告，上报当地环境保护主管部门，并归档。</w:t>
      </w:r>
    </w:p>
    <w:p>
      <w:pPr>
        <w:autoSpaceDE w:val="0"/>
        <w:autoSpaceDN w:val="0"/>
        <w:adjustRightInd w:val="0"/>
        <w:ind w:firstLine="0" w:firstLineChars="0"/>
        <w:rPr>
          <w:b/>
          <w:kern w:val="0"/>
          <w:szCs w:val="24"/>
        </w:rPr>
      </w:pPr>
      <w:r>
        <w:rPr>
          <w:b/>
          <w:kern w:val="0"/>
          <w:szCs w:val="24"/>
        </w:rPr>
        <w:t>8.1.</w:t>
      </w:r>
      <w:r>
        <w:rPr>
          <w:rFonts w:hint="eastAsia"/>
          <w:b/>
          <w:kern w:val="0"/>
          <w:szCs w:val="24"/>
        </w:rPr>
        <w:t>3.4运行期的环境管理</w:t>
      </w:r>
    </w:p>
    <w:p>
      <w:pPr>
        <w:ind w:firstLine="480"/>
      </w:pPr>
      <w:r>
        <w:rPr>
          <w:rFonts w:hint="eastAsia"/>
        </w:rPr>
        <w:t>运行期的环境管理的重点是各项环境保护措施的落实，环保设施运行的管理和维护，日常的监测及污染事故的防范和应急处理。</w:t>
      </w:r>
    </w:p>
    <w:p>
      <w:pPr>
        <w:ind w:firstLine="480"/>
      </w:pPr>
      <w:r>
        <w:rPr>
          <w:rFonts w:hint="eastAsia"/>
        </w:rPr>
        <w:t>(1)制度上的管理</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严格、认真地贯彻执行国家和江西省的有关环保法律、法规、政策和要求。</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制定本项目的环境管理制度和各专项环境管理办法，颁布到各部门贯彻实施，并对其实施情况进行监督、检查。</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制定本项目的环境保护规划和年度目标计划，制定生活污水、生活垃圾等污染物排放控制要求，进行阶段性的检查、总结。</w:t>
      </w:r>
    </w:p>
    <w:p>
      <w:pPr>
        <w:ind w:firstLine="480"/>
      </w:pPr>
      <w:r>
        <w:rPr>
          <w:rFonts w:hint="eastAsia"/>
        </w:rPr>
        <w:t>(2)运营中的环境管理</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所有的员工都应受到相应的岗位培训，使能胜任该岗位的工作。</w:t>
      </w:r>
    </w:p>
    <w:p>
      <w:pPr>
        <w:ind w:firstLine="48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所有的岗位都应有相应的操作规程，完整的运行记录，和畅通的信息交流通道。</w:t>
      </w:r>
    </w:p>
    <w:p>
      <w:pPr>
        <w:ind w:firstLine="480"/>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要做好绿化花草树木的管理工作。勤浇水、勤施肥、勤治虫、勤补种和更换花草，保证绿化成功率，并不断地提高绿化的档次。</w:t>
      </w:r>
    </w:p>
    <w:p>
      <w:pPr>
        <w:ind w:firstLine="48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rPr>
          <w:rFonts w:hint="eastAsia"/>
        </w:rPr>
        <w:t>为保护锦河的水质和感观的要求，必须制定禁止向坝址所在的锦河河道内扔垃圾、杂物以及排污水等管理制度，并严格管理，经常监督检查。</w:t>
      </w:r>
    </w:p>
    <w:bookmarkEnd w:id="1218"/>
    <w:p>
      <w:pPr>
        <w:pStyle w:val="6"/>
        <w:spacing w:beforeLines="50" w:afterLines="50"/>
        <w:rPr>
          <w:szCs w:val="28"/>
        </w:rPr>
      </w:pPr>
      <w:bookmarkStart w:id="1219" w:name="_Toc395"/>
      <w:r>
        <w:rPr>
          <w:szCs w:val="28"/>
        </w:rPr>
        <w:t>8.2</w:t>
      </w:r>
      <w:r>
        <w:rPr>
          <w:rFonts w:hint="eastAsia"/>
          <w:szCs w:val="28"/>
        </w:rPr>
        <w:t>环境监理</w:t>
      </w:r>
      <w:bookmarkEnd w:id="1219"/>
    </w:p>
    <w:p>
      <w:pPr>
        <w:pStyle w:val="7"/>
        <w:snapToGrid w:val="0"/>
        <w:rPr>
          <w:szCs w:val="24"/>
        </w:rPr>
      </w:pPr>
      <w:r>
        <w:rPr>
          <w:szCs w:val="24"/>
        </w:rPr>
        <w:t>8.2.1</w:t>
      </w:r>
      <w:r>
        <w:rPr>
          <w:rFonts w:hint="eastAsia"/>
          <w:szCs w:val="24"/>
        </w:rPr>
        <w:t>监理目的与任务</w:t>
      </w:r>
    </w:p>
    <w:p>
      <w:pPr>
        <w:ind w:firstLine="480"/>
      </w:pPr>
      <w:r>
        <w:rPr>
          <w:rFonts w:hint="eastAsia"/>
        </w:rPr>
        <w:t>环境监理是工程监理不可或缺的组成部分，环境监理工作贯穿于工程建设全过程。上高县毛家渡抬水工程环境监理任务由业主委托有资质单位承担，监理单位成立工程项目监理部，在业主授权范围内，依据合同条款对工程活动中的环境保护工作进行监理，全面监督和检查各施工单位环保措施落实情况和工程质量。本工程环境监理的任务包括：</w:t>
      </w:r>
    </w:p>
    <w:p>
      <w:pPr>
        <w:ind w:firstLine="480"/>
      </w:pPr>
      <w:r>
        <w:rPr>
          <w:rFonts w:hint="eastAsia"/>
        </w:rPr>
        <w:t>(1)质量控制：依照合同条款及国家环境保护法律、法规、政策要求，根据环境监测数据及巡查结果，监督、审查和评估施工单位各项环保措施执行情况，及时发现、纠正违反合同环保条款及国家环保要求的施工行为；</w:t>
      </w:r>
    </w:p>
    <w:p>
      <w:pPr>
        <w:ind w:firstLine="480"/>
      </w:pPr>
      <w:r>
        <w:rPr>
          <w:rFonts w:hint="eastAsia"/>
        </w:rPr>
        <w:t>(2)信息管理：及时掌握工程影响区各类环境信息，并对信息进行分类、反馈、处理和储存管理，便于监理决策和协调工程建设各参与方环境保护工作；</w:t>
      </w:r>
    </w:p>
    <w:p>
      <w:pPr>
        <w:ind w:firstLine="480"/>
      </w:pPr>
      <w:r>
        <w:rPr>
          <w:rFonts w:hint="eastAsia"/>
        </w:rPr>
        <w:t>(3)组织协调：协调业主与当地环保部门、承包商、设计单位与工程建设各有关部门之间的关系。</w:t>
      </w:r>
    </w:p>
    <w:p>
      <w:pPr>
        <w:pStyle w:val="7"/>
        <w:snapToGrid w:val="0"/>
        <w:rPr>
          <w:szCs w:val="24"/>
        </w:rPr>
      </w:pPr>
      <w:r>
        <w:rPr>
          <w:szCs w:val="24"/>
        </w:rPr>
        <w:t>8.2.2</w:t>
      </w:r>
      <w:r>
        <w:rPr>
          <w:rFonts w:hint="eastAsia"/>
          <w:szCs w:val="24"/>
        </w:rPr>
        <w:t>监理范围及内容</w:t>
      </w:r>
    </w:p>
    <w:p>
      <w:pPr>
        <w:ind w:firstLine="480"/>
      </w:pPr>
      <w:r>
        <w:rPr>
          <w:rFonts w:hint="eastAsia"/>
        </w:rPr>
        <w:t>监理范围：包括枢纽工程、施工场地、取土场、弃渣场等。环境监理的内容一般包括：</w:t>
      </w:r>
    </w:p>
    <w:p>
      <w:pPr>
        <w:ind w:firstLine="480"/>
      </w:pPr>
      <w:r>
        <w:rPr>
          <w:rFonts w:hint="eastAsia"/>
        </w:rPr>
        <w:t>(1)对污染源强进行控制，并要求达标排放，使施工区及其影响区应达到规定的环境质量标准。</w:t>
      </w:r>
    </w:p>
    <w:p>
      <w:pPr>
        <w:ind w:firstLine="480"/>
      </w:pPr>
      <w:r>
        <w:rPr>
          <w:rFonts w:hint="eastAsia"/>
        </w:rPr>
        <w:t>(2)生产废水和生活污水的处理：对生产废水和生活污水处理后方可排放，排放指标达到国家规定的排放标准。</w:t>
      </w:r>
    </w:p>
    <w:p>
      <w:pPr>
        <w:ind w:firstLine="480"/>
      </w:pPr>
      <w:r>
        <w:rPr>
          <w:rFonts w:hint="eastAsia"/>
        </w:rPr>
        <w:t>(3)大气污染防治：施工区大气污染主要来源于施工和生产过程中产生的废气和粉尘。对施工场地、施工道路等抑尘措施进行监理，要求污染源达标排放，对施工区及其影响区应达到规定的环境质量标准。</w:t>
      </w:r>
    </w:p>
    <w:p>
      <w:pPr>
        <w:ind w:firstLine="480"/>
      </w:pPr>
      <w:r>
        <w:rPr>
          <w:rFonts w:hint="eastAsia"/>
        </w:rPr>
        <w:t>(4)噪声控制：为防治噪声危害，对产生强烈噪声和振动的污染源，应按照设计要求进行防治，要求施工区及其影响区的噪声环境质量达到相应标准，重点是在靠近施工场地和居民区的施工单位，必须避免噪声扰民。</w:t>
      </w:r>
    </w:p>
    <w:p>
      <w:pPr>
        <w:ind w:firstLine="480"/>
      </w:pPr>
      <w:r>
        <w:rPr>
          <w:rFonts w:hint="eastAsia"/>
        </w:rPr>
        <w:t>(5)固体废弃物处理：包括生活垃圾、生产垃圾和生产废渣处理。</w:t>
      </w:r>
    </w:p>
    <w:p>
      <w:pPr>
        <w:ind w:firstLine="480"/>
      </w:pPr>
      <w:r>
        <w:rPr>
          <w:rFonts w:hint="eastAsia"/>
        </w:rPr>
        <w:t>(6)生态保护和恢复措施：对保护野生动植物采取工程措施进行保护。保证施工期间及完工后采取的其它生态保护和恢复得以实施。</w:t>
      </w:r>
    </w:p>
    <w:p>
      <w:pPr>
        <w:ind w:firstLine="480"/>
      </w:pPr>
      <w:r>
        <w:rPr>
          <w:rFonts w:hint="eastAsia"/>
        </w:rPr>
        <w:t>(7)人群健康：预防传染病，为劳动者提供必要的劳动保护及卫生条件。</w:t>
      </w:r>
    </w:p>
    <w:p>
      <w:pPr>
        <w:ind w:firstLine="480"/>
      </w:pPr>
      <w:r>
        <w:rPr>
          <w:rFonts w:hint="eastAsia"/>
        </w:rPr>
        <w:t>(8)预防各类污染事故的发生，保证各类污染物达标排放，加强废水的综合利用，使工程区及其附近的水环境、环境空气和声环境质量达到环境功能区划要求的标准。</w:t>
      </w:r>
    </w:p>
    <w:p>
      <w:pPr>
        <w:ind w:firstLine="480"/>
      </w:pPr>
      <w:r>
        <w:rPr>
          <w:rFonts w:hint="eastAsia"/>
        </w:rPr>
        <w:t>(9)污染治理设施“三同时”落实情况：保证对各项污染治理工程的工艺、设备、能力、进度等按照环境保护设计文件要求得到有效实施或优化后实施，确保环保工程“三同时”工作在各阶段落实到位。</w:t>
      </w:r>
    </w:p>
    <w:p>
      <w:pPr>
        <w:pStyle w:val="7"/>
        <w:snapToGrid w:val="0"/>
        <w:rPr>
          <w:szCs w:val="24"/>
        </w:rPr>
      </w:pPr>
      <w:r>
        <w:rPr>
          <w:szCs w:val="24"/>
        </w:rPr>
        <w:t>8.2.3</w:t>
      </w:r>
      <w:r>
        <w:rPr>
          <w:rFonts w:hint="eastAsia"/>
          <w:szCs w:val="24"/>
        </w:rPr>
        <w:t>监理工程师职责</w:t>
      </w:r>
    </w:p>
    <w:p>
      <w:pPr>
        <w:ind w:firstLine="480"/>
      </w:pPr>
      <w:r>
        <w:rPr>
          <w:rFonts w:hint="eastAsia"/>
        </w:rPr>
        <w:t>在监理期间，设置环境监理工程师</w:t>
      </w:r>
      <w:r>
        <w:t>2</w:t>
      </w:r>
      <w:r>
        <w:rPr>
          <w:rFonts w:hint="eastAsia"/>
        </w:rPr>
        <w:t>名。环境监理工程师要到现场巡视，实行旁站式监理，一旦发现施工单位有乱砍伐植被、不按照环保设施设计要求施工、乱堆放弃渣等现象，立即下令整改或停工，并负责对环境保护措施进行验收、质量评定。监理工程师主要履行以下职责：</w:t>
      </w:r>
    </w:p>
    <w:p>
      <w:pPr>
        <w:ind w:firstLine="480"/>
      </w:pPr>
      <w:r>
        <w:rPr>
          <w:rFonts w:hint="eastAsia"/>
        </w:rPr>
        <w:t>(1)制定环境监理计划，监督检查生态环境保护措施、水环境保护措施和水土保持措施等实施情况，对工程中不利于环境保护的行为及时制止并提出相应的解决措施；监督施工期污染物处理设施运转情况，对各环境要素的监测结果进行分析研究，提出环保改善方案；</w:t>
      </w:r>
    </w:p>
    <w:p>
      <w:pPr>
        <w:ind w:firstLine="480"/>
      </w:pPr>
      <w:r>
        <w:rPr>
          <w:rFonts w:hint="eastAsia"/>
        </w:rPr>
        <w:t>(2)参加承包商提出的施工技术方案和施工计划的审查会议，就环保问题提出改进意见，审查承包商提出的可能污染的施工材料、设备清单及其所列的环保指标；</w:t>
      </w:r>
    </w:p>
    <w:p>
      <w:pPr>
        <w:ind w:firstLine="480"/>
      </w:pPr>
      <w:r>
        <w:rPr>
          <w:rFonts w:hint="eastAsia"/>
        </w:rPr>
        <w:t>(3)监督承包商环保合同条款的执行情况，并负责解释环保条款，对与工程施工关系较大的环境问题，由环境监理工程师提出解决意见，经工程总监同意后执行，一般环境问题由环境监理工程师决定；</w:t>
      </w:r>
    </w:p>
    <w:p>
      <w:pPr>
        <w:ind w:firstLine="480"/>
      </w:pPr>
      <w:r>
        <w:rPr>
          <w:rFonts w:hint="eastAsia"/>
        </w:rPr>
        <w:t>(4)每日对现场出现的环境问题及处理结果做记录，每月向环境管理机构提交月报表，积累资料并整理环境监理档案，每半年提交</w:t>
      </w:r>
      <w:r>
        <w:t xml:space="preserve">1 </w:t>
      </w:r>
      <w:r>
        <w:rPr>
          <w:rFonts w:hint="eastAsia"/>
        </w:rPr>
        <w:t>份环境监理评估报告；</w:t>
      </w:r>
    </w:p>
    <w:p>
      <w:pPr>
        <w:ind w:firstLine="480"/>
      </w:pPr>
      <w:r>
        <w:rPr>
          <w:rFonts w:hint="eastAsia"/>
        </w:rPr>
        <w:t>(5)全面检查施工单位负责的弃渣场、公路及料场的裸露地、施工迹地等的处理和恢复情况，尽量减少工程施工对环境带来的不利影响；</w:t>
      </w:r>
    </w:p>
    <w:p>
      <w:pPr>
        <w:ind w:firstLine="480"/>
      </w:pPr>
      <w:r>
        <w:rPr>
          <w:rFonts w:hint="eastAsia"/>
        </w:rPr>
        <w:t>(6)协调业主和承包商之间的关系，处理好合同中与环保有关的违约事件，按照合同规定，索赔程序做到公平、公正、公开处理；</w:t>
      </w:r>
    </w:p>
    <w:p>
      <w:pPr>
        <w:ind w:firstLine="480"/>
      </w:pPr>
      <w:r>
        <w:rPr>
          <w:rFonts w:hint="eastAsia"/>
        </w:rPr>
        <w:t>(7)环境监理工程师有权反对并要求承包商立即更换由承包商确认的而环境监理工程师认为是渎职者、或不能胜任环保工作或玩忽职守的环境管理人员。</w:t>
      </w:r>
    </w:p>
    <w:p>
      <w:pPr>
        <w:pStyle w:val="6"/>
        <w:spacing w:beforeLines="50" w:afterLines="50"/>
        <w:rPr>
          <w:szCs w:val="28"/>
        </w:rPr>
      </w:pPr>
      <w:bookmarkStart w:id="1220" w:name="_Toc29534"/>
      <w:r>
        <w:rPr>
          <w:szCs w:val="28"/>
        </w:rPr>
        <w:t>8.3</w:t>
      </w:r>
      <w:r>
        <w:rPr>
          <w:rFonts w:hint="eastAsia"/>
          <w:szCs w:val="28"/>
        </w:rPr>
        <w:t>环境监测计划</w:t>
      </w:r>
      <w:bookmarkEnd w:id="1220"/>
    </w:p>
    <w:p>
      <w:pPr>
        <w:pStyle w:val="7"/>
        <w:snapToGrid w:val="0"/>
        <w:rPr>
          <w:szCs w:val="24"/>
        </w:rPr>
      </w:pPr>
      <w:r>
        <w:rPr>
          <w:szCs w:val="24"/>
        </w:rPr>
        <w:t>8.3.1</w:t>
      </w:r>
      <w:r>
        <w:rPr>
          <w:rFonts w:hint="eastAsia"/>
          <w:szCs w:val="24"/>
        </w:rPr>
        <w:t>环境监测目的</w:t>
      </w:r>
    </w:p>
    <w:p>
      <w:pPr>
        <w:ind w:firstLine="480"/>
      </w:pPr>
      <w:r>
        <w:t>根据本项目特点，结合工程区环境现状，提出环境监测规划，其目的是：</w:t>
      </w:r>
    </w:p>
    <w:p>
      <w:pPr>
        <w:ind w:firstLine="480"/>
      </w:pPr>
      <w:r>
        <w:rPr>
          <w:rFonts w:hint="eastAsia" w:ascii="宋体" w:hAnsi="宋体" w:cs="宋体"/>
        </w:rPr>
        <w:t>⑴</w:t>
      </w:r>
      <w:r>
        <w:t>掌握各施工区环境的动态变化，为施工期和运行期污染控制、环境管理及相关环境保护工作提供依据；</w:t>
      </w:r>
    </w:p>
    <w:p>
      <w:pPr>
        <w:ind w:firstLine="480"/>
      </w:pPr>
      <w:r>
        <w:rPr>
          <w:rFonts w:hint="eastAsia" w:ascii="宋体" w:hAnsi="宋体" w:cs="宋体"/>
        </w:rPr>
        <w:t>⑵</w:t>
      </w:r>
      <w:r>
        <w:t>及时掌握环保措施的实施效果，根据监测数据调整环保措施，预防突发性事故对环境的危害；</w:t>
      </w:r>
    </w:p>
    <w:p>
      <w:pPr>
        <w:ind w:firstLine="480"/>
      </w:pPr>
      <w:r>
        <w:rPr>
          <w:rFonts w:hint="eastAsia" w:ascii="宋体" w:hAnsi="宋体" w:cs="宋体"/>
        </w:rPr>
        <w:t>⑶</w:t>
      </w:r>
      <w:r>
        <w:t>验证环境影响评价及水土保持方案评价结果的正确性和准确性；</w:t>
      </w:r>
    </w:p>
    <w:p>
      <w:pPr>
        <w:ind w:firstLine="480"/>
      </w:pPr>
      <w:r>
        <w:rPr>
          <w:rFonts w:hint="eastAsia" w:ascii="宋体" w:hAnsi="宋体" w:cs="宋体"/>
        </w:rPr>
        <w:t>⑷</w:t>
      </w:r>
      <w:r>
        <w:t>为工程建设、监督管理和工程竣工验收提供依据，为区域可持续发展提供依据。</w:t>
      </w:r>
    </w:p>
    <w:p>
      <w:pPr>
        <w:pStyle w:val="7"/>
        <w:snapToGrid w:val="0"/>
        <w:rPr>
          <w:szCs w:val="24"/>
        </w:rPr>
      </w:pPr>
      <w:bookmarkStart w:id="1221" w:name="_Toc215312948"/>
      <w:bookmarkStart w:id="1222" w:name="_Toc214781239"/>
      <w:bookmarkStart w:id="1223" w:name="_Toc529279147"/>
      <w:bookmarkStart w:id="1224" w:name="_Toc90178058"/>
      <w:bookmarkStart w:id="1225" w:name="_Toc341965839"/>
      <w:bookmarkStart w:id="1226" w:name="_Toc344296402"/>
      <w:bookmarkStart w:id="1227" w:name="_Toc534386391"/>
      <w:bookmarkStart w:id="1228" w:name="_Toc215890844"/>
      <w:bookmarkStart w:id="1229" w:name="_Toc200267339"/>
      <w:bookmarkStart w:id="1230" w:name="_Toc185305987"/>
      <w:bookmarkStart w:id="1231" w:name="_Toc534807135"/>
      <w:bookmarkStart w:id="1232" w:name="_Toc3903361"/>
      <w:bookmarkStart w:id="1233" w:name="_Toc534895352"/>
      <w:bookmarkStart w:id="1234" w:name="_Toc536265224"/>
      <w:r>
        <w:rPr>
          <w:rFonts w:hint="eastAsia"/>
          <w:szCs w:val="24"/>
        </w:rPr>
        <w:t>8</w:t>
      </w:r>
      <w:r>
        <w:rPr>
          <w:szCs w:val="24"/>
        </w:rPr>
        <w:t>.</w:t>
      </w:r>
      <w:r>
        <w:rPr>
          <w:rFonts w:hint="eastAsia"/>
          <w:szCs w:val="24"/>
        </w:rPr>
        <w:t>3</w:t>
      </w:r>
      <w:r>
        <w:rPr>
          <w:szCs w:val="24"/>
        </w:rPr>
        <w:t>.2</w:t>
      </w:r>
      <w:bookmarkEnd w:id="1221"/>
      <w:bookmarkEnd w:id="1222"/>
      <w:bookmarkEnd w:id="1223"/>
      <w:bookmarkEnd w:id="1224"/>
      <w:bookmarkEnd w:id="1225"/>
      <w:bookmarkEnd w:id="1226"/>
      <w:bookmarkEnd w:id="1227"/>
      <w:bookmarkEnd w:id="1228"/>
      <w:bookmarkEnd w:id="1229"/>
      <w:bookmarkEnd w:id="1230"/>
      <w:r>
        <w:rPr>
          <w:szCs w:val="24"/>
        </w:rPr>
        <w:t>监测原则</w:t>
      </w:r>
      <w:bookmarkEnd w:id="1231"/>
      <w:bookmarkEnd w:id="1232"/>
      <w:bookmarkEnd w:id="1233"/>
      <w:bookmarkEnd w:id="1234"/>
    </w:p>
    <w:p>
      <w:pPr>
        <w:ind w:firstLine="480"/>
      </w:pPr>
      <w:r>
        <w:rPr>
          <w:rFonts w:hint="eastAsia" w:ascii="宋体" w:hAnsi="宋体" w:cs="宋体"/>
        </w:rPr>
        <w:t>⑴</w:t>
      </w:r>
      <w:r>
        <w:t>与工程建设紧密结合原则</w:t>
      </w:r>
    </w:p>
    <w:p>
      <w:pPr>
        <w:ind w:firstLine="480"/>
      </w:pPr>
      <w:r>
        <w:t>监测范围及、对象、重点应结合工程施工、运行特点以及敏感点分布情况，及时反映工程施工、运行对敏感点的影响，以及环境变化对工程施工、运行的影响。</w:t>
      </w:r>
    </w:p>
    <w:p>
      <w:pPr>
        <w:ind w:firstLine="480"/>
      </w:pPr>
      <w:r>
        <w:rPr>
          <w:rFonts w:hint="eastAsia" w:ascii="宋体" w:hAnsi="宋体" w:cs="宋体"/>
        </w:rPr>
        <w:t>⑵</w:t>
      </w:r>
      <w:r>
        <w:t>针对性和代表性原则</w:t>
      </w:r>
    </w:p>
    <w:p>
      <w:pPr>
        <w:ind w:firstLine="480"/>
      </w:pPr>
      <w:r>
        <w:t>根据环境现状和影响预测评价结果，选择对环境影响大、有控制性和代表性的及对区域或流域影响起控制作用的主要因子进行监测，力求监测方案有针对性和代表性。</w:t>
      </w:r>
    </w:p>
    <w:p>
      <w:pPr>
        <w:ind w:firstLine="480"/>
      </w:pPr>
      <w:r>
        <w:rPr>
          <w:rFonts w:hint="eastAsia" w:ascii="宋体" w:hAnsi="宋体" w:cs="宋体"/>
        </w:rPr>
        <w:t>⑶</w:t>
      </w:r>
      <w:r>
        <w:t>经济型和可操作性原则</w:t>
      </w:r>
    </w:p>
    <w:p>
      <w:pPr>
        <w:ind w:firstLine="480"/>
      </w:pPr>
      <w:r>
        <w:t>按照相关专业技术规范，监测项目、频次、时段和方法以满足主要任务为前提，尽量利用附近已有监测机构、监测断面（点），所布置监测断面（点）可操作性强，力求以较少的投入获得较完整的环境监测数据。</w:t>
      </w:r>
    </w:p>
    <w:p>
      <w:pPr>
        <w:ind w:firstLine="480"/>
      </w:pPr>
      <w:r>
        <w:rPr>
          <w:rFonts w:hint="eastAsia" w:ascii="宋体" w:hAnsi="宋体" w:cs="宋体"/>
        </w:rPr>
        <w:t>⑷</w:t>
      </w:r>
      <w:r>
        <w:t>统一规划、分布实施原则</w:t>
      </w:r>
    </w:p>
    <w:p>
      <w:pPr>
        <w:ind w:firstLine="480"/>
      </w:pPr>
      <w:r>
        <w:t>环境监测系统应从总体考虑、统一规划，根据工程建设不同阶段的重点和要求，分期、分步建立，并逐步实施和完善。</w:t>
      </w:r>
    </w:p>
    <w:bookmarkEnd w:id="1144"/>
    <w:bookmarkEnd w:id="1145"/>
    <w:bookmarkEnd w:id="1146"/>
    <w:bookmarkEnd w:id="1147"/>
    <w:bookmarkEnd w:id="1148"/>
    <w:p>
      <w:pPr>
        <w:pStyle w:val="7"/>
        <w:snapToGrid w:val="0"/>
        <w:rPr>
          <w:szCs w:val="24"/>
        </w:rPr>
      </w:pPr>
      <w:bookmarkStart w:id="1235" w:name="_Toc534807136"/>
      <w:bookmarkStart w:id="1236" w:name="_Toc536265225"/>
      <w:bookmarkStart w:id="1237" w:name="_Toc3903362"/>
      <w:bookmarkStart w:id="1238" w:name="_Toc534895353"/>
      <w:r>
        <w:rPr>
          <w:rFonts w:hint="eastAsia"/>
          <w:szCs w:val="24"/>
        </w:rPr>
        <w:t>8</w:t>
      </w:r>
      <w:r>
        <w:rPr>
          <w:szCs w:val="24"/>
        </w:rPr>
        <w:t>.</w:t>
      </w:r>
      <w:r>
        <w:rPr>
          <w:rFonts w:hint="eastAsia"/>
          <w:szCs w:val="24"/>
        </w:rPr>
        <w:t>3</w:t>
      </w:r>
      <w:r>
        <w:rPr>
          <w:szCs w:val="24"/>
        </w:rPr>
        <w:t>.3</w:t>
      </w:r>
      <w:r>
        <w:rPr>
          <w:rFonts w:hint="eastAsia"/>
          <w:szCs w:val="24"/>
        </w:rPr>
        <w:t>环境</w:t>
      </w:r>
      <w:r>
        <w:rPr>
          <w:szCs w:val="24"/>
        </w:rPr>
        <w:t>监测计划</w:t>
      </w:r>
      <w:bookmarkEnd w:id="1235"/>
      <w:bookmarkEnd w:id="1236"/>
      <w:bookmarkEnd w:id="1237"/>
      <w:bookmarkEnd w:id="1238"/>
    </w:p>
    <w:p>
      <w:pPr>
        <w:ind w:firstLine="480"/>
      </w:pPr>
      <w:r>
        <w:t>根据本项目特点及工程区环境特点，依据环境影响评价相关规范要求，提出本项目施工期、运行期环境监测计划，对地表水、大气、噪声等因子进行监测和调查。</w:t>
      </w:r>
    </w:p>
    <w:p>
      <w:pPr>
        <w:pStyle w:val="7"/>
        <w:snapToGrid w:val="0"/>
        <w:rPr>
          <w:szCs w:val="24"/>
        </w:rPr>
      </w:pPr>
      <w:bookmarkStart w:id="1239" w:name="_Toc534807137"/>
      <w:bookmarkStart w:id="1240" w:name="_Toc534895354"/>
      <w:bookmarkStart w:id="1241" w:name="_Toc536265226"/>
      <w:bookmarkStart w:id="1242" w:name="_Toc3903363"/>
      <w:r>
        <w:rPr>
          <w:rFonts w:hint="eastAsia"/>
          <w:szCs w:val="24"/>
        </w:rPr>
        <w:t>8</w:t>
      </w:r>
      <w:r>
        <w:rPr>
          <w:szCs w:val="24"/>
        </w:rPr>
        <w:t>.</w:t>
      </w:r>
      <w:r>
        <w:rPr>
          <w:rFonts w:hint="eastAsia"/>
          <w:szCs w:val="24"/>
        </w:rPr>
        <w:t>3</w:t>
      </w:r>
      <w:r>
        <w:rPr>
          <w:szCs w:val="24"/>
        </w:rPr>
        <w:t>.4施工期环境监测</w:t>
      </w:r>
      <w:bookmarkEnd w:id="1239"/>
      <w:bookmarkEnd w:id="1240"/>
      <w:bookmarkEnd w:id="1241"/>
      <w:bookmarkEnd w:id="1242"/>
      <w:r>
        <w:rPr>
          <w:rFonts w:hint="eastAsia"/>
          <w:szCs w:val="24"/>
        </w:rPr>
        <w:t>计划</w:t>
      </w:r>
    </w:p>
    <w:p>
      <w:pPr>
        <w:autoSpaceDE w:val="0"/>
        <w:autoSpaceDN w:val="0"/>
        <w:adjustRightInd w:val="0"/>
        <w:ind w:firstLine="480"/>
        <w:rPr>
          <w:b/>
          <w:kern w:val="0"/>
        </w:rPr>
      </w:pPr>
      <w:r>
        <w:rPr>
          <w:rFonts w:hint="eastAsia" w:ascii="宋体" w:cs="宋体"/>
          <w:kern w:val="0"/>
          <w:szCs w:val="24"/>
        </w:rPr>
        <w:t>为监督施工期各项环境保护措施的执行和了解项目带来的环境影响，更好地了解施工区域环境质量和不同施工阶段污染物排放情况，进行施工期环境监测是很有必要的。监测期应包括整个施工时段，监测内容包括水质、大气、噪声、生态等。</w:t>
      </w:r>
    </w:p>
    <w:p>
      <w:pPr>
        <w:ind w:firstLine="0" w:firstLineChars="0"/>
        <w:rPr>
          <w:b/>
          <w:kern w:val="0"/>
        </w:rPr>
      </w:pPr>
      <w:r>
        <w:rPr>
          <w:rFonts w:hint="eastAsia"/>
          <w:b/>
          <w:kern w:val="0"/>
        </w:rPr>
        <w:t>8</w:t>
      </w:r>
      <w:r>
        <w:rPr>
          <w:b/>
          <w:kern w:val="0"/>
        </w:rPr>
        <w:t>.</w:t>
      </w:r>
      <w:r>
        <w:rPr>
          <w:rFonts w:hint="eastAsia"/>
          <w:b/>
          <w:kern w:val="0"/>
        </w:rPr>
        <w:t>3</w:t>
      </w:r>
      <w:r>
        <w:rPr>
          <w:b/>
          <w:kern w:val="0"/>
        </w:rPr>
        <w:t>.4.1</w:t>
      </w:r>
      <w:r>
        <w:rPr>
          <w:rFonts w:hint="eastAsia"/>
          <w:b/>
          <w:kern w:val="0"/>
        </w:rPr>
        <w:t>水环境</w:t>
      </w:r>
      <w:r>
        <w:rPr>
          <w:b/>
          <w:kern w:val="0"/>
        </w:rPr>
        <w:t>监测</w:t>
      </w:r>
    </w:p>
    <w:p>
      <w:pPr>
        <w:ind w:firstLine="480"/>
        <w:rPr>
          <w:kern w:val="0"/>
        </w:rPr>
      </w:pPr>
      <w:r>
        <w:rPr>
          <w:kern w:val="0"/>
        </w:rPr>
        <w:t>对施工期生产、生活废污水排放点进行水质监测，以掌握工程施工过程中生产、生活废水排放情况，也为运行期水环境质量的长期监测积累相应资料。</w:t>
      </w:r>
    </w:p>
    <w:p>
      <w:pPr>
        <w:ind w:firstLine="480"/>
        <w:rPr>
          <w:kern w:val="0"/>
        </w:rPr>
      </w:pPr>
      <w:r>
        <w:rPr>
          <w:rFonts w:hint="eastAsia" w:ascii="宋体" w:hAnsi="宋体" w:cs="宋体"/>
          <w:kern w:val="0"/>
        </w:rPr>
        <w:t>⑴</w:t>
      </w:r>
      <w:r>
        <w:rPr>
          <w:kern w:val="0"/>
        </w:rPr>
        <w:t>断面布置：为了解工程施工对河流水质的影响，在</w:t>
      </w:r>
      <w:r>
        <w:rPr>
          <w:rFonts w:hint="eastAsia"/>
          <w:kern w:val="0"/>
        </w:rPr>
        <w:t>上高</w:t>
      </w:r>
      <w:r>
        <w:rPr>
          <w:kern w:val="0"/>
        </w:rPr>
        <w:t>县</w:t>
      </w:r>
      <w:r>
        <w:rPr>
          <w:rFonts w:hint="eastAsia"/>
          <w:kern w:val="0"/>
        </w:rPr>
        <w:t>毛家渡</w:t>
      </w:r>
      <w:r>
        <w:rPr>
          <w:szCs w:val="21"/>
        </w:rPr>
        <w:t>抬水坝坝址上游500m</w:t>
      </w:r>
      <w:r>
        <w:rPr>
          <w:kern w:val="0"/>
        </w:rPr>
        <w:t>、</w:t>
      </w:r>
      <w:r>
        <w:rPr>
          <w:szCs w:val="21"/>
        </w:rPr>
        <w:t>坝址下游500m及坝址下游1500m各</w:t>
      </w:r>
      <w:r>
        <w:rPr>
          <w:kern w:val="0"/>
        </w:rPr>
        <w:t>设置一个监测断面。</w:t>
      </w:r>
    </w:p>
    <w:p>
      <w:pPr>
        <w:ind w:firstLine="480"/>
        <w:rPr>
          <w:kern w:val="0"/>
        </w:rPr>
      </w:pPr>
      <w:r>
        <w:rPr>
          <w:rFonts w:hint="eastAsia"/>
          <w:kern w:val="0"/>
        </w:rPr>
        <w:t>(2)</w:t>
      </w:r>
      <w:r>
        <w:rPr>
          <w:kern w:val="0"/>
        </w:rPr>
        <w:t>监测项目：</w:t>
      </w:r>
      <w:r>
        <w:t>包括</w:t>
      </w:r>
      <w:r>
        <w:rPr>
          <w:szCs w:val="24"/>
        </w:rPr>
        <w:t>pH、COD</w:t>
      </w:r>
      <w:r>
        <w:rPr>
          <w:szCs w:val="24"/>
          <w:vertAlign w:val="subscript"/>
        </w:rPr>
        <w:t>Cr</w:t>
      </w:r>
      <w:r>
        <w:rPr>
          <w:szCs w:val="24"/>
        </w:rPr>
        <w:t>、BOD</w:t>
      </w:r>
      <w:r>
        <w:rPr>
          <w:szCs w:val="24"/>
          <w:vertAlign w:val="subscript"/>
        </w:rPr>
        <w:t>5</w:t>
      </w:r>
      <w:r>
        <w:rPr>
          <w:szCs w:val="24"/>
        </w:rPr>
        <w:t>、NH</w:t>
      </w:r>
      <w:r>
        <w:rPr>
          <w:szCs w:val="24"/>
          <w:vertAlign w:val="subscript"/>
        </w:rPr>
        <w:t>3</w:t>
      </w:r>
      <w:r>
        <w:rPr>
          <w:szCs w:val="24"/>
        </w:rPr>
        <w:t>-N、总磷、硫化物、氟化物、TN、石油类、悬浮物，</w:t>
      </w:r>
      <w:r>
        <w:rPr>
          <w:kern w:val="0"/>
        </w:rPr>
        <w:t>共11个项目。</w:t>
      </w:r>
    </w:p>
    <w:p>
      <w:pPr>
        <w:autoSpaceDE w:val="0"/>
        <w:autoSpaceDN w:val="0"/>
        <w:adjustRightInd w:val="0"/>
        <w:ind w:firstLine="480"/>
        <w:rPr>
          <w:kern w:val="0"/>
        </w:rPr>
      </w:pPr>
      <w:r>
        <w:rPr>
          <w:rFonts w:hint="eastAsia"/>
          <w:kern w:val="0"/>
        </w:rPr>
        <w:t>(3)</w:t>
      </w:r>
      <w:r>
        <w:rPr>
          <w:kern w:val="0"/>
        </w:rPr>
        <w:t>监测频率：</w:t>
      </w:r>
      <w:r>
        <w:rPr>
          <w:rFonts w:hint="eastAsia"/>
          <w:kern w:val="0"/>
        </w:rPr>
        <w:t>施工期每年丰、平、枯水期各监测</w:t>
      </w:r>
      <w:r>
        <w:rPr>
          <w:kern w:val="0"/>
        </w:rPr>
        <w:t>1</w:t>
      </w:r>
      <w:r>
        <w:rPr>
          <w:rFonts w:hint="eastAsia"/>
          <w:kern w:val="0"/>
        </w:rPr>
        <w:t>次，每次监测</w:t>
      </w:r>
      <w:r>
        <w:rPr>
          <w:kern w:val="0"/>
        </w:rPr>
        <w:t>3</w:t>
      </w:r>
      <w:r>
        <w:rPr>
          <w:rFonts w:hint="eastAsia"/>
          <w:kern w:val="0"/>
        </w:rPr>
        <w:t>天。</w:t>
      </w:r>
    </w:p>
    <w:p>
      <w:pPr>
        <w:ind w:firstLine="0" w:firstLineChars="0"/>
        <w:rPr>
          <w:b/>
          <w:kern w:val="0"/>
        </w:rPr>
      </w:pPr>
      <w:r>
        <w:rPr>
          <w:rFonts w:hint="eastAsia"/>
          <w:b/>
          <w:kern w:val="0"/>
        </w:rPr>
        <w:t>8</w:t>
      </w:r>
      <w:r>
        <w:rPr>
          <w:b/>
          <w:kern w:val="0"/>
        </w:rPr>
        <w:t>.</w:t>
      </w:r>
      <w:r>
        <w:rPr>
          <w:rFonts w:hint="eastAsia"/>
          <w:b/>
          <w:kern w:val="0"/>
        </w:rPr>
        <w:t>3</w:t>
      </w:r>
      <w:r>
        <w:rPr>
          <w:b/>
          <w:kern w:val="0"/>
        </w:rPr>
        <w:t>.4.2大气监测</w:t>
      </w:r>
    </w:p>
    <w:p>
      <w:pPr>
        <w:ind w:firstLine="480"/>
        <w:rPr>
          <w:kern w:val="0"/>
        </w:rPr>
      </w:pPr>
      <w:r>
        <w:rPr>
          <w:rFonts w:hint="eastAsia" w:ascii="宋体" w:hAnsi="宋体" w:cs="宋体"/>
          <w:kern w:val="0"/>
        </w:rPr>
        <w:t>⑴</w:t>
      </w:r>
      <w:r>
        <w:rPr>
          <w:kern w:val="0"/>
        </w:rPr>
        <w:t>监测点：为掌握工程施工中的施工活动（开挖），施工机械运转燃油，附属企业生产、交通运输等对工区大气环境的影响程度，了解防治措施的效果，是否需要采取其他补救措施。在</w:t>
      </w:r>
      <w:r>
        <w:rPr>
          <w:rFonts w:hint="eastAsia"/>
          <w:kern w:val="0"/>
        </w:rPr>
        <w:t>黄家</w:t>
      </w:r>
      <w:r>
        <w:rPr>
          <w:kern w:val="0"/>
        </w:rPr>
        <w:t>、</w:t>
      </w:r>
      <w:r>
        <w:rPr>
          <w:rFonts w:hint="eastAsia"/>
          <w:kern w:val="0"/>
        </w:rPr>
        <w:t>白溪</w:t>
      </w:r>
      <w:r>
        <w:rPr>
          <w:kern w:val="0"/>
        </w:rPr>
        <w:t>居民点处各设1个监测点，同时在施工场界四周各布设1个点，共</w:t>
      </w:r>
      <w:r>
        <w:rPr>
          <w:rFonts w:hint="eastAsia"/>
          <w:kern w:val="0"/>
        </w:rPr>
        <w:t>6</w:t>
      </w:r>
      <w:r>
        <w:rPr>
          <w:kern w:val="0"/>
        </w:rPr>
        <w:t>个点。</w:t>
      </w:r>
    </w:p>
    <w:p>
      <w:pPr>
        <w:ind w:firstLine="480"/>
        <w:rPr>
          <w:kern w:val="0"/>
        </w:rPr>
      </w:pPr>
      <w:r>
        <w:rPr>
          <w:rFonts w:hint="eastAsia" w:ascii="宋体" w:hAnsi="宋体" w:cs="宋体"/>
          <w:kern w:val="0"/>
        </w:rPr>
        <w:t>⑵</w:t>
      </w:r>
      <w:r>
        <w:rPr>
          <w:kern w:val="0"/>
        </w:rPr>
        <w:t>监测项目：TSP。</w:t>
      </w:r>
    </w:p>
    <w:p>
      <w:pPr>
        <w:ind w:firstLine="480"/>
        <w:rPr>
          <w:kern w:val="0"/>
        </w:rPr>
      </w:pPr>
      <w:r>
        <w:rPr>
          <w:rFonts w:hint="eastAsia" w:ascii="宋体" w:hAnsi="宋体" w:cs="宋体"/>
          <w:kern w:val="0"/>
        </w:rPr>
        <w:t>⑶</w:t>
      </w:r>
      <w:r>
        <w:rPr>
          <w:kern w:val="0"/>
        </w:rPr>
        <w:t>监测频率：每季1次，每次连续监测7天。</w:t>
      </w:r>
    </w:p>
    <w:p>
      <w:pPr>
        <w:ind w:firstLine="0" w:firstLineChars="0"/>
        <w:rPr>
          <w:b/>
          <w:kern w:val="0"/>
        </w:rPr>
      </w:pPr>
      <w:r>
        <w:rPr>
          <w:rFonts w:hint="eastAsia"/>
          <w:b/>
          <w:kern w:val="0"/>
        </w:rPr>
        <w:t>8</w:t>
      </w:r>
      <w:r>
        <w:rPr>
          <w:b/>
          <w:kern w:val="0"/>
        </w:rPr>
        <w:t>.</w:t>
      </w:r>
      <w:r>
        <w:rPr>
          <w:rFonts w:hint="eastAsia"/>
          <w:b/>
          <w:kern w:val="0"/>
        </w:rPr>
        <w:t>3</w:t>
      </w:r>
      <w:r>
        <w:rPr>
          <w:b/>
          <w:kern w:val="0"/>
        </w:rPr>
        <w:t>.4.3噪声监测</w:t>
      </w:r>
    </w:p>
    <w:p>
      <w:pPr>
        <w:ind w:firstLine="480"/>
        <w:rPr>
          <w:kern w:val="0"/>
        </w:rPr>
      </w:pPr>
      <w:r>
        <w:rPr>
          <w:rFonts w:hint="eastAsia" w:ascii="宋体" w:hAnsi="宋体" w:cs="宋体"/>
          <w:kern w:val="0"/>
        </w:rPr>
        <w:t>⑴</w:t>
      </w:r>
      <w:r>
        <w:rPr>
          <w:kern w:val="0"/>
        </w:rPr>
        <w:t>监测点：为掌握施工期工区各种施工机械、设备、运输车辆等固定或流动声源的噪声对外界环境的影响，以及工程周边受交通噪声影响的居民受干扰程度，在</w:t>
      </w:r>
      <w:r>
        <w:rPr>
          <w:rFonts w:hint="eastAsia"/>
          <w:kern w:val="0"/>
        </w:rPr>
        <w:t>工程</w:t>
      </w:r>
      <w:r>
        <w:rPr>
          <w:kern w:val="0"/>
        </w:rPr>
        <w:t>枢纽区</w:t>
      </w:r>
      <w:r>
        <w:rPr>
          <w:rFonts w:hint="eastAsia"/>
          <w:kern w:val="0"/>
        </w:rPr>
        <w:t>黄家</w:t>
      </w:r>
      <w:r>
        <w:rPr>
          <w:kern w:val="0"/>
        </w:rPr>
        <w:t>、</w:t>
      </w:r>
      <w:r>
        <w:rPr>
          <w:rFonts w:hint="eastAsia"/>
          <w:kern w:val="0"/>
        </w:rPr>
        <w:t>白溪</w:t>
      </w:r>
      <w:r>
        <w:rPr>
          <w:kern w:val="0"/>
        </w:rPr>
        <w:t>居民点处各设1个监测点。</w:t>
      </w:r>
    </w:p>
    <w:p>
      <w:pPr>
        <w:ind w:firstLine="480"/>
        <w:rPr>
          <w:kern w:val="0"/>
        </w:rPr>
      </w:pPr>
      <w:r>
        <w:rPr>
          <w:rFonts w:hint="eastAsia" w:ascii="宋体" w:hAnsi="宋体" w:cs="宋体"/>
          <w:kern w:val="0"/>
        </w:rPr>
        <w:t>⑵</w:t>
      </w:r>
      <w:r>
        <w:rPr>
          <w:kern w:val="0"/>
        </w:rPr>
        <w:t>监测频率：每季1次，每年监测4次，每次监测2天，分昼夜监测。施工高峰期适当增加监测次数。</w:t>
      </w:r>
    </w:p>
    <w:p>
      <w:pPr>
        <w:ind w:firstLine="480"/>
        <w:rPr>
          <w:kern w:val="0"/>
        </w:rPr>
      </w:pPr>
      <w:r>
        <w:rPr>
          <w:rFonts w:hint="eastAsia" w:ascii="宋体" w:hAnsi="宋体" w:cs="宋体"/>
          <w:kern w:val="0"/>
        </w:rPr>
        <w:t>⑶</w:t>
      </w:r>
      <w:r>
        <w:rPr>
          <w:kern w:val="0"/>
        </w:rPr>
        <w:t>监测项目：等效连续A声级dB(A)。</w:t>
      </w:r>
    </w:p>
    <w:p>
      <w:pPr>
        <w:ind w:firstLine="0" w:firstLineChars="0"/>
        <w:rPr>
          <w:b/>
          <w:kern w:val="0"/>
        </w:rPr>
      </w:pPr>
      <w:r>
        <w:rPr>
          <w:rFonts w:hint="eastAsia"/>
          <w:b/>
          <w:kern w:val="0"/>
        </w:rPr>
        <w:t>8</w:t>
      </w:r>
      <w:r>
        <w:rPr>
          <w:b/>
          <w:kern w:val="0"/>
        </w:rPr>
        <w:t>.</w:t>
      </w:r>
      <w:r>
        <w:rPr>
          <w:rFonts w:hint="eastAsia"/>
          <w:b/>
          <w:kern w:val="0"/>
        </w:rPr>
        <w:t>3</w:t>
      </w:r>
      <w:r>
        <w:rPr>
          <w:b/>
          <w:kern w:val="0"/>
        </w:rPr>
        <w:t>.4.4人群健康</w:t>
      </w:r>
    </w:p>
    <w:p>
      <w:pPr>
        <w:ind w:firstLine="480"/>
        <w:rPr>
          <w:kern w:val="0"/>
        </w:rPr>
      </w:pPr>
      <w:r>
        <w:rPr>
          <w:rFonts w:hint="eastAsia" w:ascii="宋体" w:hAnsi="宋体" w:cs="宋体"/>
          <w:kern w:val="0"/>
        </w:rPr>
        <w:t>⑴</w:t>
      </w:r>
      <w:r>
        <w:rPr>
          <w:kern w:val="0"/>
        </w:rPr>
        <w:t>监测点：为保障施工人员的身体健康，业主可委托当地疾病预防控制中心对施工区进行必要的预防服药和预防接种工作，定期检查和消灭与疾病有关的媒介生物，以及进行卫生防疫和宣传工作。</w:t>
      </w:r>
    </w:p>
    <w:p>
      <w:pPr>
        <w:ind w:firstLine="480"/>
        <w:rPr>
          <w:kern w:val="0"/>
        </w:rPr>
      </w:pPr>
      <w:r>
        <w:rPr>
          <w:rFonts w:hint="eastAsia" w:ascii="宋体" w:hAnsi="宋体" w:cs="宋体"/>
          <w:kern w:val="0"/>
        </w:rPr>
        <w:t>⑵</w:t>
      </w:r>
      <w:r>
        <w:rPr>
          <w:kern w:val="0"/>
        </w:rPr>
        <w:t>疫情指标：疫源、病种、发病率等。</w:t>
      </w:r>
    </w:p>
    <w:p>
      <w:pPr>
        <w:ind w:firstLine="480"/>
        <w:rPr>
          <w:kern w:val="0"/>
        </w:rPr>
      </w:pPr>
      <w:r>
        <w:rPr>
          <w:rFonts w:hint="eastAsia" w:ascii="宋体" w:hAnsi="宋体" w:cs="宋体"/>
          <w:kern w:val="0"/>
        </w:rPr>
        <w:t>⑶</w:t>
      </w:r>
      <w:r>
        <w:rPr>
          <w:kern w:val="0"/>
        </w:rPr>
        <w:t>监测人数和频率：疫情监测要求按施工人员的10%比例，每半年进行一次流行病学的抽样检查。</w:t>
      </w:r>
    </w:p>
    <w:p>
      <w:pPr>
        <w:pStyle w:val="7"/>
        <w:snapToGrid w:val="0"/>
        <w:rPr>
          <w:szCs w:val="24"/>
        </w:rPr>
      </w:pPr>
      <w:bookmarkStart w:id="1243" w:name="_Toc534807138"/>
      <w:bookmarkStart w:id="1244" w:name="_Toc534895355"/>
      <w:bookmarkStart w:id="1245" w:name="_Toc536265227"/>
      <w:bookmarkStart w:id="1246" w:name="_Toc3903364"/>
      <w:r>
        <w:rPr>
          <w:rFonts w:hint="eastAsia"/>
          <w:szCs w:val="24"/>
        </w:rPr>
        <w:t>8</w:t>
      </w:r>
      <w:r>
        <w:rPr>
          <w:szCs w:val="24"/>
        </w:rPr>
        <w:t>.</w:t>
      </w:r>
      <w:r>
        <w:rPr>
          <w:rFonts w:hint="eastAsia"/>
          <w:szCs w:val="24"/>
        </w:rPr>
        <w:t>3</w:t>
      </w:r>
      <w:r>
        <w:rPr>
          <w:szCs w:val="24"/>
        </w:rPr>
        <w:t>.5运营期环境监测</w:t>
      </w:r>
      <w:bookmarkEnd w:id="1243"/>
      <w:bookmarkEnd w:id="1244"/>
      <w:bookmarkEnd w:id="1245"/>
      <w:bookmarkEnd w:id="1246"/>
    </w:p>
    <w:p>
      <w:pPr>
        <w:ind w:firstLine="0" w:firstLineChars="0"/>
        <w:rPr>
          <w:b/>
          <w:kern w:val="0"/>
        </w:rPr>
      </w:pPr>
      <w:r>
        <w:rPr>
          <w:rFonts w:hint="eastAsia"/>
          <w:b/>
          <w:kern w:val="0"/>
        </w:rPr>
        <w:t>8</w:t>
      </w:r>
      <w:r>
        <w:rPr>
          <w:b/>
          <w:kern w:val="0"/>
        </w:rPr>
        <w:t>.</w:t>
      </w:r>
      <w:r>
        <w:rPr>
          <w:rFonts w:hint="eastAsia"/>
          <w:b/>
          <w:kern w:val="0"/>
        </w:rPr>
        <w:t>3</w:t>
      </w:r>
      <w:r>
        <w:rPr>
          <w:b/>
          <w:kern w:val="0"/>
        </w:rPr>
        <w:t>.5.1水质监测</w:t>
      </w:r>
    </w:p>
    <w:p>
      <w:pPr>
        <w:ind w:firstLine="480"/>
        <w:rPr>
          <w:kern w:val="0"/>
        </w:rPr>
      </w:pPr>
      <w:r>
        <w:rPr>
          <w:rFonts w:hint="eastAsia" w:ascii="宋体" w:hAnsi="宋体" w:cs="宋体"/>
          <w:kern w:val="0"/>
        </w:rPr>
        <w:t>⑴</w:t>
      </w:r>
      <w:r>
        <w:rPr>
          <w:kern w:val="0"/>
        </w:rPr>
        <w:t>断面布置：</w:t>
      </w:r>
      <w:r>
        <w:rPr>
          <w:rFonts w:hint="eastAsia"/>
          <w:kern w:val="0"/>
        </w:rPr>
        <w:t>上高</w:t>
      </w:r>
      <w:r>
        <w:rPr>
          <w:kern w:val="0"/>
        </w:rPr>
        <w:t>县</w:t>
      </w:r>
      <w:r>
        <w:rPr>
          <w:rFonts w:hint="eastAsia"/>
          <w:kern w:val="0"/>
        </w:rPr>
        <w:t>毛家渡</w:t>
      </w:r>
      <w:r>
        <w:rPr>
          <w:szCs w:val="21"/>
        </w:rPr>
        <w:t>抬水坝坝址上游500m</w:t>
      </w:r>
      <w:r>
        <w:rPr>
          <w:kern w:val="0"/>
        </w:rPr>
        <w:t>、</w:t>
      </w:r>
      <w:r>
        <w:rPr>
          <w:szCs w:val="21"/>
        </w:rPr>
        <w:t>抬水坝坝址下游500m及抬水坝坝址下游1500m各</w:t>
      </w:r>
      <w:r>
        <w:rPr>
          <w:kern w:val="0"/>
        </w:rPr>
        <w:t>设置一个监测断面。</w:t>
      </w:r>
    </w:p>
    <w:p>
      <w:pPr>
        <w:ind w:firstLine="480"/>
        <w:rPr>
          <w:kern w:val="0"/>
        </w:rPr>
      </w:pPr>
      <w:r>
        <w:rPr>
          <w:rFonts w:hint="eastAsia" w:ascii="宋体" w:hAnsi="宋体" w:cs="宋体"/>
          <w:kern w:val="0"/>
        </w:rPr>
        <w:t>⑵</w:t>
      </w:r>
      <w:r>
        <w:rPr>
          <w:kern w:val="0"/>
        </w:rPr>
        <w:t>监测项目：</w:t>
      </w:r>
      <w:r>
        <w:rPr>
          <w:szCs w:val="24"/>
        </w:rPr>
        <w:t>pH、COD</w:t>
      </w:r>
      <w:r>
        <w:rPr>
          <w:szCs w:val="24"/>
          <w:vertAlign w:val="subscript"/>
        </w:rPr>
        <w:t>Cr</w:t>
      </w:r>
      <w:r>
        <w:rPr>
          <w:szCs w:val="24"/>
        </w:rPr>
        <w:t>、BOD</w:t>
      </w:r>
      <w:r>
        <w:rPr>
          <w:szCs w:val="24"/>
          <w:vertAlign w:val="subscript"/>
        </w:rPr>
        <w:t>5</w:t>
      </w:r>
      <w:r>
        <w:rPr>
          <w:szCs w:val="24"/>
        </w:rPr>
        <w:t>、NH</w:t>
      </w:r>
      <w:r>
        <w:rPr>
          <w:szCs w:val="24"/>
          <w:vertAlign w:val="subscript"/>
        </w:rPr>
        <w:t>3</w:t>
      </w:r>
      <w:r>
        <w:rPr>
          <w:szCs w:val="24"/>
        </w:rPr>
        <w:t>-N、总磷、硫化物、氟化物、TN、石油类、悬浮物，</w:t>
      </w:r>
      <w:r>
        <w:rPr>
          <w:kern w:val="0"/>
        </w:rPr>
        <w:t>共10个项目。</w:t>
      </w:r>
    </w:p>
    <w:p>
      <w:pPr>
        <w:autoSpaceDE w:val="0"/>
        <w:autoSpaceDN w:val="0"/>
        <w:adjustRightInd w:val="0"/>
        <w:ind w:firstLine="480"/>
        <w:rPr>
          <w:szCs w:val="21"/>
        </w:rPr>
      </w:pPr>
      <w:r>
        <w:rPr>
          <w:rFonts w:hint="eastAsia"/>
          <w:szCs w:val="21"/>
        </w:rPr>
        <w:t>(3)</w:t>
      </w:r>
      <w:r>
        <w:rPr>
          <w:szCs w:val="21"/>
        </w:rPr>
        <w:t>监测频率：</w:t>
      </w:r>
      <w:r>
        <w:rPr>
          <w:rFonts w:hint="eastAsia"/>
          <w:szCs w:val="21"/>
        </w:rPr>
        <w:t>每年丰、平、枯各取样监测一次，</w:t>
      </w:r>
      <w:r>
        <w:rPr>
          <w:szCs w:val="21"/>
        </w:rPr>
        <w:t>每次连续监测3天。</w:t>
      </w:r>
    </w:p>
    <w:p>
      <w:pPr>
        <w:ind w:firstLine="0" w:firstLineChars="0"/>
        <w:rPr>
          <w:b/>
          <w:kern w:val="0"/>
        </w:rPr>
      </w:pPr>
      <w:r>
        <w:rPr>
          <w:rFonts w:hint="eastAsia"/>
          <w:b/>
          <w:kern w:val="0"/>
        </w:rPr>
        <w:t>8</w:t>
      </w:r>
      <w:r>
        <w:rPr>
          <w:b/>
          <w:kern w:val="0"/>
        </w:rPr>
        <w:t>.</w:t>
      </w:r>
      <w:r>
        <w:rPr>
          <w:rFonts w:hint="eastAsia"/>
          <w:b/>
          <w:kern w:val="0"/>
        </w:rPr>
        <w:t>3</w:t>
      </w:r>
      <w:r>
        <w:rPr>
          <w:b/>
          <w:kern w:val="0"/>
        </w:rPr>
        <w:t>.5.2水生</w:t>
      </w:r>
      <w:r>
        <w:rPr>
          <w:rFonts w:hint="eastAsia"/>
          <w:b/>
          <w:kern w:val="0"/>
        </w:rPr>
        <w:t>生态调查</w:t>
      </w:r>
    </w:p>
    <w:p>
      <w:pPr>
        <w:ind w:firstLine="480"/>
        <w:rPr>
          <w:kern w:val="0"/>
        </w:rPr>
      </w:pPr>
      <w:r>
        <w:rPr>
          <w:rFonts w:hint="eastAsia"/>
          <w:kern w:val="0"/>
        </w:rPr>
        <w:t>(1)</w:t>
      </w:r>
      <w:r>
        <w:rPr>
          <w:kern w:val="0"/>
        </w:rPr>
        <w:t>断面布置：调查范围为本次环评水生生态评价范围，水生生物调查共布置2个调查断面，即库中、坝下游减水区间断面。</w:t>
      </w:r>
    </w:p>
    <w:p>
      <w:pPr>
        <w:ind w:firstLine="480"/>
        <w:rPr>
          <w:kern w:val="0"/>
        </w:rPr>
      </w:pPr>
      <w:r>
        <w:rPr>
          <w:rFonts w:hint="eastAsia"/>
          <w:kern w:val="0"/>
        </w:rPr>
        <w:t>(2)</w:t>
      </w:r>
      <w:r>
        <w:rPr>
          <w:kern w:val="0"/>
        </w:rPr>
        <w:t>调查内容：水生生物调查内容为浮游动物、浮游植物、底栖动物、大型水生植物的种群（或种类）、现存量（包括生物量、数量及密度）、优势种、地区分布、生态习性等。鱼类调查内容为鱼类组成、优势种类、分布、生活习性、年产量、饵料来源、产卵场分布位置等，鱼类区系历史变化情况。</w:t>
      </w:r>
    </w:p>
    <w:p>
      <w:pPr>
        <w:ind w:firstLine="480"/>
        <w:rPr>
          <w:kern w:val="0"/>
        </w:rPr>
      </w:pPr>
      <w:r>
        <w:rPr>
          <w:rFonts w:hint="eastAsia"/>
          <w:kern w:val="0"/>
        </w:rPr>
        <w:t>(3)</w:t>
      </w:r>
      <w:r>
        <w:rPr>
          <w:kern w:val="0"/>
        </w:rPr>
        <w:t>调查频率及时间：每年监测2次，时间分别为鱼类繁殖较为集中的4~7月和库区载鱼量最大的10~11月。</w:t>
      </w:r>
    </w:p>
    <w:p>
      <w:pPr>
        <w:ind w:firstLine="480"/>
        <w:rPr>
          <w:kern w:val="0"/>
        </w:rPr>
      </w:pPr>
      <w:r>
        <w:rPr>
          <w:rFonts w:hint="eastAsia"/>
          <w:kern w:val="0"/>
        </w:rPr>
        <w:t>(4)</w:t>
      </w:r>
      <w:r>
        <w:rPr>
          <w:kern w:val="0"/>
        </w:rPr>
        <w:t>调查方法：根据《水库渔业资源调查规范》和《内陆水域渔业自然资源调查实行规范》推荐的方法进行采样及鉴定，并对鱼类采取现场上网捕捞、对附近居民及渔业市场进行访问调查。</w:t>
      </w:r>
    </w:p>
    <w:p>
      <w:pPr>
        <w:ind w:firstLine="0" w:firstLineChars="0"/>
        <w:rPr>
          <w:b/>
          <w:kern w:val="0"/>
        </w:rPr>
      </w:pPr>
      <w:r>
        <w:rPr>
          <w:rFonts w:hint="eastAsia"/>
          <w:b/>
          <w:kern w:val="0"/>
        </w:rPr>
        <w:t>8</w:t>
      </w:r>
      <w:r>
        <w:rPr>
          <w:b/>
          <w:kern w:val="0"/>
        </w:rPr>
        <w:t>.</w:t>
      </w:r>
      <w:r>
        <w:rPr>
          <w:rFonts w:hint="eastAsia"/>
          <w:b/>
          <w:kern w:val="0"/>
        </w:rPr>
        <w:t>3</w:t>
      </w:r>
      <w:r>
        <w:rPr>
          <w:b/>
          <w:kern w:val="0"/>
        </w:rPr>
        <w:t>.5.3陆生</w:t>
      </w:r>
      <w:r>
        <w:rPr>
          <w:rFonts w:hint="eastAsia"/>
          <w:b/>
          <w:kern w:val="0"/>
        </w:rPr>
        <w:t>生态调查</w:t>
      </w:r>
    </w:p>
    <w:p>
      <w:pPr>
        <w:ind w:firstLine="480"/>
        <w:rPr>
          <w:kern w:val="0"/>
        </w:rPr>
      </w:pPr>
      <w:r>
        <w:rPr>
          <w:rFonts w:hint="eastAsia"/>
          <w:kern w:val="0"/>
        </w:rPr>
        <w:t>(1)</w:t>
      </w:r>
      <w:r>
        <w:rPr>
          <w:kern w:val="0"/>
        </w:rPr>
        <w:t>调查范围：</w:t>
      </w:r>
      <w:r>
        <w:rPr>
          <w:rFonts w:hint="eastAsia"/>
          <w:kern w:val="0"/>
        </w:rPr>
        <w:t>上高</w:t>
      </w:r>
      <w:r>
        <w:rPr>
          <w:kern w:val="0"/>
        </w:rPr>
        <w:t>县</w:t>
      </w:r>
      <w:r>
        <w:rPr>
          <w:rFonts w:hint="eastAsia"/>
          <w:kern w:val="0"/>
        </w:rPr>
        <w:t>毛家渡</w:t>
      </w:r>
      <w:r>
        <w:rPr>
          <w:szCs w:val="21"/>
        </w:rPr>
        <w:t>抬水坝</w:t>
      </w:r>
      <w:r>
        <w:rPr>
          <w:kern w:val="0"/>
        </w:rPr>
        <w:t>库尾</w:t>
      </w:r>
      <w:r>
        <w:rPr>
          <w:szCs w:val="24"/>
        </w:rPr>
        <w:t>至坝址下游2km之间两岸第一山脊线以内区域，</w:t>
      </w:r>
      <w:r>
        <w:rPr>
          <w:kern w:val="0"/>
        </w:rPr>
        <w:t>以及施工区。</w:t>
      </w:r>
    </w:p>
    <w:p>
      <w:pPr>
        <w:ind w:firstLine="480"/>
        <w:rPr>
          <w:kern w:val="0"/>
        </w:rPr>
      </w:pPr>
      <w:r>
        <w:rPr>
          <w:rFonts w:hint="eastAsia"/>
          <w:kern w:val="0"/>
        </w:rPr>
        <w:t>(2)</w:t>
      </w:r>
      <w:r>
        <w:rPr>
          <w:kern w:val="0"/>
        </w:rPr>
        <w:t>调查内容：陆生植物区系组成、分布及其特点、种类数量、生物多样性的变化、植被破坏及植被恢复措施执行情况。陆生动物重点观察分布于库周的国家保护动物的种群、数量变化。</w:t>
      </w:r>
    </w:p>
    <w:p>
      <w:pPr>
        <w:autoSpaceDE w:val="0"/>
        <w:autoSpaceDN w:val="0"/>
        <w:adjustRightInd w:val="0"/>
        <w:ind w:firstLine="480"/>
        <w:rPr>
          <w:kern w:val="0"/>
        </w:rPr>
      </w:pPr>
      <w:r>
        <w:rPr>
          <w:rFonts w:hint="eastAsia"/>
          <w:kern w:val="0"/>
        </w:rPr>
        <w:t>(3)</w:t>
      </w:r>
      <w:r>
        <w:rPr>
          <w:kern w:val="0"/>
        </w:rPr>
        <w:t>监测频次：规划调查3次，</w:t>
      </w:r>
      <w:r>
        <w:rPr>
          <w:rFonts w:hint="eastAsia"/>
          <w:kern w:val="0"/>
        </w:rPr>
        <w:t>即工程建成当年和蓄水运行后第</w:t>
      </w:r>
      <w:r>
        <w:rPr>
          <w:kern w:val="0"/>
        </w:rPr>
        <w:t>3</w:t>
      </w:r>
      <w:r>
        <w:rPr>
          <w:rFonts w:hint="eastAsia"/>
          <w:kern w:val="0"/>
        </w:rPr>
        <w:t>年和</w:t>
      </w:r>
      <w:r>
        <w:rPr>
          <w:kern w:val="0"/>
        </w:rPr>
        <w:t>5</w:t>
      </w:r>
      <w:r>
        <w:rPr>
          <w:rFonts w:hint="eastAsia"/>
          <w:kern w:val="0"/>
        </w:rPr>
        <w:t>年分别调查一次。</w:t>
      </w:r>
    </w:p>
    <w:p>
      <w:pPr>
        <w:ind w:firstLine="480"/>
        <w:rPr>
          <w:kern w:val="0"/>
        </w:rPr>
      </w:pPr>
      <w:r>
        <w:rPr>
          <w:rFonts w:hint="eastAsia"/>
          <w:kern w:val="0"/>
        </w:rPr>
        <w:t>(4)</w:t>
      </w:r>
      <w:r>
        <w:rPr>
          <w:kern w:val="0"/>
        </w:rPr>
        <w:t>调查方法：实地调查和访问当地居民。</w:t>
      </w:r>
    </w:p>
    <w:p>
      <w:pPr>
        <w:ind w:firstLine="0" w:firstLineChars="0"/>
        <w:rPr>
          <w:b/>
          <w:kern w:val="0"/>
        </w:rPr>
      </w:pPr>
      <w:r>
        <w:rPr>
          <w:rFonts w:hint="eastAsia"/>
          <w:b/>
          <w:kern w:val="0"/>
        </w:rPr>
        <w:t>8.3.5.4土壤环境</w:t>
      </w:r>
    </w:p>
    <w:p>
      <w:pPr>
        <w:ind w:firstLine="480"/>
        <w:rPr>
          <w:kern w:val="0"/>
        </w:rPr>
      </w:pPr>
      <w:r>
        <w:rPr>
          <w:rFonts w:hint="eastAsia"/>
          <w:kern w:val="0"/>
        </w:rPr>
        <w:t>调查抬水坝址周边（</w:t>
      </w:r>
      <w:r>
        <w:rPr>
          <w:kern w:val="0"/>
        </w:rPr>
        <w:t>2</w:t>
      </w:r>
      <w:r>
        <w:rPr>
          <w:rFonts w:hint="eastAsia"/>
          <w:kern w:val="0"/>
        </w:rPr>
        <w:t>个监测点位）土壤</w:t>
      </w:r>
      <w:r>
        <w:rPr>
          <w:kern w:val="0"/>
        </w:rPr>
        <w:t>pH</w:t>
      </w:r>
      <w:r>
        <w:rPr>
          <w:rFonts w:hint="eastAsia"/>
          <w:kern w:val="0"/>
        </w:rPr>
        <w:t>、沼泽化、盐渍化情况，以便及时发现问题及时进行治理。每半年进行</w:t>
      </w:r>
      <w:r>
        <w:rPr>
          <w:kern w:val="0"/>
        </w:rPr>
        <w:t>1</w:t>
      </w:r>
      <w:r>
        <w:rPr>
          <w:rFonts w:hint="eastAsia"/>
          <w:kern w:val="0"/>
        </w:rPr>
        <w:t>次。</w:t>
      </w:r>
    </w:p>
    <w:p>
      <w:pPr>
        <w:pStyle w:val="6"/>
        <w:spacing w:beforeLines="50" w:afterLines="50"/>
        <w:rPr>
          <w:szCs w:val="28"/>
        </w:rPr>
      </w:pPr>
      <w:bookmarkStart w:id="1247" w:name="_Toc302598277"/>
      <w:bookmarkStart w:id="1248" w:name="_Toc293046903"/>
      <w:bookmarkStart w:id="1249" w:name="_Toc16347"/>
      <w:bookmarkStart w:id="1250" w:name="_Toc334643222"/>
      <w:bookmarkStart w:id="1251" w:name="_Toc295658946"/>
      <w:bookmarkStart w:id="1252" w:name="_Toc529279152"/>
      <w:bookmarkStart w:id="1253" w:name="_Toc534895361"/>
      <w:bookmarkStart w:id="1254" w:name="_Toc3903370"/>
      <w:bookmarkStart w:id="1255" w:name="_Toc534807144"/>
      <w:bookmarkStart w:id="1256" w:name="_Toc295658678"/>
      <w:bookmarkStart w:id="1257" w:name="_Toc534386396"/>
      <w:bookmarkStart w:id="1258" w:name="_Toc536265233"/>
      <w:r>
        <w:rPr>
          <w:rFonts w:hint="eastAsia"/>
          <w:szCs w:val="28"/>
        </w:rPr>
        <w:t>8.4</w:t>
      </w:r>
      <w:r>
        <w:rPr>
          <w:szCs w:val="28"/>
        </w:rPr>
        <w:t>环保工程竣工验收</w:t>
      </w:r>
      <w:bookmarkEnd w:id="1247"/>
      <w:bookmarkEnd w:id="1248"/>
      <w:bookmarkEnd w:id="1249"/>
      <w:bookmarkEnd w:id="1250"/>
      <w:bookmarkEnd w:id="1251"/>
      <w:bookmarkEnd w:id="1252"/>
      <w:bookmarkEnd w:id="1253"/>
      <w:bookmarkEnd w:id="1254"/>
      <w:bookmarkEnd w:id="1255"/>
      <w:bookmarkEnd w:id="1256"/>
      <w:bookmarkEnd w:id="1257"/>
      <w:bookmarkEnd w:id="1258"/>
    </w:p>
    <w:p>
      <w:pPr>
        <w:ind w:firstLine="480"/>
      </w:pPr>
      <w:r>
        <w:t>根据《建设项目竣工环境保护设施验收管理办法》（国家环保总局令第13号），建设项目竣工环境保护验收条件是：</w:t>
      </w:r>
    </w:p>
    <w:p>
      <w:pPr>
        <w:ind w:firstLine="480"/>
      </w:pPr>
      <w:r>
        <w:rPr>
          <w:rFonts w:hint="eastAsia" w:ascii="宋体" w:hAnsi="宋体" w:cs="宋体"/>
          <w:szCs w:val="24"/>
        </w:rPr>
        <w:t>⑴</w:t>
      </w:r>
      <w:r>
        <w:t>建设前期环境保护审查、审批手续完备，技术资料与环境保护档案齐全。</w:t>
      </w:r>
    </w:p>
    <w:p>
      <w:pPr>
        <w:ind w:firstLine="480"/>
      </w:pPr>
      <w:r>
        <w:rPr>
          <w:rFonts w:hint="eastAsia" w:ascii="宋体" w:hAnsi="宋体" w:cs="宋体"/>
          <w:szCs w:val="24"/>
        </w:rPr>
        <w:t>⑵</w:t>
      </w:r>
      <w:r>
        <w:t>环境保护设施及其它措施等已按批准的环境影响报告书或者环境影响登记表和设计文件的要求建设成或落实，其防治污染能力适应主体工程的需要；安装质量符合国家有关部门颁发的专业工程验收规范、规程和检验评定标准。</w:t>
      </w:r>
    </w:p>
    <w:p>
      <w:pPr>
        <w:ind w:firstLine="480"/>
      </w:pPr>
      <w:r>
        <w:rPr>
          <w:rFonts w:hint="eastAsia" w:ascii="宋体" w:hAnsi="宋体" w:cs="宋体"/>
          <w:szCs w:val="24"/>
        </w:rPr>
        <w:t>⑶</w:t>
      </w:r>
      <w:r>
        <w:t>各项生态保护措施按环境影响报告书规定的要求落实，建设项目建设过程中受到破坏并可恢复的环境已按规定采取了恢复措施。</w:t>
      </w:r>
    </w:p>
    <w:p>
      <w:pPr>
        <w:ind w:firstLine="480"/>
      </w:pPr>
      <w:r>
        <w:rPr>
          <w:rFonts w:hint="eastAsia" w:ascii="宋体" w:hAnsi="宋体" w:cs="宋体"/>
          <w:szCs w:val="24"/>
        </w:rPr>
        <w:t>⑷</w:t>
      </w:r>
      <w:r>
        <w:t>环境影响报告书提出需对环境保护敏感点进行环境影响验证，已按规定要求完成。</w:t>
      </w:r>
    </w:p>
    <w:p>
      <w:pPr>
        <w:ind w:firstLine="480"/>
      </w:pPr>
      <w:r>
        <w:t>项目属生态影响类项目，根据《建设项目竣工环境保护验收技术规范生态影响类》(HJ/T394-2007)，工程竣工后，建设单位应当自行组织环境保护验收调查，编制验收调查报告，并报环境保护主管部门备案。环境保护竣工验收内容具体见表</w:t>
      </w:r>
      <w:r>
        <w:rPr>
          <w:rFonts w:hint="eastAsia"/>
        </w:rPr>
        <w:t>8.4</w:t>
      </w:r>
      <w:r>
        <w:t>-</w:t>
      </w:r>
      <w:r>
        <w:rPr>
          <w:rFonts w:hint="eastAsia"/>
        </w:rPr>
        <w:t>1</w:t>
      </w:r>
      <w:r>
        <w:t>。</w:t>
      </w:r>
      <w:bookmarkStart w:id="1259" w:name="_Toc334643232"/>
    </w:p>
    <w:bookmarkEnd w:id="1259"/>
    <w:p>
      <w:pPr>
        <w:pStyle w:val="530"/>
        <w:spacing w:before="0" w:beforeLines="0"/>
        <w:rPr>
          <w:rFonts w:cs="Times New Roman"/>
        </w:rPr>
      </w:pPr>
    </w:p>
    <w:p>
      <w:pPr>
        <w:pStyle w:val="530"/>
        <w:spacing w:before="0" w:beforeLines="0"/>
        <w:rPr>
          <w:rFonts w:cs="Times New Roman"/>
        </w:rPr>
      </w:pPr>
    </w:p>
    <w:p>
      <w:pPr>
        <w:pStyle w:val="530"/>
        <w:spacing w:before="0" w:beforeLines="0"/>
        <w:rPr>
          <w:rFonts w:cs="Times New Roman"/>
        </w:rPr>
      </w:pPr>
    </w:p>
    <w:p>
      <w:pPr>
        <w:pStyle w:val="530"/>
        <w:spacing w:before="0" w:beforeLines="0"/>
        <w:rPr>
          <w:rFonts w:cs="Times New Roman"/>
        </w:rPr>
      </w:pPr>
    </w:p>
    <w:p>
      <w:pPr>
        <w:pStyle w:val="530"/>
        <w:keepNext w:val="0"/>
        <w:keepLines w:val="0"/>
        <w:pageBreakBefore w:val="0"/>
        <w:widowControl w:val="0"/>
        <w:kinsoku/>
        <w:wordWrap/>
        <w:overflowPunct/>
        <w:topLinePunct w:val="0"/>
        <w:autoSpaceDE/>
        <w:autoSpaceDN/>
        <w:bidi w:val="0"/>
        <w:adjustRightInd w:val="0"/>
        <w:snapToGrid w:val="0"/>
        <w:spacing w:before="164" w:beforeLines="50"/>
        <w:textAlignment w:val="auto"/>
        <w:rPr>
          <w:rFonts w:hint="eastAsia" w:ascii="黑体" w:hAnsi="黑体" w:eastAsia="黑体" w:cs="黑体"/>
        </w:rPr>
      </w:pPr>
      <w:r>
        <w:rPr>
          <w:rFonts w:hint="eastAsia" w:ascii="黑体" w:hAnsi="黑体" w:eastAsia="黑体" w:cs="黑体"/>
        </w:rPr>
        <w:t xml:space="preserve">表8.4-1 </w:t>
      </w:r>
      <w:r>
        <w:rPr>
          <w:rFonts w:hint="eastAsia" w:ascii="黑体" w:hAnsi="黑体" w:eastAsia="黑体" w:cs="黑体"/>
          <w:lang w:val="en-US" w:eastAsia="zh-CN"/>
        </w:rPr>
        <w:t xml:space="preserve"> </w:t>
      </w:r>
      <w:r>
        <w:rPr>
          <w:rFonts w:hint="eastAsia" w:ascii="黑体" w:hAnsi="黑体" w:eastAsia="黑体" w:cs="黑体"/>
        </w:rPr>
        <w:t>项目环保措施</w:t>
      </w:r>
      <w:r>
        <w:rPr>
          <w:rFonts w:hint="eastAsia" w:ascii="黑体" w:hAnsi="黑体" w:eastAsia="黑体" w:cs="黑体"/>
          <w:bCs/>
          <w:szCs w:val="24"/>
        </w:rPr>
        <w:t>竣工验收一览表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427"/>
        <w:gridCol w:w="174"/>
        <w:gridCol w:w="50"/>
        <w:gridCol w:w="1476"/>
        <w:gridCol w:w="6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Align w:val="center"/>
          </w:tcPr>
          <w:p>
            <w:pPr>
              <w:pStyle w:val="159"/>
              <w:keepNext w:val="0"/>
              <w:keepLines w:val="0"/>
              <w:pageBreakBefore w:val="0"/>
              <w:widowControl w:val="0"/>
              <w:kinsoku/>
              <w:wordWrap/>
              <w:topLinePunct w:val="0"/>
              <w:bidi w:val="0"/>
              <w:spacing w:line="340" w:lineRule="exact"/>
              <w:jc w:val="both"/>
              <w:rPr>
                <w:szCs w:val="21"/>
              </w:rPr>
            </w:pPr>
            <w:r>
              <w:rPr>
                <w:rFonts w:hAnsi="宋体"/>
                <w:szCs w:val="21"/>
              </w:rPr>
              <w:t>项目</w:t>
            </w:r>
          </w:p>
        </w:tc>
        <w:tc>
          <w:tcPr>
            <w:tcW w:w="1111" w:type="pct"/>
            <w:gridSpan w:val="4"/>
            <w:vAlign w:val="center"/>
          </w:tcPr>
          <w:p>
            <w:pPr>
              <w:pStyle w:val="159"/>
              <w:keepNext w:val="0"/>
              <w:keepLines w:val="0"/>
              <w:pageBreakBefore w:val="0"/>
              <w:widowControl w:val="0"/>
              <w:kinsoku/>
              <w:wordWrap/>
              <w:topLinePunct w:val="0"/>
              <w:bidi w:val="0"/>
              <w:spacing w:line="340" w:lineRule="exact"/>
              <w:rPr>
                <w:szCs w:val="21"/>
              </w:rPr>
            </w:pPr>
            <w:r>
              <w:rPr>
                <w:rFonts w:hAnsi="宋体"/>
                <w:szCs w:val="21"/>
              </w:rPr>
              <w:t>分类</w:t>
            </w:r>
          </w:p>
        </w:tc>
        <w:tc>
          <w:tcPr>
            <w:tcW w:w="3536" w:type="pct"/>
            <w:vAlign w:val="center"/>
          </w:tcPr>
          <w:p>
            <w:pPr>
              <w:pStyle w:val="159"/>
              <w:keepNext w:val="0"/>
              <w:keepLines w:val="0"/>
              <w:pageBreakBefore w:val="0"/>
              <w:widowControl w:val="0"/>
              <w:kinsoku/>
              <w:wordWrap/>
              <w:topLinePunct w:val="0"/>
              <w:bidi w:val="0"/>
              <w:spacing w:line="340" w:lineRule="exact"/>
              <w:rPr>
                <w:szCs w:val="21"/>
              </w:rPr>
            </w:pPr>
            <w:r>
              <w:rPr>
                <w:rFonts w:hint="eastAsia" w:hAnsi="宋体"/>
                <w:szCs w:val="21"/>
              </w:rPr>
              <w:t>具体</w:t>
            </w:r>
            <w:r>
              <w:rPr>
                <w:rFonts w:hAnsi="宋体"/>
                <w:szCs w:val="21"/>
              </w:rPr>
              <w:t>环境保护措施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sz w:val="21"/>
                <w:szCs w:val="21"/>
              </w:rPr>
            </w:pPr>
            <w:r>
              <w:rPr>
                <w:rFonts w:hAnsi="宋体"/>
                <w:kern w:val="0"/>
                <w:sz w:val="21"/>
                <w:szCs w:val="21"/>
              </w:rPr>
              <w:t>水环境保护措施</w:t>
            </w:r>
          </w:p>
        </w:tc>
        <w:tc>
          <w:tcPr>
            <w:tcW w:w="22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sz w:val="21"/>
                <w:szCs w:val="21"/>
              </w:rPr>
            </w:pPr>
            <w:r>
              <w:rPr>
                <w:rFonts w:hAnsi="宋体"/>
                <w:kern w:val="0"/>
                <w:sz w:val="21"/>
                <w:szCs w:val="21"/>
              </w:rPr>
              <w:t>施工期</w:t>
            </w:r>
          </w:p>
        </w:tc>
        <w:tc>
          <w:tcPr>
            <w:tcW w:w="888" w:type="pct"/>
            <w:gridSpan w:val="3"/>
            <w:vAlign w:val="center"/>
          </w:tcPr>
          <w:p>
            <w:pPr>
              <w:pStyle w:val="159"/>
              <w:keepNext w:val="0"/>
              <w:keepLines w:val="0"/>
              <w:pageBreakBefore w:val="0"/>
              <w:widowControl w:val="0"/>
              <w:kinsoku/>
              <w:wordWrap/>
              <w:topLinePunct w:val="0"/>
              <w:bidi w:val="0"/>
              <w:spacing w:line="340" w:lineRule="exact"/>
              <w:rPr>
                <w:szCs w:val="21"/>
              </w:rPr>
            </w:pPr>
            <w:r>
              <w:rPr>
                <w:rFonts w:hAnsi="宋体"/>
                <w:szCs w:val="21"/>
              </w:rPr>
              <w:t>基坑废水</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sz w:val="21"/>
                <w:szCs w:val="21"/>
              </w:rPr>
            </w:pPr>
            <w:r>
              <w:rPr>
                <w:rFonts w:hAnsi="宋体"/>
                <w:kern w:val="0"/>
                <w:sz w:val="21"/>
                <w:szCs w:val="21"/>
              </w:rPr>
              <w:t>通过向基坑内投加絮凝剂进行絮凝沉淀后，回用于</w:t>
            </w:r>
            <w:r>
              <w:rPr>
                <w:rFonts w:hAnsi="宋体"/>
                <w:sz w:val="21"/>
                <w:szCs w:val="21"/>
              </w:rPr>
              <w:t>混凝土的养护和冲洗</w:t>
            </w:r>
            <w:r>
              <w:rPr>
                <w:rFonts w:hAnsi="宋体"/>
                <w:kern w:val="0"/>
                <w:sz w:val="21"/>
                <w:szCs w:val="21"/>
              </w:rPr>
              <w:t>或洒水抑尘，多余部分排入下游河道。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22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888" w:type="pct"/>
            <w:gridSpan w:val="3"/>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机械冲洗废水</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机械冲洗废水经过隔油沉淀处理后，回用于机械冲洗使用，不外排。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22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888" w:type="pct"/>
            <w:gridSpan w:val="3"/>
            <w:vAlign w:val="center"/>
          </w:tcPr>
          <w:p>
            <w:pPr>
              <w:pStyle w:val="159"/>
              <w:keepNext w:val="0"/>
              <w:keepLines w:val="0"/>
              <w:pageBreakBefore w:val="0"/>
              <w:widowControl w:val="0"/>
              <w:kinsoku/>
              <w:wordWrap/>
              <w:topLinePunct w:val="0"/>
              <w:bidi w:val="0"/>
              <w:spacing w:line="340" w:lineRule="exact"/>
              <w:rPr>
                <w:szCs w:val="21"/>
              </w:rPr>
            </w:pPr>
            <w:r>
              <w:rPr>
                <w:rFonts w:hAnsi="宋体"/>
                <w:szCs w:val="21"/>
              </w:rPr>
              <w:t>生活污水</w:t>
            </w:r>
          </w:p>
        </w:tc>
        <w:tc>
          <w:tcPr>
            <w:tcW w:w="3536" w:type="pct"/>
            <w:vAlign w:val="center"/>
          </w:tcPr>
          <w:p>
            <w:pPr>
              <w:keepNext w:val="0"/>
              <w:keepLines w:val="0"/>
              <w:pageBreakBefore w:val="0"/>
              <w:widowControl w:val="0"/>
              <w:kinsoku/>
              <w:wordWrap/>
              <w:topLinePunct w:val="0"/>
              <w:bidi w:val="0"/>
              <w:spacing w:line="340" w:lineRule="exact"/>
              <w:ind w:firstLine="420"/>
              <w:rPr>
                <w:kern w:val="0"/>
                <w:sz w:val="21"/>
                <w:szCs w:val="21"/>
              </w:rPr>
            </w:pPr>
            <w:r>
              <w:rPr>
                <w:rFonts w:hAnsi="宋体"/>
                <w:kern w:val="0"/>
                <w:sz w:val="21"/>
                <w:szCs w:val="21"/>
              </w:rPr>
              <w:t>经施工场地配备的旱厕沤肥处理后用于肥田，不外排。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22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运行期</w:t>
            </w:r>
          </w:p>
        </w:tc>
        <w:tc>
          <w:tcPr>
            <w:tcW w:w="888" w:type="pct"/>
            <w:gridSpan w:val="3"/>
            <w:vAlign w:val="center"/>
          </w:tcPr>
          <w:p>
            <w:pPr>
              <w:pStyle w:val="159"/>
              <w:keepNext w:val="0"/>
              <w:keepLines w:val="0"/>
              <w:pageBreakBefore w:val="0"/>
              <w:widowControl w:val="0"/>
              <w:kinsoku/>
              <w:wordWrap/>
              <w:topLinePunct w:val="0"/>
              <w:bidi w:val="0"/>
              <w:spacing w:line="340" w:lineRule="exact"/>
              <w:rPr>
                <w:szCs w:val="21"/>
              </w:rPr>
            </w:pPr>
            <w:r>
              <w:rPr>
                <w:rFonts w:hAnsi="宋体"/>
                <w:szCs w:val="21"/>
              </w:rPr>
              <w:t>库底清理</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对正常蓄水位以下库区进行林地清理，包括林木砍伐、零星树木和迹地清理；</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清理范围内的沼气池、粪池、厕所、牲畜栏中的粪便应彻底清掏运至库外，坑穴进行药物消毒；无法清掏的残留物，应加等量生石灰或撒布漂白粉混匀消毒，处理后的达到无害化要求。</w:t>
            </w:r>
          </w:p>
          <w:p>
            <w:pPr>
              <w:keepNext w:val="0"/>
              <w:keepLines w:val="0"/>
              <w:pageBreakBefore w:val="0"/>
              <w:widowControl w:val="0"/>
              <w:kinsoku/>
              <w:wordWrap/>
              <w:topLinePunct w:val="0"/>
              <w:autoSpaceDE w:val="0"/>
              <w:autoSpaceDN w:val="0"/>
              <w:bidi w:val="0"/>
              <w:adjustRightInd w:val="0"/>
              <w:spacing w:line="340" w:lineRule="exact"/>
              <w:ind w:firstLine="0" w:firstLineChars="0"/>
              <w:rPr>
                <w:sz w:val="21"/>
                <w:szCs w:val="21"/>
              </w:rPr>
            </w:pPr>
            <w:r>
              <w:rPr>
                <w:kern w:val="0"/>
                <w:sz w:val="21"/>
                <w:szCs w:val="21"/>
              </w:rPr>
              <w:t>(3)</w:t>
            </w:r>
            <w:r>
              <w:rPr>
                <w:rFonts w:hAnsi="宋体"/>
                <w:kern w:val="0"/>
                <w:sz w:val="21"/>
                <w:szCs w:val="21"/>
              </w:rPr>
              <w:t>遗留的生活垃圾必须统一清理，污水沟内沉积的污物需曝晒消毒。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223" w:type="pct"/>
            <w:vMerge w:val="continue"/>
            <w:vAlign w:val="center"/>
          </w:tcPr>
          <w:p>
            <w:pPr>
              <w:pStyle w:val="159"/>
              <w:keepNext w:val="0"/>
              <w:keepLines w:val="0"/>
              <w:pageBreakBefore w:val="0"/>
              <w:widowControl w:val="0"/>
              <w:kinsoku/>
              <w:wordWrap/>
              <w:topLinePunct w:val="0"/>
              <w:bidi w:val="0"/>
              <w:spacing w:line="340" w:lineRule="exact"/>
              <w:jc w:val="both"/>
              <w:rPr>
                <w:szCs w:val="21"/>
              </w:rPr>
            </w:pPr>
          </w:p>
        </w:tc>
        <w:tc>
          <w:tcPr>
            <w:tcW w:w="888" w:type="pct"/>
            <w:gridSpan w:val="3"/>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rFonts w:hAnsi="宋体"/>
                <w:kern w:val="0"/>
                <w:sz w:val="21"/>
                <w:szCs w:val="21"/>
              </w:rPr>
            </w:pPr>
            <w:r>
              <w:rPr>
                <w:rFonts w:hAnsi="宋体"/>
                <w:kern w:val="0"/>
                <w:sz w:val="21"/>
                <w:szCs w:val="21"/>
              </w:rPr>
              <w:t>管理区生活污水</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rFonts w:hAnsi="宋体"/>
                <w:kern w:val="0"/>
                <w:sz w:val="21"/>
                <w:szCs w:val="21"/>
              </w:rPr>
            </w:pPr>
            <w:r>
              <w:rPr>
                <w:rFonts w:hint="eastAsia" w:hAnsi="宋体"/>
                <w:kern w:val="0"/>
                <w:sz w:val="21"/>
                <w:szCs w:val="21"/>
              </w:rPr>
              <w:t>经化粪池处理达</w:t>
            </w:r>
            <w:r>
              <w:rPr>
                <w:rFonts w:hAnsi="宋体"/>
                <w:kern w:val="0"/>
                <w:sz w:val="21"/>
                <w:szCs w:val="21"/>
              </w:rPr>
              <w:t>《农田灌溉水质标准》（GB5084-2005）中旱作标准后用于周边农田菜地施肥，</w:t>
            </w:r>
            <w:r>
              <w:rPr>
                <w:rFonts w:hint="eastAsia" w:hAnsi="宋体"/>
                <w:kern w:val="0"/>
                <w:sz w:val="21"/>
                <w:szCs w:val="21"/>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生态流量保障措施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初期蓄水期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sz w:val="21"/>
                <w:szCs w:val="21"/>
              </w:rPr>
              <w:t>坝顶溢流</w:t>
            </w:r>
            <w:r>
              <w:rPr>
                <w:color w:val="0000FF"/>
                <w:sz w:val="21"/>
                <w:szCs w:val="21"/>
              </w:rPr>
              <w:t>0.0</w:t>
            </w:r>
            <w:r>
              <w:rPr>
                <w:rFonts w:hint="eastAsia"/>
                <w:color w:val="0000FF"/>
                <w:sz w:val="21"/>
                <w:szCs w:val="21"/>
              </w:rPr>
              <w:t>7</w:t>
            </w:r>
            <w:r>
              <w:rPr>
                <w:color w:val="0000FF"/>
                <w:sz w:val="21"/>
                <w:szCs w:val="21"/>
              </w:rPr>
              <w:t>m</w:t>
            </w:r>
            <w:r>
              <w:rPr>
                <w:rFonts w:hAnsi="宋体"/>
                <w:kern w:val="0"/>
                <w:sz w:val="21"/>
                <w:szCs w:val="21"/>
              </w:rPr>
              <w:t>高程后作为下放生态流量</w:t>
            </w:r>
            <w:r>
              <w:rPr>
                <w:rFonts w:hint="eastAsia"/>
                <w:kern w:val="0"/>
                <w:sz w:val="21"/>
                <w:szCs w:val="21"/>
              </w:rPr>
              <w:t>，</w:t>
            </w:r>
            <w:r>
              <w:rPr>
                <w:rFonts w:hAnsi="宋体"/>
                <w:kern w:val="0"/>
                <w:sz w:val="21"/>
                <w:szCs w:val="21"/>
              </w:rPr>
              <w:t>通过坝顶溢流高程控制下泄流量，以保证下游生态供水。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运行期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采用</w:t>
            </w:r>
            <w:r>
              <w:rPr>
                <w:rFonts w:hAnsi="宋体"/>
                <w:sz w:val="21"/>
                <w:szCs w:val="21"/>
              </w:rPr>
              <w:t>坝顶溢流</w:t>
            </w:r>
            <w:r>
              <w:rPr>
                <w:color w:val="1D41D5"/>
                <w:sz w:val="21"/>
                <w:szCs w:val="21"/>
              </w:rPr>
              <w:t>0.0</w:t>
            </w:r>
            <w:r>
              <w:rPr>
                <w:rFonts w:hint="eastAsia"/>
                <w:color w:val="1D41D5"/>
                <w:sz w:val="21"/>
                <w:szCs w:val="21"/>
              </w:rPr>
              <w:t>7</w:t>
            </w:r>
            <w:r>
              <w:rPr>
                <w:color w:val="1D41D5"/>
                <w:sz w:val="21"/>
                <w:szCs w:val="21"/>
              </w:rPr>
              <w:t>m</w:t>
            </w:r>
            <w:r>
              <w:rPr>
                <w:rFonts w:hAnsi="宋体"/>
                <w:sz w:val="21"/>
                <w:szCs w:val="21"/>
              </w:rPr>
              <w:t>，泄水流量为</w:t>
            </w:r>
            <w:r>
              <w:rPr>
                <w:rFonts w:hint="eastAsia"/>
                <w:color w:val="1D41D5"/>
                <w:sz w:val="21"/>
                <w:szCs w:val="21"/>
              </w:rPr>
              <w:t>12.11</w:t>
            </w:r>
            <w:r>
              <w:rPr>
                <w:sz w:val="21"/>
                <w:szCs w:val="21"/>
              </w:rPr>
              <w:t>m</w:t>
            </w:r>
            <w:r>
              <w:rPr>
                <w:sz w:val="21"/>
                <w:szCs w:val="21"/>
                <w:vertAlign w:val="superscript"/>
              </w:rPr>
              <w:t>3</w:t>
            </w:r>
            <w:r>
              <w:rPr>
                <w:sz w:val="21"/>
                <w:szCs w:val="21"/>
              </w:rPr>
              <w:t>/s</w:t>
            </w:r>
            <w:r>
              <w:rPr>
                <w:rFonts w:hAnsi="宋体"/>
                <w:kern w:val="0"/>
                <w:sz w:val="21"/>
                <w:szCs w:val="21"/>
              </w:rPr>
              <w:t>作为下放生态流量，</w:t>
            </w:r>
            <w:r>
              <w:rPr>
                <w:rFonts w:hAnsi="宋体"/>
                <w:sz w:val="21"/>
                <w:szCs w:val="21"/>
              </w:rPr>
              <w:t>枯水期，合理开启抬水工程闸门高度调节下泄生态流量</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地下水环境保护措施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施工期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进一步调查工程坝区及周围的地下水补给和径流通道，制定相关区域的污染治理和环境保护措施。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运行期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建立地下水环境监控体系，掌握地下水补、径、排关系和水质变化趋势。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生态环境保护措施</w:t>
            </w:r>
          </w:p>
        </w:tc>
        <w:tc>
          <w:tcPr>
            <w:tcW w:w="314" w:type="pct"/>
            <w:gridSpan w:val="2"/>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陆生生态</w:t>
            </w:r>
          </w:p>
        </w:tc>
        <w:tc>
          <w:tcPr>
            <w:tcW w:w="797" w:type="pct"/>
            <w:gridSpan w:val="2"/>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生态影响的避免、消减和补偿</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sz w:val="21"/>
                <w:szCs w:val="21"/>
              </w:rPr>
            </w:pPr>
            <w:r>
              <w:rPr>
                <w:kern w:val="0"/>
                <w:sz w:val="21"/>
                <w:szCs w:val="21"/>
              </w:rPr>
              <w:t>(1)</w:t>
            </w:r>
            <w:r>
              <w:rPr>
                <w:rFonts w:hAnsi="宋体"/>
                <w:kern w:val="0"/>
                <w:sz w:val="21"/>
                <w:szCs w:val="21"/>
              </w:rPr>
              <w:t>坚决制止工程周边的植被资源滥砍乱伐、过量采伐等不良经营方式，保护和培育现有植被；</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严禁山火，加强林地植被病虫害的防治，强化对现有植被的管理。</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对淹没区分布的乔木，结合库底清理，尽可能移植用于工程周边的植被恢复</w:t>
            </w:r>
            <w:r>
              <w:rPr>
                <w:rFonts w:hint="eastAsia" w:hAnsi="宋体"/>
                <w:kern w:val="0"/>
                <w:sz w:val="21"/>
                <w:szCs w:val="21"/>
              </w:rPr>
              <w:t>；</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(4)</w:t>
            </w:r>
            <w:r>
              <w:rPr>
                <w:rFonts w:hAnsi="宋体"/>
                <w:kern w:val="0"/>
                <w:sz w:val="21"/>
                <w:szCs w:val="21"/>
              </w:rPr>
              <w:t>标桩划界，禁止施工人员进入非施工占地区域；非施工区严禁烟火、狩猎和垂钓等活动；</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(5)</w:t>
            </w:r>
            <w:r>
              <w:rPr>
                <w:rFonts w:hAnsi="宋体"/>
                <w:kern w:val="0"/>
                <w:sz w:val="21"/>
                <w:szCs w:val="21"/>
              </w:rPr>
              <w:t>施工区表层土储存在临时对土场，做好遮盖和防护，以便回采利用。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14" w:type="pct"/>
            <w:gridSpan w:val="2"/>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797" w:type="pct"/>
            <w:gridSpan w:val="2"/>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陆生植物保护</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为了保护</w:t>
            </w:r>
            <w:r>
              <w:rPr>
                <w:rFonts w:hint="eastAsia" w:hAnsi="宋体"/>
                <w:kern w:val="0"/>
                <w:sz w:val="21"/>
                <w:szCs w:val="21"/>
              </w:rPr>
              <w:t>锦</w:t>
            </w:r>
            <w:r>
              <w:rPr>
                <w:rFonts w:hAnsi="宋体"/>
                <w:kern w:val="0"/>
                <w:sz w:val="21"/>
                <w:szCs w:val="21"/>
              </w:rPr>
              <w:t>河及其生态环境，应加强防护林建设，在河岸两侧，可配置灌木护岸林带。施工结束后，采用同样方法对土料场、施工场地等受施工影响区域进行处理。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14" w:type="pct"/>
            <w:gridSpan w:val="2"/>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797" w:type="pct"/>
            <w:gridSpan w:val="2"/>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落实水土保持工程措施及植物措施。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14" w:type="pct"/>
            <w:gridSpan w:val="2"/>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797" w:type="pct"/>
            <w:gridSpan w:val="2"/>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陆生动物保护</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采用多种途径广泛开展保护野生动物的宣传和法制教育，使当地居民能自觉保护重点保护动物；蓄水前对由于人为活动的干扰而受伤或食物暂时性短缺受影响的重点保护动物采取统一搜救措施；加强施工期对野生重点保护动物的监测，提高工程周边居民保护动植物意识，对受伤的动物进行暂时收养，并寻找合适的栖息地放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14" w:type="pct"/>
            <w:gridSpan w:val="2"/>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水生生态</w:t>
            </w:r>
          </w:p>
        </w:tc>
        <w:tc>
          <w:tcPr>
            <w:tcW w:w="797" w:type="pct"/>
            <w:gridSpan w:val="2"/>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鱼类放流</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采用外购鱼苗的方式，在影响水域放</w:t>
            </w:r>
            <w:r>
              <w:fldChar w:fldCharType="begin"/>
            </w:r>
            <w:r>
              <w:instrText xml:space="preserve"> HYPERLINK "https://baike.baidu.com/item/%E9%9D%92%E9%B1%BC/680135" \t "_blank" </w:instrText>
            </w:r>
            <w:r>
              <w:fldChar w:fldCharType="separate"/>
            </w:r>
            <w:r>
              <w:rPr>
                <w:rFonts w:hAnsi="宋体"/>
                <w:sz w:val="21"/>
                <w:szCs w:val="21"/>
              </w:rPr>
              <w:t>青鱼</w:t>
            </w:r>
            <w:r>
              <w:rPr>
                <w:rFonts w:hAnsi="宋体"/>
                <w:sz w:val="21"/>
                <w:szCs w:val="21"/>
              </w:rPr>
              <w:fldChar w:fldCharType="end"/>
            </w:r>
            <w:r>
              <w:rPr>
                <w:rFonts w:hAnsi="宋体"/>
                <w:sz w:val="21"/>
                <w:szCs w:val="21"/>
              </w:rPr>
              <w:t>、</w:t>
            </w:r>
            <w:r>
              <w:fldChar w:fldCharType="begin"/>
            </w:r>
            <w:r>
              <w:instrText xml:space="preserve"> HYPERLINK "https://baike.baidu.com/item/%E8%8D%89%E9%B1%BC/680268" \t "_blank" </w:instrText>
            </w:r>
            <w:r>
              <w:fldChar w:fldCharType="separate"/>
            </w:r>
            <w:r>
              <w:rPr>
                <w:rFonts w:hAnsi="宋体"/>
                <w:sz w:val="21"/>
                <w:szCs w:val="21"/>
              </w:rPr>
              <w:t>草鱼</w:t>
            </w:r>
            <w:r>
              <w:rPr>
                <w:rFonts w:hAnsi="宋体"/>
                <w:sz w:val="21"/>
                <w:szCs w:val="21"/>
              </w:rPr>
              <w:fldChar w:fldCharType="end"/>
            </w:r>
            <w:r>
              <w:rPr>
                <w:rFonts w:hAnsi="宋体"/>
                <w:sz w:val="21"/>
                <w:szCs w:val="21"/>
              </w:rPr>
              <w:t>、</w:t>
            </w:r>
            <w:r>
              <w:fldChar w:fldCharType="begin"/>
            </w:r>
            <w:r>
              <w:instrText xml:space="preserve"> HYPERLINK "https://baike.baidu.com/item/%E9%B2%A2%E9%B1%BC/1352881" \t "_blank" </w:instrText>
            </w:r>
            <w:r>
              <w:fldChar w:fldCharType="separate"/>
            </w:r>
            <w:r>
              <w:rPr>
                <w:rFonts w:hAnsi="宋体"/>
                <w:sz w:val="21"/>
                <w:szCs w:val="21"/>
              </w:rPr>
              <w:t>鲢鱼</w:t>
            </w:r>
            <w:r>
              <w:rPr>
                <w:rFonts w:hAnsi="宋体"/>
                <w:sz w:val="21"/>
                <w:szCs w:val="21"/>
              </w:rPr>
              <w:fldChar w:fldCharType="end"/>
            </w:r>
            <w:r>
              <w:rPr>
                <w:rFonts w:hAnsi="宋体"/>
                <w:sz w:val="21"/>
                <w:szCs w:val="21"/>
              </w:rPr>
              <w:t>、</w:t>
            </w:r>
            <w:r>
              <w:fldChar w:fldCharType="begin"/>
            </w:r>
            <w:r>
              <w:instrText xml:space="preserve"> HYPERLINK "https://baike.baidu.com/item/%E9%B3%99%E9%B1%BC/6812945" \t "_blank" </w:instrText>
            </w:r>
            <w:r>
              <w:fldChar w:fldCharType="separate"/>
            </w:r>
            <w:r>
              <w:rPr>
                <w:rFonts w:hAnsi="宋体"/>
                <w:sz w:val="21"/>
                <w:szCs w:val="21"/>
              </w:rPr>
              <w:t>鳙鱼</w:t>
            </w:r>
            <w:r>
              <w:rPr>
                <w:rFonts w:hAnsi="宋体"/>
                <w:sz w:val="21"/>
                <w:szCs w:val="21"/>
              </w:rPr>
              <w:fldChar w:fldCharType="end"/>
            </w:r>
            <w:r>
              <w:rPr>
                <w:sz w:val="21"/>
                <w:szCs w:val="21"/>
              </w:rPr>
              <w:t>4</w:t>
            </w:r>
            <w:r>
              <w:rPr>
                <w:rFonts w:hAnsi="宋体"/>
                <w:sz w:val="21"/>
                <w:szCs w:val="21"/>
              </w:rPr>
              <w:t>种鱼类</w:t>
            </w:r>
            <w:r>
              <w:rPr>
                <w:rFonts w:hAnsi="宋体"/>
                <w:kern w:val="0"/>
                <w:sz w:val="21"/>
                <w:szCs w:val="21"/>
              </w:rPr>
              <w:t>。</w:t>
            </w:r>
            <w:r>
              <w:rPr>
                <w:rFonts w:hAnsi="宋体"/>
                <w:sz w:val="21"/>
                <w:szCs w:val="21"/>
              </w:rPr>
              <w:t>每年放流</w:t>
            </w:r>
            <w:r>
              <w:rPr>
                <w:sz w:val="21"/>
                <w:szCs w:val="21"/>
              </w:rPr>
              <w:t>15000</w:t>
            </w:r>
            <w:r>
              <w:rPr>
                <w:rFonts w:hAnsi="宋体"/>
                <w:sz w:val="21"/>
                <w:szCs w:val="21"/>
              </w:rPr>
              <w:t>尾</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14" w:type="pct"/>
            <w:gridSpan w:val="2"/>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797" w:type="pct"/>
            <w:gridSpan w:val="2"/>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渔政宣传</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和管理</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施工期应加强施工及管理人员水生生态保护宣传，制作相关环境保护手册、警示牌、管理制度等，严禁施工人员捕捉河道鱼类等事件发生。</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确保相关环保措施的落实，固体废弃物弃于指定渣场，禁止排入河道。对施工期间的生产废水、生活污水等严格监管，采取集中收集、回收利用。</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避免在鱼类繁殖期在河道及周边进行爆破、截流等施工作业。</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 xml:space="preserve">(4) </w:t>
            </w:r>
            <w:r>
              <w:rPr>
                <w:rFonts w:hAnsi="宋体"/>
                <w:kern w:val="0"/>
                <w:sz w:val="21"/>
                <w:szCs w:val="21"/>
              </w:rPr>
              <w:t>建立应急保护机制，禁止在减水河段捕捞或限捕，对搁浅、受伤的鱼类及时救护。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土壤环境保护措施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施工期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施工期采取拦挡、苫盖、截排水等水土保持措施，减少土壤侵蚀；</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施工期采取废水、污水可行的治理措施，合理利用，不排放；</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施工期采取合理的一般固废处置措施及危废暂存防渗措施等。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运行期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运行期定期开展</w:t>
            </w:r>
            <w:r>
              <w:rPr>
                <w:rFonts w:hint="eastAsia" w:hAnsi="宋体"/>
                <w:kern w:val="0"/>
                <w:sz w:val="21"/>
                <w:szCs w:val="21"/>
              </w:rPr>
              <w:t>抬水坝址</w:t>
            </w:r>
            <w:r>
              <w:rPr>
                <w:rFonts w:hAnsi="宋体"/>
                <w:kern w:val="0"/>
                <w:sz w:val="21"/>
                <w:szCs w:val="21"/>
              </w:rPr>
              <w:t>周边的土壤调查和监控，发现沼泽化、盐渍化倾向及时采取降水措施，保护土壤环境，保护区域植被。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环境空气保护措施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施工开挖、爆破粉尘的消减和控制</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开挖过程中采用先进的开挖技术，开挖前在开挖表面上洒水，采用湿法作业；爆破过程中，优先采用先进的爆破技术，如低尘爆破、预裂爆破、光面爆破、缓冲爆破和深孔微差挤压爆破技术。爆破前向预爆体表面洒水，在预爆区钻孔采用高压注水；露天爆破时先用湿草袋覆盖爆破面。在开挖、爆破集中区，非雨日每天的早、中、晚各洒水一次，以加速粉尘沉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车辆尾气的消减和控制</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选用符合国家环境标准的施工机械和运输车辆，对排烟量大的车辆安装尾气净化器，使用符合标准的油料或清洁能源，使其排放的废气能够达到国家标准；及时更新耗油多、效率低、排放尾气严重超标的老旧车辆，加强道路管理和维护，及时洒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道路扬尘的削减和控制</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施工作业面及时洒水降尘，尽早对地表扰动区实施植被恢复措施；在施工区附近设置限速标志，防止施工车辆车速过快产生扬尘；对运输车辆物料适当加湿或用苫布遮盖，并经常清洗运输车辆。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声环境保护措</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rFonts w:hAnsi="宋体"/>
                <w:kern w:val="0"/>
                <w:sz w:val="21"/>
                <w:szCs w:val="21"/>
              </w:rPr>
            </w:pPr>
            <w:r>
              <w:rPr>
                <w:rFonts w:hAnsi="宋体"/>
                <w:kern w:val="0"/>
                <w:sz w:val="21"/>
                <w:szCs w:val="21"/>
              </w:rPr>
              <w:t>噪声源控制</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选用低噪声机械设备，通过排气管消声器和隔离发动机振动部件降低固定机械设备噪声；</w:t>
            </w:r>
          </w:p>
          <w:p>
            <w:pPr>
              <w:keepNext w:val="0"/>
              <w:keepLines w:val="0"/>
              <w:pageBreakBefore w:val="0"/>
              <w:widowControl w:val="0"/>
              <w:kinsoku/>
              <w:wordWrap/>
              <w:topLinePunct w:val="0"/>
              <w:autoSpaceDE w:val="0"/>
              <w:autoSpaceDN w:val="0"/>
              <w:bidi w:val="0"/>
              <w:adjustRightInd w:val="0"/>
              <w:spacing w:line="340" w:lineRule="exact"/>
              <w:ind w:firstLine="0" w:firstLineChars="0"/>
              <w:rPr>
                <w:rFonts w:hAnsi="宋体"/>
                <w:kern w:val="0"/>
                <w:sz w:val="21"/>
                <w:szCs w:val="21"/>
              </w:rPr>
            </w:pPr>
            <w:r>
              <w:rPr>
                <w:kern w:val="0"/>
                <w:sz w:val="21"/>
                <w:szCs w:val="21"/>
              </w:rPr>
              <w:t>(2)</w:t>
            </w:r>
            <w:r>
              <w:rPr>
                <w:rFonts w:hAnsi="宋体"/>
                <w:kern w:val="0"/>
                <w:sz w:val="21"/>
                <w:szCs w:val="21"/>
              </w:rPr>
              <w:t>对动力机械设备进行定期维护，避免因部件松动或损坏而增加其噪声源强；暂不使用的设备及时关闭；</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控制爆破的单次炸药用量，从根本上降低爆破噪声源强；</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(4)</w:t>
            </w:r>
            <w:r>
              <w:rPr>
                <w:rFonts w:hAnsi="宋体"/>
                <w:kern w:val="0"/>
                <w:sz w:val="21"/>
                <w:szCs w:val="21"/>
              </w:rPr>
              <w:t>在各个进场路口，特别是居民点处设置警示牌，限制车速，禁止鸣笛，提醒来往车辆减速慢行；</w:t>
            </w:r>
          </w:p>
          <w:p>
            <w:pPr>
              <w:keepNext w:val="0"/>
              <w:keepLines w:val="0"/>
              <w:pageBreakBefore w:val="0"/>
              <w:widowControl w:val="0"/>
              <w:kinsoku/>
              <w:wordWrap/>
              <w:topLinePunct w:val="0"/>
              <w:autoSpaceDE w:val="0"/>
              <w:autoSpaceDN w:val="0"/>
              <w:bidi w:val="0"/>
              <w:adjustRightInd w:val="0"/>
              <w:spacing w:line="340" w:lineRule="exact"/>
              <w:ind w:firstLine="0" w:firstLineChars="0"/>
              <w:rPr>
                <w:rFonts w:hAnsi="宋体"/>
                <w:kern w:val="0"/>
                <w:sz w:val="21"/>
                <w:szCs w:val="21"/>
              </w:rPr>
            </w:pPr>
            <w:r>
              <w:rPr>
                <w:kern w:val="0"/>
                <w:sz w:val="21"/>
                <w:szCs w:val="21"/>
              </w:rPr>
              <w:t>(5)</w:t>
            </w:r>
            <w:r>
              <w:rPr>
                <w:rFonts w:hAnsi="宋体"/>
                <w:kern w:val="0"/>
                <w:sz w:val="21"/>
                <w:szCs w:val="21"/>
              </w:rPr>
              <w:t>加强道路养护和车辆的维修保养，禁止使用高噪声车辆；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声环境保护措</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传播途径控制</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切割机、空压机等这类加工场采用多孔性吸声材料建立隔声屏障、隔声罩和隔声间，并设置隔音操作车间；</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空压机等噪声值较高的施工机械尽量设置在室内作业。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环境保护目标</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合理安排施工时间，在临近村庄工程段，午休、夜间禁止施工和使用强噪声设备；优化施工布局，降施工机械布置在远离在以上噪声预测超标的村庄的一侧，同时在靠近村庄一侧设置移动式隔声屏障。夜间（</w:t>
            </w:r>
            <w:r>
              <w:rPr>
                <w:kern w:val="0"/>
                <w:sz w:val="21"/>
                <w:szCs w:val="21"/>
              </w:rPr>
              <w:t>20:00~</w:t>
            </w:r>
            <w:r>
              <w:rPr>
                <w:rFonts w:hAnsi="宋体"/>
                <w:kern w:val="0"/>
                <w:sz w:val="21"/>
                <w:szCs w:val="21"/>
              </w:rPr>
              <w:t>次日</w:t>
            </w:r>
            <w:r>
              <w:rPr>
                <w:kern w:val="0"/>
                <w:sz w:val="21"/>
                <w:szCs w:val="21"/>
              </w:rPr>
              <w:t>6:00</w:t>
            </w:r>
            <w:r>
              <w:rPr>
                <w:rFonts w:hAnsi="宋体"/>
                <w:kern w:val="0"/>
                <w:sz w:val="21"/>
                <w:szCs w:val="21"/>
              </w:rPr>
              <w:t>）禁止施工，并且避开午休时间（</w:t>
            </w:r>
            <w:r>
              <w:rPr>
                <w:kern w:val="0"/>
                <w:sz w:val="21"/>
                <w:szCs w:val="21"/>
              </w:rPr>
              <w:t>12:00~14:00</w:t>
            </w:r>
            <w:r>
              <w:rPr>
                <w:rFonts w:hAnsi="宋体"/>
                <w:kern w:val="0"/>
                <w:sz w:val="21"/>
                <w:szCs w:val="21"/>
              </w:rPr>
              <w:t>），在村庄附近设置隔声屏障，隔声量</w:t>
            </w:r>
            <w:r>
              <w:rPr>
                <w:kern w:val="0"/>
                <w:sz w:val="21"/>
                <w:szCs w:val="21"/>
              </w:rPr>
              <w:t>≥20dB(A)</w:t>
            </w:r>
            <w:r>
              <w:rPr>
                <w:rFonts w:hAnsi="宋体"/>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固体废物处置措施</w:t>
            </w: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一般固体废物</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施工弃土弃渣：堆放在规划的弃渣场内，按照水土保持要求采取相应的拦挡防护措施，并考虑场内排水。施工完毕后对渣场进行迹地恢复。</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生活垃圾：每天定时由地方环卫部门进行清运至地方垃圾处理站，严禁随意倾倒。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危险废物</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废油抹布与生活垃圾一同处置。废油桶由生产厂家进行回收。废机油、空压机废油、含油污泥等暂存危废暂存间，定期交由有危险废物处理资质的单位进行处置。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社会环境保护措施</w:t>
            </w:r>
          </w:p>
        </w:tc>
        <w:tc>
          <w:tcPr>
            <w:tcW w:w="340" w:type="pct"/>
            <w:gridSpan w:val="3"/>
            <w:vMerge w:val="restar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人群健康保护措施</w:t>
            </w:r>
          </w:p>
        </w:tc>
        <w:tc>
          <w:tcPr>
            <w:tcW w:w="771"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施工期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加强施工区卫生宣传，提高施工区人群卫生知识水平和健康保护意识；</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定时灭蚊、灭蝇、灭鼠，减少传染病的传播途径；</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向施工人员配发必要的劳动保护用品及装备；</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(4)</w:t>
            </w:r>
            <w:r>
              <w:rPr>
                <w:rFonts w:hAnsi="宋体"/>
                <w:kern w:val="0"/>
                <w:sz w:val="21"/>
                <w:szCs w:val="21"/>
              </w:rPr>
              <w:t>保证施工中采用的各类施工机械和运输工具符合国家的有关规定，废气排放量需达标；在施工人员进驻工地前，各施工单位配合地方防疫部门对施工人员进行全面健康调查和疫情建档，并根据实际调查情况进行抽样检查；</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(5)</w:t>
            </w:r>
            <w:r>
              <w:rPr>
                <w:rFonts w:hAnsi="宋体"/>
                <w:kern w:val="0"/>
                <w:sz w:val="21"/>
                <w:szCs w:val="21"/>
              </w:rPr>
              <w:t>施工区常备有肝炎、痢疾等常见传染病的处理药品和器材；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340" w:type="pct"/>
            <w:gridSpan w:val="3"/>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771"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jc w:val="center"/>
              <w:rPr>
                <w:kern w:val="0"/>
                <w:sz w:val="21"/>
                <w:szCs w:val="21"/>
              </w:rPr>
            </w:pPr>
            <w:r>
              <w:rPr>
                <w:rFonts w:hAnsi="宋体"/>
                <w:kern w:val="0"/>
                <w:sz w:val="21"/>
                <w:szCs w:val="21"/>
              </w:rPr>
              <w:t>运行期</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定时清除库周浅水区杂草，减少蚊蝇孳生环境。发生洪水的地区应注意监控鼠类及蚊蝇密度，并向群众宣传自我防护知识，防止疾病流行。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3" w:type="pct"/>
            <w:vMerge w:val="continue"/>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p>
        </w:tc>
        <w:tc>
          <w:tcPr>
            <w:tcW w:w="1111" w:type="pct"/>
            <w:gridSpan w:val="4"/>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rFonts w:hAnsi="宋体"/>
                <w:kern w:val="0"/>
                <w:sz w:val="21"/>
                <w:szCs w:val="21"/>
              </w:rPr>
              <w:t>交通环境保护措施</w:t>
            </w:r>
          </w:p>
        </w:tc>
        <w:tc>
          <w:tcPr>
            <w:tcW w:w="3536" w:type="pct"/>
            <w:vAlign w:val="center"/>
          </w:tcPr>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(1)</w:t>
            </w:r>
            <w:r>
              <w:rPr>
                <w:rFonts w:hAnsi="宋体"/>
                <w:kern w:val="0"/>
                <w:sz w:val="21"/>
                <w:szCs w:val="21"/>
              </w:rPr>
              <w:t>施工期间，尤其是施工高峰期，做好与外界道路的衔接工作，在合理安排施工时序的基础上，疏导交通，避免对公路交通造成不利影响。</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(2)</w:t>
            </w:r>
            <w:r>
              <w:rPr>
                <w:rFonts w:hAnsi="宋体"/>
                <w:kern w:val="0"/>
                <w:sz w:val="21"/>
                <w:szCs w:val="21"/>
              </w:rPr>
              <w:t>设立交通标志，加强工程区交通运输的管理，及时疏导拥挤路段。</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(3)</w:t>
            </w:r>
            <w:r>
              <w:rPr>
                <w:rFonts w:hAnsi="宋体"/>
                <w:kern w:val="0"/>
                <w:sz w:val="21"/>
                <w:szCs w:val="21"/>
              </w:rPr>
              <w:t>在工程进场公路以及集中居民点附近等主要路段配备交通管理人员，对施工期间的车辆进行疏导，保证施工道路的畅通。</w:t>
            </w:r>
          </w:p>
          <w:p>
            <w:pPr>
              <w:keepNext w:val="0"/>
              <w:keepLines w:val="0"/>
              <w:pageBreakBefore w:val="0"/>
              <w:widowControl w:val="0"/>
              <w:kinsoku/>
              <w:wordWrap/>
              <w:topLinePunct w:val="0"/>
              <w:autoSpaceDE w:val="0"/>
              <w:autoSpaceDN w:val="0"/>
              <w:bidi w:val="0"/>
              <w:adjustRightInd w:val="0"/>
              <w:spacing w:line="340" w:lineRule="exact"/>
              <w:ind w:firstLine="0" w:firstLineChars="0"/>
              <w:rPr>
                <w:kern w:val="0"/>
                <w:sz w:val="21"/>
                <w:szCs w:val="21"/>
              </w:rPr>
            </w:pPr>
            <w:r>
              <w:rPr>
                <w:kern w:val="0"/>
                <w:sz w:val="21"/>
                <w:szCs w:val="21"/>
              </w:rPr>
              <w:t>(4)</w:t>
            </w:r>
            <w:r>
              <w:rPr>
                <w:rFonts w:hAnsi="宋体"/>
                <w:kern w:val="0"/>
                <w:sz w:val="21"/>
                <w:szCs w:val="21"/>
              </w:rPr>
              <w:t>针对可能出现的交通拥堵情况，制定应急措施，保证交通畅通与安全。</w:t>
            </w:r>
          </w:p>
        </w:tc>
      </w:tr>
    </w:tbl>
    <w:p>
      <w:pPr>
        <w:pStyle w:val="530"/>
        <w:spacing w:before="120"/>
        <w:rPr>
          <w:rFonts w:cs="Times New Roman"/>
        </w:rPr>
      </w:pPr>
    </w:p>
    <w:p>
      <w:pPr>
        <w:pStyle w:val="530"/>
        <w:spacing w:before="120"/>
        <w:rPr>
          <w:rFonts w:cs="Times New Roman"/>
        </w:rPr>
      </w:pPr>
    </w:p>
    <w:p>
      <w:pPr>
        <w:ind w:firstLine="480"/>
        <w:jc w:val="center"/>
        <w:rPr>
          <w:rFonts w:eastAsia="黑体"/>
        </w:rPr>
        <w:sectPr>
          <w:headerReference r:id="rId20" w:type="default"/>
          <w:pgSz w:w="11906" w:h="16838"/>
          <w:pgMar w:top="1814" w:right="1134" w:bottom="1701" w:left="1418" w:header="1134" w:footer="992" w:gutter="0"/>
          <w:cols w:space="720" w:num="1"/>
          <w:docGrid w:linePitch="326" w:charSpace="0"/>
        </w:sectPr>
      </w:pPr>
    </w:p>
    <w:p>
      <w:pPr>
        <w:pStyle w:val="1064"/>
        <w:spacing w:before="240" w:beforeLines="0" w:after="240" w:afterLines="0" w:line="360" w:lineRule="auto"/>
        <w:ind w:firstLine="601"/>
        <w:rPr>
          <w:rFonts w:eastAsia="宋体" w:cs="Times New Roman"/>
          <w:b/>
          <w:kern w:val="30"/>
          <w:sz w:val="30"/>
        </w:rPr>
      </w:pPr>
      <w:bookmarkStart w:id="1260" w:name="_Toc242870428"/>
      <w:bookmarkStart w:id="1261" w:name="_Toc536265234"/>
      <w:bookmarkStart w:id="1262" w:name="_Toc529279153"/>
      <w:bookmarkStart w:id="1263" w:name="_Toc534386397"/>
      <w:bookmarkStart w:id="1264" w:name="_Toc3903371"/>
      <w:bookmarkStart w:id="1265" w:name="_Toc534895362"/>
      <w:bookmarkStart w:id="1266" w:name="_Toc257295314"/>
      <w:bookmarkStart w:id="1267" w:name="_Toc238818014"/>
      <w:bookmarkStart w:id="1268" w:name="_Toc334643223"/>
      <w:bookmarkStart w:id="1269" w:name="_Toc242930006"/>
      <w:bookmarkStart w:id="1270" w:name="_Toc237249081"/>
      <w:bookmarkStart w:id="1271" w:name="_Toc263272027"/>
      <w:bookmarkStart w:id="1272" w:name="_Toc534807145"/>
      <w:bookmarkStart w:id="1273" w:name="_Toc242683233"/>
      <w:bookmarkStart w:id="1274" w:name="_Toc4855"/>
      <w:bookmarkStart w:id="1275" w:name="_Toc248717046"/>
      <w:bookmarkStart w:id="1276" w:name="_Toc250961264"/>
      <w:bookmarkStart w:id="1277" w:name="_Toc241113938"/>
      <w:r>
        <w:rPr>
          <w:rFonts w:eastAsia="宋体" w:cs="Times New Roman"/>
          <w:b/>
          <w:bCs/>
          <w:kern w:val="30"/>
          <w:sz w:val="30"/>
        </w:rPr>
        <w:t>第</w:t>
      </w:r>
      <w:r>
        <w:rPr>
          <w:rFonts w:hint="eastAsia" w:eastAsia="宋体" w:cs="Times New Roman"/>
          <w:b/>
          <w:bCs/>
          <w:kern w:val="30"/>
          <w:sz w:val="30"/>
        </w:rPr>
        <w:t>九</w:t>
      </w:r>
      <w:r>
        <w:rPr>
          <w:rFonts w:eastAsia="宋体" w:cs="Times New Roman"/>
          <w:b/>
          <w:bCs/>
          <w:kern w:val="30"/>
          <w:sz w:val="30"/>
        </w:rPr>
        <w:t>章  环境影响经</w:t>
      </w:r>
      <w:r>
        <w:rPr>
          <w:rFonts w:eastAsia="宋体" w:cs="Times New Roman"/>
          <w:b/>
          <w:kern w:val="30"/>
          <w:sz w:val="30"/>
        </w:rPr>
        <w:t>济损益分析</w:t>
      </w:r>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pPr>
        <w:pStyle w:val="6"/>
      </w:pPr>
      <w:bookmarkStart w:id="1278" w:name="_Toc534386398"/>
      <w:bookmarkStart w:id="1279" w:name="_Toc529279154"/>
      <w:bookmarkStart w:id="1280" w:name="_Toc3903372"/>
      <w:bookmarkStart w:id="1281" w:name="_Toc536265235"/>
      <w:bookmarkStart w:id="1282" w:name="_Toc534895363"/>
      <w:bookmarkStart w:id="1283" w:name="_Toc534807146"/>
      <w:bookmarkStart w:id="1284" w:name="_Toc21661"/>
      <w:bookmarkStart w:id="1285" w:name="_Toc334643224"/>
      <w:bookmarkStart w:id="1286" w:name="_Toc248717047"/>
      <w:bookmarkStart w:id="1287" w:name="_Toc257295315"/>
      <w:bookmarkStart w:id="1288" w:name="_Toc250961265"/>
      <w:bookmarkStart w:id="1289" w:name="_Toc263272028"/>
      <w:r>
        <w:rPr>
          <w:rFonts w:hint="eastAsia"/>
        </w:rPr>
        <w:t>9</w:t>
      </w:r>
      <w:r>
        <w:t>.1</w:t>
      </w:r>
      <w:bookmarkEnd w:id="1278"/>
      <w:bookmarkEnd w:id="1279"/>
      <w:r>
        <w:t>环境保护投资估算</w:t>
      </w:r>
      <w:bookmarkEnd w:id="1280"/>
      <w:bookmarkEnd w:id="1281"/>
      <w:bookmarkEnd w:id="1282"/>
      <w:bookmarkEnd w:id="1283"/>
      <w:bookmarkEnd w:id="1284"/>
    </w:p>
    <w:p>
      <w:pPr>
        <w:pStyle w:val="7"/>
        <w:snapToGrid w:val="0"/>
        <w:rPr>
          <w:szCs w:val="24"/>
        </w:rPr>
      </w:pPr>
      <w:bookmarkStart w:id="1290" w:name="_Toc536265236"/>
      <w:bookmarkStart w:id="1291" w:name="_Toc534895364"/>
      <w:bookmarkStart w:id="1292" w:name="_Toc534807147"/>
      <w:bookmarkStart w:id="1293" w:name="_Toc3903373"/>
      <w:r>
        <w:rPr>
          <w:rFonts w:hint="eastAsia"/>
          <w:szCs w:val="24"/>
        </w:rPr>
        <w:t>9</w:t>
      </w:r>
      <w:r>
        <w:rPr>
          <w:szCs w:val="24"/>
        </w:rPr>
        <w:t>.1.1编制原则</w:t>
      </w:r>
      <w:bookmarkEnd w:id="1290"/>
      <w:bookmarkEnd w:id="1291"/>
      <w:bookmarkEnd w:id="1292"/>
      <w:bookmarkEnd w:id="1293"/>
    </w:p>
    <w:p>
      <w:pPr>
        <w:ind w:firstLine="472"/>
        <w:rPr>
          <w:spacing w:val="-2"/>
        </w:rPr>
      </w:pPr>
      <w:r>
        <w:rPr>
          <w:rFonts w:hint="eastAsia" w:ascii="宋体" w:hAnsi="宋体" w:cs="宋体"/>
          <w:spacing w:val="-2"/>
        </w:rPr>
        <w:t>⑴</w:t>
      </w:r>
      <w:r>
        <w:rPr>
          <w:spacing w:val="-2"/>
        </w:rPr>
        <w:t>“谁污染，谁治理，谁开发，谁保护”原则</w:t>
      </w:r>
    </w:p>
    <w:p>
      <w:pPr>
        <w:ind w:firstLine="472"/>
        <w:rPr>
          <w:spacing w:val="-2"/>
        </w:rPr>
      </w:pPr>
      <w:r>
        <w:rPr>
          <w:spacing w:val="-2"/>
        </w:rPr>
        <w:t>对于既保护环境又为主体工程服务，以及为减轻或消除因工程兴建对环境造成的不利影响采取的环境保护措施、环境监测和环境管理等措施，其所需的投资均列入工程环境保护投资。其中，主体工程规划设计中具有环境保护功能的措施费用列入主体工程投资估算中，水土保持措施费用列入本项目水土保持方案投资估算中，本估算不再重复计列。</w:t>
      </w:r>
    </w:p>
    <w:p>
      <w:pPr>
        <w:ind w:firstLine="472"/>
        <w:rPr>
          <w:spacing w:val="-2"/>
        </w:rPr>
      </w:pPr>
      <w:r>
        <w:rPr>
          <w:rFonts w:hint="eastAsia" w:ascii="宋体" w:hAnsi="宋体" w:cs="宋体"/>
          <w:spacing w:val="-2"/>
        </w:rPr>
        <w:t>⑵</w:t>
      </w:r>
      <w:r>
        <w:rPr>
          <w:spacing w:val="-2"/>
        </w:rPr>
        <w:t>“功能恢复”原则</w:t>
      </w:r>
    </w:p>
    <w:p>
      <w:pPr>
        <w:ind w:firstLine="472"/>
        <w:rPr>
          <w:spacing w:val="-2"/>
        </w:rPr>
      </w:pPr>
      <w:r>
        <w:rPr>
          <w:spacing w:val="-2"/>
        </w:rPr>
        <w:t>对于因工程建设对环境造成不利影响需采取的补偿措施，以恢复原有功能为原则；凡结合迁、改建提高标准或扩大规模所需增加的投资，应由地方政府部门或有关部门、产权所有者自行承担。</w:t>
      </w:r>
    </w:p>
    <w:p>
      <w:pPr>
        <w:ind w:firstLine="472"/>
        <w:rPr>
          <w:spacing w:val="-2"/>
        </w:rPr>
      </w:pPr>
      <w:r>
        <w:rPr>
          <w:rFonts w:hint="eastAsia" w:ascii="宋体" w:hAnsi="宋体" w:cs="宋体"/>
          <w:spacing w:val="-2"/>
        </w:rPr>
        <w:t>⑶</w:t>
      </w:r>
      <w:r>
        <w:rPr>
          <w:spacing w:val="-2"/>
        </w:rPr>
        <w:t>“突出重点”的原则</w:t>
      </w:r>
    </w:p>
    <w:p>
      <w:pPr>
        <w:ind w:firstLine="472"/>
        <w:rPr>
          <w:spacing w:val="-2"/>
        </w:rPr>
      </w:pPr>
      <w:r>
        <w:rPr>
          <w:spacing w:val="-2"/>
        </w:rPr>
        <w:t>对受工程建设影响较大、公众关注、保护级别较高的环境敏感问题，应进行重点保护，所需保护经费列入环保专项投资给予保证。</w:t>
      </w:r>
    </w:p>
    <w:p>
      <w:pPr>
        <w:ind w:firstLine="472"/>
        <w:rPr>
          <w:spacing w:val="-2"/>
        </w:rPr>
      </w:pPr>
      <w:r>
        <w:rPr>
          <w:rFonts w:hint="eastAsia" w:ascii="宋体" w:hAnsi="宋体" w:cs="宋体"/>
          <w:spacing w:val="-2"/>
        </w:rPr>
        <w:t>⑷</w:t>
      </w:r>
      <w:r>
        <w:rPr>
          <w:spacing w:val="-2"/>
        </w:rPr>
        <w:t>“一次性补偿”原则</w:t>
      </w:r>
    </w:p>
    <w:p>
      <w:pPr>
        <w:ind w:firstLine="472"/>
        <w:rPr>
          <w:spacing w:val="-2"/>
        </w:rPr>
      </w:pPr>
      <w:r>
        <w:rPr>
          <w:spacing w:val="-2"/>
        </w:rPr>
        <w:t>对工程所造成的难以恢复、改建的环境影响对象和生态与环境损失，可采取替代补偿和生态恢复措施，或按有关补偿标准给予一次性合理补偿。</w:t>
      </w:r>
    </w:p>
    <w:p>
      <w:pPr>
        <w:pStyle w:val="7"/>
        <w:snapToGrid w:val="0"/>
        <w:rPr>
          <w:szCs w:val="24"/>
        </w:rPr>
      </w:pPr>
      <w:bookmarkStart w:id="1294" w:name="_Toc536265237"/>
      <w:bookmarkStart w:id="1295" w:name="_Toc534807148"/>
      <w:bookmarkStart w:id="1296" w:name="_Toc534895365"/>
      <w:bookmarkStart w:id="1297" w:name="_Toc3903374"/>
      <w:r>
        <w:rPr>
          <w:rFonts w:hint="eastAsia"/>
          <w:szCs w:val="24"/>
        </w:rPr>
        <w:t>9</w:t>
      </w:r>
      <w:r>
        <w:rPr>
          <w:szCs w:val="24"/>
        </w:rPr>
        <w:t>.1.2编制依据</w:t>
      </w:r>
      <w:bookmarkEnd w:id="1294"/>
      <w:bookmarkEnd w:id="1295"/>
      <w:bookmarkEnd w:id="1296"/>
      <w:bookmarkEnd w:id="1297"/>
    </w:p>
    <w:p>
      <w:pPr>
        <w:ind w:firstLine="472"/>
        <w:rPr>
          <w:spacing w:val="-2"/>
        </w:rPr>
      </w:pPr>
      <w:r>
        <w:rPr>
          <w:spacing w:val="-2"/>
        </w:rPr>
        <w:t>根据《建设项目环境保护设计规定》第62条：“凡属污染治理和环境保护所需的装置、设备、监测手段和工程设施等均属于环境保护设施”、“凡有环境保护设施的建设项目均应列出环境保护设施的投资概算”。编制依据如下：</w:t>
      </w:r>
    </w:p>
    <w:p>
      <w:pPr>
        <w:ind w:firstLine="472"/>
        <w:rPr>
          <w:spacing w:val="-2"/>
        </w:rPr>
      </w:pPr>
      <w:r>
        <w:rPr>
          <w:rFonts w:hint="eastAsia" w:ascii="宋体" w:hAnsi="宋体" w:cs="宋体"/>
          <w:spacing w:val="-2"/>
        </w:rPr>
        <w:t>⑴</w:t>
      </w:r>
      <w:r>
        <w:rPr>
          <w:spacing w:val="-2"/>
        </w:rPr>
        <w:t>《水利水电工程环境保护设计概（估）算编制规程》（SL359－2006）；</w:t>
      </w:r>
    </w:p>
    <w:p>
      <w:pPr>
        <w:ind w:firstLine="472"/>
        <w:rPr>
          <w:spacing w:val="-2"/>
        </w:rPr>
      </w:pPr>
      <w:r>
        <w:rPr>
          <w:rFonts w:hint="eastAsia" w:ascii="宋体" w:hAnsi="宋体" w:cs="宋体"/>
          <w:spacing w:val="-2"/>
        </w:rPr>
        <w:t>⑵</w:t>
      </w:r>
      <w:r>
        <w:rPr>
          <w:spacing w:val="-2"/>
        </w:rPr>
        <w:t>《关于规范环境影响咨询收费有关问题的通知》（国家计委、国家环保局计价格[2002]125号文）；</w:t>
      </w:r>
    </w:p>
    <w:p>
      <w:pPr>
        <w:ind w:firstLine="472"/>
        <w:rPr>
          <w:spacing w:val="-2"/>
        </w:rPr>
      </w:pPr>
      <w:r>
        <w:rPr>
          <w:rFonts w:hint="eastAsia" w:ascii="宋体" w:hAnsi="宋体" w:cs="宋体"/>
          <w:spacing w:val="-2"/>
        </w:rPr>
        <w:t>⑶</w:t>
      </w:r>
      <w:r>
        <w:rPr>
          <w:spacing w:val="-2"/>
        </w:rPr>
        <w:t>国家经济贸易委员会《水电工程设计概算编制办法及计算标准》（2002年版）；</w:t>
      </w:r>
    </w:p>
    <w:p>
      <w:pPr>
        <w:ind w:firstLine="472"/>
        <w:rPr>
          <w:spacing w:val="-2"/>
        </w:rPr>
      </w:pPr>
      <w:r>
        <w:rPr>
          <w:rFonts w:hint="eastAsia" w:ascii="宋体" w:hAnsi="宋体" w:cs="宋体"/>
          <w:spacing w:val="-2"/>
        </w:rPr>
        <w:t>⑷</w:t>
      </w:r>
      <w:r>
        <w:rPr>
          <w:spacing w:val="-2"/>
        </w:rPr>
        <w:t>《水土保持工程概（估）算编制规定》（水利部2003年1月）；</w:t>
      </w:r>
    </w:p>
    <w:p>
      <w:pPr>
        <w:ind w:firstLine="472"/>
        <w:rPr>
          <w:spacing w:val="-2"/>
        </w:rPr>
      </w:pPr>
      <w:r>
        <w:rPr>
          <w:spacing w:val="-2"/>
        </w:rPr>
        <w:t>属于主体工程的组成部分、以主体工程功能为主同时具有环境保护功能的设施，均列入主体工程。工程弃渣处置费用、植物措施费、水土保持措施费计入水土保持工程投资，不作为本报告书的新增环境保护投资。</w:t>
      </w:r>
    </w:p>
    <w:p>
      <w:pPr>
        <w:pStyle w:val="7"/>
        <w:snapToGrid w:val="0"/>
        <w:rPr>
          <w:szCs w:val="24"/>
        </w:rPr>
      </w:pPr>
      <w:bookmarkStart w:id="1298" w:name="_Toc3903375"/>
      <w:bookmarkStart w:id="1299" w:name="_Toc534895366"/>
      <w:bookmarkStart w:id="1300" w:name="_Toc536265238"/>
      <w:bookmarkStart w:id="1301" w:name="_Toc534807149"/>
      <w:r>
        <w:rPr>
          <w:rFonts w:hint="eastAsia"/>
          <w:szCs w:val="24"/>
        </w:rPr>
        <w:t>9</w:t>
      </w:r>
      <w:r>
        <w:rPr>
          <w:szCs w:val="24"/>
        </w:rPr>
        <w:t>.1.3投资项目划分及费用构成</w:t>
      </w:r>
      <w:bookmarkEnd w:id="1298"/>
      <w:bookmarkEnd w:id="1299"/>
      <w:bookmarkEnd w:id="1300"/>
      <w:bookmarkEnd w:id="1301"/>
    </w:p>
    <w:p>
      <w:pPr>
        <w:ind w:firstLine="472"/>
        <w:rPr>
          <w:spacing w:val="-2"/>
        </w:rPr>
      </w:pPr>
      <w:r>
        <w:rPr>
          <w:spacing w:val="-2"/>
        </w:rPr>
        <w:t>根据《水利水电工程环境保护概估算编制规程》（SL359-2006），结合工程实际情况，本项目环境保护投资项目划分为环境保护措施、环境监测措施、环境保护仪器设备及安装、环境保护临时措施、环境保护独立费用五部分，以及以上五部分之外的环境保护预备费。水土保持投资计入水土保持专项投资。</w:t>
      </w:r>
    </w:p>
    <w:p>
      <w:pPr>
        <w:ind w:firstLine="472"/>
        <w:rPr>
          <w:spacing w:val="-2"/>
        </w:rPr>
      </w:pPr>
      <w:r>
        <w:rPr>
          <w:spacing w:val="-2"/>
        </w:rPr>
        <w:t>第一部分：环境保护措施</w:t>
      </w:r>
    </w:p>
    <w:p>
      <w:pPr>
        <w:ind w:firstLine="472"/>
        <w:rPr>
          <w:spacing w:val="-2"/>
        </w:rPr>
      </w:pPr>
      <w:r>
        <w:rPr>
          <w:spacing w:val="-2"/>
        </w:rPr>
        <w:t>包括防止、减免或减缓工程对环境不利影响和满足工程环境功能要求而兴建的环境保护措施，主要有水环境保护、陆生动植物保护、水生生物保护以及移民安置环保措施等。</w:t>
      </w:r>
    </w:p>
    <w:p>
      <w:pPr>
        <w:ind w:firstLine="472"/>
        <w:rPr>
          <w:spacing w:val="-2"/>
        </w:rPr>
      </w:pPr>
      <w:r>
        <w:rPr>
          <w:spacing w:val="-2"/>
        </w:rPr>
        <w:t>第二部分：环境监测措施</w:t>
      </w:r>
    </w:p>
    <w:p>
      <w:pPr>
        <w:ind w:firstLine="472"/>
        <w:rPr>
          <w:spacing w:val="-2"/>
        </w:rPr>
      </w:pPr>
      <w:r>
        <w:rPr>
          <w:spacing w:val="-2"/>
        </w:rPr>
        <w:t>主要是指施工期开展的环境监测，包括水质监测、环境空气质量监测、声环境质量监测、生态调查。</w:t>
      </w:r>
    </w:p>
    <w:p>
      <w:pPr>
        <w:ind w:firstLine="472"/>
        <w:rPr>
          <w:spacing w:val="-2"/>
        </w:rPr>
      </w:pPr>
      <w:r>
        <w:rPr>
          <w:spacing w:val="-2"/>
        </w:rPr>
        <w:t>第三部分：环境保护仪器设备与安装</w:t>
      </w:r>
    </w:p>
    <w:p>
      <w:pPr>
        <w:ind w:firstLine="472"/>
        <w:rPr>
          <w:spacing w:val="-2"/>
        </w:rPr>
      </w:pPr>
      <w:r>
        <w:rPr>
          <w:spacing w:val="-2"/>
        </w:rPr>
        <w:t>主要是指为保护环境所需的仪器设备及安装，包括生活垃圾收集设备、施工污水处理设备及安装。</w:t>
      </w:r>
    </w:p>
    <w:p>
      <w:pPr>
        <w:ind w:firstLine="472"/>
        <w:rPr>
          <w:spacing w:val="-2"/>
        </w:rPr>
      </w:pPr>
      <w:r>
        <w:rPr>
          <w:spacing w:val="-2"/>
        </w:rPr>
        <w:t>第四部分：环境保护临时措施</w:t>
      </w:r>
    </w:p>
    <w:p>
      <w:pPr>
        <w:ind w:firstLine="472"/>
        <w:rPr>
          <w:spacing w:val="-2"/>
        </w:rPr>
      </w:pPr>
      <w:r>
        <w:rPr>
          <w:spacing w:val="-2"/>
        </w:rPr>
        <w:t>主要是指工程施工过程中，为保护施工区及其周围环境和人群健康所采取的临时措施，包括施工污水处理、噪声防治、固体废物处理、环境空气质量控制、人群健康保护等临时措施。</w:t>
      </w:r>
    </w:p>
    <w:p>
      <w:pPr>
        <w:ind w:firstLine="472"/>
        <w:rPr>
          <w:spacing w:val="-2"/>
        </w:rPr>
      </w:pPr>
      <w:r>
        <w:rPr>
          <w:spacing w:val="-2"/>
        </w:rPr>
        <w:t>第五部分：环境保护独立费用</w:t>
      </w:r>
    </w:p>
    <w:p>
      <w:pPr>
        <w:ind w:firstLine="472"/>
        <w:rPr>
          <w:spacing w:val="-2"/>
        </w:rPr>
      </w:pPr>
      <w:r>
        <w:rPr>
          <w:spacing w:val="-2"/>
        </w:rPr>
        <w:t>包括环境保护建设管理费、科研勘测设计咨询费。基本预备费主要是指为解决工程施工过程中，经批准的环境保护设计变更增加的投资及解决意外环境事故而采取的措施所增加的工程项目和费用。</w:t>
      </w:r>
    </w:p>
    <w:p>
      <w:pPr>
        <w:pStyle w:val="7"/>
        <w:snapToGrid w:val="0"/>
        <w:rPr>
          <w:szCs w:val="24"/>
        </w:rPr>
      </w:pPr>
      <w:bookmarkStart w:id="1302" w:name="_Toc3903376"/>
      <w:bookmarkStart w:id="1303" w:name="_Toc536265239"/>
      <w:bookmarkStart w:id="1304" w:name="_Toc534807150"/>
      <w:bookmarkStart w:id="1305" w:name="_Toc534895367"/>
      <w:r>
        <w:rPr>
          <w:rFonts w:hint="eastAsia"/>
          <w:szCs w:val="24"/>
        </w:rPr>
        <w:t>9</w:t>
      </w:r>
      <w:r>
        <w:rPr>
          <w:szCs w:val="24"/>
        </w:rPr>
        <w:t>.1.4环保投资估算</w:t>
      </w:r>
      <w:bookmarkEnd w:id="1302"/>
      <w:bookmarkEnd w:id="1303"/>
      <w:bookmarkEnd w:id="1304"/>
      <w:bookmarkEnd w:id="1305"/>
    </w:p>
    <w:p>
      <w:pPr>
        <w:ind w:firstLine="472"/>
        <w:rPr>
          <w:spacing w:val="-2"/>
        </w:rPr>
      </w:pPr>
      <w:r>
        <w:rPr>
          <w:spacing w:val="-2"/>
        </w:rPr>
        <w:t>按照上述原则计算，</w:t>
      </w:r>
      <w:r>
        <w:rPr>
          <w:rFonts w:hint="eastAsia"/>
          <w:szCs w:val="24"/>
        </w:rPr>
        <w:t>上高</w:t>
      </w:r>
      <w:r>
        <w:rPr>
          <w:szCs w:val="24"/>
        </w:rPr>
        <w:t>县</w:t>
      </w:r>
      <w:r>
        <w:rPr>
          <w:rFonts w:hint="eastAsia"/>
          <w:szCs w:val="24"/>
        </w:rPr>
        <w:t>毛家渡</w:t>
      </w:r>
      <w:r>
        <w:rPr>
          <w:szCs w:val="24"/>
        </w:rPr>
        <w:t>抬水工程建设总投资预计为</w:t>
      </w:r>
      <w:r>
        <w:rPr>
          <w:rFonts w:hint="eastAsia"/>
          <w:kern w:val="0"/>
          <w:szCs w:val="28"/>
        </w:rPr>
        <w:t>18005.45</w:t>
      </w:r>
      <w:r>
        <w:rPr>
          <w:szCs w:val="24"/>
        </w:rPr>
        <w:t>万元，</w:t>
      </w:r>
      <w:r>
        <w:rPr>
          <w:spacing w:val="-2"/>
        </w:rPr>
        <w:t>环境保护工程总投资约</w:t>
      </w:r>
      <w:r>
        <w:rPr>
          <w:rFonts w:hint="eastAsia"/>
          <w:kern w:val="0"/>
          <w:szCs w:val="28"/>
        </w:rPr>
        <w:t>143.02</w:t>
      </w:r>
      <w:r>
        <w:rPr>
          <w:spacing w:val="-2"/>
        </w:rPr>
        <w:t>万元，占工程总投资的</w:t>
      </w:r>
      <w:r>
        <w:rPr>
          <w:rFonts w:hint="eastAsia"/>
          <w:spacing w:val="-2"/>
        </w:rPr>
        <w:t>0.79</w:t>
      </w:r>
      <w:r>
        <w:rPr>
          <w:spacing w:val="-2"/>
        </w:rPr>
        <w:t>%，环境保护投资估算见表</w:t>
      </w:r>
      <w:r>
        <w:rPr>
          <w:rFonts w:hint="eastAsia"/>
          <w:spacing w:val="-2"/>
        </w:rPr>
        <w:t>9</w:t>
      </w:r>
      <w:r>
        <w:rPr>
          <w:spacing w:val="-2"/>
        </w:rPr>
        <w:t>.1-1。</w:t>
      </w:r>
    </w:p>
    <w:p>
      <w:pPr>
        <w:spacing w:before="120" w:beforeLines="50" w:line="240" w:lineRule="auto"/>
        <w:ind w:firstLine="480"/>
        <w:jc w:val="center"/>
        <w:rPr>
          <w:rFonts w:eastAsia="黑体"/>
        </w:rPr>
      </w:pPr>
      <w:r>
        <w:rPr>
          <w:rFonts w:eastAsia="黑体"/>
        </w:rPr>
        <w:t>表</w:t>
      </w:r>
      <w:r>
        <w:rPr>
          <w:rFonts w:hint="eastAsia" w:eastAsia="黑体"/>
        </w:rPr>
        <w:t>9</w:t>
      </w:r>
      <w:r>
        <w:rPr>
          <w:rFonts w:eastAsia="黑体"/>
        </w:rPr>
        <w:t xml:space="preserve">.1-1  </w:t>
      </w:r>
      <w:r>
        <w:rPr>
          <w:rFonts w:hint="eastAsia" w:eastAsia="黑体"/>
        </w:rPr>
        <w:t>上高</w:t>
      </w:r>
      <w:r>
        <w:rPr>
          <w:rFonts w:eastAsia="黑体"/>
        </w:rPr>
        <w:t>县</w:t>
      </w:r>
      <w:r>
        <w:rPr>
          <w:rFonts w:hint="eastAsia" w:eastAsia="黑体"/>
        </w:rPr>
        <w:t>毛家渡</w:t>
      </w:r>
      <w:r>
        <w:rPr>
          <w:rFonts w:eastAsia="黑体"/>
        </w:rPr>
        <w:t>抬水工程环保投资估算一览表</w:t>
      </w:r>
    </w:p>
    <w:tbl>
      <w:tblPr>
        <w:tblStyle w:val="8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3469"/>
        <w:gridCol w:w="709"/>
        <w:gridCol w:w="709"/>
        <w:gridCol w:w="1134"/>
        <w:gridCol w:w="27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sz w:val="21"/>
                <w:szCs w:val="21"/>
                <w:lang w:val="zh-CN"/>
              </w:rPr>
              <w:t>序号</w:t>
            </w:r>
          </w:p>
        </w:tc>
        <w:tc>
          <w:tcPr>
            <w:tcW w:w="3469" w:type="dxa"/>
            <w:vAlign w:val="center"/>
          </w:tcPr>
          <w:p>
            <w:pPr>
              <w:snapToGrid w:val="0"/>
              <w:spacing w:line="240" w:lineRule="auto"/>
              <w:ind w:firstLine="0" w:firstLineChars="0"/>
              <w:contextualSpacing/>
              <w:jc w:val="center"/>
              <w:rPr>
                <w:sz w:val="21"/>
                <w:szCs w:val="21"/>
                <w:lang w:val="zh-CN"/>
              </w:rPr>
            </w:pPr>
            <w:r>
              <w:rPr>
                <w:sz w:val="21"/>
                <w:szCs w:val="21"/>
                <w:lang w:val="zh-CN"/>
              </w:rPr>
              <w:t>各级工程或费用名称</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单位</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数量</w:t>
            </w:r>
          </w:p>
        </w:tc>
        <w:tc>
          <w:tcPr>
            <w:tcW w:w="1134" w:type="dxa"/>
            <w:vAlign w:val="center"/>
          </w:tcPr>
          <w:p>
            <w:pPr>
              <w:snapToGrid w:val="0"/>
              <w:spacing w:line="240" w:lineRule="auto"/>
              <w:ind w:firstLine="0" w:firstLineChars="0"/>
              <w:contextualSpacing/>
              <w:jc w:val="center"/>
              <w:rPr>
                <w:sz w:val="21"/>
                <w:szCs w:val="21"/>
                <w:lang w:val="zh-CN"/>
              </w:rPr>
            </w:pPr>
            <w:r>
              <w:rPr>
                <w:sz w:val="21"/>
                <w:szCs w:val="21"/>
                <w:lang w:val="zh-CN"/>
              </w:rPr>
              <w:t>估算投资（万元）</w:t>
            </w:r>
          </w:p>
        </w:tc>
        <w:tc>
          <w:tcPr>
            <w:tcW w:w="2799" w:type="dxa"/>
            <w:vAlign w:val="center"/>
          </w:tcPr>
          <w:p>
            <w:pPr>
              <w:snapToGrid w:val="0"/>
              <w:spacing w:line="240" w:lineRule="auto"/>
              <w:ind w:firstLine="0" w:firstLineChars="0"/>
              <w:contextualSpacing/>
              <w:jc w:val="center"/>
              <w:rPr>
                <w:sz w:val="21"/>
                <w:szCs w:val="21"/>
                <w:lang w:val="zh-CN"/>
              </w:rPr>
            </w:pPr>
            <w:r>
              <w:rPr>
                <w:sz w:val="21"/>
                <w:szCs w:val="21"/>
                <w:lang w:val="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70" w:type="dxa"/>
            <w:gridSpan w:val="6"/>
            <w:vAlign w:val="center"/>
          </w:tcPr>
          <w:p>
            <w:pPr>
              <w:snapToGrid w:val="0"/>
              <w:spacing w:line="240" w:lineRule="auto"/>
              <w:ind w:firstLine="0" w:firstLineChars="0"/>
              <w:contextualSpacing/>
              <w:jc w:val="center"/>
              <w:rPr>
                <w:sz w:val="21"/>
                <w:szCs w:val="21"/>
                <w:lang w:val="zh-CN"/>
              </w:rPr>
            </w:pPr>
            <w:r>
              <w:rPr>
                <w:sz w:val="21"/>
                <w:szCs w:val="21"/>
                <w:lang w:val="zh-CN"/>
              </w:rPr>
              <w:t>第一部分  环境保护措施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sz w:val="21"/>
                <w:szCs w:val="21"/>
                <w:lang w:val="zh-CN"/>
              </w:rPr>
              <w:t>1</w:t>
            </w:r>
          </w:p>
        </w:tc>
        <w:tc>
          <w:tcPr>
            <w:tcW w:w="3469" w:type="dxa"/>
            <w:vAlign w:val="center"/>
          </w:tcPr>
          <w:p>
            <w:pPr>
              <w:snapToGrid w:val="0"/>
              <w:spacing w:line="240" w:lineRule="auto"/>
              <w:ind w:firstLine="0" w:firstLineChars="0"/>
              <w:contextualSpacing/>
              <w:jc w:val="center"/>
              <w:rPr>
                <w:sz w:val="21"/>
                <w:szCs w:val="21"/>
              </w:rPr>
            </w:pPr>
            <w:r>
              <w:rPr>
                <w:rFonts w:hint="eastAsia"/>
                <w:sz w:val="21"/>
                <w:szCs w:val="21"/>
              </w:rPr>
              <w:t>废水处理</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lang w:val="zh-CN"/>
              </w:rPr>
            </w:pP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ascii="宋体" w:hAnsi="宋体" w:cs="宋体"/>
                <w:sz w:val="21"/>
                <w:szCs w:val="21"/>
                <w:lang w:val="zh-CN"/>
              </w:rPr>
              <w:t>⑴</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混凝土拌和废水处理：沉淀池</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套</w:t>
            </w:r>
          </w:p>
        </w:tc>
        <w:tc>
          <w:tcPr>
            <w:tcW w:w="709" w:type="dxa"/>
            <w:vAlign w:val="center"/>
          </w:tcPr>
          <w:p>
            <w:pPr>
              <w:snapToGrid w:val="0"/>
              <w:spacing w:line="240" w:lineRule="auto"/>
              <w:ind w:firstLine="0" w:firstLineChars="0"/>
              <w:contextualSpacing/>
              <w:jc w:val="center"/>
              <w:rPr>
                <w:sz w:val="21"/>
                <w:szCs w:val="21"/>
                <w:lang w:val="zh-CN"/>
              </w:rPr>
            </w:pPr>
            <w:r>
              <w:rPr>
                <w:rFonts w:hint="eastAsia"/>
                <w:sz w:val="21"/>
                <w:szCs w:val="21"/>
              </w:rPr>
              <w:t>3</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11.25</w:t>
            </w:r>
          </w:p>
        </w:tc>
        <w:tc>
          <w:tcPr>
            <w:tcW w:w="2799" w:type="dxa"/>
            <w:vAlign w:val="center"/>
          </w:tcPr>
          <w:p>
            <w:pPr>
              <w:snapToGrid w:val="0"/>
              <w:spacing w:line="240" w:lineRule="auto"/>
              <w:ind w:firstLine="0" w:firstLineChars="0"/>
              <w:contextualSpacing/>
              <w:jc w:val="center"/>
              <w:rPr>
                <w:sz w:val="21"/>
                <w:szCs w:val="21"/>
                <w:lang w:val="zh-CN"/>
              </w:rPr>
            </w:pPr>
            <w:r>
              <w:rPr>
                <w:sz w:val="21"/>
                <w:szCs w:val="21"/>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lang w:val="zh-CN"/>
              </w:rPr>
              <w:t>⑵</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砂石料加工废水：沉淀池</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套</w:t>
            </w:r>
          </w:p>
        </w:tc>
        <w:tc>
          <w:tcPr>
            <w:tcW w:w="709" w:type="dxa"/>
            <w:vAlign w:val="center"/>
          </w:tcPr>
          <w:p>
            <w:pPr>
              <w:snapToGrid w:val="0"/>
              <w:spacing w:line="240" w:lineRule="auto"/>
              <w:ind w:firstLine="0" w:firstLineChars="0"/>
              <w:contextualSpacing/>
              <w:jc w:val="center"/>
              <w:rPr>
                <w:sz w:val="21"/>
                <w:szCs w:val="21"/>
                <w:lang w:val="zh-CN"/>
              </w:rPr>
            </w:pPr>
            <w:r>
              <w:rPr>
                <w:rFonts w:hint="eastAsia"/>
                <w:sz w:val="21"/>
                <w:szCs w:val="21"/>
              </w:rPr>
              <w:t>3</w:t>
            </w:r>
          </w:p>
        </w:tc>
        <w:tc>
          <w:tcPr>
            <w:tcW w:w="1134" w:type="dxa"/>
            <w:vAlign w:val="center"/>
          </w:tcPr>
          <w:p>
            <w:pPr>
              <w:snapToGrid w:val="0"/>
              <w:spacing w:line="240" w:lineRule="auto"/>
              <w:ind w:firstLine="0" w:firstLineChars="0"/>
              <w:contextualSpacing/>
              <w:jc w:val="center"/>
              <w:rPr>
                <w:sz w:val="21"/>
                <w:szCs w:val="21"/>
                <w:lang w:val="zh-CN"/>
              </w:rPr>
            </w:pPr>
            <w:r>
              <w:rPr>
                <w:rFonts w:hint="eastAsia"/>
                <w:sz w:val="21"/>
                <w:szCs w:val="21"/>
              </w:rPr>
              <w:t>11.25</w:t>
            </w:r>
          </w:p>
        </w:tc>
        <w:tc>
          <w:tcPr>
            <w:tcW w:w="2799" w:type="dxa"/>
            <w:vAlign w:val="center"/>
          </w:tcPr>
          <w:p>
            <w:pPr>
              <w:snapToGrid w:val="0"/>
              <w:spacing w:line="240" w:lineRule="auto"/>
              <w:ind w:firstLine="0" w:firstLineChars="0"/>
              <w:contextualSpacing/>
              <w:jc w:val="center"/>
              <w:rPr>
                <w:sz w:val="21"/>
                <w:szCs w:val="21"/>
                <w:lang w:val="zh-CN"/>
              </w:rPr>
            </w:pPr>
            <w:r>
              <w:rPr>
                <w:sz w:val="21"/>
                <w:szCs w:val="21"/>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rPr>
              <w:t>(3)</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含油废水处理：集油坑、过滤池、净水池</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套</w:t>
            </w:r>
          </w:p>
        </w:tc>
        <w:tc>
          <w:tcPr>
            <w:tcW w:w="709" w:type="dxa"/>
            <w:vAlign w:val="center"/>
          </w:tcPr>
          <w:p>
            <w:pPr>
              <w:snapToGrid w:val="0"/>
              <w:spacing w:line="240" w:lineRule="auto"/>
              <w:ind w:firstLine="0" w:firstLineChars="0"/>
              <w:contextualSpacing/>
              <w:jc w:val="center"/>
              <w:rPr>
                <w:sz w:val="21"/>
                <w:szCs w:val="21"/>
              </w:rPr>
            </w:pPr>
            <w:r>
              <w:rPr>
                <w:rFonts w:hint="eastAsia"/>
                <w:sz w:val="21"/>
                <w:szCs w:val="21"/>
              </w:rPr>
              <w:t>3</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6.75</w:t>
            </w:r>
          </w:p>
        </w:tc>
        <w:tc>
          <w:tcPr>
            <w:tcW w:w="2799" w:type="dxa"/>
            <w:vAlign w:val="center"/>
          </w:tcPr>
          <w:p>
            <w:pPr>
              <w:snapToGrid w:val="0"/>
              <w:spacing w:line="240" w:lineRule="auto"/>
              <w:ind w:firstLine="0" w:firstLineChars="0"/>
              <w:contextualSpacing/>
              <w:jc w:val="center"/>
              <w:rPr>
                <w:sz w:val="21"/>
                <w:szCs w:val="21"/>
                <w:lang w:val="zh-CN"/>
              </w:rPr>
            </w:pPr>
            <w:r>
              <w:rPr>
                <w:sz w:val="21"/>
                <w:szCs w:val="21"/>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lang w:val="zh-CN"/>
              </w:rPr>
              <w:t>(4)</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生活废水处理</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个</w:t>
            </w:r>
          </w:p>
        </w:tc>
        <w:tc>
          <w:tcPr>
            <w:tcW w:w="709" w:type="dxa"/>
            <w:vAlign w:val="center"/>
          </w:tcPr>
          <w:p>
            <w:pPr>
              <w:snapToGrid w:val="0"/>
              <w:spacing w:line="240" w:lineRule="auto"/>
              <w:ind w:firstLine="0" w:firstLineChars="0"/>
              <w:contextualSpacing/>
              <w:jc w:val="center"/>
              <w:rPr>
                <w:sz w:val="21"/>
                <w:szCs w:val="21"/>
              </w:rPr>
            </w:pPr>
            <w:r>
              <w:rPr>
                <w:rFonts w:hint="eastAsia"/>
                <w:sz w:val="21"/>
                <w:szCs w:val="21"/>
              </w:rPr>
              <w:t>2</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3</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rPr>
              <w:t>2</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环境空气保护</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lang w:val="zh-CN"/>
              </w:rPr>
              <w:t>⑴</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混凝土拌和系统降尘：细骨料简易棚及防尘用品</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个</w:t>
            </w:r>
          </w:p>
        </w:tc>
        <w:tc>
          <w:tcPr>
            <w:tcW w:w="709" w:type="dxa"/>
            <w:vAlign w:val="center"/>
          </w:tcPr>
          <w:p>
            <w:pPr>
              <w:snapToGrid w:val="0"/>
              <w:spacing w:line="240" w:lineRule="auto"/>
              <w:ind w:firstLine="0" w:firstLineChars="0"/>
              <w:contextualSpacing/>
              <w:jc w:val="center"/>
              <w:rPr>
                <w:sz w:val="21"/>
                <w:szCs w:val="21"/>
              </w:rPr>
            </w:pPr>
            <w:r>
              <w:rPr>
                <w:rFonts w:hint="eastAsia"/>
                <w:sz w:val="21"/>
                <w:szCs w:val="21"/>
              </w:rPr>
              <w:t>1</w:t>
            </w:r>
          </w:p>
        </w:tc>
        <w:tc>
          <w:tcPr>
            <w:tcW w:w="1134" w:type="dxa"/>
            <w:vAlign w:val="center"/>
          </w:tcPr>
          <w:p>
            <w:pPr>
              <w:tabs>
                <w:tab w:val="left" w:pos="440"/>
              </w:tabs>
              <w:snapToGrid w:val="0"/>
              <w:spacing w:line="240" w:lineRule="auto"/>
              <w:ind w:firstLine="0" w:firstLineChars="0"/>
              <w:contextualSpacing/>
              <w:jc w:val="left"/>
              <w:rPr>
                <w:sz w:val="21"/>
                <w:szCs w:val="21"/>
              </w:rPr>
            </w:pPr>
            <w:r>
              <w:rPr>
                <w:rFonts w:hint="eastAsia"/>
                <w:sz w:val="21"/>
                <w:szCs w:val="21"/>
              </w:rPr>
              <w:tab/>
            </w:r>
            <w:r>
              <w:rPr>
                <w:rFonts w:hint="eastAsia"/>
                <w:sz w:val="21"/>
                <w:szCs w:val="21"/>
              </w:rPr>
              <w:t>3.5</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lang w:val="zh-CN"/>
              </w:rPr>
              <w:t>⑵</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交通扬尘防治：洒水车运行费</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17.1</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rPr>
              <w:t>3</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噪声防治</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个</w:t>
            </w:r>
          </w:p>
        </w:tc>
        <w:tc>
          <w:tcPr>
            <w:tcW w:w="709" w:type="dxa"/>
            <w:vAlign w:val="center"/>
          </w:tcPr>
          <w:p>
            <w:pPr>
              <w:snapToGrid w:val="0"/>
              <w:spacing w:line="240" w:lineRule="auto"/>
              <w:ind w:firstLine="0" w:firstLineChars="0"/>
              <w:contextualSpacing/>
              <w:jc w:val="center"/>
              <w:rPr>
                <w:sz w:val="21"/>
                <w:szCs w:val="21"/>
              </w:rPr>
            </w:pPr>
            <w:r>
              <w:rPr>
                <w:rFonts w:hint="eastAsia"/>
                <w:sz w:val="21"/>
                <w:szCs w:val="21"/>
              </w:rPr>
              <w:t>12</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0.96</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lang w:val="zh-CN"/>
              </w:rPr>
              <w:t>⑴</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警示牌：设置警示牌</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lang w:val="zh-CN"/>
              </w:rPr>
              <w:t>⑵</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人员防护</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个</w:t>
            </w:r>
          </w:p>
        </w:tc>
        <w:tc>
          <w:tcPr>
            <w:tcW w:w="709" w:type="dxa"/>
            <w:vAlign w:val="center"/>
          </w:tcPr>
          <w:p>
            <w:pPr>
              <w:snapToGrid w:val="0"/>
              <w:spacing w:line="240" w:lineRule="auto"/>
              <w:ind w:firstLine="0" w:firstLineChars="0"/>
              <w:contextualSpacing/>
              <w:jc w:val="center"/>
              <w:rPr>
                <w:sz w:val="21"/>
                <w:szCs w:val="21"/>
              </w:rPr>
            </w:pPr>
            <w:r>
              <w:rPr>
                <w:rFonts w:hint="eastAsia"/>
                <w:sz w:val="21"/>
                <w:szCs w:val="21"/>
              </w:rPr>
              <w:t>12</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7</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按施工人员的10%抽检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lang w:val="zh-CN"/>
              </w:rPr>
            </w:pPr>
            <w:r>
              <w:rPr>
                <w:rFonts w:hint="eastAsia" w:ascii="宋体" w:hAnsi="宋体" w:cs="宋体"/>
                <w:sz w:val="21"/>
                <w:szCs w:val="21"/>
              </w:rPr>
              <w:t>4</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固废处理</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lang w:val="zh-CN"/>
              </w:rPr>
              <w:t>⑴</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施工区卫生清理：垃圾清运、清理消毒</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16.2</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rPr>
              <w:t>5</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人群健康</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rFonts w:ascii="宋体" w:hAnsi="宋体" w:cs="宋体"/>
                <w:sz w:val="21"/>
                <w:szCs w:val="21"/>
              </w:rPr>
            </w:pPr>
            <w:r>
              <w:rPr>
                <w:rFonts w:hint="eastAsia" w:ascii="宋体" w:hAnsi="宋体" w:cs="宋体"/>
                <w:sz w:val="21"/>
                <w:szCs w:val="21"/>
              </w:rPr>
              <w:t>⑴</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施工人员卫生检疫</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14</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按施工人员的20%抽检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70" w:type="dxa"/>
            <w:gridSpan w:val="6"/>
            <w:vAlign w:val="center"/>
          </w:tcPr>
          <w:p>
            <w:pPr>
              <w:snapToGrid w:val="0"/>
              <w:spacing w:line="240" w:lineRule="auto"/>
              <w:ind w:firstLine="0" w:firstLineChars="0"/>
              <w:contextualSpacing/>
              <w:jc w:val="center"/>
              <w:rPr>
                <w:sz w:val="21"/>
                <w:szCs w:val="21"/>
                <w:lang w:val="zh-CN"/>
              </w:rPr>
            </w:pPr>
            <w:r>
              <w:rPr>
                <w:sz w:val="21"/>
                <w:szCs w:val="21"/>
                <w:lang w:val="zh-CN"/>
              </w:rPr>
              <w:t>第二部分  环境监测措施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sz w:val="21"/>
                <w:szCs w:val="21"/>
                <w:lang w:val="zh-CN"/>
              </w:rPr>
              <w:t>1</w:t>
            </w:r>
          </w:p>
        </w:tc>
        <w:tc>
          <w:tcPr>
            <w:tcW w:w="3469" w:type="dxa"/>
            <w:vAlign w:val="center"/>
          </w:tcPr>
          <w:p>
            <w:pPr>
              <w:snapToGrid w:val="0"/>
              <w:spacing w:line="240" w:lineRule="auto"/>
              <w:ind w:firstLine="0" w:firstLineChars="0"/>
              <w:contextualSpacing/>
              <w:jc w:val="center"/>
              <w:rPr>
                <w:sz w:val="21"/>
                <w:szCs w:val="21"/>
                <w:lang w:val="zh-CN"/>
              </w:rPr>
            </w:pPr>
            <w:r>
              <w:rPr>
                <w:sz w:val="21"/>
                <w:szCs w:val="21"/>
                <w:lang w:val="zh-CN"/>
              </w:rPr>
              <w:t>水环境监测</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次</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18</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6.3</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sz w:val="21"/>
                <w:szCs w:val="21"/>
              </w:rPr>
              <w:t>2</w:t>
            </w:r>
          </w:p>
        </w:tc>
        <w:tc>
          <w:tcPr>
            <w:tcW w:w="3469" w:type="dxa"/>
            <w:vAlign w:val="center"/>
          </w:tcPr>
          <w:p>
            <w:pPr>
              <w:snapToGrid w:val="0"/>
              <w:spacing w:line="240" w:lineRule="auto"/>
              <w:ind w:firstLine="0" w:firstLineChars="0"/>
              <w:contextualSpacing/>
              <w:jc w:val="center"/>
              <w:rPr>
                <w:sz w:val="21"/>
                <w:szCs w:val="21"/>
                <w:lang w:val="zh-CN"/>
              </w:rPr>
            </w:pPr>
            <w:r>
              <w:rPr>
                <w:sz w:val="21"/>
                <w:szCs w:val="21"/>
                <w:lang w:val="zh-CN"/>
              </w:rPr>
              <w:t>声环境监测</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次</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18</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lang w:val="zh-CN"/>
              </w:rPr>
              <w:t>4</w:t>
            </w:r>
            <w:r>
              <w:rPr>
                <w:rFonts w:hint="eastAsia"/>
                <w:sz w:val="21"/>
                <w:szCs w:val="21"/>
              </w:rPr>
              <w:t>.5</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sz w:val="21"/>
                <w:szCs w:val="21"/>
              </w:rPr>
              <w:t>3</w:t>
            </w:r>
          </w:p>
        </w:tc>
        <w:tc>
          <w:tcPr>
            <w:tcW w:w="3469" w:type="dxa"/>
            <w:vAlign w:val="center"/>
          </w:tcPr>
          <w:p>
            <w:pPr>
              <w:snapToGrid w:val="0"/>
              <w:spacing w:line="240" w:lineRule="auto"/>
              <w:ind w:firstLine="0" w:firstLineChars="0"/>
              <w:contextualSpacing/>
              <w:jc w:val="center"/>
              <w:rPr>
                <w:sz w:val="21"/>
                <w:szCs w:val="21"/>
                <w:lang w:val="zh-CN"/>
              </w:rPr>
            </w:pPr>
            <w:r>
              <w:rPr>
                <w:sz w:val="21"/>
                <w:szCs w:val="21"/>
                <w:lang w:val="zh-CN"/>
              </w:rPr>
              <w:t>大气环境监测</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次</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18</w:t>
            </w: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6.3</w:t>
            </w:r>
          </w:p>
        </w:tc>
        <w:tc>
          <w:tcPr>
            <w:tcW w:w="2799" w:type="dxa"/>
            <w:vAlign w:val="center"/>
          </w:tcPr>
          <w:p>
            <w:pPr>
              <w:snapToGrid w:val="0"/>
              <w:spacing w:line="240" w:lineRule="auto"/>
              <w:ind w:firstLine="0" w:firstLineChars="0"/>
              <w:contextualSpacing/>
              <w:jc w:val="center"/>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sz w:val="21"/>
                <w:szCs w:val="21"/>
              </w:rPr>
              <w:t>4</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人群健康监测</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次</w:t>
            </w:r>
          </w:p>
        </w:tc>
        <w:tc>
          <w:tcPr>
            <w:tcW w:w="709" w:type="dxa"/>
            <w:vAlign w:val="center"/>
          </w:tcPr>
          <w:p>
            <w:pPr>
              <w:snapToGrid w:val="0"/>
              <w:spacing w:line="240" w:lineRule="auto"/>
              <w:ind w:firstLine="0" w:firstLineChars="0"/>
              <w:contextualSpacing/>
              <w:jc w:val="center"/>
              <w:rPr>
                <w:sz w:val="21"/>
                <w:szCs w:val="21"/>
                <w:lang w:val="zh-CN"/>
              </w:rPr>
            </w:pPr>
            <w:r>
              <w:rPr>
                <w:sz w:val="21"/>
                <w:szCs w:val="21"/>
                <w:lang w:val="zh-CN"/>
              </w:rPr>
              <w:t>18</w:t>
            </w:r>
          </w:p>
        </w:tc>
        <w:tc>
          <w:tcPr>
            <w:tcW w:w="1134" w:type="dxa"/>
            <w:vAlign w:val="center"/>
          </w:tcPr>
          <w:p>
            <w:pPr>
              <w:snapToGrid w:val="0"/>
              <w:spacing w:line="240" w:lineRule="auto"/>
              <w:ind w:firstLine="0" w:firstLineChars="0"/>
              <w:contextualSpacing/>
              <w:jc w:val="center"/>
              <w:rPr>
                <w:sz w:val="21"/>
                <w:szCs w:val="21"/>
              </w:rPr>
            </w:pPr>
            <w:r>
              <w:rPr>
                <w:sz w:val="21"/>
                <w:szCs w:val="21"/>
                <w:lang w:val="zh-CN"/>
              </w:rPr>
              <w:t>5</w:t>
            </w:r>
            <w:r>
              <w:rPr>
                <w:rFonts w:hint="eastAsia"/>
                <w:sz w:val="21"/>
                <w:szCs w:val="21"/>
                <w:lang w:val="zh-CN"/>
              </w:rPr>
              <w:t>.</w:t>
            </w:r>
            <w:r>
              <w:rPr>
                <w:rFonts w:hint="eastAsia"/>
                <w:sz w:val="21"/>
                <w:szCs w:val="21"/>
              </w:rPr>
              <w:t>4</w:t>
            </w:r>
          </w:p>
        </w:tc>
        <w:tc>
          <w:tcPr>
            <w:tcW w:w="2799" w:type="dxa"/>
            <w:vAlign w:val="center"/>
          </w:tcPr>
          <w:p>
            <w:pPr>
              <w:tabs>
                <w:tab w:val="left" w:pos="370"/>
              </w:tabs>
              <w:snapToGrid w:val="0"/>
              <w:spacing w:line="240" w:lineRule="auto"/>
              <w:ind w:firstLine="0" w:firstLineChars="0"/>
              <w:contextualSpacing/>
              <w:jc w:val="left"/>
              <w:rPr>
                <w:sz w:val="21"/>
                <w:szCs w:val="21"/>
                <w:lang w:val="zh-CN"/>
              </w:rPr>
            </w:pPr>
            <w:r>
              <w:rPr>
                <w:rFonts w:hint="eastAsia"/>
                <w:sz w:val="21"/>
                <w:szCs w:val="21"/>
                <w:lang w:val="zh-CN"/>
              </w:rPr>
              <w:tab/>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rPr>
            </w:pP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一、二之和</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113.51</w:t>
            </w:r>
          </w:p>
        </w:tc>
        <w:tc>
          <w:tcPr>
            <w:tcW w:w="2799" w:type="dxa"/>
            <w:vAlign w:val="center"/>
          </w:tcPr>
          <w:p>
            <w:pPr>
              <w:tabs>
                <w:tab w:val="left" w:pos="370"/>
              </w:tabs>
              <w:snapToGrid w:val="0"/>
              <w:spacing w:line="240" w:lineRule="auto"/>
              <w:ind w:firstLine="0" w:firstLineChars="0"/>
              <w:contextualSpacing/>
              <w:jc w:val="left"/>
              <w:rPr>
                <w:sz w:val="21"/>
                <w:szCs w:val="21"/>
                <w:lang w:val="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70" w:type="dxa"/>
            <w:gridSpan w:val="6"/>
            <w:vAlign w:val="center"/>
          </w:tcPr>
          <w:p>
            <w:pPr>
              <w:snapToGrid w:val="0"/>
              <w:spacing w:line="240" w:lineRule="auto"/>
              <w:ind w:firstLine="0" w:firstLineChars="0"/>
              <w:contextualSpacing/>
              <w:jc w:val="center"/>
              <w:rPr>
                <w:sz w:val="21"/>
                <w:szCs w:val="21"/>
                <w:lang w:val="zh-CN"/>
              </w:rPr>
            </w:pPr>
            <w:r>
              <w:rPr>
                <w:sz w:val="21"/>
                <w:szCs w:val="21"/>
                <w:lang w:val="zh-CN"/>
              </w:rPr>
              <w:t xml:space="preserve">第三部分  </w:t>
            </w:r>
            <w:r>
              <w:rPr>
                <w:rFonts w:hint="eastAsia"/>
                <w:sz w:val="21"/>
                <w:szCs w:val="21"/>
                <w:lang w:val="zh-CN"/>
              </w:rPr>
              <w:t>独立费用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sz w:val="21"/>
                <w:szCs w:val="21"/>
              </w:rPr>
              <w:t>1</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建设管理费</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5.68</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一~二部分之和的5%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ascii="宋体" w:hAnsi="宋体" w:cs="宋体"/>
                <w:sz w:val="21"/>
                <w:szCs w:val="21"/>
              </w:rPr>
              <w:t>2</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环境管理经费</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4.54</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一~二部分之和的4％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ascii="宋体" w:hAnsi="宋体" w:cs="宋体"/>
                <w:sz w:val="21"/>
                <w:szCs w:val="21"/>
              </w:rPr>
              <w:t>3</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科研勘测设计费</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6.81</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一~二部分之和的6%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rFonts w:hint="eastAsia" w:ascii="宋体" w:hAnsi="宋体" w:cs="宋体"/>
                <w:sz w:val="21"/>
                <w:szCs w:val="21"/>
              </w:rPr>
              <w:t>4</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环境监理费</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5.68</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一~二部分之和的5%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70" w:type="dxa"/>
            <w:gridSpan w:val="6"/>
            <w:vAlign w:val="center"/>
          </w:tcPr>
          <w:p>
            <w:pPr>
              <w:snapToGrid w:val="0"/>
              <w:spacing w:line="240" w:lineRule="auto"/>
              <w:ind w:firstLine="0" w:firstLineChars="0"/>
              <w:contextualSpacing/>
              <w:jc w:val="center"/>
              <w:rPr>
                <w:sz w:val="21"/>
                <w:szCs w:val="21"/>
                <w:lang w:val="zh-CN"/>
              </w:rPr>
            </w:pPr>
            <w:r>
              <w:rPr>
                <w:sz w:val="21"/>
                <w:szCs w:val="21"/>
                <w:lang w:val="zh-CN"/>
              </w:rPr>
              <w:t xml:space="preserve">第四部分  </w:t>
            </w:r>
            <w:r>
              <w:rPr>
                <w:rFonts w:hint="eastAsia"/>
                <w:sz w:val="21"/>
                <w:szCs w:val="21"/>
                <w:lang w:val="zh-CN"/>
              </w:rPr>
              <w:t>基本预备费用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0" w:type="dxa"/>
            <w:vAlign w:val="center"/>
          </w:tcPr>
          <w:p>
            <w:pPr>
              <w:snapToGrid w:val="0"/>
              <w:spacing w:line="240" w:lineRule="auto"/>
              <w:ind w:firstLine="0" w:firstLineChars="0"/>
              <w:contextualSpacing/>
              <w:jc w:val="center"/>
              <w:rPr>
                <w:sz w:val="21"/>
                <w:szCs w:val="21"/>
                <w:lang w:val="zh-CN"/>
              </w:rPr>
            </w:pPr>
            <w:r>
              <w:rPr>
                <w:sz w:val="21"/>
                <w:szCs w:val="21"/>
                <w:lang w:val="zh-CN"/>
              </w:rPr>
              <w:t>1</w:t>
            </w:r>
          </w:p>
        </w:tc>
        <w:tc>
          <w:tcPr>
            <w:tcW w:w="346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基本预备费用</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6.81</w:t>
            </w:r>
          </w:p>
        </w:tc>
        <w:tc>
          <w:tcPr>
            <w:tcW w:w="2799" w:type="dxa"/>
            <w:vAlign w:val="center"/>
          </w:tcPr>
          <w:p>
            <w:pPr>
              <w:snapToGrid w:val="0"/>
              <w:spacing w:line="240" w:lineRule="auto"/>
              <w:ind w:firstLine="0" w:firstLineChars="0"/>
              <w:contextualSpacing/>
              <w:jc w:val="center"/>
              <w:rPr>
                <w:sz w:val="21"/>
                <w:szCs w:val="21"/>
                <w:lang w:val="zh-CN"/>
              </w:rPr>
            </w:pPr>
            <w:r>
              <w:rPr>
                <w:rFonts w:hint="eastAsia"/>
                <w:sz w:val="21"/>
                <w:szCs w:val="21"/>
                <w:lang w:val="zh-CN"/>
              </w:rPr>
              <w:t>一～三部分之和的5％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9" w:type="dxa"/>
            <w:gridSpan w:val="2"/>
            <w:vAlign w:val="center"/>
          </w:tcPr>
          <w:p>
            <w:pPr>
              <w:snapToGrid w:val="0"/>
              <w:spacing w:line="240" w:lineRule="auto"/>
              <w:ind w:firstLine="0" w:firstLineChars="0"/>
              <w:contextualSpacing/>
              <w:jc w:val="center"/>
              <w:rPr>
                <w:sz w:val="21"/>
                <w:szCs w:val="21"/>
                <w:lang w:val="zh-CN"/>
              </w:rPr>
            </w:pPr>
            <w:r>
              <w:rPr>
                <w:sz w:val="21"/>
                <w:szCs w:val="21"/>
                <w:lang w:val="zh-CN"/>
              </w:rPr>
              <w:t>环保总投资</w:t>
            </w:r>
          </w:p>
        </w:tc>
        <w:tc>
          <w:tcPr>
            <w:tcW w:w="709" w:type="dxa"/>
            <w:vAlign w:val="center"/>
          </w:tcPr>
          <w:p>
            <w:pPr>
              <w:snapToGrid w:val="0"/>
              <w:spacing w:line="240" w:lineRule="auto"/>
              <w:ind w:firstLine="0" w:firstLineChars="0"/>
              <w:contextualSpacing/>
              <w:jc w:val="center"/>
              <w:rPr>
                <w:sz w:val="21"/>
                <w:szCs w:val="21"/>
                <w:lang w:val="zh-CN"/>
              </w:rPr>
            </w:pPr>
          </w:p>
        </w:tc>
        <w:tc>
          <w:tcPr>
            <w:tcW w:w="709" w:type="dxa"/>
            <w:vAlign w:val="center"/>
          </w:tcPr>
          <w:p>
            <w:pPr>
              <w:snapToGrid w:val="0"/>
              <w:spacing w:line="240" w:lineRule="auto"/>
              <w:ind w:firstLine="0" w:firstLineChars="0"/>
              <w:contextualSpacing/>
              <w:jc w:val="center"/>
              <w:rPr>
                <w:sz w:val="21"/>
                <w:szCs w:val="21"/>
                <w:lang w:val="zh-CN"/>
              </w:rPr>
            </w:pPr>
          </w:p>
        </w:tc>
        <w:tc>
          <w:tcPr>
            <w:tcW w:w="1134" w:type="dxa"/>
            <w:vAlign w:val="center"/>
          </w:tcPr>
          <w:p>
            <w:pPr>
              <w:snapToGrid w:val="0"/>
              <w:spacing w:line="240" w:lineRule="auto"/>
              <w:ind w:firstLine="0" w:firstLineChars="0"/>
              <w:contextualSpacing/>
              <w:jc w:val="center"/>
              <w:rPr>
                <w:sz w:val="21"/>
                <w:szCs w:val="21"/>
              </w:rPr>
            </w:pPr>
            <w:r>
              <w:rPr>
                <w:rFonts w:hint="eastAsia"/>
                <w:sz w:val="21"/>
                <w:szCs w:val="21"/>
              </w:rPr>
              <w:t>143.02</w:t>
            </w:r>
          </w:p>
        </w:tc>
        <w:tc>
          <w:tcPr>
            <w:tcW w:w="2799" w:type="dxa"/>
            <w:vAlign w:val="center"/>
          </w:tcPr>
          <w:p>
            <w:pPr>
              <w:snapToGrid w:val="0"/>
              <w:spacing w:line="240" w:lineRule="auto"/>
              <w:ind w:firstLine="0" w:firstLineChars="0"/>
              <w:contextualSpacing/>
              <w:jc w:val="center"/>
              <w:rPr>
                <w:sz w:val="21"/>
                <w:szCs w:val="21"/>
                <w:lang w:val="zh-CN"/>
              </w:rPr>
            </w:pPr>
          </w:p>
        </w:tc>
      </w:tr>
    </w:tbl>
    <w:p>
      <w:pPr>
        <w:pStyle w:val="6"/>
        <w:spacing w:beforeLines="50" w:afterLines="50"/>
        <w:rPr>
          <w:szCs w:val="28"/>
        </w:rPr>
      </w:pPr>
      <w:bookmarkStart w:id="1306" w:name="_Toc529279155"/>
      <w:bookmarkStart w:id="1307" w:name="_Toc534386399"/>
      <w:bookmarkStart w:id="1308" w:name="_Toc536265240"/>
      <w:bookmarkStart w:id="1309" w:name="_Toc534895368"/>
      <w:bookmarkStart w:id="1310" w:name="_Toc534807151"/>
      <w:bookmarkStart w:id="1311" w:name="_Toc28841"/>
      <w:bookmarkStart w:id="1312" w:name="_Toc3903377"/>
      <w:r>
        <w:rPr>
          <w:rFonts w:hint="eastAsia"/>
          <w:szCs w:val="28"/>
        </w:rPr>
        <w:t>9</w:t>
      </w:r>
      <w:r>
        <w:rPr>
          <w:szCs w:val="28"/>
        </w:rPr>
        <w:t>.2环境经济损益分析</w:t>
      </w:r>
      <w:bookmarkEnd w:id="1285"/>
      <w:bookmarkEnd w:id="1286"/>
      <w:bookmarkEnd w:id="1287"/>
      <w:bookmarkEnd w:id="1288"/>
      <w:bookmarkEnd w:id="1289"/>
      <w:bookmarkEnd w:id="1306"/>
      <w:bookmarkEnd w:id="1307"/>
      <w:bookmarkEnd w:id="1308"/>
      <w:bookmarkEnd w:id="1309"/>
      <w:bookmarkEnd w:id="1310"/>
      <w:bookmarkEnd w:id="1311"/>
      <w:bookmarkEnd w:id="1312"/>
    </w:p>
    <w:p>
      <w:pPr>
        <w:pStyle w:val="297"/>
        <w:spacing w:line="360" w:lineRule="auto"/>
        <w:rPr>
          <w:rFonts w:ascii="Times New Roman" w:hAnsi="Times New Roman"/>
          <w:color w:val="auto"/>
        </w:rPr>
      </w:pPr>
      <w:bookmarkStart w:id="1313" w:name="_Toc242683236"/>
      <w:bookmarkStart w:id="1314" w:name="_Toc238818017"/>
      <w:bookmarkStart w:id="1315" w:name="_Toc257295317"/>
      <w:bookmarkStart w:id="1316" w:name="_Toc248717051"/>
      <w:bookmarkStart w:id="1317" w:name="_Toc225979202"/>
      <w:bookmarkStart w:id="1318" w:name="_Toc263272030"/>
      <w:bookmarkStart w:id="1319" w:name="_Toc250961267"/>
      <w:bookmarkStart w:id="1320" w:name="_Toc241113941"/>
      <w:bookmarkStart w:id="1321" w:name="_Toc242870431"/>
      <w:bookmarkStart w:id="1322" w:name="_Toc242930009"/>
      <w:bookmarkStart w:id="1323" w:name="_Toc237249084"/>
      <w:bookmarkStart w:id="1324" w:name="_Toc226011334"/>
      <w:r>
        <w:rPr>
          <w:rFonts w:ascii="Times New Roman" w:hAnsi="Times New Roman"/>
          <w:color w:val="auto"/>
        </w:rPr>
        <w:t>环境经济损益分析目的是运用生态学和经济学原理，在考虑工程建设与区域生态建设、社会持续协调发展的前提下，运用费用——效益分析法对工程的环境效益和环境损失进行全面分析，对环境保护投资进行综合性经济评价，为工程论证提供科学依据。本项目为纯公益性项目，无直接经济效益和财政收入，但是本项目的实施会带来巨大的间接经济效益（相关产业带来的经济效益）、社会效益和生态效益。</w:t>
      </w:r>
    </w:p>
    <w:p>
      <w:pPr>
        <w:pStyle w:val="7"/>
        <w:snapToGrid w:val="0"/>
        <w:rPr>
          <w:szCs w:val="24"/>
        </w:rPr>
      </w:pPr>
      <w:bookmarkStart w:id="1325" w:name="_Toc536265241"/>
      <w:bookmarkStart w:id="1326" w:name="_Toc534895369"/>
      <w:bookmarkStart w:id="1327" w:name="_Toc534807152"/>
      <w:bookmarkStart w:id="1328" w:name="_Toc3903378"/>
      <w:r>
        <w:rPr>
          <w:rFonts w:hint="eastAsia"/>
          <w:szCs w:val="24"/>
        </w:rPr>
        <w:t>9</w:t>
      </w:r>
      <w:r>
        <w:rPr>
          <w:szCs w:val="24"/>
        </w:rPr>
        <w:t>.2.1社会效益</w:t>
      </w:r>
      <w:bookmarkEnd w:id="1325"/>
      <w:bookmarkEnd w:id="1326"/>
      <w:bookmarkEnd w:id="1327"/>
      <w:bookmarkEnd w:id="1328"/>
    </w:p>
    <w:p>
      <w:pPr>
        <w:pStyle w:val="297"/>
        <w:spacing w:line="360" w:lineRule="auto"/>
        <w:rPr>
          <w:rFonts w:ascii="Times New Roman" w:hAnsi="Times New Roman"/>
          <w:color w:val="auto"/>
        </w:rPr>
      </w:pPr>
      <w:r>
        <w:rPr>
          <w:rFonts w:hint="eastAsia" w:cs="宋体"/>
          <w:color w:val="auto"/>
        </w:rPr>
        <w:t>⑴</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抬水工程的建设，将直接反映在</w:t>
      </w:r>
      <w:r>
        <w:rPr>
          <w:rFonts w:hint="eastAsia" w:ascii="Times New Roman" w:hAnsi="Times New Roman"/>
          <w:color w:val="auto"/>
        </w:rPr>
        <w:t>上高</w:t>
      </w:r>
      <w:r>
        <w:rPr>
          <w:rFonts w:ascii="Times New Roman" w:hAnsi="Times New Roman"/>
          <w:color w:val="auto"/>
        </w:rPr>
        <w:t>县环境的改善、基础设施功能的完善和提高等方面，它对于带动和辐射周边农村经济发展，提高招商引资的力度等方面，都将起到重要作用。</w:t>
      </w:r>
    </w:p>
    <w:p>
      <w:pPr>
        <w:pStyle w:val="297"/>
        <w:spacing w:line="360" w:lineRule="auto"/>
        <w:rPr>
          <w:rFonts w:ascii="Times New Roman" w:hAnsi="Times New Roman"/>
          <w:color w:val="auto"/>
        </w:rPr>
      </w:pPr>
      <w:r>
        <w:rPr>
          <w:rFonts w:hint="eastAsia" w:cs="宋体"/>
          <w:color w:val="auto"/>
        </w:rPr>
        <w:t>⑵</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抬水工程的建设，将极大地改善城市居民的生活环境，</w:t>
      </w:r>
      <w:r>
        <w:rPr>
          <w:rFonts w:hint="eastAsia" w:ascii="Times New Roman" w:hAnsi="Times New Roman"/>
          <w:color w:val="auto"/>
        </w:rPr>
        <w:t>上高</w:t>
      </w:r>
      <w:r>
        <w:rPr>
          <w:rFonts w:ascii="Times New Roman" w:hAnsi="Times New Roman"/>
          <w:color w:val="auto"/>
        </w:rPr>
        <w:t>县城区河段沿河两岸的自然观光、城区段的旅游、娱乐等方面的功能将进一步的体现，使得项目周边的经济得到发展，拉动周边的房地产开发、土地升值及相关产业的发展。</w:t>
      </w:r>
    </w:p>
    <w:p>
      <w:pPr>
        <w:pStyle w:val="297"/>
        <w:spacing w:line="360" w:lineRule="auto"/>
        <w:rPr>
          <w:rFonts w:ascii="Times New Roman" w:hAnsi="Times New Roman"/>
          <w:color w:val="auto"/>
        </w:rPr>
      </w:pPr>
      <w:r>
        <w:rPr>
          <w:rFonts w:hint="eastAsia" w:cs="宋体"/>
          <w:color w:val="auto"/>
        </w:rPr>
        <w:t>⑶</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抬水工程的建设，通过合理的使用</w:t>
      </w:r>
      <w:r>
        <w:rPr>
          <w:rFonts w:hint="eastAsia" w:ascii="Times New Roman" w:hAnsi="Times New Roman"/>
          <w:color w:val="auto"/>
        </w:rPr>
        <w:t>液压</w:t>
      </w:r>
      <w:r>
        <w:rPr>
          <w:rFonts w:ascii="Times New Roman" w:hAnsi="Times New Roman"/>
          <w:color w:val="auto"/>
        </w:rPr>
        <w:t>坝，将有效减少</w:t>
      </w:r>
      <w:r>
        <w:rPr>
          <w:rFonts w:hint="eastAsia" w:ascii="Times New Roman" w:hAnsi="Times New Roman"/>
          <w:color w:val="auto"/>
        </w:rPr>
        <w:t>上高</w:t>
      </w:r>
      <w:r>
        <w:rPr>
          <w:rFonts w:ascii="Times New Roman" w:hAnsi="Times New Roman"/>
          <w:color w:val="auto"/>
        </w:rPr>
        <w:t>县城区及上游的洪涝灾害、水土流失，避免因洪灾致使的农田减产失收，以及其他重大灾害，从而不会影响人民生活，减轻了组织灾区居民撤退转移和安置救灾的负担，对</w:t>
      </w:r>
      <w:r>
        <w:rPr>
          <w:rFonts w:hint="eastAsia" w:ascii="Times New Roman" w:hAnsi="Times New Roman"/>
          <w:color w:val="auto"/>
        </w:rPr>
        <w:t>上高</w:t>
      </w:r>
      <w:r>
        <w:rPr>
          <w:rFonts w:ascii="Times New Roman" w:hAnsi="Times New Roman"/>
          <w:color w:val="auto"/>
        </w:rPr>
        <w:t>县城区及上游的群众生产、生活都是极为有利的。既保证了人民群众的安居乐业，又为人民群众持续发展创造了良好的条件。</w:t>
      </w:r>
    </w:p>
    <w:p>
      <w:pPr>
        <w:pStyle w:val="297"/>
        <w:spacing w:line="360" w:lineRule="auto"/>
        <w:rPr>
          <w:rFonts w:ascii="Times New Roman" w:hAnsi="Times New Roman"/>
          <w:color w:val="auto"/>
        </w:rPr>
      </w:pPr>
      <w:r>
        <w:rPr>
          <w:rFonts w:hint="eastAsia" w:cs="宋体"/>
          <w:color w:val="auto"/>
        </w:rPr>
        <w:t>⑷</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抬水工程的建设，将改善和提高</w:t>
      </w:r>
      <w:r>
        <w:rPr>
          <w:rFonts w:hint="eastAsia" w:ascii="Times New Roman" w:hAnsi="Times New Roman"/>
          <w:color w:val="auto"/>
        </w:rPr>
        <w:t>上高</w:t>
      </w:r>
      <w:r>
        <w:rPr>
          <w:rFonts w:ascii="Times New Roman" w:hAnsi="Times New Roman"/>
          <w:color w:val="auto"/>
        </w:rPr>
        <w:t>县城区供水水质、改善上游农田灌溉水质，对预防各种传染病、公害病、提高人民健康水平起重要作用，对提高农产品品质，提高农民收入起到较大的促进作用。</w:t>
      </w:r>
    </w:p>
    <w:p>
      <w:pPr>
        <w:pStyle w:val="297"/>
        <w:spacing w:line="360" w:lineRule="auto"/>
        <w:rPr>
          <w:rFonts w:ascii="Times New Roman" w:hAnsi="Times New Roman"/>
          <w:color w:val="auto"/>
        </w:rPr>
      </w:pPr>
      <w:r>
        <w:rPr>
          <w:rFonts w:hint="eastAsia" w:cs="宋体"/>
          <w:color w:val="auto"/>
        </w:rPr>
        <w:t>⑸</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抬水工程的建设，将有效改善</w:t>
      </w:r>
      <w:r>
        <w:rPr>
          <w:rFonts w:hint="eastAsia" w:ascii="Times New Roman" w:hAnsi="Times New Roman"/>
          <w:color w:val="auto"/>
        </w:rPr>
        <w:t>上高</w:t>
      </w:r>
      <w:r>
        <w:rPr>
          <w:rFonts w:ascii="Times New Roman" w:hAnsi="Times New Roman"/>
          <w:color w:val="auto"/>
        </w:rPr>
        <w:t>县城区及上游的生物生存条件，增加生物种类，实现天蓝、地绿、水净的湿地公园及河道景观。</w:t>
      </w:r>
    </w:p>
    <w:p>
      <w:pPr>
        <w:pStyle w:val="297"/>
        <w:spacing w:line="360" w:lineRule="auto"/>
        <w:rPr>
          <w:rFonts w:ascii="Times New Roman" w:hAnsi="Times New Roman"/>
          <w:color w:val="auto"/>
        </w:rPr>
      </w:pPr>
      <w:r>
        <w:rPr>
          <w:rFonts w:hint="eastAsia" w:cs="宋体"/>
          <w:color w:val="auto"/>
        </w:rPr>
        <w:t>⑹</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抬水工程的建设，将为</w:t>
      </w:r>
      <w:r>
        <w:rPr>
          <w:rFonts w:hint="eastAsia" w:ascii="Times New Roman" w:hAnsi="Times New Roman"/>
          <w:color w:val="auto"/>
        </w:rPr>
        <w:t>上高</w:t>
      </w:r>
      <w:r>
        <w:rPr>
          <w:rFonts w:ascii="Times New Roman" w:hAnsi="Times New Roman"/>
          <w:color w:val="auto"/>
        </w:rPr>
        <w:t>县经济社会的可持续发展，及城市品位提升打下良好基础，为</w:t>
      </w:r>
      <w:r>
        <w:rPr>
          <w:rFonts w:hint="eastAsia" w:ascii="Times New Roman" w:hAnsi="Times New Roman"/>
          <w:color w:val="auto"/>
        </w:rPr>
        <w:t>上高</w:t>
      </w:r>
      <w:r>
        <w:rPr>
          <w:rFonts w:ascii="Times New Roman" w:hAnsi="Times New Roman"/>
          <w:color w:val="auto"/>
        </w:rPr>
        <w:t>县人才引进创造良好条件。</w:t>
      </w:r>
    </w:p>
    <w:p>
      <w:pPr>
        <w:pStyle w:val="7"/>
        <w:snapToGrid w:val="0"/>
        <w:rPr>
          <w:szCs w:val="24"/>
        </w:rPr>
      </w:pPr>
      <w:bookmarkStart w:id="1329" w:name="_Toc3903379"/>
      <w:bookmarkStart w:id="1330" w:name="_Toc534895370"/>
      <w:bookmarkStart w:id="1331" w:name="_Toc536265242"/>
      <w:bookmarkStart w:id="1332" w:name="_Toc534807153"/>
      <w:r>
        <w:rPr>
          <w:rFonts w:hint="eastAsia"/>
          <w:szCs w:val="24"/>
        </w:rPr>
        <w:t>9</w:t>
      </w:r>
      <w:r>
        <w:rPr>
          <w:szCs w:val="24"/>
        </w:rPr>
        <w:t>.2.2生态效益</w:t>
      </w:r>
      <w:bookmarkEnd w:id="1329"/>
      <w:bookmarkEnd w:id="1330"/>
      <w:bookmarkEnd w:id="1331"/>
      <w:bookmarkEnd w:id="1332"/>
    </w:p>
    <w:p>
      <w:pPr>
        <w:pStyle w:val="297"/>
        <w:spacing w:line="360" w:lineRule="auto"/>
        <w:rPr>
          <w:rFonts w:ascii="Times New Roman" w:hAnsi="Times New Roman"/>
          <w:color w:val="auto"/>
        </w:rPr>
      </w:pP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抬水工程的建设，将使</w:t>
      </w:r>
      <w:r>
        <w:rPr>
          <w:rFonts w:hint="eastAsia" w:ascii="Times New Roman" w:hAnsi="Times New Roman"/>
          <w:color w:val="auto"/>
        </w:rPr>
        <w:t>上高县城区</w:t>
      </w:r>
      <w:r>
        <w:rPr>
          <w:rFonts w:ascii="Times New Roman" w:hAnsi="Times New Roman"/>
          <w:color w:val="auto"/>
        </w:rPr>
        <w:t>河段生态环境及生态功能得到有效的改善和提高。主要体现在物质循环、生物多样性维护、调节河道径流和气候等方面。</w:t>
      </w:r>
    </w:p>
    <w:p>
      <w:pPr>
        <w:pStyle w:val="297"/>
        <w:spacing w:line="360" w:lineRule="auto"/>
        <w:rPr>
          <w:rFonts w:ascii="Times New Roman" w:hAnsi="Times New Roman"/>
          <w:color w:val="auto"/>
        </w:rPr>
      </w:pPr>
      <w:r>
        <w:rPr>
          <w:rFonts w:hint="eastAsia" w:cs="宋体"/>
          <w:color w:val="auto"/>
        </w:rPr>
        <w:t>⑴</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保护生物和维持、遗传生物多样性。河道及湿地的生物多样性占有非常重要的地位。河道及湿地为水生动物、水生植物、多种珍稀濒危野生动物，特别是水禽提供了必须的栖息、迁徙、越冬和繁殖场所。依赖湿地生存、繁衍的野生动植物极为丰富，其中有许多是珍稀特有的物种，是生物多样性丰富的重要地区和濒危鸟类、迁徙候鸟以及其它野生动物的栖息繁殖地。对物种保存和保护物种多样性发挥着重要作用，对维持野生物种种群的存续，筛选和改良具有商品价值的物种，均具有重要意义。</w:t>
      </w:r>
    </w:p>
    <w:p>
      <w:pPr>
        <w:pStyle w:val="297"/>
        <w:spacing w:line="360" w:lineRule="auto"/>
        <w:rPr>
          <w:rFonts w:ascii="Times New Roman" w:hAnsi="Times New Roman"/>
          <w:color w:val="auto"/>
        </w:rPr>
      </w:pPr>
      <w:r>
        <w:rPr>
          <w:rFonts w:hint="eastAsia" w:cs="宋体"/>
          <w:color w:val="auto"/>
        </w:rPr>
        <w:t>⑵</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能够调蓄径流洪水，补充地下水，防止自然灾害。河道及湿地在控制洪水，调节水流方面功能十分显著。河道及湿地在蓄水、调节河川径流、补给地下水和维持区域水平衡中发挥着重要作用。我国降水的季节分配和年度分配不均匀，河道及湿地的调节，储存来自降雨、河流过多的水量，从而避免发生洪水灾害，保证工农业生产有稳定的水源供给。</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抬水工程的建设，可避免洪灾引起水质和卫生条件恶化，造成疫病流行，居民健康水平下降；避免土地被冲毁、淤压，导致沙化荒废。</w:t>
      </w:r>
    </w:p>
    <w:p>
      <w:pPr>
        <w:pStyle w:val="297"/>
        <w:spacing w:line="360" w:lineRule="auto"/>
        <w:rPr>
          <w:rFonts w:ascii="Times New Roman" w:hAnsi="Times New Roman"/>
          <w:color w:val="auto"/>
        </w:rPr>
      </w:pPr>
      <w:r>
        <w:rPr>
          <w:rFonts w:hint="eastAsia" w:cs="宋体"/>
          <w:color w:val="auto"/>
        </w:rPr>
        <w:t>⑶</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有效固定二氧化碳并调节区域小气候。河道及湿地植被的增加使得植物的光合作用加强，固定二氧化碳能力增强。河道及湿地环境中，微生物活动弱，土壤吸收和释放二氧化碳十分缓慢，形成了富含有机质的湿地土壤和泥炭层，起到了固定碳的作用。河道及湿地的水分蒸发和植被叶面的水分蒸腾，使得项目区水面和大气之间不断进行了能量和物质交换，对周边地区的气候调节具有明显的作用。通过气候调节作用，可以使云量增加，湿度增加，降水增加，气候变得更加湿润，降水变率减小，从而使得白天气温降低，夜晚气温升高，昼夜温差减小。</w:t>
      </w:r>
    </w:p>
    <w:p>
      <w:pPr>
        <w:pStyle w:val="297"/>
        <w:spacing w:line="360" w:lineRule="auto"/>
        <w:rPr>
          <w:rFonts w:ascii="Times New Roman" w:hAnsi="Times New Roman"/>
          <w:color w:val="auto"/>
        </w:rPr>
      </w:pPr>
      <w:r>
        <w:rPr>
          <w:rFonts w:hint="eastAsia" w:cs="宋体"/>
          <w:color w:val="auto"/>
        </w:rPr>
        <w:t>⑷</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有效降解污染和净化水质。河道及湿地的建成能够通过自然条件降解污染，从而改善和提高水体水质。植物、微生物通过物理过滤、生物吸收和化学合成与分解等把人类排入湿地、河流等有毒有害物质降解和转化为无毒无害甚至有益的物质。</w:t>
      </w:r>
    </w:p>
    <w:p>
      <w:pPr>
        <w:pStyle w:val="7"/>
        <w:snapToGrid w:val="0"/>
        <w:rPr>
          <w:szCs w:val="24"/>
        </w:rPr>
      </w:pPr>
      <w:bookmarkStart w:id="1333" w:name="_Toc3903380"/>
      <w:bookmarkStart w:id="1334" w:name="_Toc534807154"/>
      <w:bookmarkStart w:id="1335" w:name="_Toc534895371"/>
      <w:bookmarkStart w:id="1336" w:name="_Toc536265243"/>
      <w:r>
        <w:rPr>
          <w:rFonts w:hint="eastAsia"/>
          <w:szCs w:val="24"/>
        </w:rPr>
        <w:t>9</w:t>
      </w:r>
      <w:r>
        <w:rPr>
          <w:szCs w:val="24"/>
        </w:rPr>
        <w:t>.2.3间接经济效益</w:t>
      </w:r>
      <w:bookmarkEnd w:id="1333"/>
      <w:bookmarkEnd w:id="1334"/>
      <w:bookmarkEnd w:id="1335"/>
      <w:bookmarkEnd w:id="1336"/>
    </w:p>
    <w:p>
      <w:pPr>
        <w:pStyle w:val="297"/>
        <w:spacing w:line="360" w:lineRule="auto"/>
        <w:rPr>
          <w:rFonts w:ascii="Times New Roman" w:hAnsi="Times New Roman"/>
          <w:color w:val="auto"/>
        </w:rPr>
      </w:pPr>
      <w:r>
        <w:rPr>
          <w:rFonts w:hint="eastAsia" w:cs="宋体"/>
          <w:color w:val="auto"/>
        </w:rPr>
        <w:t>⑴</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抬水工程建设，进一步改善</w:t>
      </w:r>
      <w:r>
        <w:rPr>
          <w:rFonts w:hint="eastAsia" w:ascii="Times New Roman" w:hAnsi="Times New Roman"/>
          <w:color w:val="auto"/>
        </w:rPr>
        <w:t>上高</w:t>
      </w:r>
      <w:r>
        <w:rPr>
          <w:rFonts w:ascii="Times New Roman" w:hAnsi="Times New Roman"/>
          <w:color w:val="auto"/>
        </w:rPr>
        <w:t>县城市品位。</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抬水工程的建设，抬高了</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抬水坝</w:t>
      </w:r>
      <w:r>
        <w:rPr>
          <w:rFonts w:hint="eastAsia" w:ascii="Times New Roman" w:hAnsi="Times New Roman"/>
          <w:color w:val="auto"/>
        </w:rPr>
        <w:t>上游</w:t>
      </w:r>
      <w:r>
        <w:rPr>
          <w:rFonts w:ascii="Times New Roman" w:hAnsi="Times New Roman"/>
          <w:color w:val="auto"/>
        </w:rPr>
        <w:t>河段水位，改善了沿岸的景观，改善河段上游的供水条件，为</w:t>
      </w:r>
      <w:r>
        <w:rPr>
          <w:rFonts w:hint="eastAsia" w:ascii="Times New Roman" w:hAnsi="Times New Roman"/>
          <w:color w:val="auto"/>
        </w:rPr>
        <w:t>上高</w:t>
      </w:r>
      <w:r>
        <w:rPr>
          <w:rFonts w:ascii="Times New Roman" w:hAnsi="Times New Roman"/>
          <w:color w:val="auto"/>
        </w:rPr>
        <w:t>县城区景观提供优质景观用水。城区水景观的整体改善，将极大的提高</w:t>
      </w:r>
      <w:r>
        <w:rPr>
          <w:rFonts w:hint="eastAsia" w:ascii="Times New Roman" w:hAnsi="Times New Roman"/>
          <w:color w:val="auto"/>
        </w:rPr>
        <w:t>上高</w:t>
      </w:r>
      <w:r>
        <w:rPr>
          <w:rFonts w:ascii="Times New Roman" w:hAnsi="Times New Roman"/>
          <w:color w:val="auto"/>
        </w:rPr>
        <w:t>县的城市品位，并进一步提升城区建设用地质量及土地价值。</w:t>
      </w:r>
    </w:p>
    <w:p>
      <w:pPr>
        <w:pStyle w:val="297"/>
        <w:spacing w:line="360" w:lineRule="auto"/>
        <w:rPr>
          <w:rFonts w:ascii="Times New Roman" w:hAnsi="Times New Roman"/>
          <w:color w:val="auto"/>
        </w:rPr>
      </w:pPr>
      <w:r>
        <w:rPr>
          <w:rFonts w:hint="eastAsia" w:cs="宋体"/>
          <w:color w:val="auto"/>
        </w:rPr>
        <w:t>⑵</w:t>
      </w:r>
      <w:r>
        <w:rPr>
          <w:rFonts w:ascii="Times New Roman" w:hAnsi="Times New Roman"/>
          <w:color w:val="auto"/>
        </w:rPr>
        <w:t>提供丰富的动植物产品。</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抬水工程的建设，在</w:t>
      </w:r>
      <w:r>
        <w:rPr>
          <w:rFonts w:hint="eastAsia" w:ascii="Times New Roman" w:hAnsi="Times New Roman"/>
          <w:color w:val="auto"/>
        </w:rPr>
        <w:t>上高</w:t>
      </w:r>
      <w:r>
        <w:rPr>
          <w:rFonts w:ascii="Times New Roman" w:hAnsi="Times New Roman"/>
          <w:color w:val="auto"/>
        </w:rPr>
        <w:t>县城区范围内形成了较大的水面，在改善水景观的同时，</w:t>
      </w:r>
      <w:r>
        <w:rPr>
          <w:rFonts w:hint="eastAsia" w:ascii="Times New Roman" w:hAnsi="Times New Roman"/>
          <w:color w:val="auto"/>
        </w:rPr>
        <w:t>上高</w:t>
      </w:r>
      <w:r>
        <w:rPr>
          <w:rFonts w:ascii="Times New Roman" w:hAnsi="Times New Roman"/>
          <w:color w:val="auto"/>
        </w:rPr>
        <w:t>县政府可以利用水体进行养殖，推行清水养鱼，生态养殖及设置收费垂钓园区等来提高经济收益。</w:t>
      </w:r>
    </w:p>
    <w:p>
      <w:pPr>
        <w:pStyle w:val="297"/>
        <w:spacing w:line="360" w:lineRule="auto"/>
        <w:rPr>
          <w:rFonts w:ascii="Times New Roman" w:hAnsi="Times New Roman"/>
          <w:color w:val="auto"/>
        </w:rPr>
      </w:pPr>
      <w:r>
        <w:rPr>
          <w:rFonts w:hint="eastAsia" w:cs="宋体"/>
          <w:color w:val="auto"/>
        </w:rPr>
        <w:t>⑶</w:t>
      </w:r>
      <w:r>
        <w:rPr>
          <w:rFonts w:ascii="Times New Roman" w:hAnsi="Times New Roman"/>
          <w:color w:val="auto"/>
        </w:rPr>
        <w:t>优化</w:t>
      </w:r>
      <w:r>
        <w:rPr>
          <w:rFonts w:hint="eastAsia" w:ascii="Times New Roman" w:hAnsi="Times New Roman"/>
          <w:color w:val="auto"/>
        </w:rPr>
        <w:t>上高</w:t>
      </w:r>
      <w:r>
        <w:rPr>
          <w:rFonts w:ascii="Times New Roman" w:hAnsi="Times New Roman"/>
          <w:color w:val="auto"/>
        </w:rPr>
        <w:t>县水厂的供水条件及供水质量。</w:t>
      </w:r>
      <w:r>
        <w:rPr>
          <w:rFonts w:hint="eastAsia" w:ascii="Times New Roman" w:hAnsi="Times New Roman"/>
          <w:color w:val="auto"/>
        </w:rPr>
        <w:t>上高</w:t>
      </w:r>
      <w:r>
        <w:rPr>
          <w:rFonts w:ascii="Times New Roman" w:hAnsi="Times New Roman"/>
          <w:color w:val="auto"/>
        </w:rPr>
        <w:t>县</w:t>
      </w:r>
      <w:r>
        <w:rPr>
          <w:rFonts w:hint="eastAsia" w:ascii="Times New Roman" w:hAnsi="Times New Roman"/>
          <w:color w:val="auto"/>
        </w:rPr>
        <w:t>毛家渡</w:t>
      </w:r>
      <w:r>
        <w:rPr>
          <w:rFonts w:ascii="Times New Roman" w:hAnsi="Times New Roman"/>
          <w:color w:val="auto"/>
        </w:rPr>
        <w:t>抬水工程的建设将为</w:t>
      </w:r>
      <w:r>
        <w:rPr>
          <w:rFonts w:hint="eastAsia" w:ascii="Times New Roman" w:hAnsi="Times New Roman"/>
          <w:color w:val="auto"/>
        </w:rPr>
        <w:t>上高</w:t>
      </w:r>
      <w:r>
        <w:rPr>
          <w:rFonts w:ascii="Times New Roman" w:hAnsi="Times New Roman"/>
          <w:color w:val="auto"/>
        </w:rPr>
        <w:t>县水厂的取水提供非常大的便利，工程建设将极大改善水源质量，减少水厂的水处理成本。</w:t>
      </w:r>
    </w:p>
    <w:p>
      <w:pPr>
        <w:pStyle w:val="7"/>
        <w:snapToGrid w:val="0"/>
        <w:rPr>
          <w:szCs w:val="24"/>
        </w:rPr>
      </w:pPr>
      <w:bookmarkStart w:id="1337" w:name="_Toc3903381"/>
      <w:bookmarkStart w:id="1338" w:name="_Toc536265244"/>
      <w:bookmarkStart w:id="1339" w:name="_Toc534807155"/>
      <w:bookmarkStart w:id="1340" w:name="_Toc534895372"/>
      <w:r>
        <w:rPr>
          <w:rFonts w:hint="eastAsia"/>
          <w:szCs w:val="24"/>
        </w:rPr>
        <w:t>9</w:t>
      </w:r>
      <w:r>
        <w:rPr>
          <w:szCs w:val="24"/>
        </w:rPr>
        <w:t>.2.4环境损失</w:t>
      </w:r>
      <w:bookmarkEnd w:id="1337"/>
      <w:bookmarkEnd w:id="1338"/>
      <w:bookmarkEnd w:id="1339"/>
      <w:bookmarkEnd w:id="1340"/>
    </w:p>
    <w:p>
      <w:pPr>
        <w:pStyle w:val="297"/>
        <w:spacing w:line="360" w:lineRule="auto"/>
        <w:rPr>
          <w:rFonts w:ascii="Times New Roman" w:hAnsi="Times New Roman"/>
          <w:color w:val="auto"/>
        </w:rPr>
      </w:pPr>
      <w:r>
        <w:rPr>
          <w:rFonts w:ascii="Times New Roman" w:hAnsi="Times New Roman"/>
          <w:color w:val="auto"/>
        </w:rPr>
        <w:t>根据环境经济学理论，若建设项目引起环境质量下降，造成生产性资产损害，则将环境质量或生产性资产恢复到初始状态所花费的费用，可作为环境效益损失的最低估价。本项目环境损失共计</w:t>
      </w:r>
      <w:r>
        <w:rPr>
          <w:rFonts w:hint="eastAsia" w:ascii="Times New Roman" w:hAnsi="Times New Roman"/>
          <w:color w:val="auto"/>
        </w:rPr>
        <w:t>747.18</w:t>
      </w:r>
      <w:r>
        <w:rPr>
          <w:rFonts w:ascii="Times New Roman" w:hAnsi="Times New Roman"/>
          <w:color w:val="auto"/>
        </w:rPr>
        <w:t>万元，主要包括以下3方面：</w:t>
      </w:r>
    </w:p>
    <w:p>
      <w:pPr>
        <w:pStyle w:val="297"/>
        <w:spacing w:line="360" w:lineRule="auto"/>
        <w:rPr>
          <w:rFonts w:ascii="Times New Roman" w:hAnsi="Times New Roman"/>
          <w:color w:val="auto"/>
        </w:rPr>
      </w:pPr>
      <w:r>
        <w:rPr>
          <w:rFonts w:hint="eastAsia" w:cs="宋体"/>
          <w:color w:val="auto"/>
        </w:rPr>
        <w:t>⑴</w:t>
      </w:r>
      <w:r>
        <w:rPr>
          <w:rFonts w:ascii="Times New Roman" w:hAnsi="Times New Roman"/>
          <w:color w:val="auto"/>
        </w:rPr>
        <w:t>环境保护费用</w:t>
      </w:r>
    </w:p>
    <w:p>
      <w:pPr>
        <w:pStyle w:val="297"/>
        <w:spacing w:line="360" w:lineRule="auto"/>
        <w:rPr>
          <w:rFonts w:ascii="Times New Roman" w:hAnsi="Times New Roman"/>
          <w:color w:val="auto"/>
        </w:rPr>
      </w:pPr>
      <w:r>
        <w:rPr>
          <w:rFonts w:ascii="Times New Roman" w:hAnsi="Times New Roman"/>
          <w:color w:val="auto"/>
        </w:rPr>
        <w:t>本项目环境保护费用为</w:t>
      </w:r>
      <w:r>
        <w:rPr>
          <w:rFonts w:hint="eastAsia" w:ascii="Times New Roman" w:hAnsi="Times New Roman"/>
          <w:color w:val="auto"/>
        </w:rPr>
        <w:t>143.02</w:t>
      </w:r>
      <w:r>
        <w:rPr>
          <w:rFonts w:ascii="Times New Roman" w:hAnsi="Times New Roman"/>
          <w:color w:val="auto"/>
        </w:rPr>
        <w:t>万元。</w:t>
      </w:r>
    </w:p>
    <w:p>
      <w:pPr>
        <w:pStyle w:val="297"/>
        <w:spacing w:line="360" w:lineRule="auto"/>
        <w:rPr>
          <w:rFonts w:ascii="Times New Roman" w:hAnsi="Times New Roman"/>
          <w:color w:val="auto"/>
        </w:rPr>
      </w:pPr>
      <w:r>
        <w:rPr>
          <w:rFonts w:hint="eastAsia" w:cs="宋体"/>
          <w:color w:val="auto"/>
        </w:rPr>
        <w:t>⑵</w:t>
      </w:r>
      <w:r>
        <w:rPr>
          <w:rFonts w:ascii="Times New Roman" w:hAnsi="Times New Roman"/>
          <w:color w:val="auto"/>
        </w:rPr>
        <w:t>占地损失</w:t>
      </w:r>
    </w:p>
    <w:p>
      <w:pPr>
        <w:pStyle w:val="297"/>
        <w:spacing w:line="360" w:lineRule="auto"/>
        <w:rPr>
          <w:rFonts w:ascii="Times New Roman" w:hAnsi="Times New Roman"/>
          <w:color w:val="auto"/>
        </w:rPr>
      </w:pPr>
      <w:r>
        <w:rPr>
          <w:rFonts w:ascii="Times New Roman" w:hAnsi="Times New Roman"/>
          <w:color w:val="auto"/>
        </w:rPr>
        <w:t>本项目建设征地规划总投资估算为</w:t>
      </w:r>
      <w:r>
        <w:rPr>
          <w:rFonts w:hint="eastAsia" w:ascii="Times New Roman" w:hAnsi="Times New Roman"/>
          <w:color w:val="auto"/>
        </w:rPr>
        <w:t>404.02</w:t>
      </w:r>
      <w:r>
        <w:rPr>
          <w:rFonts w:ascii="Times New Roman" w:hAnsi="Times New Roman"/>
          <w:color w:val="auto"/>
        </w:rPr>
        <w:t>万元。</w:t>
      </w:r>
    </w:p>
    <w:p>
      <w:pPr>
        <w:pStyle w:val="297"/>
        <w:spacing w:line="360" w:lineRule="auto"/>
        <w:rPr>
          <w:rFonts w:ascii="Times New Roman" w:hAnsi="Times New Roman"/>
          <w:color w:val="auto"/>
        </w:rPr>
      </w:pPr>
      <w:r>
        <w:rPr>
          <w:rFonts w:hint="eastAsia" w:cs="宋体"/>
          <w:color w:val="auto"/>
        </w:rPr>
        <w:t>⑶</w:t>
      </w:r>
      <w:r>
        <w:rPr>
          <w:rFonts w:ascii="Times New Roman" w:hAnsi="Times New Roman"/>
          <w:color w:val="auto"/>
        </w:rPr>
        <w:t>水土流失防治费</w:t>
      </w:r>
    </w:p>
    <w:p>
      <w:pPr>
        <w:pStyle w:val="297"/>
        <w:spacing w:line="360" w:lineRule="auto"/>
        <w:rPr>
          <w:rFonts w:ascii="Times New Roman" w:hAnsi="Times New Roman"/>
          <w:color w:val="auto"/>
        </w:rPr>
      </w:pPr>
      <w:r>
        <w:rPr>
          <w:rFonts w:ascii="Times New Roman" w:hAnsi="Times New Roman"/>
          <w:color w:val="auto"/>
        </w:rPr>
        <w:t>本项目水土保持总投资为</w:t>
      </w:r>
      <w:r>
        <w:rPr>
          <w:rFonts w:hint="eastAsia" w:ascii="Times New Roman" w:hAnsi="Times New Roman"/>
          <w:color w:val="auto"/>
        </w:rPr>
        <w:t>200.14</w:t>
      </w:r>
      <w:r>
        <w:rPr>
          <w:rFonts w:ascii="Times New Roman" w:hAnsi="Times New Roman"/>
          <w:color w:val="auto"/>
        </w:rPr>
        <w:t>万元。</w:t>
      </w:r>
    </w:p>
    <w:bookmarkEnd w:id="1313"/>
    <w:bookmarkEnd w:id="1314"/>
    <w:bookmarkEnd w:id="1315"/>
    <w:bookmarkEnd w:id="1316"/>
    <w:bookmarkEnd w:id="1317"/>
    <w:bookmarkEnd w:id="1318"/>
    <w:bookmarkEnd w:id="1319"/>
    <w:bookmarkEnd w:id="1320"/>
    <w:bookmarkEnd w:id="1321"/>
    <w:bookmarkEnd w:id="1322"/>
    <w:bookmarkEnd w:id="1323"/>
    <w:bookmarkEnd w:id="1324"/>
    <w:p>
      <w:pPr>
        <w:pStyle w:val="6"/>
        <w:spacing w:beforeLines="50" w:afterLines="50"/>
        <w:rPr>
          <w:szCs w:val="28"/>
        </w:rPr>
      </w:pPr>
      <w:bookmarkStart w:id="1341" w:name="_Toc536265245"/>
      <w:bookmarkStart w:id="1342" w:name="_Toc3903382"/>
      <w:bookmarkStart w:id="1343" w:name="_Toc534895373"/>
      <w:bookmarkStart w:id="1344" w:name="_Toc529279161"/>
      <w:bookmarkStart w:id="1345" w:name="_Toc959"/>
      <w:bookmarkStart w:id="1346" w:name="_Toc534386405"/>
      <w:bookmarkStart w:id="1347" w:name="_Toc534807156"/>
      <w:r>
        <w:rPr>
          <w:rFonts w:hint="eastAsia"/>
          <w:szCs w:val="28"/>
        </w:rPr>
        <w:t>9</w:t>
      </w:r>
      <w:r>
        <w:rPr>
          <w:szCs w:val="28"/>
        </w:rPr>
        <w:t>.3环境影响经济损益结论</w:t>
      </w:r>
      <w:bookmarkEnd w:id="1341"/>
      <w:bookmarkEnd w:id="1342"/>
      <w:bookmarkEnd w:id="1343"/>
      <w:bookmarkEnd w:id="1344"/>
      <w:bookmarkEnd w:id="1345"/>
      <w:bookmarkEnd w:id="1346"/>
      <w:bookmarkEnd w:id="1347"/>
    </w:p>
    <w:p>
      <w:pPr>
        <w:pStyle w:val="297"/>
        <w:spacing w:line="360" w:lineRule="auto"/>
        <w:rPr>
          <w:rFonts w:ascii="Times New Roman" w:hAnsi="Times New Roman"/>
          <w:color w:val="auto"/>
        </w:rPr>
      </w:pPr>
      <w:r>
        <w:rPr>
          <w:rFonts w:ascii="Times New Roman" w:hAnsi="Times New Roman"/>
          <w:color w:val="auto"/>
        </w:rPr>
        <w:t>综上，工程造成的环境损失中，淹没征地造成的土地损失为不可逆损失，但可通过</w:t>
      </w:r>
      <w:r>
        <w:rPr>
          <w:rFonts w:hint="eastAsia" w:ascii="Times New Roman" w:hAnsi="Times New Roman"/>
          <w:color w:val="auto"/>
        </w:rPr>
        <w:t>抬水工程</w:t>
      </w:r>
      <w:r>
        <w:rPr>
          <w:rFonts w:ascii="Times New Roman" w:hAnsi="Times New Roman"/>
          <w:color w:val="auto"/>
        </w:rPr>
        <w:t>建设、运行过程中产生的社会经济效益得到补偿，其它各项损失均为暂时的、可以恢复或补救的。</w:t>
      </w:r>
    </w:p>
    <w:p>
      <w:pPr>
        <w:pStyle w:val="297"/>
        <w:spacing w:line="360" w:lineRule="auto"/>
        <w:rPr>
          <w:rFonts w:ascii="Times New Roman" w:hAnsi="Times New Roman"/>
          <w:color w:val="auto"/>
        </w:rPr>
        <w:sectPr>
          <w:headerReference r:id="rId21" w:type="default"/>
          <w:pgSz w:w="11906" w:h="16838"/>
          <w:pgMar w:top="1814" w:right="1134" w:bottom="1701" w:left="1418" w:header="1134" w:footer="992" w:gutter="0"/>
          <w:cols w:space="720" w:num="1"/>
          <w:docGrid w:linePitch="326" w:charSpace="0"/>
        </w:sectPr>
      </w:pPr>
      <w:r>
        <w:rPr>
          <w:rFonts w:ascii="Times New Roman" w:hAnsi="Times New Roman"/>
          <w:color w:val="auto"/>
        </w:rPr>
        <w:t>从可以量化的环境经济损益分析，尽管工程环境损失大于环境效益。但工程是以保障</w:t>
      </w:r>
      <w:r>
        <w:rPr>
          <w:rFonts w:hint="eastAsia" w:ascii="Times New Roman" w:hAnsi="Times New Roman"/>
          <w:color w:val="auto"/>
        </w:rPr>
        <w:t>上高县</w:t>
      </w:r>
      <w:r>
        <w:rPr>
          <w:rFonts w:ascii="Times New Roman" w:hAnsi="Times New Roman"/>
          <w:color w:val="auto"/>
        </w:rPr>
        <w:t>城</w:t>
      </w:r>
      <w:r>
        <w:rPr>
          <w:rFonts w:hint="eastAsia" w:ascii="Times New Roman" w:hAnsi="Times New Roman"/>
          <w:color w:val="auto"/>
        </w:rPr>
        <w:t>景观抬水</w:t>
      </w:r>
      <w:r>
        <w:rPr>
          <w:rFonts w:ascii="Times New Roman" w:hAnsi="Times New Roman"/>
          <w:color w:val="auto"/>
        </w:rPr>
        <w:t>为主，结合改善水生态环境，兼顾</w:t>
      </w:r>
      <w:r>
        <w:rPr>
          <w:rFonts w:hint="eastAsia" w:ascii="Times New Roman" w:hAnsi="Times New Roman"/>
          <w:color w:val="auto"/>
        </w:rPr>
        <w:t>防洪、航运</w:t>
      </w:r>
      <w:r>
        <w:rPr>
          <w:rFonts w:ascii="Times New Roman" w:hAnsi="Times New Roman"/>
          <w:color w:val="auto"/>
        </w:rPr>
        <w:t>等综合利用，其产生的环境、经济和社会效益是长远的，目前大部分难以量化，从长远来看，工程的环境效益大于环境损失，工程建设从环境损益角度分析是可行的。</w:t>
      </w:r>
    </w:p>
    <w:p>
      <w:pPr>
        <w:pStyle w:val="1064"/>
        <w:spacing w:before="240" w:beforeLines="0" w:after="240" w:afterLines="0" w:line="360" w:lineRule="auto"/>
        <w:ind w:firstLine="601"/>
        <w:rPr>
          <w:rFonts w:eastAsia="宋体" w:cs="Times New Roman"/>
          <w:kern w:val="30"/>
          <w:sz w:val="30"/>
        </w:rPr>
      </w:pPr>
      <w:bookmarkStart w:id="1348" w:name="_Toc240387533"/>
      <w:bookmarkStart w:id="1349" w:name="_Toc263272032"/>
      <w:bookmarkStart w:id="1350" w:name="_Toc257295319"/>
      <w:bookmarkStart w:id="1351" w:name="_Toc334643226"/>
      <w:bookmarkStart w:id="1352" w:name="_Toc529279162"/>
      <w:bookmarkStart w:id="1353" w:name="_Toc534807157"/>
      <w:bookmarkStart w:id="1354" w:name="_Toc536265246"/>
      <w:bookmarkStart w:id="1355" w:name="_Toc3903383"/>
      <w:bookmarkStart w:id="1356" w:name="_Toc534895374"/>
      <w:bookmarkStart w:id="1357" w:name="_Toc534386406"/>
      <w:bookmarkStart w:id="1358" w:name="_Toc13888"/>
      <w:r>
        <w:rPr>
          <w:rFonts w:eastAsia="宋体" w:cs="Times New Roman"/>
          <w:b/>
          <w:kern w:val="30"/>
          <w:sz w:val="30"/>
        </w:rPr>
        <w:t>第</w:t>
      </w:r>
      <w:r>
        <w:rPr>
          <w:rFonts w:hint="eastAsia" w:eastAsia="宋体" w:cs="Times New Roman"/>
          <w:b/>
          <w:kern w:val="30"/>
          <w:sz w:val="30"/>
        </w:rPr>
        <w:t>十</w:t>
      </w:r>
      <w:r>
        <w:rPr>
          <w:rFonts w:eastAsia="宋体" w:cs="Times New Roman"/>
          <w:b/>
          <w:kern w:val="30"/>
          <w:sz w:val="30"/>
        </w:rPr>
        <w:t>章</w:t>
      </w:r>
      <w:bookmarkEnd w:id="1348"/>
      <w:bookmarkEnd w:id="1349"/>
      <w:bookmarkEnd w:id="1350"/>
      <w:bookmarkEnd w:id="1351"/>
      <w:r>
        <w:rPr>
          <w:rFonts w:hint="eastAsia" w:eastAsia="宋体" w:cs="Times New Roman"/>
          <w:b/>
          <w:kern w:val="30"/>
          <w:sz w:val="30"/>
        </w:rPr>
        <w:t xml:space="preserve"> </w:t>
      </w:r>
      <w:r>
        <w:rPr>
          <w:rFonts w:eastAsia="宋体" w:cs="Times New Roman"/>
          <w:b/>
          <w:kern w:val="30"/>
          <w:sz w:val="30"/>
        </w:rPr>
        <w:t>评价结论</w:t>
      </w:r>
      <w:bookmarkEnd w:id="1352"/>
      <w:bookmarkEnd w:id="1353"/>
      <w:bookmarkEnd w:id="1354"/>
      <w:bookmarkEnd w:id="1355"/>
      <w:bookmarkEnd w:id="1356"/>
      <w:bookmarkEnd w:id="1357"/>
      <w:r>
        <w:rPr>
          <w:rFonts w:hint="eastAsia" w:eastAsia="宋体" w:cs="Times New Roman"/>
          <w:b/>
          <w:kern w:val="30"/>
          <w:sz w:val="30"/>
        </w:rPr>
        <w:t>与建议</w:t>
      </w:r>
      <w:bookmarkEnd w:id="1358"/>
    </w:p>
    <w:p>
      <w:pPr>
        <w:pStyle w:val="6"/>
        <w:spacing w:beforeLines="50" w:afterLines="50"/>
        <w:rPr>
          <w:szCs w:val="28"/>
        </w:rPr>
      </w:pPr>
      <w:bookmarkStart w:id="1359" w:name="_Toc529279163"/>
      <w:bookmarkStart w:id="1360" w:name="_Toc3903384"/>
      <w:bookmarkStart w:id="1361" w:name="_Toc269188132"/>
      <w:bookmarkStart w:id="1362" w:name="_Toc534895375"/>
      <w:bookmarkStart w:id="1363" w:name="_Toc534386407"/>
      <w:bookmarkStart w:id="1364" w:name="_Toc536265247"/>
      <w:bookmarkStart w:id="1365" w:name="_Toc334643227"/>
      <w:bookmarkStart w:id="1366" w:name="_Toc219871065"/>
      <w:bookmarkStart w:id="1367" w:name="_Toc534807158"/>
      <w:bookmarkStart w:id="1368" w:name="_Toc14114"/>
      <w:bookmarkStart w:id="1369" w:name="_Toc263272056"/>
      <w:bookmarkStart w:id="1370" w:name="_Toc240387557"/>
      <w:bookmarkStart w:id="1371" w:name="_Toc257295343"/>
      <w:r>
        <w:rPr>
          <w:rFonts w:hint="eastAsia"/>
          <w:szCs w:val="28"/>
        </w:rPr>
        <w:t>10</w:t>
      </w:r>
      <w:r>
        <w:rPr>
          <w:szCs w:val="28"/>
        </w:rPr>
        <w:t>.1项目概况</w:t>
      </w:r>
      <w:bookmarkEnd w:id="1359"/>
      <w:bookmarkEnd w:id="1360"/>
      <w:bookmarkEnd w:id="1361"/>
      <w:bookmarkEnd w:id="1362"/>
      <w:bookmarkEnd w:id="1363"/>
      <w:bookmarkEnd w:id="1364"/>
      <w:bookmarkEnd w:id="1365"/>
      <w:bookmarkEnd w:id="1366"/>
      <w:bookmarkEnd w:id="1367"/>
      <w:bookmarkEnd w:id="1368"/>
    </w:p>
    <w:p>
      <w:pPr>
        <w:ind w:firstLine="480"/>
      </w:pPr>
      <w:bookmarkStart w:id="1372" w:name="_Toc219871066"/>
      <w:bookmarkStart w:id="1373" w:name="_Toc121902584"/>
      <w:bookmarkStart w:id="1374" w:name="_Toc334643228"/>
      <w:bookmarkStart w:id="1375" w:name="_Toc185306006"/>
      <w:bookmarkStart w:id="1376" w:name="_Toc269188133"/>
      <w:bookmarkStart w:id="1377" w:name="_Toc200267358"/>
      <w:r>
        <w:rPr>
          <w:rFonts w:hint="eastAsia" w:hAnsi="宋体"/>
        </w:rPr>
        <w:t>上高</w:t>
      </w:r>
      <w:r>
        <w:rPr>
          <w:rFonts w:hAnsi="宋体"/>
        </w:rPr>
        <w:t>县</w:t>
      </w:r>
      <w:r>
        <w:rPr>
          <w:rFonts w:hint="eastAsia" w:hAnsi="宋体"/>
        </w:rPr>
        <w:t>毛家渡</w:t>
      </w:r>
      <w:r>
        <w:rPr>
          <w:rFonts w:hAnsi="宋体"/>
        </w:rPr>
        <w:t>抬水工程位于</w:t>
      </w:r>
      <w:r>
        <w:rPr>
          <w:rFonts w:hint="eastAsia" w:hAnsi="宋体"/>
        </w:rPr>
        <w:t>上高</w:t>
      </w:r>
      <w:r>
        <w:rPr>
          <w:rFonts w:hAnsi="宋体"/>
        </w:rPr>
        <w:t>县城东，</w:t>
      </w:r>
      <w:r>
        <w:rPr>
          <w:rFonts w:hint="eastAsia" w:hAnsi="宋体"/>
        </w:rPr>
        <w:t>锦河</w:t>
      </w:r>
      <w:r>
        <w:rPr>
          <w:rFonts w:hAnsi="宋体"/>
        </w:rPr>
        <w:t>大桥下游约</w:t>
      </w:r>
      <w:r>
        <w:rPr>
          <w:rFonts w:hint="eastAsia"/>
        </w:rPr>
        <w:t>1.8k</w:t>
      </w:r>
      <w:r>
        <w:t>m</w:t>
      </w:r>
      <w:r>
        <w:rPr>
          <w:rFonts w:hAnsi="宋体"/>
        </w:rPr>
        <w:t>处，中心地理坐标为：</w:t>
      </w:r>
      <w:r>
        <w:t>N28.</w:t>
      </w:r>
      <w:r>
        <w:rPr>
          <w:rFonts w:hint="eastAsia"/>
        </w:rPr>
        <w:t>242297552</w:t>
      </w:r>
      <w:r>
        <w:t>°，E11</w:t>
      </w:r>
      <w:r>
        <w:rPr>
          <w:rFonts w:hint="eastAsia"/>
        </w:rPr>
        <w:t>4</w:t>
      </w:r>
      <w:r>
        <w:t>.</w:t>
      </w:r>
      <w:r>
        <w:rPr>
          <w:rFonts w:hint="eastAsia"/>
        </w:rPr>
        <w:t>964376297</w:t>
      </w:r>
      <w:r>
        <w:t>°</w:t>
      </w:r>
      <w:r>
        <w:rPr>
          <w:rFonts w:hAnsi="宋体"/>
        </w:rPr>
        <w:t>，是一座以城市景观抬水为主，兼顾防洪的水利工程。</w:t>
      </w:r>
      <w:r>
        <w:rPr>
          <w:rFonts w:hint="eastAsia" w:hAnsi="宋体"/>
        </w:rPr>
        <w:t>上高毛家渡</w:t>
      </w:r>
      <w:r>
        <w:rPr>
          <w:rFonts w:hAnsi="宋体"/>
        </w:rPr>
        <w:t>抬水工程正常蓄水位</w:t>
      </w:r>
      <w:r>
        <w:rPr>
          <w:rFonts w:hint="eastAsia"/>
        </w:rPr>
        <w:t>44.5</w:t>
      </w:r>
      <w:r>
        <w:t>m</w:t>
      </w:r>
      <w:r>
        <w:rPr>
          <w:rFonts w:hAnsi="宋体"/>
        </w:rPr>
        <w:t>，设计洪峰流量</w:t>
      </w:r>
      <w:r>
        <w:rPr>
          <w:rFonts w:hint="eastAsia"/>
        </w:rPr>
        <w:t>3568</w:t>
      </w:r>
      <w:r>
        <w:t>(P=</w:t>
      </w:r>
      <w:r>
        <w:rPr>
          <w:rFonts w:hint="eastAsia"/>
        </w:rPr>
        <w:t>5.0</w:t>
      </w:r>
      <w:r>
        <w:t>%)</w:t>
      </w:r>
      <w:r>
        <w:rPr>
          <w:rFonts w:hAnsi="宋体"/>
        </w:rPr>
        <w:t>，校核洪峰流量</w:t>
      </w:r>
      <w:r>
        <w:t>4</w:t>
      </w:r>
      <w:r>
        <w:rPr>
          <w:rFonts w:hint="eastAsia"/>
        </w:rPr>
        <w:t>110</w:t>
      </w:r>
      <w:r>
        <w:t>(P=</w:t>
      </w:r>
      <w:r>
        <w:rPr>
          <w:rFonts w:hint="eastAsia"/>
        </w:rPr>
        <w:t>2</w:t>
      </w:r>
      <w:r>
        <w:t>%)</w:t>
      </w:r>
      <w:r>
        <w:rPr>
          <w:rFonts w:hAnsi="宋体"/>
        </w:rPr>
        <w:t>。闸坝由泄洪闸和冲砂闸组成，呈</w:t>
      </w:r>
      <w:r>
        <w:t>“</w:t>
      </w:r>
      <w:r>
        <w:rPr>
          <w:rFonts w:hAnsi="宋体"/>
        </w:rPr>
        <w:t>一</w:t>
      </w:r>
      <w:r>
        <w:t>”</w:t>
      </w:r>
      <w:r>
        <w:rPr>
          <w:rFonts w:hAnsi="宋体"/>
        </w:rPr>
        <w:t>字型布置，总宽度</w:t>
      </w:r>
      <w:r>
        <w:rPr>
          <w:rFonts w:hint="eastAsia"/>
        </w:rPr>
        <w:t>195.0</w:t>
      </w:r>
      <w:r>
        <w:t>m</w:t>
      </w:r>
      <w:r>
        <w:rPr>
          <w:rFonts w:hAnsi="宋体"/>
        </w:rPr>
        <w:t>。冲砂闸布置在右岸。本枢纽工程为中型水闸，工程等别为Ⅲ等，主要建筑物为</w:t>
      </w:r>
      <w:r>
        <w:t>3</w:t>
      </w:r>
      <w:r>
        <w:rPr>
          <w:rFonts w:hAnsi="宋体"/>
        </w:rPr>
        <w:t>级，次要建筑物为</w:t>
      </w:r>
      <w:r>
        <w:t>4</w:t>
      </w:r>
      <w:r>
        <w:rPr>
          <w:rFonts w:hAnsi="宋体"/>
        </w:rPr>
        <w:t>级。</w:t>
      </w:r>
    </w:p>
    <w:p>
      <w:pPr>
        <w:pStyle w:val="284"/>
        <w:ind w:firstLine="480"/>
        <w:rPr>
          <w:szCs w:val="24"/>
        </w:rPr>
      </w:pPr>
      <w:r>
        <w:rPr>
          <w:rFonts w:hint="eastAsia"/>
          <w:color w:val="0000FF"/>
          <w:szCs w:val="24"/>
        </w:rPr>
        <w:t>工程总占地面积为258.1亩，</w:t>
      </w:r>
      <w:r>
        <w:rPr>
          <w:color w:val="0000FF"/>
          <w:szCs w:val="24"/>
        </w:rPr>
        <w:t>永久性占地面积为</w:t>
      </w:r>
      <w:r>
        <w:rPr>
          <w:rFonts w:hint="eastAsia"/>
          <w:color w:val="0000FF"/>
          <w:szCs w:val="24"/>
        </w:rPr>
        <w:t>167.5亩</w:t>
      </w:r>
      <w:r>
        <w:rPr>
          <w:color w:val="0000FF"/>
          <w:szCs w:val="24"/>
        </w:rPr>
        <w:t>，临时占地面积为</w:t>
      </w:r>
      <w:r>
        <w:rPr>
          <w:rFonts w:hint="eastAsia"/>
          <w:color w:val="0000FF"/>
          <w:szCs w:val="24"/>
        </w:rPr>
        <w:t>90.6亩</w:t>
      </w:r>
      <w:r>
        <w:rPr>
          <w:color w:val="0000FF"/>
          <w:szCs w:val="24"/>
        </w:rPr>
        <w:t>，类型主要为</w:t>
      </w:r>
      <w:r>
        <w:rPr>
          <w:rFonts w:hint="eastAsia"/>
          <w:color w:val="0000FF"/>
          <w:szCs w:val="24"/>
        </w:rPr>
        <w:t>水田、荒草地、一般湿地等</w:t>
      </w:r>
      <w:r>
        <w:rPr>
          <w:color w:val="0000FF"/>
          <w:szCs w:val="24"/>
        </w:rPr>
        <w:t>。</w:t>
      </w:r>
    </w:p>
    <w:p>
      <w:pPr>
        <w:adjustRightInd w:val="0"/>
        <w:snapToGrid w:val="0"/>
        <w:ind w:firstLine="480"/>
      </w:pPr>
      <w:r>
        <w:rPr>
          <w:snapToGrid w:val="0"/>
          <w:szCs w:val="24"/>
        </w:rPr>
        <w:t>工程总投资为</w:t>
      </w:r>
      <w:r>
        <w:rPr>
          <w:rFonts w:hint="eastAsia"/>
          <w:kern w:val="0"/>
          <w:szCs w:val="28"/>
        </w:rPr>
        <w:t>18005.45</w:t>
      </w:r>
      <w:r>
        <w:rPr>
          <w:snapToGrid w:val="0"/>
          <w:szCs w:val="24"/>
        </w:rPr>
        <w:t>万元，环境保护投资约</w:t>
      </w:r>
      <w:r>
        <w:rPr>
          <w:rFonts w:hint="eastAsia"/>
          <w:snapToGrid w:val="0"/>
          <w:szCs w:val="24"/>
        </w:rPr>
        <w:t>143.02</w:t>
      </w:r>
      <w:r>
        <w:rPr>
          <w:snapToGrid w:val="0"/>
          <w:szCs w:val="24"/>
        </w:rPr>
        <w:t>万元，占整个项目总投资的</w:t>
      </w:r>
      <w:r>
        <w:rPr>
          <w:rFonts w:hint="eastAsia"/>
          <w:snapToGrid w:val="0"/>
          <w:szCs w:val="24"/>
        </w:rPr>
        <w:t>0.79</w:t>
      </w:r>
      <w:r>
        <w:rPr>
          <w:snapToGrid w:val="0"/>
          <w:szCs w:val="24"/>
        </w:rPr>
        <w:t>%。</w:t>
      </w:r>
      <w:r>
        <w:t>施工总工期为18个月。</w:t>
      </w:r>
    </w:p>
    <w:p>
      <w:pPr>
        <w:pStyle w:val="6"/>
        <w:spacing w:beforeLines="50" w:afterLines="50"/>
        <w:rPr>
          <w:bCs/>
          <w:szCs w:val="28"/>
        </w:rPr>
      </w:pPr>
      <w:bookmarkStart w:id="1378" w:name="_Toc19083300"/>
      <w:bookmarkStart w:id="1379" w:name="_Toc6201"/>
      <w:r>
        <w:rPr>
          <w:szCs w:val="28"/>
        </w:rPr>
        <w:t>1</w:t>
      </w:r>
      <w:r>
        <w:rPr>
          <w:rFonts w:hint="eastAsia"/>
          <w:szCs w:val="28"/>
        </w:rPr>
        <w:t>0</w:t>
      </w:r>
      <w:r>
        <w:rPr>
          <w:szCs w:val="28"/>
        </w:rPr>
        <w:t>.2</w:t>
      </w:r>
      <w:bookmarkEnd w:id="1378"/>
      <w:r>
        <w:rPr>
          <w:rFonts w:hint="eastAsia"/>
          <w:szCs w:val="28"/>
        </w:rPr>
        <w:t>项目建设的环境可行性分析</w:t>
      </w:r>
      <w:bookmarkEnd w:id="1379"/>
    </w:p>
    <w:p>
      <w:pPr>
        <w:autoSpaceDE w:val="0"/>
        <w:autoSpaceDN w:val="0"/>
        <w:adjustRightInd w:val="0"/>
        <w:ind w:firstLine="480"/>
        <w:rPr>
          <w:szCs w:val="24"/>
        </w:rPr>
      </w:pPr>
      <w:r>
        <w:rPr>
          <w:rFonts w:hint="eastAsia"/>
        </w:rPr>
        <w:t>项目为</w:t>
      </w:r>
      <w:r>
        <w:t>抬水工程</w:t>
      </w:r>
      <w:r>
        <w:rPr>
          <w:rFonts w:hint="eastAsia"/>
        </w:rPr>
        <w:t>项目</w:t>
      </w:r>
      <w:r>
        <w:t>，</w:t>
      </w:r>
      <w:r>
        <w:rPr>
          <w:rFonts w:hint="eastAsia"/>
        </w:rPr>
        <w:t>根据</w:t>
      </w:r>
      <w:r>
        <w:t>《产业结构调整指导目录（2019年本）》</w:t>
      </w:r>
      <w:r>
        <w:rPr>
          <w:rFonts w:hint="eastAsia"/>
        </w:rPr>
        <w:t>，</w:t>
      </w:r>
      <w:r>
        <w:t>属于鼓励类“二、水利—综合利用水利枢纽工程”</w:t>
      </w:r>
      <w:r>
        <w:rPr>
          <w:rFonts w:hint="eastAsia"/>
        </w:rPr>
        <w:t>，</w:t>
      </w:r>
      <w:r>
        <w:t>项目</w:t>
      </w:r>
      <w:r>
        <w:rPr>
          <w:rFonts w:hint="eastAsia"/>
        </w:rPr>
        <w:t>建设</w:t>
      </w:r>
      <w:r>
        <w:t>符合国家产业政策</w:t>
      </w:r>
      <w:r>
        <w:rPr>
          <w:rFonts w:hint="eastAsia"/>
        </w:rPr>
        <w:t>要求</w:t>
      </w:r>
      <w:r>
        <w:t>。</w:t>
      </w:r>
      <w:r>
        <w:rPr>
          <w:rFonts w:hint="eastAsia"/>
        </w:rPr>
        <w:t>上高</w:t>
      </w:r>
      <w:r>
        <w:t>县</w:t>
      </w:r>
      <w:r>
        <w:rPr>
          <w:rFonts w:hint="eastAsia"/>
        </w:rPr>
        <w:t>毛家渡</w:t>
      </w:r>
      <w:r>
        <w:t>抬水工程</w:t>
      </w:r>
      <w:r>
        <w:rPr>
          <w:rFonts w:hint="eastAsia"/>
        </w:rPr>
        <w:t>旨在</w:t>
      </w:r>
      <w:r>
        <w:t>抬高</w:t>
      </w:r>
      <w:r>
        <w:rPr>
          <w:rFonts w:hint="eastAsia"/>
        </w:rPr>
        <w:t>上高县城区锦河</w:t>
      </w:r>
      <w:r>
        <w:t>河段枯水位</w:t>
      </w:r>
      <w:r>
        <w:rPr>
          <w:rFonts w:hint="eastAsia"/>
        </w:rPr>
        <w:t>，</w:t>
      </w:r>
      <w:r>
        <w:t>抬高上游城区水位，达到保障上游水厂水源、改善</w:t>
      </w:r>
      <w:r>
        <w:rPr>
          <w:rFonts w:hint="eastAsia"/>
        </w:rPr>
        <w:t>锦河</w:t>
      </w:r>
      <w:r>
        <w:t>水体景观、改善城市景观的目的。</w:t>
      </w:r>
      <w:r>
        <w:rPr>
          <w:rFonts w:hint="eastAsia"/>
        </w:rPr>
        <w:t>因此，工程建设符合国家及江西相关政策法规、相关规划的相关要求</w:t>
      </w:r>
      <w:r>
        <w:rPr>
          <w:rFonts w:hint="eastAsia"/>
          <w:szCs w:val="24"/>
        </w:rPr>
        <w:t>。</w:t>
      </w:r>
    </w:p>
    <w:p>
      <w:pPr>
        <w:pStyle w:val="6"/>
        <w:spacing w:beforeLines="50" w:afterLines="50"/>
        <w:rPr>
          <w:szCs w:val="28"/>
        </w:rPr>
      </w:pPr>
      <w:bookmarkStart w:id="1380" w:name="_Toc534807159"/>
      <w:bookmarkStart w:id="1381" w:name="_Toc534895376"/>
      <w:bookmarkStart w:id="1382" w:name="_Toc3903385"/>
      <w:bookmarkStart w:id="1383" w:name="_Toc536265248"/>
      <w:bookmarkStart w:id="1384" w:name="_Toc750"/>
      <w:bookmarkStart w:id="1385" w:name="_Toc529279164"/>
      <w:bookmarkStart w:id="1386" w:name="_Toc534386408"/>
      <w:r>
        <w:rPr>
          <w:rFonts w:hint="eastAsia"/>
          <w:szCs w:val="28"/>
        </w:rPr>
        <w:t>10</w:t>
      </w:r>
      <w:r>
        <w:rPr>
          <w:szCs w:val="28"/>
        </w:rPr>
        <w:t>.</w:t>
      </w:r>
      <w:r>
        <w:rPr>
          <w:rFonts w:hint="eastAsia"/>
          <w:szCs w:val="28"/>
        </w:rPr>
        <w:t>3</w:t>
      </w:r>
      <w:r>
        <w:rPr>
          <w:szCs w:val="28"/>
        </w:rPr>
        <w:t>环境现状评价结论</w:t>
      </w:r>
      <w:bookmarkEnd w:id="1372"/>
      <w:bookmarkEnd w:id="1373"/>
      <w:bookmarkEnd w:id="1374"/>
      <w:bookmarkEnd w:id="1375"/>
      <w:bookmarkEnd w:id="1376"/>
      <w:bookmarkEnd w:id="1377"/>
      <w:bookmarkEnd w:id="1380"/>
      <w:bookmarkEnd w:id="1381"/>
      <w:bookmarkEnd w:id="1382"/>
      <w:bookmarkEnd w:id="1383"/>
      <w:bookmarkEnd w:id="1384"/>
      <w:bookmarkEnd w:id="1385"/>
      <w:bookmarkEnd w:id="1386"/>
    </w:p>
    <w:p>
      <w:pPr>
        <w:pStyle w:val="7"/>
        <w:snapToGrid w:val="0"/>
        <w:rPr>
          <w:szCs w:val="24"/>
        </w:rPr>
      </w:pPr>
      <w:bookmarkStart w:id="1387" w:name="_Toc534895377"/>
      <w:bookmarkStart w:id="1388" w:name="_Toc534386409"/>
      <w:bookmarkStart w:id="1389" w:name="_Toc536265249"/>
      <w:bookmarkStart w:id="1390" w:name="_Toc529279165"/>
      <w:bookmarkStart w:id="1391" w:name="_Toc534807160"/>
      <w:bookmarkStart w:id="1392" w:name="_Toc3903386"/>
      <w:bookmarkStart w:id="1393" w:name="_Toc295658681"/>
      <w:bookmarkStart w:id="1394" w:name="_Toc295658949"/>
      <w:bookmarkStart w:id="1395" w:name="_Toc295659218"/>
      <w:bookmarkStart w:id="1396" w:name="_Toc295977316"/>
      <w:bookmarkStart w:id="1397" w:name="_Toc295907265"/>
      <w:bookmarkStart w:id="1398" w:name="_Toc302598280"/>
      <w:bookmarkStart w:id="1399" w:name="_Toc293046908"/>
      <w:bookmarkStart w:id="1400" w:name="_Toc295658412"/>
      <w:bookmarkStart w:id="1401" w:name="_Toc185306009"/>
      <w:bookmarkStart w:id="1402" w:name="_Toc219871069"/>
      <w:bookmarkStart w:id="1403" w:name="_Toc200267361"/>
      <w:r>
        <w:rPr>
          <w:rFonts w:hint="eastAsia"/>
          <w:szCs w:val="24"/>
        </w:rPr>
        <w:t>10</w:t>
      </w:r>
      <w:r>
        <w:rPr>
          <w:szCs w:val="24"/>
        </w:rPr>
        <w:t>.</w:t>
      </w:r>
      <w:r>
        <w:rPr>
          <w:rFonts w:hint="eastAsia"/>
          <w:szCs w:val="24"/>
        </w:rPr>
        <w:t>3</w:t>
      </w:r>
      <w:r>
        <w:rPr>
          <w:szCs w:val="24"/>
        </w:rPr>
        <w:t>.1生态环境现状评价结论</w:t>
      </w:r>
      <w:bookmarkEnd w:id="1387"/>
      <w:bookmarkEnd w:id="1388"/>
      <w:bookmarkEnd w:id="1389"/>
      <w:bookmarkEnd w:id="1390"/>
      <w:bookmarkEnd w:id="1391"/>
      <w:bookmarkEnd w:id="1392"/>
    </w:p>
    <w:p>
      <w:pPr>
        <w:ind w:firstLine="480"/>
      </w:pPr>
      <w:bookmarkStart w:id="1404" w:name="_Toc534807161"/>
      <w:bookmarkStart w:id="1405" w:name="_Toc529279166"/>
      <w:bookmarkStart w:id="1406" w:name="_Toc534386410"/>
      <w:bookmarkStart w:id="1407" w:name="_Toc536265250"/>
      <w:bookmarkStart w:id="1408" w:name="_Toc534895378"/>
      <w:bookmarkStart w:id="1409" w:name="_Toc3903387"/>
      <w:r>
        <w:rPr>
          <w:rFonts w:hint="eastAsia" w:ascii="宋体" w:hAnsi="宋体" w:cs="宋体"/>
        </w:rPr>
        <w:t>⑴</w:t>
      </w:r>
      <w:r>
        <w:t>植被资源现状评价</w:t>
      </w:r>
    </w:p>
    <w:p>
      <w:pPr>
        <w:ind w:firstLine="480"/>
        <w:rPr>
          <w:szCs w:val="24"/>
        </w:rPr>
      </w:pPr>
      <w:r>
        <w:rPr>
          <w:rFonts w:hint="eastAsia" w:hAnsi="宋体"/>
          <w:szCs w:val="24"/>
        </w:rPr>
        <w:t>上高</w:t>
      </w:r>
      <w:r>
        <w:rPr>
          <w:rFonts w:hAnsi="宋体"/>
          <w:szCs w:val="24"/>
        </w:rPr>
        <w:t>县森林覆盖率为</w:t>
      </w:r>
      <w:r>
        <w:rPr>
          <w:szCs w:val="24"/>
        </w:rPr>
        <w:t>森林覆盖率</w:t>
      </w:r>
      <w:r>
        <w:rPr>
          <w:rFonts w:hint="eastAsia"/>
          <w:szCs w:val="24"/>
        </w:rPr>
        <w:t>42.3</w:t>
      </w:r>
      <w:r>
        <w:rPr>
          <w:szCs w:val="24"/>
        </w:rPr>
        <w:t>%，</w:t>
      </w:r>
      <w:r>
        <w:rPr>
          <w:rFonts w:hAnsi="宋体"/>
          <w:szCs w:val="24"/>
        </w:rPr>
        <w:t>评价区沿线植被可分为</w:t>
      </w:r>
      <w:r>
        <w:rPr>
          <w:szCs w:val="24"/>
        </w:rPr>
        <w:t>2级，3种植被型、5群系</w:t>
      </w:r>
      <w:r>
        <w:rPr>
          <w:rFonts w:hAnsi="宋体"/>
          <w:szCs w:val="24"/>
        </w:rPr>
        <w:t>。因居民点密集，耕作强度大，加上种种历史的和人为的原因，植被受人为影响较大，天然森林植被曾被破坏。林地植被以</w:t>
      </w:r>
      <w:r>
        <w:rPr>
          <w:rFonts w:hint="eastAsia" w:hAnsi="宋体"/>
          <w:szCs w:val="24"/>
        </w:rPr>
        <w:t>杉木林、</w:t>
      </w:r>
      <w:r>
        <w:rPr>
          <w:szCs w:val="24"/>
        </w:rPr>
        <w:t>樟树林、</w:t>
      </w:r>
      <w:r>
        <w:rPr>
          <w:rFonts w:hint="eastAsia"/>
          <w:szCs w:val="24"/>
        </w:rPr>
        <w:t>构树</w:t>
      </w:r>
      <w:r>
        <w:rPr>
          <w:szCs w:val="24"/>
        </w:rPr>
        <w:t>林</w:t>
      </w:r>
      <w:r>
        <w:rPr>
          <w:kern w:val="0"/>
          <w:szCs w:val="24"/>
        </w:rPr>
        <w:t>、</w:t>
      </w:r>
      <w:r>
        <w:rPr>
          <w:szCs w:val="24"/>
        </w:rPr>
        <w:t>次生灌丛及灌草丛为主</w:t>
      </w:r>
      <w:r>
        <w:rPr>
          <w:rFonts w:hAnsi="宋体"/>
          <w:szCs w:val="24"/>
        </w:rPr>
        <w:t>，林分结构简单。只在靠近村落的河边有些残存的天然次生常绿阔叶林，评价区的森林植被处于自然生态恢复初级阶段。河边农田以水稻、棉花种植为主，部份山麓缓坡被辟为旱地。影响范围内没有当地特有，或具有特殊生态、经济价值农业植被。</w:t>
      </w:r>
    </w:p>
    <w:p>
      <w:pPr>
        <w:ind w:firstLine="480"/>
      </w:pPr>
      <w:r>
        <w:rPr>
          <w:rFonts w:hint="eastAsia" w:ascii="宋体" w:hAnsi="宋体" w:cs="宋体"/>
          <w:szCs w:val="24"/>
        </w:rPr>
        <w:t>⑵</w:t>
      </w:r>
      <w:r>
        <w:t>陆生动物资源现状评价</w:t>
      </w:r>
    </w:p>
    <w:p>
      <w:pPr>
        <w:ind w:firstLine="480"/>
      </w:pPr>
      <w:r>
        <w:t>项目区内总计有四类11目21科25种，其中两栖类1目2科3种，爬行类2目4科5种，鸟类6目12科13种，兽类2目3科4种。整个调查区域内以鸟类为优势种，其中以雀形目种类及数量最多。</w:t>
      </w:r>
    </w:p>
    <w:p>
      <w:pPr>
        <w:ind w:firstLine="480"/>
        <w:rPr>
          <w:szCs w:val="24"/>
        </w:rPr>
      </w:pPr>
      <w:r>
        <w:rPr>
          <w:szCs w:val="24"/>
        </w:rPr>
        <w:t>在项目评价范围内有省级重点保护动物有</w:t>
      </w:r>
      <w:r>
        <w:rPr>
          <w:rFonts w:hint="eastAsia"/>
          <w:szCs w:val="24"/>
        </w:rPr>
        <w:t>8</w:t>
      </w:r>
      <w:r>
        <w:rPr>
          <w:szCs w:val="24"/>
        </w:rPr>
        <w:t>种，包括鳖、白鹭、家燕等。项目区生态影响评价范围内没有</w:t>
      </w:r>
      <w:r>
        <w:rPr>
          <w:spacing w:val="-2"/>
          <w:szCs w:val="24"/>
        </w:rPr>
        <w:t>以上保护</w:t>
      </w:r>
      <w:r>
        <w:rPr>
          <w:szCs w:val="24"/>
        </w:rPr>
        <w:t>动物集中分布地或时段聚集场所。</w:t>
      </w:r>
    </w:p>
    <w:p>
      <w:pPr>
        <w:ind w:firstLine="480"/>
      </w:pPr>
      <w:r>
        <w:rPr>
          <w:rFonts w:hint="eastAsia" w:ascii="宋体" w:hAnsi="宋体" w:cs="宋体"/>
        </w:rPr>
        <w:t>⑶</w:t>
      </w:r>
      <w:r>
        <w:t>水生生物资源现状评价</w:t>
      </w:r>
    </w:p>
    <w:p>
      <w:pPr>
        <w:ind w:firstLine="480"/>
      </w:pPr>
      <w:r>
        <w:t>评价范围处</w:t>
      </w:r>
      <w:r>
        <w:rPr>
          <w:rFonts w:hint="eastAsia"/>
          <w:kern w:val="0"/>
          <w:szCs w:val="24"/>
        </w:rPr>
        <w:t>赣江</w:t>
      </w:r>
      <w:r>
        <w:rPr>
          <w:kern w:val="0"/>
          <w:szCs w:val="24"/>
        </w:rPr>
        <w:t>一级支流</w:t>
      </w:r>
      <w:r>
        <w:rPr>
          <w:rFonts w:hint="eastAsia"/>
          <w:kern w:val="0"/>
          <w:szCs w:val="24"/>
        </w:rPr>
        <w:t>锦河</w:t>
      </w:r>
      <w:r>
        <w:rPr>
          <w:kern w:val="0"/>
          <w:szCs w:val="24"/>
        </w:rPr>
        <w:t>中上游低丘间河谷湿地</w:t>
      </w:r>
      <w:r>
        <w:t>，湿地生境没有特异性，以河流及农田沟渠湿地水生动植物为主，</w:t>
      </w:r>
      <w:r>
        <w:rPr>
          <w:spacing w:val="-2"/>
        </w:rPr>
        <w:t>浮游藻类计4门10种，浮游动物13种，底栖动物有9种，鱼类</w:t>
      </w:r>
      <w:r>
        <w:t>4目11科42种</w:t>
      </w:r>
      <w:r>
        <w:rPr>
          <w:spacing w:val="-2"/>
        </w:rPr>
        <w:t>。皆为</w:t>
      </w:r>
      <w:r>
        <w:t>河流水库及农田沟渠湿地常见水生生种群为主。</w:t>
      </w:r>
    </w:p>
    <w:p>
      <w:pPr>
        <w:pStyle w:val="7"/>
        <w:snapToGrid w:val="0"/>
        <w:rPr>
          <w:szCs w:val="24"/>
        </w:rPr>
      </w:pPr>
      <w:r>
        <w:rPr>
          <w:rFonts w:hint="eastAsia"/>
          <w:szCs w:val="24"/>
        </w:rPr>
        <w:t>10</w:t>
      </w:r>
      <w:r>
        <w:rPr>
          <w:szCs w:val="24"/>
        </w:rPr>
        <w:t>.</w:t>
      </w:r>
      <w:r>
        <w:rPr>
          <w:rFonts w:hint="eastAsia"/>
          <w:szCs w:val="24"/>
        </w:rPr>
        <w:t>3</w:t>
      </w:r>
      <w:r>
        <w:rPr>
          <w:szCs w:val="24"/>
        </w:rPr>
        <w:t>.2声环境现状评价结论</w:t>
      </w:r>
      <w:bookmarkEnd w:id="1404"/>
      <w:bookmarkEnd w:id="1405"/>
      <w:bookmarkEnd w:id="1406"/>
      <w:bookmarkEnd w:id="1407"/>
      <w:bookmarkEnd w:id="1408"/>
      <w:bookmarkEnd w:id="1409"/>
    </w:p>
    <w:p>
      <w:pPr>
        <w:autoSpaceDE w:val="0"/>
        <w:autoSpaceDN w:val="0"/>
        <w:adjustRightInd w:val="0"/>
        <w:ind w:firstLine="480"/>
        <w:rPr>
          <w:rFonts w:ascii="宋体" w:hAnsi="Calibri" w:cs="宋体"/>
          <w:kern w:val="0"/>
          <w:szCs w:val="24"/>
        </w:rPr>
      </w:pPr>
      <w:bookmarkStart w:id="1410" w:name="_Toc534386411"/>
      <w:bookmarkStart w:id="1411" w:name="_Toc529279167"/>
      <w:bookmarkStart w:id="1412" w:name="_Toc536265251"/>
      <w:bookmarkStart w:id="1413" w:name="_Toc534895379"/>
      <w:bookmarkStart w:id="1414" w:name="_Toc534807162"/>
      <w:bookmarkStart w:id="1415" w:name="_Toc3903388"/>
      <w:r>
        <w:rPr>
          <w:rFonts w:hint="eastAsia" w:ascii="宋体" w:hAnsi="Calibri" w:cs="宋体"/>
          <w:kern w:val="0"/>
          <w:szCs w:val="24"/>
        </w:rPr>
        <w:t>由监测结果表明，项目评价区域内声环境能满足《声环境质量标准》（</w:t>
      </w:r>
      <w:r>
        <w:rPr>
          <w:rFonts w:ascii="宋体" w:hAnsi="Calibri" w:cs="宋体"/>
          <w:kern w:val="0"/>
          <w:szCs w:val="24"/>
        </w:rPr>
        <w:t>GB3096-2008</w:t>
      </w:r>
      <w:r>
        <w:rPr>
          <w:rFonts w:hint="eastAsia" w:ascii="宋体" w:hAnsi="Calibri" w:cs="宋体"/>
          <w:kern w:val="0"/>
          <w:szCs w:val="24"/>
        </w:rPr>
        <w:t>）中2类区标准要求，说明评价区域声环境质量良好。</w:t>
      </w:r>
    </w:p>
    <w:p>
      <w:pPr>
        <w:pStyle w:val="7"/>
        <w:snapToGrid w:val="0"/>
        <w:rPr>
          <w:szCs w:val="24"/>
        </w:rPr>
      </w:pPr>
      <w:r>
        <w:rPr>
          <w:rFonts w:hint="eastAsia"/>
          <w:szCs w:val="24"/>
        </w:rPr>
        <w:t>10</w:t>
      </w:r>
      <w:r>
        <w:rPr>
          <w:szCs w:val="24"/>
        </w:rPr>
        <w:t>.</w:t>
      </w:r>
      <w:r>
        <w:rPr>
          <w:rFonts w:hint="eastAsia"/>
          <w:szCs w:val="24"/>
        </w:rPr>
        <w:t>3</w:t>
      </w:r>
      <w:r>
        <w:rPr>
          <w:szCs w:val="24"/>
        </w:rPr>
        <w:t>.3大气环境质量现状评价结论</w:t>
      </w:r>
      <w:bookmarkEnd w:id="1410"/>
      <w:bookmarkEnd w:id="1411"/>
      <w:bookmarkEnd w:id="1412"/>
      <w:bookmarkEnd w:id="1413"/>
      <w:bookmarkEnd w:id="1414"/>
      <w:bookmarkEnd w:id="1415"/>
    </w:p>
    <w:p>
      <w:pPr>
        <w:ind w:firstLine="480"/>
        <w:rPr>
          <w:rFonts w:hAnsi="宋体"/>
          <w:spacing w:val="-2"/>
          <w:szCs w:val="24"/>
        </w:rPr>
      </w:pPr>
      <w:bookmarkStart w:id="1416" w:name="_Toc534386412"/>
      <w:bookmarkStart w:id="1417" w:name="_Toc529279168"/>
      <w:bookmarkStart w:id="1418" w:name="_Toc3903389"/>
      <w:bookmarkStart w:id="1419" w:name="_Toc534895380"/>
      <w:bookmarkStart w:id="1420" w:name="_Toc536265252"/>
      <w:bookmarkStart w:id="1421" w:name="_Toc534807163"/>
      <w:r>
        <w:rPr>
          <w:rFonts w:hint="eastAsia" w:hAnsi="宋体"/>
          <w:kern w:val="0"/>
          <w:szCs w:val="24"/>
        </w:rPr>
        <w:t>根据江西省生态环境厅公布的</w:t>
      </w:r>
      <w:r>
        <w:rPr>
          <w:rFonts w:hAnsi="宋体"/>
          <w:kern w:val="0"/>
          <w:szCs w:val="24"/>
        </w:rPr>
        <w:t>20</w:t>
      </w:r>
      <w:r>
        <w:rPr>
          <w:rFonts w:hint="eastAsia" w:hAnsi="宋体"/>
          <w:kern w:val="0"/>
          <w:szCs w:val="24"/>
        </w:rPr>
        <w:t>21年江西省各县（市、区）六项污染物浓度年均值数据中上高县空气质量监测数据</w:t>
      </w:r>
      <w:r>
        <w:rPr>
          <w:rFonts w:hint="eastAsia"/>
          <w:szCs w:val="21"/>
        </w:rPr>
        <w:t>，</w:t>
      </w:r>
      <w:r>
        <w:rPr>
          <w:rFonts w:hint="eastAsia" w:hAnsi="宋体"/>
          <w:spacing w:val="-2"/>
          <w:szCs w:val="24"/>
        </w:rPr>
        <w:t>空气中</w:t>
      </w:r>
      <w:r>
        <w:rPr>
          <w:spacing w:val="-2"/>
          <w:szCs w:val="24"/>
        </w:rPr>
        <w:t>SO</w:t>
      </w:r>
      <w:r>
        <w:rPr>
          <w:spacing w:val="-2"/>
          <w:szCs w:val="24"/>
          <w:vertAlign w:val="subscript"/>
        </w:rPr>
        <w:t>2</w:t>
      </w:r>
      <w:r>
        <w:rPr>
          <w:rFonts w:hAnsi="宋体"/>
          <w:spacing w:val="-2"/>
          <w:szCs w:val="24"/>
        </w:rPr>
        <w:t>、</w:t>
      </w:r>
      <w:r>
        <w:rPr>
          <w:spacing w:val="-2"/>
          <w:szCs w:val="24"/>
        </w:rPr>
        <w:t>NO</w:t>
      </w:r>
      <w:r>
        <w:rPr>
          <w:spacing w:val="-2"/>
          <w:szCs w:val="24"/>
          <w:vertAlign w:val="subscript"/>
        </w:rPr>
        <w:t>2</w:t>
      </w:r>
      <w:r>
        <w:rPr>
          <w:rFonts w:hAnsi="宋体"/>
          <w:spacing w:val="-2"/>
          <w:szCs w:val="24"/>
        </w:rPr>
        <w:t>、</w:t>
      </w:r>
      <w:r>
        <w:rPr>
          <w:spacing w:val="-2"/>
          <w:szCs w:val="24"/>
        </w:rPr>
        <w:t>PM</w:t>
      </w:r>
      <w:r>
        <w:rPr>
          <w:spacing w:val="-2"/>
          <w:szCs w:val="24"/>
          <w:vertAlign w:val="subscript"/>
        </w:rPr>
        <w:t>10</w:t>
      </w:r>
      <w:r>
        <w:rPr>
          <w:rFonts w:hAnsi="宋体"/>
          <w:spacing w:val="-2"/>
          <w:szCs w:val="24"/>
        </w:rPr>
        <w:t>、</w:t>
      </w:r>
      <w:r>
        <w:rPr>
          <w:spacing w:val="-2"/>
          <w:szCs w:val="24"/>
        </w:rPr>
        <w:t>PM</w:t>
      </w:r>
      <w:r>
        <w:rPr>
          <w:spacing w:val="-2"/>
          <w:szCs w:val="24"/>
          <w:vertAlign w:val="subscript"/>
        </w:rPr>
        <w:t>2.5</w:t>
      </w:r>
      <w:r>
        <w:rPr>
          <w:rFonts w:hAnsi="宋体"/>
          <w:spacing w:val="-2"/>
          <w:szCs w:val="24"/>
        </w:rPr>
        <w:t>、</w:t>
      </w:r>
      <w:r>
        <w:rPr>
          <w:spacing w:val="-2"/>
          <w:szCs w:val="24"/>
        </w:rPr>
        <w:t>CO</w:t>
      </w:r>
      <w:r>
        <w:rPr>
          <w:rFonts w:hint="eastAsia"/>
          <w:spacing w:val="-2"/>
          <w:szCs w:val="24"/>
        </w:rPr>
        <w:t>、</w:t>
      </w:r>
      <w:r>
        <w:rPr>
          <w:kern w:val="0"/>
          <w:szCs w:val="24"/>
        </w:rPr>
        <w:t>O</w:t>
      </w:r>
      <w:r>
        <w:rPr>
          <w:kern w:val="0"/>
          <w:szCs w:val="24"/>
          <w:vertAlign w:val="subscript"/>
        </w:rPr>
        <w:t>3</w:t>
      </w:r>
      <w:r>
        <w:rPr>
          <w:rFonts w:hAnsi="宋体"/>
          <w:spacing w:val="-2"/>
          <w:szCs w:val="24"/>
        </w:rPr>
        <w:t>浓度</w:t>
      </w:r>
      <w:r>
        <w:rPr>
          <w:rFonts w:hint="eastAsia" w:hAnsi="宋体"/>
          <w:spacing w:val="-2"/>
          <w:szCs w:val="24"/>
        </w:rPr>
        <w:t>均</w:t>
      </w:r>
      <w:r>
        <w:rPr>
          <w:rFonts w:hAnsi="宋体"/>
          <w:spacing w:val="-2"/>
          <w:szCs w:val="24"/>
        </w:rPr>
        <w:t>值占标率均小于</w:t>
      </w:r>
      <w:r>
        <w:rPr>
          <w:spacing w:val="-2"/>
          <w:szCs w:val="24"/>
        </w:rPr>
        <w:t>100%</w:t>
      </w:r>
      <w:r>
        <w:rPr>
          <w:rFonts w:hAnsi="宋体"/>
          <w:spacing w:val="-2"/>
          <w:szCs w:val="24"/>
        </w:rPr>
        <w:t>，能满足《环境空气质量标准》（</w:t>
      </w:r>
      <w:r>
        <w:rPr>
          <w:spacing w:val="-2"/>
          <w:szCs w:val="24"/>
        </w:rPr>
        <w:t>GB3095-2012</w:t>
      </w:r>
      <w:r>
        <w:rPr>
          <w:rFonts w:hAnsi="宋体"/>
          <w:spacing w:val="-2"/>
          <w:szCs w:val="24"/>
        </w:rPr>
        <w:t>）中二级标准，</w:t>
      </w:r>
      <w:r>
        <w:rPr>
          <w:rFonts w:hAnsi="宋体"/>
          <w:snapToGrid w:val="0"/>
          <w:szCs w:val="24"/>
        </w:rPr>
        <w:t>项目所在区域属于达标区域。</w:t>
      </w:r>
    </w:p>
    <w:p>
      <w:pPr>
        <w:pStyle w:val="7"/>
        <w:snapToGrid w:val="0"/>
        <w:rPr>
          <w:szCs w:val="24"/>
        </w:rPr>
      </w:pPr>
      <w:r>
        <w:rPr>
          <w:rFonts w:hint="eastAsia"/>
          <w:szCs w:val="24"/>
        </w:rPr>
        <w:t>10</w:t>
      </w:r>
      <w:r>
        <w:rPr>
          <w:szCs w:val="24"/>
        </w:rPr>
        <w:t>.</w:t>
      </w:r>
      <w:r>
        <w:rPr>
          <w:rFonts w:hint="eastAsia"/>
          <w:szCs w:val="24"/>
        </w:rPr>
        <w:t>3</w:t>
      </w:r>
      <w:r>
        <w:rPr>
          <w:szCs w:val="24"/>
        </w:rPr>
        <w:t>.4地表水环境质量现状评价结论</w:t>
      </w:r>
      <w:bookmarkEnd w:id="1416"/>
      <w:bookmarkEnd w:id="1417"/>
      <w:bookmarkEnd w:id="1418"/>
      <w:bookmarkEnd w:id="1419"/>
      <w:bookmarkEnd w:id="1420"/>
      <w:bookmarkEnd w:id="1421"/>
    </w:p>
    <w:bookmarkEnd w:id="1393"/>
    <w:bookmarkEnd w:id="1394"/>
    <w:bookmarkEnd w:id="1395"/>
    <w:bookmarkEnd w:id="1396"/>
    <w:bookmarkEnd w:id="1397"/>
    <w:bookmarkEnd w:id="1398"/>
    <w:bookmarkEnd w:id="1399"/>
    <w:bookmarkEnd w:id="1400"/>
    <w:p>
      <w:pPr>
        <w:ind w:firstLine="480"/>
        <w:rPr>
          <w:rFonts w:ascii="宋体" w:hAnsi="宋体"/>
          <w:szCs w:val="24"/>
        </w:rPr>
      </w:pPr>
      <w:bookmarkStart w:id="1422" w:name="_Toc3903390"/>
      <w:bookmarkStart w:id="1423" w:name="_Toc534807164"/>
      <w:bookmarkStart w:id="1424" w:name="_Toc534895381"/>
      <w:bookmarkStart w:id="1425" w:name="_Toc536265253"/>
      <w:bookmarkStart w:id="1426" w:name="_Toc295658952"/>
      <w:bookmarkStart w:id="1427" w:name="_Toc295977319"/>
      <w:bookmarkStart w:id="1428" w:name="_Toc295907268"/>
      <w:bookmarkStart w:id="1429" w:name="_Toc295658684"/>
      <w:bookmarkStart w:id="1430" w:name="_Toc293046912"/>
      <w:bookmarkStart w:id="1431" w:name="_Toc302598283"/>
      <w:bookmarkStart w:id="1432" w:name="_Toc295659221"/>
      <w:bookmarkStart w:id="1433" w:name="_Toc295658415"/>
      <w:r>
        <w:rPr>
          <w:rFonts w:hint="eastAsia" w:ascii="宋体" w:hAnsi="Calibri" w:cs="宋体"/>
          <w:kern w:val="0"/>
          <w:szCs w:val="24"/>
        </w:rPr>
        <w:t>根据引用监测数据的监测结果表明，</w:t>
      </w:r>
      <w:r>
        <w:t>项目评价范围内各断面各项监测因子</w:t>
      </w:r>
      <w:r>
        <w:rPr>
          <w:rFonts w:hint="eastAsia" w:ascii="宋体" w:hAnsi="宋体" w:cs="宋体"/>
          <w:kern w:val="0"/>
          <w:szCs w:val="24"/>
        </w:rPr>
        <w:t>单因子标准指数均小于</w:t>
      </w:r>
      <w:r>
        <w:rPr>
          <w:rFonts w:ascii="宋体" w:hAnsi="宋体"/>
          <w:kern w:val="0"/>
          <w:szCs w:val="24"/>
        </w:rPr>
        <w:t>1</w:t>
      </w:r>
      <w:r>
        <w:rPr>
          <w:rFonts w:hint="eastAsia" w:ascii="宋体" w:hAnsi="宋体"/>
          <w:kern w:val="0"/>
          <w:szCs w:val="24"/>
        </w:rPr>
        <w:t>，</w:t>
      </w:r>
      <w:r>
        <w:rPr>
          <w:rFonts w:hint="eastAsia"/>
        </w:rPr>
        <w:t>均</w:t>
      </w:r>
      <w:r>
        <w:t>达到《地表水环境质量标准》（GB3838-2002）</w:t>
      </w:r>
      <w:r>
        <w:rPr>
          <w:rFonts w:hint="eastAsia" w:ascii="宋体" w:hAnsi="宋体" w:cs="宋体"/>
        </w:rPr>
        <w:t>Ⅲ</w:t>
      </w:r>
      <w:r>
        <w:t>类标准，</w:t>
      </w:r>
      <w:r>
        <w:rPr>
          <w:rFonts w:hint="eastAsia"/>
        </w:rPr>
        <w:t>表明锦河</w:t>
      </w:r>
      <w:r>
        <w:rPr>
          <w:szCs w:val="24"/>
        </w:rPr>
        <w:t>水质现状良好。</w:t>
      </w:r>
    </w:p>
    <w:p>
      <w:pPr>
        <w:pStyle w:val="7"/>
        <w:snapToGrid w:val="0"/>
        <w:rPr>
          <w:szCs w:val="24"/>
        </w:rPr>
      </w:pPr>
      <w:r>
        <w:rPr>
          <w:rFonts w:hint="eastAsia"/>
          <w:szCs w:val="24"/>
        </w:rPr>
        <w:t>10</w:t>
      </w:r>
      <w:r>
        <w:rPr>
          <w:szCs w:val="24"/>
        </w:rPr>
        <w:t>.</w:t>
      </w:r>
      <w:r>
        <w:rPr>
          <w:rFonts w:hint="eastAsia"/>
          <w:szCs w:val="24"/>
        </w:rPr>
        <w:t>3</w:t>
      </w:r>
      <w:r>
        <w:rPr>
          <w:szCs w:val="24"/>
        </w:rPr>
        <w:t>.5地下水环境质量评价结论</w:t>
      </w:r>
      <w:bookmarkEnd w:id="1422"/>
      <w:bookmarkEnd w:id="1423"/>
      <w:bookmarkEnd w:id="1424"/>
      <w:bookmarkEnd w:id="1425"/>
    </w:p>
    <w:p>
      <w:pPr>
        <w:ind w:firstLine="480"/>
        <w:rPr>
          <w:sz w:val="18"/>
          <w:szCs w:val="18"/>
        </w:rPr>
      </w:pPr>
      <w:r>
        <w:rPr>
          <w:rFonts w:hint="eastAsia" w:ascii="宋体" w:hAnsi="Calibri" w:cs="宋体"/>
          <w:kern w:val="0"/>
          <w:szCs w:val="24"/>
        </w:rPr>
        <w:t>由地下水环境监测结果表明，</w:t>
      </w:r>
      <w:r>
        <w:rPr>
          <w:rFonts w:hint="eastAsia"/>
          <w:szCs w:val="24"/>
        </w:rPr>
        <w:t>各监测点</w:t>
      </w:r>
      <w:r>
        <w:rPr>
          <w:szCs w:val="24"/>
        </w:rPr>
        <w:t>各项指</w:t>
      </w:r>
      <w:r>
        <w:t>标的污染指数均小于1，满足《地下水质量标准》中</w:t>
      </w:r>
      <w:r>
        <w:rPr>
          <w:rFonts w:hAnsi="宋体"/>
        </w:rPr>
        <w:t>Ⅲ</w:t>
      </w:r>
      <w:r>
        <w:t>类标准限值，表明地下水环境良好。</w:t>
      </w:r>
      <w:r>
        <w:rPr>
          <w:sz w:val="18"/>
          <w:szCs w:val="18"/>
        </w:rPr>
        <w:t xml:space="preserve"> </w:t>
      </w:r>
    </w:p>
    <w:p>
      <w:pPr>
        <w:pStyle w:val="7"/>
        <w:snapToGrid w:val="0"/>
        <w:rPr>
          <w:szCs w:val="24"/>
        </w:rPr>
      </w:pPr>
      <w:r>
        <w:rPr>
          <w:rFonts w:hint="eastAsia"/>
          <w:szCs w:val="24"/>
        </w:rPr>
        <w:t>10.3.6土壤环境</w:t>
      </w:r>
      <w:r>
        <w:rPr>
          <w:szCs w:val="24"/>
        </w:rPr>
        <w:t>质量评价结论</w:t>
      </w:r>
    </w:p>
    <w:p>
      <w:pPr>
        <w:ind w:firstLine="480"/>
      </w:pPr>
      <w:r>
        <w:rPr>
          <w:rFonts w:hint="eastAsia"/>
        </w:rPr>
        <w:t>根据土壤环境现状监测数据，占地范围内各监测指标均满足《土壤环境质量建设用地土壤污染风险管控标准（试行）》（GB 36600-2018）二类用地土壤污染风险筛选值，占地范围外各监测指标均满足《土壤环境质量农用地土壤污染风险管控标准（试行）》（GB 15618-2018）中农用地土壤污染风险筛选值，工程占地范围内、外均未发生盐化、碱化。厂区占地及评价范围内土壤环境质量良好。</w:t>
      </w:r>
    </w:p>
    <w:p>
      <w:pPr>
        <w:pStyle w:val="6"/>
        <w:spacing w:afterLines="50"/>
        <w:rPr>
          <w:szCs w:val="28"/>
        </w:rPr>
      </w:pPr>
      <w:bookmarkStart w:id="1434" w:name="_Toc536265254"/>
      <w:bookmarkStart w:id="1435" w:name="_Toc534386413"/>
      <w:bookmarkStart w:id="1436" w:name="_Toc3903391"/>
      <w:bookmarkStart w:id="1437" w:name="_Toc534895382"/>
      <w:bookmarkStart w:id="1438" w:name="_Toc534807165"/>
      <w:bookmarkStart w:id="1439" w:name="_Toc11600"/>
      <w:bookmarkStart w:id="1440" w:name="_Toc529279169"/>
      <w:r>
        <w:rPr>
          <w:rFonts w:hint="eastAsia"/>
          <w:szCs w:val="28"/>
        </w:rPr>
        <w:t>10</w:t>
      </w:r>
      <w:r>
        <w:rPr>
          <w:szCs w:val="28"/>
        </w:rPr>
        <w:t>.</w:t>
      </w:r>
      <w:r>
        <w:rPr>
          <w:rFonts w:hint="eastAsia"/>
          <w:szCs w:val="28"/>
        </w:rPr>
        <w:t>4</w:t>
      </w:r>
      <w:r>
        <w:rPr>
          <w:szCs w:val="28"/>
        </w:rPr>
        <w:t>环境影响</w:t>
      </w:r>
      <w:r>
        <w:rPr>
          <w:rFonts w:hint="eastAsia"/>
          <w:szCs w:val="28"/>
        </w:rPr>
        <w:t>评价</w:t>
      </w:r>
      <w:r>
        <w:rPr>
          <w:szCs w:val="28"/>
        </w:rPr>
        <w:t>结论</w:t>
      </w:r>
      <w:bookmarkEnd w:id="1434"/>
      <w:bookmarkEnd w:id="1435"/>
      <w:bookmarkEnd w:id="1436"/>
      <w:bookmarkEnd w:id="1437"/>
      <w:bookmarkEnd w:id="1438"/>
      <w:bookmarkEnd w:id="1439"/>
      <w:bookmarkEnd w:id="1440"/>
    </w:p>
    <w:p>
      <w:pPr>
        <w:pStyle w:val="7"/>
        <w:snapToGrid w:val="0"/>
        <w:rPr>
          <w:szCs w:val="24"/>
        </w:rPr>
      </w:pPr>
      <w:bookmarkStart w:id="1441" w:name="_Toc185306014"/>
      <w:bookmarkStart w:id="1442" w:name="_Toc534895383"/>
      <w:bookmarkStart w:id="1443" w:name="_Toc536265255"/>
      <w:bookmarkStart w:id="1444" w:name="_Toc3903392"/>
      <w:bookmarkStart w:id="1445" w:name="_Toc529279170"/>
      <w:bookmarkStart w:id="1446" w:name="_Toc534386414"/>
      <w:bookmarkStart w:id="1447" w:name="_Toc534807166"/>
      <w:r>
        <w:rPr>
          <w:rFonts w:hint="eastAsia"/>
          <w:szCs w:val="24"/>
        </w:rPr>
        <w:t>10</w:t>
      </w:r>
      <w:r>
        <w:rPr>
          <w:szCs w:val="24"/>
        </w:rPr>
        <w:t>.</w:t>
      </w:r>
      <w:r>
        <w:rPr>
          <w:rFonts w:hint="eastAsia"/>
          <w:szCs w:val="24"/>
        </w:rPr>
        <w:t>4</w:t>
      </w:r>
      <w:r>
        <w:rPr>
          <w:szCs w:val="24"/>
        </w:rPr>
        <w:t>.1生态</w:t>
      </w:r>
      <w:bookmarkEnd w:id="1441"/>
      <w:r>
        <w:rPr>
          <w:szCs w:val="24"/>
        </w:rPr>
        <w:t>影响</w:t>
      </w:r>
      <w:r>
        <w:rPr>
          <w:rFonts w:hint="eastAsia"/>
          <w:szCs w:val="24"/>
        </w:rPr>
        <w:t>评价</w:t>
      </w:r>
      <w:r>
        <w:rPr>
          <w:szCs w:val="24"/>
        </w:rPr>
        <w:t>结论</w:t>
      </w:r>
      <w:bookmarkEnd w:id="1442"/>
      <w:bookmarkEnd w:id="1443"/>
      <w:bookmarkEnd w:id="1444"/>
      <w:bookmarkEnd w:id="1445"/>
      <w:bookmarkEnd w:id="1446"/>
      <w:bookmarkEnd w:id="1447"/>
    </w:p>
    <w:p>
      <w:pPr>
        <w:ind w:firstLine="480"/>
      </w:pPr>
      <w:r>
        <w:rPr>
          <w:rFonts w:hint="eastAsia" w:ascii="宋体" w:hAnsi="宋体" w:cs="宋体"/>
        </w:rPr>
        <w:t>⑴</w:t>
      </w:r>
      <w:r>
        <w:t>对陆生</w:t>
      </w:r>
      <w:r>
        <w:rPr>
          <w:rFonts w:hint="eastAsia"/>
        </w:rPr>
        <w:t>生态</w:t>
      </w:r>
      <w:r>
        <w:t>的影响</w:t>
      </w:r>
    </w:p>
    <w:p>
      <w:pPr>
        <w:autoSpaceDE w:val="0"/>
        <w:autoSpaceDN w:val="0"/>
        <w:adjustRightInd w:val="0"/>
        <w:ind w:firstLine="480"/>
        <w:rPr>
          <w:rFonts w:ascii="宋体" w:hAnsi="宋体" w:cs="宋体"/>
          <w:kern w:val="0"/>
          <w:szCs w:val="24"/>
        </w:rPr>
      </w:pPr>
      <w:r>
        <w:rPr>
          <w:rFonts w:ascii="宋体" w:hAnsi="宋体"/>
        </w:rPr>
        <w:t>工程占地、施工都</w:t>
      </w:r>
      <w:r>
        <w:rPr>
          <w:rFonts w:hint="eastAsia" w:ascii="宋体" w:hAnsi="宋体" w:cs="CIDFont+F5"/>
          <w:kern w:val="0"/>
          <w:szCs w:val="24"/>
        </w:rPr>
        <w:t>将对影响区域的陆生植物造成占压破坏和淹没，降低本工程评价区的植被覆盖率和生物量，同时也对影响区域内的动物造成一定不利影响。</w:t>
      </w:r>
      <w:r>
        <w:rPr>
          <w:rFonts w:hint="eastAsia" w:ascii="宋体" w:hAnsi="宋体" w:cs="宋体"/>
          <w:kern w:val="0"/>
          <w:szCs w:val="24"/>
        </w:rPr>
        <w:t>工程区域内植物均属于一般常见植被物种，在工程周边范围内分布广泛，工程施工占地和淹没不会对评价区域的植物多样性造成影响。工程施工过程中会破坏了施工区内现有野生动物的生存环境，随着施工期结束，野生动物的活动场地可得到恢复，施工活动对该区域的动物种群结构不会产生明显影响，同时施工场地内野生动物且有一定迁移能力，会主动逃离影响区域，即使会有一定的损失，其数量也很有限，对评价范围内总的种群数量不会产生大的影响。</w:t>
      </w:r>
    </w:p>
    <w:p>
      <w:pPr>
        <w:autoSpaceDE w:val="0"/>
        <w:autoSpaceDN w:val="0"/>
        <w:adjustRightInd w:val="0"/>
        <w:ind w:firstLine="480"/>
        <w:rPr>
          <w:rFonts w:ascii="宋体" w:hAnsi="宋体" w:cs="宋体"/>
          <w:kern w:val="0"/>
          <w:szCs w:val="24"/>
        </w:rPr>
      </w:pPr>
      <w:r>
        <w:rPr>
          <w:rFonts w:hint="eastAsia" w:ascii="宋体" w:hAnsi="宋体" w:cs="宋体"/>
          <w:kern w:val="0"/>
          <w:szCs w:val="24"/>
        </w:rPr>
        <w:t>(2)水生生态的影响</w:t>
      </w:r>
    </w:p>
    <w:p>
      <w:pPr>
        <w:autoSpaceDE w:val="0"/>
        <w:autoSpaceDN w:val="0"/>
        <w:adjustRightInd w:val="0"/>
        <w:ind w:firstLine="480"/>
        <w:rPr>
          <w:rFonts w:ascii="宋体" w:hAnsi="宋体" w:cs="宋体"/>
          <w:kern w:val="0"/>
          <w:szCs w:val="24"/>
        </w:rPr>
      </w:pPr>
      <w:r>
        <w:rPr>
          <w:rFonts w:hint="eastAsia" w:ascii="宋体" w:hAnsi="宋体" w:cs="宋体"/>
          <w:kern w:val="0"/>
          <w:szCs w:val="24"/>
        </w:rPr>
        <w:t>工程建设对水生生物的影响范围主要在围堰以下附近水域，工程所在河段无洄游性鱼类，而工程布置比较紧凑，影响范围较小，所以施工活动对水生生物影响不大。</w:t>
      </w:r>
    </w:p>
    <w:p>
      <w:pPr>
        <w:autoSpaceDE w:val="0"/>
        <w:autoSpaceDN w:val="0"/>
        <w:adjustRightInd w:val="0"/>
        <w:ind w:firstLine="480"/>
        <w:rPr>
          <w:rFonts w:ascii="宋体" w:hAnsi="宋体" w:cs="宋体"/>
          <w:kern w:val="0"/>
          <w:szCs w:val="24"/>
        </w:rPr>
      </w:pPr>
      <w:r>
        <w:rPr>
          <w:rFonts w:hint="eastAsia" w:ascii="宋体" w:hAnsi="宋体" w:cs="宋体"/>
          <w:kern w:val="0"/>
          <w:szCs w:val="24"/>
        </w:rPr>
        <w:t>抬水工程建成后，库区河段将由河流型生境变为湖库型生境，将会形成广阔水域面积，改善工程库区的水域生境，浮游植物、浮游动物的数量和生物量增加，底栖动物有所增加，水生维管束植物在种类组成和群落结构上趋于复杂。大坝将使亲鱼群体阻隔、成熟亲鱼无法上溯到产卵场繁殖，繁殖与发育条件分离，在产卵场繁殖后的受精卵、仔幼鱼无法顺利下坝，这些鱼类在下游河段的分布将减少。喜流水生境的鱼类因生存环境发生改变，资源量会减少。喜缓水和静水生活鱼类（如鲤、鲫、麦穗鱼等）栖息、繁衍空间增大，资源量增多，可能成为库区优势种群。流水类群鱼类资源量、早期鱼类资源繁殖力等均会下降，并可能出现小型化趋势，抬水工程形成后，水面扩大、水体加深、水流速变缓，库区有机质沉积增多，饵料生物将变得更丰富，库区的浅水区将成为新的索饵场，对鱼类索饵影响不大。</w:t>
      </w:r>
    </w:p>
    <w:p>
      <w:pPr>
        <w:pStyle w:val="7"/>
        <w:snapToGrid w:val="0"/>
        <w:rPr>
          <w:szCs w:val="24"/>
        </w:rPr>
      </w:pPr>
      <w:bookmarkStart w:id="1448" w:name="_Toc200267369"/>
      <w:bookmarkStart w:id="1449" w:name="_Toc219871077"/>
      <w:bookmarkStart w:id="1450" w:name="_Toc185306018"/>
      <w:bookmarkStart w:id="1451" w:name="_Toc529279172"/>
      <w:bookmarkStart w:id="1452" w:name="_Toc536265256"/>
      <w:bookmarkStart w:id="1453" w:name="_Toc3903393"/>
      <w:bookmarkStart w:id="1454" w:name="_Toc534386416"/>
      <w:bookmarkStart w:id="1455" w:name="_Toc534895384"/>
      <w:bookmarkStart w:id="1456" w:name="_Toc534807167"/>
      <w:r>
        <w:rPr>
          <w:rFonts w:hint="eastAsia"/>
          <w:szCs w:val="24"/>
        </w:rPr>
        <w:t>10</w:t>
      </w:r>
      <w:r>
        <w:rPr>
          <w:szCs w:val="24"/>
        </w:rPr>
        <w:t>.</w:t>
      </w:r>
      <w:r>
        <w:rPr>
          <w:rFonts w:hint="eastAsia"/>
          <w:szCs w:val="24"/>
        </w:rPr>
        <w:t>4</w:t>
      </w:r>
      <w:r>
        <w:rPr>
          <w:szCs w:val="24"/>
        </w:rPr>
        <w:t>.2地表水环境</w:t>
      </w:r>
      <w:bookmarkEnd w:id="1448"/>
      <w:bookmarkEnd w:id="1449"/>
      <w:bookmarkEnd w:id="1450"/>
      <w:r>
        <w:rPr>
          <w:szCs w:val="24"/>
        </w:rPr>
        <w:t>影响</w:t>
      </w:r>
      <w:r>
        <w:rPr>
          <w:rFonts w:hint="eastAsia"/>
          <w:szCs w:val="24"/>
        </w:rPr>
        <w:t>评价</w:t>
      </w:r>
      <w:r>
        <w:rPr>
          <w:szCs w:val="24"/>
        </w:rPr>
        <w:t>结论</w:t>
      </w:r>
      <w:bookmarkEnd w:id="1451"/>
      <w:bookmarkEnd w:id="1452"/>
      <w:bookmarkEnd w:id="1453"/>
      <w:bookmarkEnd w:id="1454"/>
      <w:bookmarkEnd w:id="1455"/>
      <w:bookmarkEnd w:id="1456"/>
    </w:p>
    <w:p>
      <w:pPr>
        <w:pStyle w:val="297"/>
        <w:spacing w:line="360" w:lineRule="auto"/>
        <w:ind w:firstLine="480" w:firstLineChars="200"/>
        <w:rPr>
          <w:rFonts w:ascii="Times New Roman" w:hAnsi="Times New Roman"/>
          <w:color w:val="auto"/>
        </w:rPr>
      </w:pPr>
      <w:r>
        <w:rPr>
          <w:rFonts w:hint="eastAsia" w:cs="宋体"/>
          <w:color w:val="auto"/>
          <w:szCs w:val="24"/>
        </w:rPr>
        <w:t>⑴</w:t>
      </w:r>
      <w:r>
        <w:rPr>
          <w:rFonts w:ascii="Times New Roman" w:hAnsi="Times New Roman"/>
          <w:color w:val="auto"/>
        </w:rPr>
        <w:t>施工期</w:t>
      </w:r>
    </w:p>
    <w:p>
      <w:pPr>
        <w:ind w:firstLine="480"/>
        <w:rPr>
          <w:kern w:val="0"/>
          <w:szCs w:val="24"/>
        </w:rPr>
      </w:pPr>
      <w:r>
        <w:rPr>
          <w:rFonts w:hint="eastAsia" w:ascii="宋体" w:cs="宋体"/>
          <w:kern w:val="0"/>
          <w:szCs w:val="24"/>
        </w:rPr>
        <w:t>根据导流规划和施工总进度安排，</w:t>
      </w:r>
      <w:r>
        <w:t>抬水坝工程采用枯期围堰挡水、汛期坝体临时断面挡水，导流洞过流的方式</w:t>
      </w:r>
      <w:r>
        <w:rPr>
          <w:rFonts w:hint="eastAsia" w:ascii="宋体" w:cs="宋体"/>
          <w:kern w:val="0"/>
          <w:szCs w:val="24"/>
        </w:rPr>
        <w:t>。工程截流期及截流后至大坝前不会造成河道断流，大坝下游河道水文情势与天然状态基本无差异，</w:t>
      </w:r>
      <w:r>
        <w:rPr>
          <w:rFonts w:hint="eastAsia"/>
          <w:kern w:val="0"/>
          <w:szCs w:val="24"/>
        </w:rPr>
        <w:t>工程大坝施工导流对上下游河道水文情势影响甚微。</w:t>
      </w:r>
    </w:p>
    <w:p>
      <w:pPr>
        <w:autoSpaceDE w:val="0"/>
        <w:autoSpaceDN w:val="0"/>
        <w:adjustRightInd w:val="0"/>
        <w:ind w:firstLine="480"/>
      </w:pPr>
      <w:r>
        <w:t>工程施工过程中对地表水环境</w:t>
      </w:r>
      <w:r>
        <w:rPr>
          <w:rFonts w:hint="eastAsia"/>
        </w:rPr>
        <w:t>水质</w:t>
      </w:r>
      <w:r>
        <w:t>的影响主要来自基坑废水、含油废水</w:t>
      </w:r>
      <w:r>
        <w:rPr>
          <w:rFonts w:hint="eastAsia"/>
        </w:rPr>
        <w:t>及</w:t>
      </w:r>
      <w:r>
        <w:t>施工人员生活污水。</w:t>
      </w:r>
      <w:r>
        <w:rPr>
          <w:szCs w:val="24"/>
        </w:rPr>
        <w:t>初期基坑废水污染物种类少、含量低，悬浮物浓度50~200mg/L，经沉淀处理后上清液回用于枢纽建筑物的生产用水，多余部分达标外排</w:t>
      </w:r>
      <w:r>
        <w:rPr>
          <w:rFonts w:hint="eastAsia"/>
          <w:szCs w:val="24"/>
        </w:rPr>
        <w:t>锦河；</w:t>
      </w:r>
      <w:r>
        <w:rPr>
          <w:szCs w:val="24"/>
        </w:rPr>
        <w:t>经常性</w:t>
      </w:r>
      <w:r>
        <w:rPr>
          <w:rFonts w:hint="eastAsia"/>
          <w:szCs w:val="24"/>
        </w:rPr>
        <w:t>基坑</w:t>
      </w:r>
      <w:r>
        <w:rPr>
          <w:szCs w:val="24"/>
        </w:rPr>
        <w:t>废水经</w:t>
      </w:r>
      <w:r>
        <w:rPr>
          <w:rFonts w:hint="eastAsia"/>
          <w:szCs w:val="24"/>
        </w:rPr>
        <w:t>沉淀</w:t>
      </w:r>
      <w:r>
        <w:rPr>
          <w:szCs w:val="24"/>
        </w:rPr>
        <w:t>处理后回用于生产或综合利用，不外排</w:t>
      </w:r>
      <w:r>
        <w:rPr>
          <w:rFonts w:hint="eastAsia"/>
          <w:szCs w:val="24"/>
        </w:rPr>
        <w:t>；</w:t>
      </w:r>
      <w:r>
        <w:rPr>
          <w:szCs w:val="24"/>
        </w:rPr>
        <w:t>机械冲洗维修废水经隔油沉淀池处理后，回用于机械冲洗，不外排</w:t>
      </w:r>
      <w:r>
        <w:rPr>
          <w:rFonts w:hint="eastAsia"/>
          <w:szCs w:val="24"/>
        </w:rPr>
        <w:t>，</w:t>
      </w:r>
      <w:r>
        <w:rPr>
          <w:szCs w:val="24"/>
        </w:rPr>
        <w:t>对</w:t>
      </w:r>
      <w:r>
        <w:rPr>
          <w:rFonts w:hint="eastAsia"/>
          <w:szCs w:val="24"/>
        </w:rPr>
        <w:t>地表水</w:t>
      </w:r>
      <w:r>
        <w:rPr>
          <w:szCs w:val="24"/>
        </w:rPr>
        <w:t>环境影响较小</w:t>
      </w:r>
      <w:r>
        <w:rPr>
          <w:rFonts w:hint="eastAsia"/>
          <w:szCs w:val="24"/>
        </w:rPr>
        <w:t>；</w:t>
      </w:r>
      <w:r>
        <w:t>施工场地内仅设1~2个看护人员，其他施工人员采用</w:t>
      </w:r>
      <w:r>
        <w:rPr>
          <w:rFonts w:hint="eastAsia"/>
        </w:rPr>
        <w:t>租赁</w:t>
      </w:r>
      <w:r>
        <w:t>房屋方式，施工场地生活污水产生量很少，通过施工</w:t>
      </w:r>
      <w:r>
        <w:rPr>
          <w:rFonts w:hint="eastAsia"/>
        </w:rPr>
        <w:t>场地</w:t>
      </w:r>
      <w:r>
        <w:t>配备的简易厕所收集</w:t>
      </w:r>
      <w:r>
        <w:rPr>
          <w:rFonts w:hint="eastAsia"/>
        </w:rPr>
        <w:t>、</w:t>
      </w:r>
      <w:r>
        <w:t>旱厕处理后用于肥田，不直接向地表水体排放，对地表水环境</w:t>
      </w:r>
      <w:r>
        <w:rPr>
          <w:rFonts w:hint="eastAsia"/>
        </w:rPr>
        <w:t>锦河</w:t>
      </w:r>
      <w:r>
        <w:t>影响很小。</w:t>
      </w:r>
    </w:p>
    <w:p>
      <w:pPr>
        <w:pStyle w:val="297"/>
        <w:spacing w:line="360" w:lineRule="auto"/>
        <w:ind w:firstLine="480" w:firstLineChars="200"/>
        <w:rPr>
          <w:rFonts w:ascii="Times New Roman" w:hAnsi="Times New Roman"/>
          <w:color w:val="auto"/>
        </w:rPr>
      </w:pPr>
      <w:r>
        <w:rPr>
          <w:rFonts w:hint="eastAsia" w:cs="宋体"/>
          <w:color w:val="auto"/>
          <w:szCs w:val="24"/>
        </w:rPr>
        <w:t>⑵</w:t>
      </w:r>
      <w:r>
        <w:rPr>
          <w:rFonts w:ascii="Times New Roman" w:hAnsi="Times New Roman"/>
          <w:color w:val="auto"/>
        </w:rPr>
        <w:t>运营期</w:t>
      </w:r>
    </w:p>
    <w:p>
      <w:pPr>
        <w:ind w:firstLine="480"/>
      </w:pPr>
      <w:r>
        <w:rPr>
          <w:kern w:val="0"/>
          <w:szCs w:val="24"/>
        </w:rPr>
        <w:fldChar w:fldCharType="begin"/>
      </w:r>
      <w:r>
        <w:rPr>
          <w:kern w:val="0"/>
          <w:szCs w:val="24"/>
        </w:rPr>
        <w:instrText xml:space="preserve"> </w:instrText>
      </w:r>
      <w:r>
        <w:rPr>
          <w:rFonts w:hint="eastAsia"/>
          <w:kern w:val="0"/>
          <w:szCs w:val="24"/>
        </w:rPr>
        <w:instrText xml:space="preserve">= 1 \* GB3</w:instrText>
      </w:r>
      <w:r>
        <w:rPr>
          <w:kern w:val="0"/>
          <w:szCs w:val="24"/>
        </w:rPr>
        <w:instrText xml:space="preserve"> </w:instrText>
      </w:r>
      <w:r>
        <w:rPr>
          <w:kern w:val="0"/>
          <w:szCs w:val="24"/>
        </w:rPr>
        <w:fldChar w:fldCharType="separate"/>
      </w:r>
      <w:r>
        <w:rPr>
          <w:rFonts w:hint="eastAsia"/>
          <w:kern w:val="0"/>
          <w:szCs w:val="24"/>
        </w:rPr>
        <w:t>①</w:t>
      </w:r>
      <w:r>
        <w:rPr>
          <w:kern w:val="0"/>
          <w:szCs w:val="24"/>
        </w:rPr>
        <w:fldChar w:fldCharType="end"/>
      </w:r>
      <w:r>
        <w:rPr>
          <w:kern w:val="0"/>
          <w:szCs w:val="24"/>
        </w:rPr>
        <w:t>对水文情势的影响</w:t>
      </w:r>
    </w:p>
    <w:p>
      <w:pPr>
        <w:ind w:firstLine="480"/>
      </w:pPr>
      <w:r>
        <w:rPr>
          <w:rFonts w:hint="eastAsia"/>
        </w:rPr>
        <w:t>工程初期蓄水期间通过生态流量管下放12.11</w:t>
      </w:r>
      <w:r>
        <w:t>m</w:t>
      </w:r>
      <w:r>
        <w:rPr>
          <w:vertAlign w:val="superscript"/>
        </w:rPr>
        <w:t>3</w:t>
      </w:r>
      <w:r>
        <w:t>/s</w:t>
      </w:r>
      <w:r>
        <w:rPr>
          <w:rFonts w:hint="eastAsia"/>
        </w:rPr>
        <w:t>的生态基流，蓄水过程改变了坝区和坝址下游的水文情势，随着蓄水时间的延长，坝区水体体积逐渐增大，水位逐渐升高，流速减缓，下游由于坝体的阻隔作用，流量变小，因泄放恒定生态基流，流量趋于均化。</w:t>
      </w:r>
    </w:p>
    <w:p>
      <w:pPr>
        <w:autoSpaceDE w:val="0"/>
        <w:autoSpaceDN w:val="0"/>
        <w:adjustRightInd w:val="0"/>
        <w:ind w:firstLine="480"/>
        <w:rPr>
          <w:rFonts w:ascii="宋体" w:cs="宋体"/>
          <w:kern w:val="0"/>
          <w:szCs w:val="24"/>
        </w:rPr>
      </w:pPr>
      <w:r>
        <w:rPr>
          <w:rFonts w:hint="eastAsia"/>
          <w:kern w:val="0"/>
          <w:szCs w:val="24"/>
        </w:rPr>
        <w:t>工程</w:t>
      </w:r>
      <w:r>
        <w:rPr>
          <w:kern w:val="0"/>
          <w:szCs w:val="24"/>
        </w:rPr>
        <w:t>建成</w:t>
      </w:r>
      <w:r>
        <w:rPr>
          <w:rFonts w:hint="eastAsia"/>
          <w:kern w:val="0"/>
          <w:szCs w:val="24"/>
        </w:rPr>
        <w:t>运行时</w:t>
      </w:r>
      <w:r>
        <w:rPr>
          <w:kern w:val="0"/>
          <w:szCs w:val="24"/>
        </w:rPr>
        <w:t>，</w:t>
      </w:r>
      <w:r>
        <w:rPr>
          <w:rFonts w:hint="eastAsia"/>
          <w:kern w:val="0"/>
          <w:szCs w:val="24"/>
        </w:rPr>
        <w:t>抬水工程</w:t>
      </w:r>
      <w:r>
        <w:rPr>
          <w:kern w:val="0"/>
          <w:szCs w:val="24"/>
        </w:rPr>
        <w:t>的</w:t>
      </w:r>
      <w:r>
        <w:rPr>
          <w:rFonts w:hint="eastAsia"/>
          <w:kern w:val="0"/>
          <w:szCs w:val="24"/>
        </w:rPr>
        <w:t>建成</w:t>
      </w:r>
      <w:r>
        <w:rPr>
          <w:kern w:val="0"/>
          <w:szCs w:val="24"/>
        </w:rPr>
        <w:t>将使坝前水深增加、水面变宽、水域面积增大，</w:t>
      </w:r>
      <w:r>
        <w:rPr>
          <w:rFonts w:hint="eastAsia"/>
          <w:kern w:val="0"/>
          <w:szCs w:val="24"/>
        </w:rPr>
        <w:t>同时</w:t>
      </w:r>
      <w:r>
        <w:rPr>
          <w:rFonts w:hint="eastAsia" w:ascii="宋体" w:cs="宋体"/>
          <w:kern w:val="0"/>
          <w:szCs w:val="24"/>
        </w:rPr>
        <w:t>由于大坝的阻隔，坝</w:t>
      </w:r>
      <w:r>
        <w:rPr>
          <w:rFonts w:ascii="宋体" w:cs="宋体"/>
          <w:kern w:val="0"/>
          <w:szCs w:val="24"/>
        </w:rPr>
        <w:t>区河段较原河道状态下流速减缓，越靠近坝址减缓程度越多</w:t>
      </w:r>
      <w:r>
        <w:rPr>
          <w:rFonts w:hint="eastAsia" w:ascii="宋体" w:cs="宋体"/>
          <w:kern w:val="0"/>
          <w:szCs w:val="24"/>
        </w:rPr>
        <w:t>，坝前流速极小，基本为静水状态，改变了抬水工程坝区的水文情势。</w:t>
      </w:r>
    </w:p>
    <w:p>
      <w:pPr>
        <w:ind w:firstLine="480"/>
        <w:rPr>
          <w:kern w:val="0"/>
        </w:rPr>
      </w:pPr>
      <w:r>
        <w:rPr>
          <w:rFonts w:ascii="宋体" w:hAnsi="宋体" w:cs="宋体"/>
          <w:kern w:val="0"/>
        </w:rPr>
        <w:fldChar w:fldCharType="begin"/>
      </w:r>
      <w:r>
        <w:rPr>
          <w:rFonts w:ascii="宋体" w:hAnsi="宋体" w:cs="宋体"/>
          <w:kern w:val="0"/>
        </w:rPr>
        <w:instrText xml:space="preserve"> </w:instrText>
      </w:r>
      <w:r>
        <w:rPr>
          <w:rFonts w:hint="eastAsia" w:ascii="宋体" w:hAnsi="宋体" w:cs="宋体"/>
          <w:kern w:val="0"/>
        </w:rPr>
        <w:instrText xml:space="preserve">= 2 \* GB3</w:instrText>
      </w:r>
      <w:r>
        <w:rPr>
          <w:rFonts w:ascii="宋体" w:hAnsi="宋体" w:cs="宋体"/>
          <w:kern w:val="0"/>
        </w:rPr>
        <w:instrText xml:space="preserve"> </w:instrText>
      </w:r>
      <w:r>
        <w:rPr>
          <w:rFonts w:ascii="宋体" w:hAnsi="宋体" w:cs="宋体"/>
          <w:kern w:val="0"/>
        </w:rPr>
        <w:fldChar w:fldCharType="separate"/>
      </w:r>
      <w:r>
        <w:rPr>
          <w:rFonts w:hint="eastAsia" w:ascii="宋体" w:hAnsi="宋体" w:cs="宋体"/>
          <w:kern w:val="0"/>
        </w:rPr>
        <w:t>②</w:t>
      </w:r>
      <w:r>
        <w:rPr>
          <w:rFonts w:ascii="宋体" w:hAnsi="宋体" w:cs="宋体"/>
          <w:kern w:val="0"/>
        </w:rPr>
        <w:fldChar w:fldCharType="end"/>
      </w:r>
      <w:r>
        <w:rPr>
          <w:kern w:val="0"/>
        </w:rPr>
        <w:t>对水温的影响分析</w:t>
      </w:r>
    </w:p>
    <w:p>
      <w:pPr>
        <w:ind w:firstLine="480"/>
        <w:rPr>
          <w:kern w:val="0"/>
        </w:rPr>
      </w:pPr>
      <w:r>
        <w:rPr>
          <w:kern w:val="0"/>
          <w:szCs w:val="24"/>
        </w:rPr>
        <w:t>经预测分析可知，项目实施后坝址以上形成的水库水温结构为混合型，上下层水温相差较小，对</w:t>
      </w:r>
      <w:r>
        <w:rPr>
          <w:rFonts w:hint="eastAsia"/>
          <w:kern w:val="0"/>
          <w:szCs w:val="24"/>
        </w:rPr>
        <w:t>锦河</w:t>
      </w:r>
      <w:r>
        <w:rPr>
          <w:kern w:val="0"/>
          <w:szCs w:val="24"/>
        </w:rPr>
        <w:t>水温影响较小。</w:t>
      </w:r>
    </w:p>
    <w:p>
      <w:pPr>
        <w:ind w:firstLine="480"/>
        <w:rPr>
          <w:kern w:val="0"/>
        </w:rPr>
      </w:pPr>
      <w:r>
        <w:rPr>
          <w:rFonts w:hint="eastAsia" w:ascii="宋体" w:hAnsi="宋体" w:cs="宋体"/>
          <w:kern w:val="0"/>
        </w:rPr>
        <w:t>③</w:t>
      </w:r>
      <w:r>
        <w:rPr>
          <w:kern w:val="0"/>
        </w:rPr>
        <w:t>泥沙的影响分析</w:t>
      </w:r>
    </w:p>
    <w:p>
      <w:pPr>
        <w:ind w:firstLine="480"/>
        <w:rPr>
          <w:kern w:val="0"/>
        </w:rPr>
      </w:pPr>
      <w:r>
        <w:t>蓄水后，改变了原有天然河道的水文情势，致使入库水流减缓，携沙能力下降，水流携带的泥沙逐渐淤积在库区内，</w:t>
      </w:r>
      <w:r>
        <w:rPr>
          <w:rFonts w:hint="eastAsia"/>
        </w:rPr>
        <w:t>河道</w:t>
      </w:r>
      <w:r>
        <w:t>末端河床抬高，降低了有效库容，减少了下泄水含沙量，水流通过建筑物集中下泄，增大了对下游河道的冲刷作用。</w:t>
      </w:r>
      <w:r>
        <w:rPr>
          <w:rFonts w:hint="eastAsia"/>
          <w:kern w:val="0"/>
          <w:szCs w:val="24"/>
        </w:rPr>
        <w:t>锦河</w:t>
      </w:r>
      <w:r>
        <w:rPr>
          <w:kern w:val="0"/>
          <w:szCs w:val="24"/>
        </w:rPr>
        <w:t>河道下部岩体为硬质岩，抗冲刷能力较好，河床段冲刷降低至一定高程后将会停止下降达到平衡。</w:t>
      </w:r>
    </w:p>
    <w:p>
      <w:pPr>
        <w:ind w:firstLine="480"/>
        <w:rPr>
          <w:kern w:val="0"/>
        </w:rPr>
      </w:pPr>
      <w:r>
        <w:rPr>
          <w:rFonts w:hint="eastAsia" w:ascii="宋体" w:hAnsi="宋体" w:cs="宋体"/>
          <w:kern w:val="0"/>
        </w:rPr>
        <w:t>④</w:t>
      </w:r>
      <w:r>
        <w:rPr>
          <w:kern w:val="0"/>
        </w:rPr>
        <w:t>对水质的影响分析</w:t>
      </w:r>
    </w:p>
    <w:p>
      <w:pPr>
        <w:ind w:firstLine="480"/>
      </w:pPr>
      <w:r>
        <w:rPr>
          <w:rFonts w:hint="eastAsia"/>
        </w:rPr>
        <w:t>工程</w:t>
      </w:r>
      <w:r>
        <w:t>蓄水初期，残留在</w:t>
      </w:r>
      <w:r>
        <w:rPr>
          <w:rFonts w:hint="eastAsia"/>
          <w:kern w:val="0"/>
        </w:rPr>
        <w:t>上高</w:t>
      </w:r>
      <w:r>
        <w:rPr>
          <w:kern w:val="0"/>
        </w:rPr>
        <w:t>县</w:t>
      </w:r>
      <w:r>
        <w:rPr>
          <w:rFonts w:hint="eastAsia"/>
          <w:kern w:val="0"/>
        </w:rPr>
        <w:t>毛家渡</w:t>
      </w:r>
      <w:r>
        <w:rPr>
          <w:kern w:val="0"/>
        </w:rPr>
        <w:t>抬水坝</w:t>
      </w:r>
      <w:r>
        <w:t>正常蓄水位以下库区的人畜粪便、树木、杂草等因浸泡而使其中污染物释放，可能会引起水体中某些污染指标含量升高</w:t>
      </w:r>
      <w:r>
        <w:rPr>
          <w:rFonts w:hint="eastAsia"/>
        </w:rPr>
        <w:t>。</w:t>
      </w:r>
    </w:p>
    <w:p>
      <w:pPr>
        <w:autoSpaceDE w:val="0"/>
        <w:autoSpaceDN w:val="0"/>
        <w:adjustRightInd w:val="0"/>
        <w:ind w:firstLine="480"/>
        <w:rPr>
          <w:color w:val="0000FF"/>
        </w:rPr>
      </w:pPr>
      <w:r>
        <w:rPr>
          <w:rFonts w:hint="eastAsia"/>
          <w:color w:val="0000FF"/>
        </w:rPr>
        <w:t>经预测，工程运行期库区水质枯水期，</w:t>
      </w:r>
      <w:r>
        <w:rPr>
          <w:color w:val="0000FF"/>
        </w:rPr>
        <w:t>COD</w:t>
      </w:r>
      <w:r>
        <w:rPr>
          <w:rFonts w:hint="eastAsia"/>
          <w:color w:val="0000FF"/>
        </w:rPr>
        <w:t>、</w:t>
      </w:r>
      <w:r>
        <w:rPr>
          <w:color w:val="0000FF"/>
        </w:rPr>
        <w:t>NH</w:t>
      </w:r>
      <w:r>
        <w:rPr>
          <w:color w:val="0000FF"/>
          <w:vertAlign w:val="subscript"/>
        </w:rPr>
        <w:t>3</w:t>
      </w:r>
      <w:r>
        <w:rPr>
          <w:color w:val="0000FF"/>
        </w:rPr>
        <w:t>-N</w:t>
      </w:r>
      <w:r>
        <w:rPr>
          <w:rFonts w:hint="eastAsia"/>
          <w:color w:val="0000FF"/>
        </w:rPr>
        <w:t>、</w:t>
      </w:r>
      <w:r>
        <w:rPr>
          <w:color w:val="0000FF"/>
        </w:rPr>
        <w:t>TP</w:t>
      </w:r>
      <w:r>
        <w:rPr>
          <w:rFonts w:hint="eastAsia"/>
          <w:color w:val="0000FF"/>
        </w:rPr>
        <w:t>、</w:t>
      </w:r>
      <w:r>
        <w:rPr>
          <w:color w:val="0000FF"/>
        </w:rPr>
        <w:t>TN</w:t>
      </w:r>
      <w:r>
        <w:rPr>
          <w:rFonts w:hint="eastAsia"/>
          <w:color w:val="0000FF"/>
        </w:rPr>
        <w:t>均满足Ⅲ类水质要求。毛家渡工程库区年</w:t>
      </w:r>
      <w:r>
        <w:rPr>
          <w:color w:val="0000FF"/>
        </w:rPr>
        <w:t>TN</w:t>
      </w:r>
      <w:r>
        <w:rPr>
          <w:rFonts w:hint="eastAsia"/>
          <w:color w:val="0000FF"/>
        </w:rPr>
        <w:t>浓度为</w:t>
      </w:r>
      <w:r>
        <w:rPr>
          <w:color w:val="0000FF"/>
        </w:rPr>
        <w:t>0.</w:t>
      </w:r>
      <w:r>
        <w:rPr>
          <w:rFonts w:hint="eastAsia"/>
          <w:color w:val="0000FF"/>
        </w:rPr>
        <w:t>334</w:t>
      </w:r>
      <w:r>
        <w:rPr>
          <w:color w:val="0000FF"/>
        </w:rPr>
        <w:t>mg/L</w:t>
      </w:r>
      <w:r>
        <w:rPr>
          <w:rFonts w:hint="eastAsia"/>
          <w:color w:val="0000FF"/>
        </w:rPr>
        <w:t>，年</w:t>
      </w:r>
      <w:r>
        <w:rPr>
          <w:color w:val="0000FF"/>
        </w:rPr>
        <w:t>TP</w:t>
      </w:r>
      <w:r>
        <w:rPr>
          <w:rFonts w:hint="eastAsia"/>
          <w:color w:val="0000FF"/>
        </w:rPr>
        <w:t>浓度为0.0735</w:t>
      </w:r>
      <w:r>
        <w:rPr>
          <w:color w:val="0000FF"/>
        </w:rPr>
        <w:t>mg/L</w:t>
      </w:r>
      <w:r>
        <w:rPr>
          <w:rFonts w:hint="eastAsia"/>
          <w:color w:val="0000FF"/>
        </w:rPr>
        <w:t>。根据湖库富营养化评分与分级标准，毛家渡工程建成后</w:t>
      </w:r>
      <w:r>
        <w:rPr>
          <w:color w:val="0000FF"/>
        </w:rPr>
        <w:t>TN</w:t>
      </w:r>
      <w:r>
        <w:rPr>
          <w:rFonts w:hint="eastAsia"/>
          <w:color w:val="0000FF"/>
        </w:rPr>
        <w:t>赋分值为</w:t>
      </w:r>
      <w:r>
        <w:rPr>
          <w:color w:val="0000FF"/>
        </w:rPr>
        <w:t>4</w:t>
      </w:r>
      <w:r>
        <w:rPr>
          <w:rFonts w:hint="eastAsia"/>
          <w:color w:val="0000FF"/>
        </w:rPr>
        <w:t>1.7，</w:t>
      </w:r>
      <w:r>
        <w:rPr>
          <w:color w:val="0000FF"/>
        </w:rPr>
        <w:t>TP</w:t>
      </w:r>
      <w:r>
        <w:rPr>
          <w:rFonts w:hint="eastAsia"/>
          <w:color w:val="0000FF"/>
        </w:rPr>
        <w:t>赋分值为54.7，营养化指数为48.2，富营养化程度为中营养。</w:t>
      </w:r>
    </w:p>
    <w:p>
      <w:pPr>
        <w:autoSpaceDE w:val="0"/>
        <w:autoSpaceDN w:val="0"/>
        <w:adjustRightInd w:val="0"/>
        <w:ind w:firstLine="480"/>
      </w:pPr>
      <w:r>
        <w:rPr>
          <w:rFonts w:hint="eastAsia"/>
        </w:rPr>
        <w:t>抬水工程建成后，坝下减水段水体中</w:t>
      </w:r>
      <w:r>
        <w:t>COD</w:t>
      </w:r>
      <w:r>
        <w:rPr>
          <w:rFonts w:hint="eastAsia"/>
        </w:rPr>
        <w:t>、</w:t>
      </w:r>
      <w:r>
        <w:t>NH</w:t>
      </w:r>
      <w:r>
        <w:rPr>
          <w:vertAlign w:val="subscript"/>
        </w:rPr>
        <w:t>3</w:t>
      </w:r>
      <w:r>
        <w:t>-N</w:t>
      </w:r>
      <w:r>
        <w:rPr>
          <w:rFonts w:hint="eastAsia"/>
        </w:rPr>
        <w:t>和</w:t>
      </w:r>
      <w:r>
        <w:t>TP</w:t>
      </w:r>
      <w:r>
        <w:rPr>
          <w:rFonts w:hint="eastAsia"/>
        </w:rPr>
        <w:t>浓度略有增加，但水质依然满足Ⅲ类水质要求。所以，建成后对坝下减水段水质影响较小。</w:t>
      </w:r>
    </w:p>
    <w:p>
      <w:pPr>
        <w:pStyle w:val="7"/>
        <w:snapToGrid w:val="0"/>
        <w:rPr>
          <w:szCs w:val="24"/>
        </w:rPr>
      </w:pPr>
      <w:bookmarkStart w:id="1457" w:name="_Toc534807168"/>
      <w:bookmarkStart w:id="1458" w:name="_Toc534386417"/>
      <w:bookmarkStart w:id="1459" w:name="_Toc536265257"/>
      <w:bookmarkStart w:id="1460" w:name="_Toc529279173"/>
      <w:bookmarkStart w:id="1461" w:name="_Toc3903394"/>
      <w:bookmarkStart w:id="1462" w:name="_Toc534895385"/>
      <w:r>
        <w:rPr>
          <w:rFonts w:hint="eastAsia"/>
          <w:szCs w:val="24"/>
        </w:rPr>
        <w:t>10</w:t>
      </w:r>
      <w:r>
        <w:rPr>
          <w:szCs w:val="24"/>
        </w:rPr>
        <w:t>.</w:t>
      </w:r>
      <w:r>
        <w:rPr>
          <w:rFonts w:hint="eastAsia"/>
          <w:szCs w:val="24"/>
        </w:rPr>
        <w:t>4</w:t>
      </w:r>
      <w:r>
        <w:rPr>
          <w:szCs w:val="24"/>
        </w:rPr>
        <w:t>.3地下水环境影响</w:t>
      </w:r>
      <w:r>
        <w:rPr>
          <w:rFonts w:hint="eastAsia"/>
          <w:szCs w:val="24"/>
        </w:rPr>
        <w:t>评价</w:t>
      </w:r>
      <w:r>
        <w:rPr>
          <w:szCs w:val="24"/>
        </w:rPr>
        <w:t>结论</w:t>
      </w:r>
      <w:bookmarkEnd w:id="1457"/>
      <w:bookmarkEnd w:id="1458"/>
      <w:bookmarkEnd w:id="1459"/>
      <w:bookmarkEnd w:id="1460"/>
      <w:bookmarkEnd w:id="1461"/>
      <w:bookmarkEnd w:id="1462"/>
    </w:p>
    <w:p>
      <w:pPr>
        <w:autoSpaceDE w:val="0"/>
        <w:autoSpaceDN w:val="0"/>
        <w:adjustRightInd w:val="0"/>
        <w:ind w:firstLine="480"/>
      </w:pPr>
      <w:r>
        <w:rPr>
          <w:rFonts w:hint="eastAsia"/>
        </w:rPr>
        <w:t>抬水工程锦河为工程区最低排泄基准面，土料场开采不涉及地下水，工程施工不会改变区域的补给、径流条件。抬水工程施工期除基坑废水量较大，需经处理达标后将部分水排至锦河外，其余废污水均经处理后优先综合利用，不排放。施工期废污水处理池均进行防渗处理，因此工程尽量减轻了施工期对地下水的不利影响。运行阶段水质较好，并且工程封闭条件好、基本不存在渗漏和库岸稳定问题，工程</w:t>
      </w:r>
      <w:r>
        <w:t>建成后不会改变流域内地下水、地表水的补排关系，不会对上下游地区地下水水位、水质产生不利影响，仅对近岸坡地带地下水的流速有一定影响。</w:t>
      </w:r>
    </w:p>
    <w:p>
      <w:pPr>
        <w:pStyle w:val="7"/>
        <w:snapToGrid w:val="0"/>
        <w:rPr>
          <w:szCs w:val="24"/>
        </w:rPr>
      </w:pPr>
      <w:bookmarkStart w:id="1463" w:name="_Toc185306020"/>
      <w:bookmarkStart w:id="1464" w:name="_Toc200267371"/>
      <w:bookmarkStart w:id="1465" w:name="_Toc219871078"/>
      <w:bookmarkStart w:id="1466" w:name="_Toc534895386"/>
      <w:bookmarkStart w:id="1467" w:name="_Toc536265258"/>
      <w:bookmarkStart w:id="1468" w:name="_Toc534807169"/>
      <w:bookmarkStart w:id="1469" w:name="_Toc529279174"/>
      <w:bookmarkStart w:id="1470" w:name="_Toc3903395"/>
      <w:bookmarkStart w:id="1471" w:name="_Toc534386418"/>
      <w:r>
        <w:rPr>
          <w:rFonts w:hint="eastAsia"/>
          <w:szCs w:val="24"/>
        </w:rPr>
        <w:t>10</w:t>
      </w:r>
      <w:r>
        <w:rPr>
          <w:szCs w:val="24"/>
        </w:rPr>
        <w:t>.</w:t>
      </w:r>
      <w:r>
        <w:rPr>
          <w:rFonts w:hint="eastAsia"/>
          <w:szCs w:val="24"/>
        </w:rPr>
        <w:t>4</w:t>
      </w:r>
      <w:r>
        <w:rPr>
          <w:szCs w:val="24"/>
        </w:rPr>
        <w:t>.4环境空气</w:t>
      </w:r>
      <w:bookmarkEnd w:id="1463"/>
      <w:bookmarkEnd w:id="1464"/>
      <w:bookmarkEnd w:id="1465"/>
      <w:r>
        <w:rPr>
          <w:szCs w:val="24"/>
        </w:rPr>
        <w:t>影响</w:t>
      </w:r>
      <w:r>
        <w:rPr>
          <w:rFonts w:hint="eastAsia"/>
          <w:szCs w:val="24"/>
        </w:rPr>
        <w:t>评价</w:t>
      </w:r>
      <w:r>
        <w:rPr>
          <w:szCs w:val="24"/>
        </w:rPr>
        <w:t>结论</w:t>
      </w:r>
      <w:bookmarkEnd w:id="1466"/>
      <w:bookmarkEnd w:id="1467"/>
      <w:bookmarkEnd w:id="1468"/>
      <w:bookmarkEnd w:id="1469"/>
      <w:bookmarkEnd w:id="1470"/>
      <w:bookmarkEnd w:id="1471"/>
    </w:p>
    <w:p>
      <w:pPr>
        <w:adjustRightInd w:val="0"/>
        <w:snapToGrid w:val="0"/>
        <w:ind w:firstLine="480"/>
        <w:rPr>
          <w:kern w:val="0"/>
        </w:rPr>
      </w:pPr>
      <w:r>
        <w:rPr>
          <w:rFonts w:hint="eastAsia" w:ascii="宋体" w:hAnsi="宋体" w:cs="宋体"/>
          <w:szCs w:val="24"/>
        </w:rPr>
        <w:t>⑴</w:t>
      </w:r>
      <w:r>
        <w:rPr>
          <w:kern w:val="0"/>
        </w:rPr>
        <w:t>施工期</w:t>
      </w:r>
    </w:p>
    <w:p>
      <w:pPr>
        <w:pStyle w:val="284"/>
        <w:ind w:firstLine="482"/>
      </w:pPr>
      <w:r>
        <w:t>本项目对大气环境的影响主要集中在施工期，运行期基本无影响。坝基开挖与回填、机械运行、汽车运输、工程爆破等过程将产生施工废气。但由于工程区环境空气质量现状较好，大气稀释能力和环境容量较大，工程总体上对环境空气的影响较小，在采取相应措施后，扬尘及废气不会对当地环境空气产生明显影响。</w:t>
      </w:r>
    </w:p>
    <w:p>
      <w:pPr>
        <w:adjustRightInd w:val="0"/>
        <w:snapToGrid w:val="0"/>
        <w:ind w:firstLine="480"/>
        <w:rPr>
          <w:kern w:val="0"/>
        </w:rPr>
      </w:pPr>
      <w:r>
        <w:rPr>
          <w:rFonts w:hint="eastAsia" w:ascii="宋体" w:hAnsi="宋体" w:cs="宋体"/>
          <w:szCs w:val="24"/>
        </w:rPr>
        <w:t>⑵</w:t>
      </w:r>
      <w:r>
        <w:rPr>
          <w:kern w:val="0"/>
        </w:rPr>
        <w:t>运营期</w:t>
      </w:r>
    </w:p>
    <w:p>
      <w:pPr>
        <w:pStyle w:val="284"/>
        <w:ind w:firstLine="482"/>
      </w:pPr>
      <w:r>
        <w:t>本项目运营期无大气污染物产生，对大气环境基本无影响。</w:t>
      </w:r>
    </w:p>
    <w:p>
      <w:pPr>
        <w:pStyle w:val="7"/>
        <w:snapToGrid w:val="0"/>
        <w:rPr>
          <w:szCs w:val="24"/>
        </w:rPr>
      </w:pPr>
      <w:bookmarkStart w:id="1472" w:name="_Toc534895387"/>
      <w:bookmarkStart w:id="1473" w:name="_Toc529279171"/>
      <w:bookmarkStart w:id="1474" w:name="_Toc534386415"/>
      <w:bookmarkStart w:id="1475" w:name="_Toc3903396"/>
      <w:bookmarkStart w:id="1476" w:name="_Toc536265259"/>
      <w:bookmarkStart w:id="1477" w:name="_Toc534807170"/>
      <w:r>
        <w:rPr>
          <w:rFonts w:hint="eastAsia"/>
          <w:szCs w:val="24"/>
        </w:rPr>
        <w:t>10</w:t>
      </w:r>
      <w:r>
        <w:rPr>
          <w:szCs w:val="24"/>
        </w:rPr>
        <w:t>.</w:t>
      </w:r>
      <w:r>
        <w:rPr>
          <w:rFonts w:hint="eastAsia"/>
          <w:szCs w:val="24"/>
        </w:rPr>
        <w:t>4</w:t>
      </w:r>
      <w:r>
        <w:rPr>
          <w:szCs w:val="24"/>
        </w:rPr>
        <w:t>.5声环境影响</w:t>
      </w:r>
      <w:r>
        <w:rPr>
          <w:rFonts w:hint="eastAsia"/>
          <w:szCs w:val="24"/>
        </w:rPr>
        <w:t>评价</w:t>
      </w:r>
      <w:r>
        <w:rPr>
          <w:szCs w:val="24"/>
        </w:rPr>
        <w:t>结论</w:t>
      </w:r>
      <w:bookmarkEnd w:id="1472"/>
      <w:bookmarkEnd w:id="1473"/>
      <w:bookmarkEnd w:id="1474"/>
      <w:bookmarkEnd w:id="1475"/>
      <w:bookmarkEnd w:id="1476"/>
      <w:bookmarkEnd w:id="1477"/>
    </w:p>
    <w:p>
      <w:pPr>
        <w:ind w:firstLine="480"/>
      </w:pPr>
      <w:r>
        <w:rPr>
          <w:rFonts w:hint="eastAsia" w:ascii="宋体" w:hAnsi="宋体" w:cs="宋体"/>
          <w:szCs w:val="24"/>
        </w:rPr>
        <w:t>⑴</w:t>
      </w:r>
      <w:r>
        <w:t>施工期</w:t>
      </w:r>
    </w:p>
    <w:p>
      <w:pPr>
        <w:autoSpaceDE w:val="0"/>
        <w:autoSpaceDN w:val="0"/>
        <w:adjustRightInd w:val="0"/>
        <w:ind w:firstLine="480"/>
        <w:rPr>
          <w:rFonts w:ascii="宋体" w:hAnsi="宋体"/>
        </w:rPr>
      </w:pPr>
      <w:r>
        <w:t>根据预测结果可知，</w:t>
      </w:r>
      <w:r>
        <w:rPr>
          <w:rFonts w:ascii="宋体" w:hAnsi="宋体"/>
        </w:rPr>
        <w:t>在多台设备联合作业的情况下，</w:t>
      </w:r>
      <w:r>
        <w:rPr>
          <w:rFonts w:hint="eastAsia" w:ascii="宋体" w:hAnsi="宋体"/>
        </w:rPr>
        <w:t>工程枢纽区施工</w:t>
      </w:r>
      <w:r>
        <w:rPr>
          <w:rFonts w:ascii="宋体" w:hAnsi="宋体"/>
        </w:rPr>
        <w:t>昼间在</w:t>
      </w:r>
      <w:r>
        <w:rPr>
          <w:rFonts w:hint="eastAsia" w:ascii="宋体" w:hAnsi="宋体"/>
        </w:rPr>
        <w:t>5</w:t>
      </w:r>
      <w:r>
        <w:rPr>
          <w:rFonts w:ascii="宋体" w:hAnsi="宋体"/>
        </w:rPr>
        <w:t>0m以外，夜间在</w:t>
      </w:r>
      <w:r>
        <w:rPr>
          <w:rFonts w:hint="eastAsia" w:ascii="宋体" w:hAnsi="宋体"/>
        </w:rPr>
        <w:t>160</w:t>
      </w:r>
      <w:r>
        <w:rPr>
          <w:rFonts w:ascii="宋体" w:hAnsi="宋体"/>
        </w:rPr>
        <w:t>m外可满足《建筑施工场界环境噪声排放标准》</w:t>
      </w:r>
      <w:r>
        <w:rPr>
          <w:rFonts w:hint="eastAsia" w:ascii="宋体" w:hAnsi="宋体"/>
        </w:rPr>
        <w:t>(</w:t>
      </w:r>
      <w:r>
        <w:rPr>
          <w:rFonts w:ascii="宋体" w:hAnsi="宋体"/>
        </w:rPr>
        <w:t>GB12523-2011</w:t>
      </w:r>
      <w:r>
        <w:rPr>
          <w:rFonts w:hint="eastAsia" w:ascii="宋体" w:hAnsi="宋体"/>
        </w:rPr>
        <w:t>)</w:t>
      </w:r>
      <w:r>
        <w:rPr>
          <w:rFonts w:ascii="宋体" w:hAnsi="宋体"/>
        </w:rPr>
        <w:t>要求；</w:t>
      </w:r>
      <w:r>
        <w:rPr>
          <w:rFonts w:hint="eastAsia" w:ascii="宋体" w:hAnsi="宋体"/>
        </w:rPr>
        <w:t>综合加工厂</w:t>
      </w:r>
      <w:r>
        <w:rPr>
          <w:rFonts w:ascii="宋体" w:hAnsi="宋体"/>
        </w:rPr>
        <w:t>昼间</w:t>
      </w:r>
      <w:r>
        <w:rPr>
          <w:rFonts w:hint="eastAsia" w:ascii="宋体" w:hAnsi="宋体"/>
        </w:rPr>
        <w:t>5</w:t>
      </w:r>
      <w:r>
        <w:rPr>
          <w:rFonts w:ascii="宋体" w:hAnsi="宋体"/>
        </w:rPr>
        <w:t>0m范围外达到标准要求，夜间</w:t>
      </w:r>
      <w:r>
        <w:rPr>
          <w:rFonts w:hint="eastAsia" w:ascii="宋体" w:hAnsi="宋体"/>
        </w:rPr>
        <w:t>2</w:t>
      </w:r>
      <w:r>
        <w:rPr>
          <w:rFonts w:ascii="宋体" w:hAnsi="宋体"/>
        </w:rPr>
        <w:t>50m以外可满足《建筑施工场界环境噪声排放标准》（GB12523-2011）要求。</w:t>
      </w:r>
      <w:r>
        <w:rPr>
          <w:rFonts w:hint="eastAsia" w:ascii="宋体" w:hAnsi="宋体"/>
        </w:rPr>
        <w:t>料场</w:t>
      </w:r>
      <w:r>
        <w:rPr>
          <w:rFonts w:ascii="宋体" w:hAnsi="宋体"/>
        </w:rPr>
        <w:t>昼间在</w:t>
      </w:r>
      <w:r>
        <w:rPr>
          <w:rFonts w:hint="eastAsia" w:ascii="宋体" w:hAnsi="宋体"/>
        </w:rPr>
        <w:t>2</w:t>
      </w:r>
      <w:r>
        <w:rPr>
          <w:rFonts w:ascii="宋体" w:hAnsi="宋体"/>
        </w:rPr>
        <w:t>0m以外，夜间在</w:t>
      </w:r>
      <w:r>
        <w:rPr>
          <w:rFonts w:hint="eastAsia" w:ascii="宋体" w:hAnsi="宋体"/>
        </w:rPr>
        <w:t>70</w:t>
      </w:r>
      <w:r>
        <w:rPr>
          <w:rFonts w:ascii="宋体" w:hAnsi="宋体"/>
        </w:rPr>
        <w:t>m以外可满足《建筑施工场界环境噪声排放标准》（GB12523-2011）要求。</w:t>
      </w:r>
    </w:p>
    <w:p>
      <w:pPr>
        <w:ind w:firstLine="480"/>
      </w:pPr>
      <w:r>
        <w:rPr>
          <w:rFonts w:hint="eastAsia"/>
          <w:kern w:val="0"/>
          <w:szCs w:val="24"/>
        </w:rPr>
        <w:t>工程</w:t>
      </w:r>
      <w:r>
        <w:rPr>
          <w:kern w:val="0"/>
          <w:szCs w:val="24"/>
        </w:rPr>
        <w:t>施工噪声会对居民造成不同程度的干扰影响，主要影响对象</w:t>
      </w:r>
      <w:r>
        <w:rPr>
          <w:rFonts w:hint="eastAsia"/>
          <w:kern w:val="0"/>
          <w:szCs w:val="24"/>
        </w:rPr>
        <w:t>为何家，昼间达标，</w:t>
      </w:r>
      <w:r>
        <w:rPr>
          <w:rFonts w:hint="eastAsia"/>
        </w:rPr>
        <w:t>夜</w:t>
      </w:r>
      <w:r>
        <w:t>间超标</w:t>
      </w:r>
      <w:r>
        <w:rPr>
          <w:rFonts w:hint="eastAsia"/>
        </w:rPr>
        <w:t>，超标</w:t>
      </w:r>
      <w:r>
        <w:t>量为</w:t>
      </w:r>
      <w:r>
        <w:rPr>
          <w:rFonts w:hint="eastAsia"/>
        </w:rPr>
        <w:t>8.3</w:t>
      </w:r>
      <w:r>
        <w:t>dB (A)，超标量较大。</w:t>
      </w:r>
      <w:r>
        <w:rPr>
          <w:rFonts w:hint="eastAsia"/>
          <w:kern w:val="0"/>
          <w:szCs w:val="24"/>
        </w:rPr>
        <w:t>通过</w:t>
      </w:r>
      <w:r>
        <w:t>选用低噪声机械设备或带噪声、消声设备、合理安排好施工时间与施工场所及合理布局</w:t>
      </w:r>
      <w:r>
        <w:rPr>
          <w:rFonts w:hint="eastAsia"/>
        </w:rPr>
        <w:t>、</w:t>
      </w:r>
      <w:r>
        <w:t>同时夜间禁止施工。施工期间产生的噪声是临时的，对周边敏感点影响较小，随着施工结束即可恢复。</w:t>
      </w:r>
    </w:p>
    <w:p>
      <w:pPr>
        <w:ind w:firstLine="480"/>
      </w:pPr>
      <w:r>
        <w:rPr>
          <w:rFonts w:hint="eastAsia" w:ascii="宋体" w:hAnsi="宋体" w:cs="宋体"/>
          <w:szCs w:val="24"/>
        </w:rPr>
        <w:t>⑵</w:t>
      </w:r>
      <w:r>
        <w:t>运营期</w:t>
      </w:r>
    </w:p>
    <w:p>
      <w:pPr>
        <w:pStyle w:val="284"/>
        <w:ind w:firstLine="482"/>
      </w:pPr>
      <w:r>
        <w:t>本项目运营期对声环境基本无影响。</w:t>
      </w:r>
    </w:p>
    <w:p>
      <w:pPr>
        <w:pStyle w:val="7"/>
        <w:snapToGrid w:val="0"/>
        <w:rPr>
          <w:szCs w:val="24"/>
        </w:rPr>
      </w:pPr>
      <w:r>
        <w:rPr>
          <w:rFonts w:hint="eastAsia"/>
          <w:szCs w:val="24"/>
        </w:rPr>
        <w:t>10.4.6土壤环境影响评价结论</w:t>
      </w:r>
    </w:p>
    <w:p>
      <w:pPr>
        <w:autoSpaceDE w:val="0"/>
        <w:autoSpaceDN w:val="0"/>
        <w:adjustRightInd w:val="0"/>
        <w:ind w:firstLine="480"/>
      </w:pPr>
      <w:r>
        <w:rPr>
          <w:rFonts w:hint="eastAsia"/>
        </w:rPr>
        <w:t>施工占地、土方开挖、土地利用类型改变对土壤将产生一定的影响；施工期废气、废水、固废均在采取污染防治措施情况下对土壤的影响较小；消落带土壤历经长时期干湿交替过程后，其物理性质将发生较大改变，土壤微生物总体上呈减少趋势。从区域现状、地下水位情况以及工程运行情况，</w:t>
      </w:r>
      <w:r>
        <w:rPr>
          <w:rFonts w:hint="eastAsia"/>
          <w:kern w:val="0"/>
          <w:szCs w:val="24"/>
        </w:rPr>
        <w:t>建成后周边土壤会发生轻度盐化现象。</w:t>
      </w:r>
      <w:r>
        <w:rPr>
          <w:rFonts w:hint="eastAsia"/>
        </w:rPr>
        <w:t>因此运行期需通过监控，发现问题及时进行控制。</w:t>
      </w:r>
    </w:p>
    <w:p>
      <w:pPr>
        <w:pStyle w:val="7"/>
        <w:snapToGrid w:val="0"/>
        <w:rPr>
          <w:szCs w:val="24"/>
        </w:rPr>
      </w:pPr>
      <w:bookmarkStart w:id="1478" w:name="_Toc536265260"/>
      <w:bookmarkStart w:id="1479" w:name="_Toc3903397"/>
      <w:bookmarkStart w:id="1480" w:name="_Toc534807171"/>
      <w:bookmarkStart w:id="1481" w:name="_Toc534895388"/>
      <w:r>
        <w:rPr>
          <w:rFonts w:hint="eastAsia"/>
          <w:szCs w:val="24"/>
        </w:rPr>
        <w:t>10</w:t>
      </w:r>
      <w:r>
        <w:rPr>
          <w:szCs w:val="24"/>
        </w:rPr>
        <w:t>.</w:t>
      </w:r>
      <w:r>
        <w:rPr>
          <w:rFonts w:hint="eastAsia"/>
          <w:szCs w:val="24"/>
        </w:rPr>
        <w:t>4</w:t>
      </w:r>
      <w:r>
        <w:rPr>
          <w:szCs w:val="24"/>
        </w:rPr>
        <w:t>.</w:t>
      </w:r>
      <w:r>
        <w:rPr>
          <w:rFonts w:hint="eastAsia"/>
          <w:szCs w:val="24"/>
        </w:rPr>
        <w:t>7</w:t>
      </w:r>
      <w:r>
        <w:rPr>
          <w:szCs w:val="24"/>
        </w:rPr>
        <w:t>固体废物影响</w:t>
      </w:r>
      <w:r>
        <w:rPr>
          <w:rFonts w:hint="eastAsia"/>
          <w:szCs w:val="24"/>
        </w:rPr>
        <w:t>评价</w:t>
      </w:r>
      <w:r>
        <w:rPr>
          <w:szCs w:val="24"/>
        </w:rPr>
        <w:t>结论</w:t>
      </w:r>
      <w:bookmarkEnd w:id="1478"/>
      <w:bookmarkEnd w:id="1479"/>
      <w:bookmarkEnd w:id="1480"/>
      <w:bookmarkEnd w:id="1481"/>
    </w:p>
    <w:p>
      <w:pPr>
        <w:autoSpaceDE w:val="0"/>
        <w:autoSpaceDN w:val="0"/>
        <w:adjustRightInd w:val="0"/>
        <w:ind w:firstLine="480"/>
      </w:pPr>
      <w:bookmarkStart w:id="1482" w:name="_Toc534386419"/>
      <w:bookmarkStart w:id="1483" w:name="_Toc529279175"/>
      <w:r>
        <w:rPr>
          <w:rFonts w:hint="eastAsia"/>
        </w:rPr>
        <w:t>工程施工期固体废物主要为弃土弃渣、生活垃圾和危险废物，其中危险废物包括施工期机械冲洗废水处理设施的含油污泥、施工机械设备维修与保养产生的废机油、废油抹布、空压机废油及废油桶等。工程运行期固体废物主要为管理用房工作人员日常生活产生的生活垃圾。上述固废均经合理处置后对环境影响较小。</w:t>
      </w:r>
    </w:p>
    <w:p>
      <w:pPr>
        <w:pStyle w:val="6"/>
        <w:spacing w:afterLines="50"/>
        <w:rPr>
          <w:szCs w:val="28"/>
        </w:rPr>
      </w:pPr>
      <w:bookmarkStart w:id="1484" w:name="_Toc29015"/>
      <w:r>
        <w:rPr>
          <w:szCs w:val="28"/>
        </w:rPr>
        <w:t>11.</w:t>
      </w:r>
      <w:r>
        <w:rPr>
          <w:rFonts w:hint="eastAsia"/>
          <w:szCs w:val="28"/>
        </w:rPr>
        <w:t>5环境保护措施</w:t>
      </w:r>
      <w:bookmarkEnd w:id="1484"/>
    </w:p>
    <w:p>
      <w:pPr>
        <w:autoSpaceDE w:val="0"/>
        <w:autoSpaceDN w:val="0"/>
        <w:adjustRightInd w:val="0"/>
        <w:ind w:firstLine="480"/>
      </w:pPr>
      <w:r>
        <w:rPr>
          <w:rFonts w:hint="eastAsia"/>
        </w:rPr>
        <w:t>(1)水环境</w:t>
      </w:r>
    </w:p>
    <w:p>
      <w:pPr>
        <w:ind w:firstLine="480"/>
        <w:rPr>
          <w:rFonts w:ascii="宋体" w:hAnsi="宋体"/>
          <w:szCs w:val="24"/>
        </w:rPr>
      </w:pPr>
      <w:r>
        <w:rPr>
          <w:rFonts w:hint="eastAsia" w:ascii="宋体" w:cs="宋体"/>
          <w:kern w:val="0"/>
          <w:szCs w:val="24"/>
        </w:rPr>
        <w:t>施工期：向基坑内投加絮凝剂及中和剂，静置</w:t>
      </w:r>
      <w:r>
        <w:rPr>
          <w:rFonts w:eastAsia="TimesNewRoman"/>
          <w:kern w:val="0"/>
          <w:szCs w:val="24"/>
        </w:rPr>
        <w:t>2h</w:t>
      </w:r>
      <w:r>
        <w:rPr>
          <w:rFonts w:hint="eastAsia" w:ascii="宋体" w:cs="宋体"/>
          <w:kern w:val="0"/>
          <w:szCs w:val="24"/>
        </w:rPr>
        <w:t>后回用于大坝混凝土养护或施工场地洒水抑尘，产生的污泥定期运至渣场；含油废水通过隔油、</w:t>
      </w:r>
      <w:r>
        <w:rPr>
          <w:rFonts w:hint="eastAsia" w:ascii="宋体" w:hAnsi="宋体" w:cs="宋体"/>
          <w:kern w:val="0"/>
          <w:szCs w:val="24"/>
        </w:rPr>
        <w:t>沉淀处理后回用于施工场地洒水抑尘；施工期生活污水经</w:t>
      </w:r>
      <w:r>
        <w:rPr>
          <w:rFonts w:ascii="宋体" w:hAnsi="宋体"/>
        </w:rPr>
        <w:t>旱厕</w:t>
      </w:r>
      <w:r>
        <w:rPr>
          <w:rFonts w:hint="eastAsia" w:ascii="宋体" w:hAnsi="宋体"/>
        </w:rPr>
        <w:t>沤肥</w:t>
      </w:r>
      <w:r>
        <w:rPr>
          <w:rFonts w:ascii="宋体" w:hAnsi="宋体"/>
        </w:rPr>
        <w:t>处理后用于肥田</w:t>
      </w:r>
      <w:r>
        <w:rPr>
          <w:rFonts w:hint="eastAsia" w:ascii="宋体" w:hAnsi="宋体"/>
        </w:rPr>
        <w:t>，</w:t>
      </w:r>
      <w:r>
        <w:rPr>
          <w:rFonts w:ascii="宋体" w:hAnsi="宋体"/>
          <w:szCs w:val="24"/>
        </w:rPr>
        <w:t>不外排。</w:t>
      </w:r>
    </w:p>
    <w:p>
      <w:pPr>
        <w:ind w:firstLine="480"/>
        <w:rPr>
          <w:szCs w:val="24"/>
        </w:rPr>
      </w:pPr>
      <w:r>
        <w:rPr>
          <w:rFonts w:hint="eastAsia" w:ascii="宋体" w:cs="宋体"/>
          <w:kern w:val="0"/>
          <w:szCs w:val="24"/>
        </w:rPr>
        <w:t>运行期：管理人员产生的生活污水经</w:t>
      </w:r>
      <w:r>
        <w:rPr>
          <w:rFonts w:hint="eastAsia"/>
        </w:rPr>
        <w:t>化粪池处理</w:t>
      </w:r>
      <w:r>
        <w:rPr>
          <w:rFonts w:hint="eastAsia" w:hAnsi="宋体"/>
        </w:rPr>
        <w:t>达</w:t>
      </w:r>
      <w:r>
        <w:t>《农田灌溉水质标准》（GB5084-2005）中旱作标准</w:t>
      </w:r>
      <w:r>
        <w:rPr>
          <w:rFonts w:hAnsi="宋体"/>
          <w:kern w:val="10"/>
        </w:rPr>
        <w:t>后</w:t>
      </w:r>
      <w:r>
        <w:t>用于周边农田菜地施肥，</w:t>
      </w:r>
      <w:r>
        <w:rPr>
          <w:rFonts w:hint="eastAsia" w:hAnsi="宋体"/>
          <w:kern w:val="10"/>
        </w:rPr>
        <w:t>不外排</w:t>
      </w:r>
      <w:r>
        <w:rPr>
          <w:rFonts w:hint="eastAsia" w:ascii="宋体" w:cs="宋体"/>
          <w:kern w:val="0"/>
          <w:szCs w:val="24"/>
        </w:rPr>
        <w:t>；</w:t>
      </w:r>
      <w:r>
        <w:rPr>
          <w:rFonts w:hint="eastAsia"/>
          <w:szCs w:val="24"/>
        </w:rPr>
        <w:t>毛家渡</w:t>
      </w:r>
      <w:r>
        <w:rPr>
          <w:szCs w:val="24"/>
        </w:rPr>
        <w:t>抬水坝在蓄水前必须对库区进行清理。</w:t>
      </w:r>
    </w:p>
    <w:p>
      <w:pPr>
        <w:autoSpaceDE w:val="0"/>
        <w:autoSpaceDN w:val="0"/>
        <w:adjustRightInd w:val="0"/>
        <w:ind w:firstLine="480"/>
      </w:pPr>
      <w:r>
        <w:rPr>
          <w:rFonts w:hint="eastAsia"/>
        </w:rPr>
        <w:t>(2)生态环境</w:t>
      </w:r>
    </w:p>
    <w:p>
      <w:pPr>
        <w:autoSpaceDE w:val="0"/>
        <w:autoSpaceDN w:val="0"/>
        <w:adjustRightInd w:val="0"/>
        <w:ind w:firstLine="480"/>
        <w:rPr>
          <w:rFonts w:ascii="宋体" w:cs="宋体"/>
          <w:kern w:val="0"/>
          <w:szCs w:val="24"/>
        </w:rPr>
      </w:pPr>
      <w:r>
        <w:rPr>
          <w:rFonts w:eastAsia="TimesNewRoman"/>
          <w:kern w:val="0"/>
          <w:szCs w:val="24"/>
        </w:rPr>
        <w:fldChar w:fldCharType="begin"/>
      </w:r>
      <w:r>
        <w:rPr>
          <w:rFonts w:eastAsia="TimesNewRoman"/>
          <w:kern w:val="0"/>
          <w:szCs w:val="24"/>
        </w:rPr>
        <w:instrText xml:space="preserve"> = 1 \* GB3 </w:instrText>
      </w:r>
      <w:r>
        <w:rPr>
          <w:rFonts w:eastAsia="TimesNewRoman"/>
          <w:kern w:val="0"/>
          <w:szCs w:val="24"/>
        </w:rPr>
        <w:fldChar w:fldCharType="separate"/>
      </w:r>
      <w:r>
        <w:rPr>
          <w:rFonts w:eastAsia="TimesNewRoman"/>
          <w:kern w:val="0"/>
          <w:szCs w:val="24"/>
        </w:rPr>
        <w:t>①</w:t>
      </w:r>
      <w:r>
        <w:rPr>
          <w:rFonts w:eastAsia="TimesNewRoman"/>
          <w:kern w:val="0"/>
          <w:szCs w:val="24"/>
        </w:rPr>
        <w:fldChar w:fldCharType="end"/>
      </w:r>
      <w:r>
        <w:rPr>
          <w:rFonts w:hint="eastAsia" w:ascii="宋体" w:cs="宋体"/>
          <w:kern w:val="0"/>
          <w:szCs w:val="24"/>
        </w:rPr>
        <w:t>陆生生态</w:t>
      </w:r>
    </w:p>
    <w:p>
      <w:pPr>
        <w:autoSpaceDE w:val="0"/>
        <w:autoSpaceDN w:val="0"/>
        <w:adjustRightInd w:val="0"/>
        <w:ind w:firstLine="480"/>
        <w:rPr>
          <w:rFonts w:ascii="宋体" w:cs="宋体"/>
          <w:kern w:val="0"/>
          <w:szCs w:val="24"/>
        </w:rPr>
      </w:pPr>
      <w:r>
        <w:rPr>
          <w:rFonts w:hint="eastAsia" w:ascii="宋体" w:cs="宋体"/>
          <w:kern w:val="0"/>
          <w:szCs w:val="24"/>
        </w:rPr>
        <w:t>施工前印发环境保护手册，对施工人员进行环保意识的宣传教育；采用先进的施工工艺，合理安排施工时间，减少对工程区植被的破坏；根据施工总体平面布置，确定施工用地范围，进行标桩划界，禁止施工人员进入非施工占地区；蓄水前对受抬水坝蓄水造成的人为活动干扰或受伤的重点保护动物采取统一的搜救措施。运行期大力实施护岸工程措施，种植植被，促进本区域植被的自然恢复。</w:t>
      </w:r>
    </w:p>
    <w:p>
      <w:pPr>
        <w:autoSpaceDE w:val="0"/>
        <w:autoSpaceDN w:val="0"/>
        <w:adjustRightInd w:val="0"/>
        <w:ind w:firstLine="480"/>
        <w:rPr>
          <w:rFonts w:ascii="宋体" w:cs="宋体"/>
          <w:kern w:val="0"/>
          <w:szCs w:val="24"/>
        </w:rPr>
      </w:pPr>
      <w:r>
        <w:rPr>
          <w:rFonts w:ascii="TimesNewRoman" w:eastAsia="TimesNewRoman" w:cs="TimesNewRoman"/>
          <w:kern w:val="0"/>
          <w:szCs w:val="24"/>
        </w:rPr>
        <w:fldChar w:fldCharType="begin"/>
      </w:r>
      <w:r>
        <w:rPr>
          <w:rFonts w:ascii="TimesNewRoman" w:eastAsia="TimesNewRoman" w:cs="TimesNewRoman"/>
          <w:kern w:val="0"/>
          <w:szCs w:val="24"/>
        </w:rPr>
        <w:instrText xml:space="preserve"> </w:instrText>
      </w:r>
      <w:r>
        <w:rPr>
          <w:rFonts w:hint="eastAsia" w:ascii="TimesNewRoman" w:eastAsia="TimesNewRoman" w:cs="TimesNewRoman"/>
          <w:kern w:val="0"/>
          <w:szCs w:val="24"/>
        </w:rPr>
        <w:instrText xml:space="preserve">= 2 \* GB3</w:instrText>
      </w:r>
      <w:r>
        <w:rPr>
          <w:rFonts w:ascii="TimesNewRoman" w:eastAsia="TimesNewRoman" w:cs="TimesNewRoman"/>
          <w:kern w:val="0"/>
          <w:szCs w:val="24"/>
        </w:rPr>
        <w:instrText xml:space="preserve"> </w:instrText>
      </w:r>
      <w:r>
        <w:rPr>
          <w:rFonts w:ascii="TimesNewRoman" w:eastAsia="TimesNewRoman" w:cs="TimesNewRoman"/>
          <w:kern w:val="0"/>
          <w:szCs w:val="24"/>
        </w:rPr>
        <w:fldChar w:fldCharType="separate"/>
      </w:r>
      <w:r>
        <w:rPr>
          <w:rFonts w:hint="eastAsia" w:ascii="TimesNewRoman" w:eastAsia="TimesNewRoman" w:cs="TimesNewRoman"/>
          <w:kern w:val="0"/>
          <w:szCs w:val="24"/>
        </w:rPr>
        <w:t>②</w:t>
      </w:r>
      <w:r>
        <w:rPr>
          <w:rFonts w:ascii="TimesNewRoman" w:eastAsia="TimesNewRoman" w:cs="TimesNewRoman"/>
          <w:kern w:val="0"/>
          <w:szCs w:val="24"/>
        </w:rPr>
        <w:fldChar w:fldCharType="end"/>
      </w:r>
      <w:r>
        <w:rPr>
          <w:rFonts w:hint="eastAsia" w:ascii="宋体" w:cs="宋体"/>
          <w:kern w:val="0"/>
          <w:szCs w:val="24"/>
        </w:rPr>
        <w:t>水生生态</w:t>
      </w:r>
    </w:p>
    <w:p>
      <w:pPr>
        <w:autoSpaceDE w:val="0"/>
        <w:autoSpaceDN w:val="0"/>
        <w:adjustRightInd w:val="0"/>
        <w:ind w:firstLine="480"/>
        <w:rPr>
          <w:rFonts w:ascii="宋体" w:cs="宋体"/>
          <w:kern w:val="0"/>
          <w:szCs w:val="24"/>
        </w:rPr>
      </w:pPr>
      <w:r>
        <w:rPr>
          <w:rFonts w:hint="eastAsia" w:ascii="宋体" w:cs="宋体"/>
          <w:kern w:val="0"/>
          <w:szCs w:val="24"/>
        </w:rPr>
        <w:t>初期蓄水采用</w:t>
      </w:r>
      <w:r>
        <w:t>坝顶溢流</w:t>
      </w:r>
      <w:r>
        <w:rPr>
          <w:rFonts w:hint="eastAsia"/>
        </w:rPr>
        <w:t>0.07m</w:t>
      </w:r>
      <w:r>
        <w:rPr>
          <w:rFonts w:hint="eastAsia" w:ascii="宋体" w:cs="宋体"/>
          <w:kern w:val="0"/>
          <w:szCs w:val="24"/>
        </w:rPr>
        <w:t>高程后作为下放生态流量；抬水坝运行期采用</w:t>
      </w:r>
      <w:r>
        <w:t>坝顶溢流</w:t>
      </w:r>
      <w:r>
        <w:rPr>
          <w:rFonts w:hint="eastAsia"/>
        </w:rPr>
        <w:t>0.07m</w:t>
      </w:r>
      <w:r>
        <w:t>，</w:t>
      </w:r>
      <w:r>
        <w:rPr>
          <w:rFonts w:hint="eastAsia"/>
        </w:rPr>
        <w:t>泄</w:t>
      </w:r>
      <w:r>
        <w:t>水流量为</w:t>
      </w:r>
      <w:r>
        <w:rPr>
          <w:rFonts w:hint="eastAsia"/>
        </w:rPr>
        <w:t>12.11</w:t>
      </w:r>
      <w:r>
        <w:t>m</w:t>
      </w:r>
      <w:r>
        <w:rPr>
          <w:vertAlign w:val="superscript"/>
        </w:rPr>
        <w:t>3</w:t>
      </w:r>
      <w:r>
        <w:t>/s</w:t>
      </w:r>
      <w:r>
        <w:rPr>
          <w:rFonts w:hint="eastAsia" w:ascii="宋体" w:cs="宋体"/>
          <w:kern w:val="0"/>
          <w:szCs w:val="24"/>
        </w:rPr>
        <w:t>作为下放生态流量，</w:t>
      </w:r>
      <w:r>
        <w:t>枯</w:t>
      </w:r>
      <w:r>
        <w:rPr>
          <w:rFonts w:hint="eastAsia"/>
        </w:rPr>
        <w:t>水</w:t>
      </w:r>
      <w:r>
        <w:t>期</w:t>
      </w:r>
      <w:r>
        <w:rPr>
          <w:rFonts w:hint="eastAsia"/>
        </w:rPr>
        <w:t>，</w:t>
      </w:r>
      <w:r>
        <w:t>合理</w:t>
      </w:r>
      <w:r>
        <w:rPr>
          <w:rFonts w:hint="eastAsia"/>
        </w:rPr>
        <w:t>开启</w:t>
      </w:r>
      <w:r>
        <w:t>抬水工程闸门高度</w:t>
      </w:r>
      <w:r>
        <w:rPr>
          <w:rFonts w:hint="eastAsia"/>
        </w:rPr>
        <w:t>调节</w:t>
      </w:r>
      <w:r>
        <w:t>下泄生态流量</w:t>
      </w:r>
      <w:r>
        <w:rPr>
          <w:rFonts w:hint="eastAsia" w:ascii="宋体" w:cs="宋体"/>
          <w:kern w:val="0"/>
          <w:szCs w:val="24"/>
        </w:rPr>
        <w:t>。</w:t>
      </w:r>
    </w:p>
    <w:p>
      <w:pPr>
        <w:ind w:firstLine="480"/>
      </w:pPr>
      <w:r>
        <w:rPr>
          <w:rFonts w:hint="eastAsia"/>
          <w:szCs w:val="24"/>
        </w:rPr>
        <w:t>加强宣传和管理，增强环保意识；</w:t>
      </w:r>
      <w:r>
        <w:rPr>
          <w:rFonts w:hint="eastAsia"/>
        </w:rPr>
        <w:t>优化设计，技术上保护措施；设置</w:t>
      </w:r>
      <w:r>
        <w:t>鱼类增殖放流措施</w:t>
      </w:r>
      <w:r>
        <w:rPr>
          <w:rFonts w:hint="eastAsia"/>
        </w:rPr>
        <w:t>，</w:t>
      </w:r>
      <w:r>
        <w:rPr>
          <w:rFonts w:hint="eastAsia" w:ascii="宋体" w:cs="宋体"/>
          <w:kern w:val="0"/>
          <w:szCs w:val="24"/>
        </w:rPr>
        <w:t>鱼类增殖放流采用外购鱼苗的方式，放流对象</w:t>
      </w:r>
      <w:r>
        <w:fldChar w:fldCharType="begin"/>
      </w:r>
      <w:r>
        <w:instrText xml:space="preserve"> HYPERLINK "https://baike.baidu.com/item/%E9%9D%92%E9%B1%BC/680135" \t "_blank" </w:instrText>
      </w:r>
      <w:r>
        <w:fldChar w:fldCharType="separate"/>
      </w:r>
      <w:r>
        <w:rPr>
          <w:szCs w:val="24"/>
        </w:rPr>
        <w:t>青鱼</w:t>
      </w:r>
      <w:r>
        <w:rPr>
          <w:szCs w:val="24"/>
        </w:rPr>
        <w:fldChar w:fldCharType="end"/>
      </w:r>
      <w:r>
        <w:rPr>
          <w:szCs w:val="24"/>
        </w:rPr>
        <w:t>、</w:t>
      </w:r>
      <w:r>
        <w:fldChar w:fldCharType="begin"/>
      </w:r>
      <w:r>
        <w:instrText xml:space="preserve"> HYPERLINK "https://baike.baidu.com/item/%E8%8D%89%E9%B1%BC/680268" \t "_blank" </w:instrText>
      </w:r>
      <w:r>
        <w:fldChar w:fldCharType="separate"/>
      </w:r>
      <w:r>
        <w:rPr>
          <w:szCs w:val="24"/>
        </w:rPr>
        <w:t>草鱼</w:t>
      </w:r>
      <w:r>
        <w:rPr>
          <w:szCs w:val="24"/>
        </w:rPr>
        <w:fldChar w:fldCharType="end"/>
      </w:r>
      <w:r>
        <w:rPr>
          <w:szCs w:val="24"/>
        </w:rPr>
        <w:t>、</w:t>
      </w:r>
      <w:r>
        <w:fldChar w:fldCharType="begin"/>
      </w:r>
      <w:r>
        <w:instrText xml:space="preserve"> HYPERLINK "https://baike.baidu.com/item/%E9%B2%A2%E9%B1%BC/1352881" \t "_blank" </w:instrText>
      </w:r>
      <w:r>
        <w:fldChar w:fldCharType="separate"/>
      </w:r>
      <w:r>
        <w:rPr>
          <w:szCs w:val="24"/>
        </w:rPr>
        <w:t>鲢鱼</w:t>
      </w:r>
      <w:r>
        <w:rPr>
          <w:szCs w:val="24"/>
        </w:rPr>
        <w:fldChar w:fldCharType="end"/>
      </w:r>
      <w:r>
        <w:rPr>
          <w:szCs w:val="24"/>
        </w:rPr>
        <w:t>、</w:t>
      </w:r>
      <w:r>
        <w:fldChar w:fldCharType="begin"/>
      </w:r>
      <w:r>
        <w:instrText xml:space="preserve"> HYPERLINK "https://baike.baidu.com/item/%E9%B3%99%E9%B1%BC/6812945" \t "_blank" </w:instrText>
      </w:r>
      <w:r>
        <w:fldChar w:fldCharType="separate"/>
      </w:r>
      <w:r>
        <w:rPr>
          <w:szCs w:val="24"/>
        </w:rPr>
        <w:t>鳙鱼</w:t>
      </w:r>
      <w:r>
        <w:rPr>
          <w:szCs w:val="24"/>
        </w:rPr>
        <w:fldChar w:fldCharType="end"/>
      </w:r>
      <w:r>
        <w:rPr>
          <w:szCs w:val="24"/>
        </w:rPr>
        <w:t>4种鱼类，每年放流15000尾</w:t>
      </w:r>
      <w:r>
        <w:rPr>
          <w:rFonts w:hint="eastAsia" w:ascii="宋体" w:cs="宋体"/>
          <w:kern w:val="0"/>
          <w:szCs w:val="24"/>
        </w:rPr>
        <w:t>；建议渔政主管部门加强管理机构建设；</w:t>
      </w:r>
      <w:r>
        <w:rPr>
          <w:rFonts w:hint="eastAsia"/>
          <w:szCs w:val="24"/>
        </w:rPr>
        <w:t>建立鱼类保护应急机制、</w:t>
      </w:r>
      <w:r>
        <w:rPr>
          <w:szCs w:val="24"/>
        </w:rPr>
        <w:t>进行水生生物和鱼类资源的监测</w:t>
      </w:r>
      <w:r>
        <w:rPr>
          <w:rFonts w:hint="eastAsia" w:ascii="宋体" w:cs="宋体"/>
          <w:kern w:val="0"/>
          <w:szCs w:val="24"/>
        </w:rPr>
        <w:t>。</w:t>
      </w:r>
    </w:p>
    <w:p>
      <w:pPr>
        <w:autoSpaceDE w:val="0"/>
        <w:autoSpaceDN w:val="0"/>
        <w:adjustRightInd w:val="0"/>
        <w:ind w:firstLine="480"/>
        <w:rPr>
          <w:rFonts w:ascii="宋体" w:cs="宋体"/>
          <w:kern w:val="0"/>
          <w:szCs w:val="24"/>
        </w:rPr>
      </w:pPr>
      <w:r>
        <w:rPr>
          <w:rFonts w:hint="eastAsia" w:ascii="宋体" w:cs="宋体"/>
          <w:kern w:val="0"/>
          <w:szCs w:val="24"/>
        </w:rPr>
        <w:t>(3)大气环境保护措施</w:t>
      </w:r>
    </w:p>
    <w:p>
      <w:pPr>
        <w:autoSpaceDE w:val="0"/>
        <w:autoSpaceDN w:val="0"/>
        <w:adjustRightInd w:val="0"/>
        <w:ind w:firstLine="480"/>
        <w:rPr>
          <w:rFonts w:ascii="宋体" w:cs="宋体"/>
          <w:kern w:val="0"/>
          <w:szCs w:val="24"/>
        </w:rPr>
      </w:pPr>
      <w:r>
        <w:rPr>
          <w:rFonts w:hint="eastAsia" w:ascii="宋体" w:cs="宋体"/>
          <w:kern w:val="0"/>
          <w:szCs w:val="24"/>
        </w:rPr>
        <w:t>工程土石方开挖过程中优化开挖爆破方法，采取产尘少的开挖爆破方法，非雨日采取酒水措施；加强道路管理和维护，保持路面平坦清洁，无雨日的早、中、晚酒水；在施工机械和运输工具选择上，应选用符合国家有关标准的施工机械和运输工具，对排烟量较大的施工机械，安装消烟装置及尾气净化器；加强施工人员的劳动保护，对施工人员发放防尘口單等进行防护。</w:t>
      </w:r>
    </w:p>
    <w:p>
      <w:pPr>
        <w:autoSpaceDE w:val="0"/>
        <w:autoSpaceDN w:val="0"/>
        <w:adjustRightInd w:val="0"/>
        <w:ind w:firstLine="480"/>
        <w:rPr>
          <w:rFonts w:ascii="宋体" w:cs="宋体"/>
          <w:kern w:val="0"/>
          <w:szCs w:val="24"/>
        </w:rPr>
      </w:pPr>
      <w:r>
        <w:rPr>
          <w:rFonts w:hint="eastAsia" w:ascii="宋体" w:cs="宋体"/>
          <w:kern w:val="0"/>
          <w:szCs w:val="24"/>
        </w:rPr>
        <w:t>(4)声环境保护措施</w:t>
      </w:r>
    </w:p>
    <w:p>
      <w:pPr>
        <w:autoSpaceDE w:val="0"/>
        <w:autoSpaceDN w:val="0"/>
        <w:adjustRightInd w:val="0"/>
        <w:ind w:firstLine="480"/>
        <w:rPr>
          <w:rFonts w:ascii="宋体" w:cs="宋体"/>
          <w:kern w:val="0"/>
          <w:szCs w:val="24"/>
        </w:rPr>
      </w:pPr>
      <w:r>
        <w:rPr>
          <w:rFonts w:hint="eastAsia" w:ascii="宋体" w:cs="宋体"/>
          <w:kern w:val="0"/>
          <w:szCs w:val="24"/>
        </w:rPr>
        <w:t>采用低噪声的生产机械和设备，从根本上降低噪声源强；传播途径、交通噪声、爆破噪声等实行控制，合理安排施工时间等措施，严禁午休时间（</w:t>
      </w:r>
      <w:r>
        <w:rPr>
          <w:rFonts w:ascii="宋体" w:cs="宋体"/>
          <w:kern w:val="0"/>
          <w:szCs w:val="24"/>
        </w:rPr>
        <w:t>12</w:t>
      </w:r>
      <w:r>
        <w:rPr>
          <w:rFonts w:hint="eastAsia" w:ascii="宋体" w:cs="宋体"/>
          <w:kern w:val="0"/>
          <w:szCs w:val="24"/>
        </w:rPr>
        <w:t>：</w:t>
      </w:r>
      <w:r>
        <w:rPr>
          <w:rFonts w:ascii="宋体" w:cs="宋体"/>
          <w:kern w:val="0"/>
          <w:szCs w:val="24"/>
        </w:rPr>
        <w:t>00</w:t>
      </w:r>
      <w:r>
        <w:rPr>
          <w:rFonts w:hint="eastAsia" w:ascii="宋体" w:cs="宋体"/>
          <w:kern w:val="0"/>
          <w:szCs w:val="24"/>
        </w:rPr>
        <w:t>－</w:t>
      </w:r>
      <w:r>
        <w:rPr>
          <w:rFonts w:ascii="宋体" w:cs="宋体"/>
          <w:kern w:val="0"/>
          <w:szCs w:val="24"/>
        </w:rPr>
        <w:t>14</w:t>
      </w:r>
      <w:r>
        <w:rPr>
          <w:rFonts w:hint="eastAsia" w:ascii="宋体" w:cs="宋体"/>
          <w:kern w:val="0"/>
          <w:szCs w:val="24"/>
        </w:rPr>
        <w:t>：</w:t>
      </w:r>
      <w:r>
        <w:rPr>
          <w:rFonts w:ascii="宋体" w:cs="宋体"/>
          <w:kern w:val="0"/>
          <w:szCs w:val="24"/>
        </w:rPr>
        <w:t>00</w:t>
      </w:r>
      <w:r>
        <w:rPr>
          <w:rFonts w:hint="eastAsia" w:ascii="宋体" w:cs="宋体"/>
          <w:kern w:val="0"/>
          <w:szCs w:val="24"/>
        </w:rPr>
        <w:t>）和夜间（</w:t>
      </w:r>
      <w:r>
        <w:rPr>
          <w:rFonts w:ascii="宋体" w:cs="宋体"/>
          <w:kern w:val="0"/>
          <w:szCs w:val="24"/>
        </w:rPr>
        <w:t>2</w:t>
      </w:r>
      <w:r>
        <w:rPr>
          <w:rFonts w:hint="eastAsia" w:ascii="宋体" w:cs="宋体"/>
          <w:kern w:val="0"/>
          <w:szCs w:val="24"/>
        </w:rPr>
        <w:t>0：</w:t>
      </w:r>
      <w:r>
        <w:rPr>
          <w:rFonts w:ascii="宋体" w:cs="宋体"/>
          <w:kern w:val="0"/>
          <w:szCs w:val="24"/>
        </w:rPr>
        <w:t>00</w:t>
      </w:r>
      <w:r>
        <w:rPr>
          <w:rFonts w:hint="eastAsia" w:ascii="宋体" w:cs="宋体"/>
          <w:kern w:val="0"/>
          <w:szCs w:val="24"/>
        </w:rPr>
        <w:t>－8：</w:t>
      </w:r>
      <w:r>
        <w:rPr>
          <w:rFonts w:ascii="宋体" w:cs="宋体"/>
          <w:kern w:val="0"/>
          <w:szCs w:val="24"/>
        </w:rPr>
        <w:t>00</w:t>
      </w:r>
      <w:r>
        <w:rPr>
          <w:rFonts w:hint="eastAsia" w:ascii="宋体" w:cs="宋体"/>
          <w:kern w:val="0"/>
          <w:szCs w:val="24"/>
        </w:rPr>
        <w:t>）施工；加强道路养护和车辆的维修保养，禁止使用高噪声车辆；在施工道路进入各区影响范围处设置警示牌，提醒对周围人群的保护；给每位施工人员配戴防噪声耳塞、耳罩、防声棉、防噪声头等个人防护工具。</w:t>
      </w:r>
    </w:p>
    <w:p>
      <w:pPr>
        <w:autoSpaceDE w:val="0"/>
        <w:autoSpaceDN w:val="0"/>
        <w:adjustRightInd w:val="0"/>
        <w:ind w:firstLine="480"/>
        <w:rPr>
          <w:kern w:val="0"/>
          <w:szCs w:val="24"/>
        </w:rPr>
      </w:pPr>
      <w:r>
        <w:t>(5)</w:t>
      </w:r>
      <w:r>
        <w:rPr>
          <w:kern w:val="0"/>
          <w:szCs w:val="24"/>
        </w:rPr>
        <w:t>固体废物处置措施</w:t>
      </w:r>
    </w:p>
    <w:p>
      <w:pPr>
        <w:autoSpaceDE w:val="0"/>
        <w:autoSpaceDN w:val="0"/>
        <w:adjustRightInd w:val="0"/>
        <w:ind w:firstLine="480"/>
        <w:rPr>
          <w:kern w:val="0"/>
          <w:szCs w:val="24"/>
        </w:rPr>
      </w:pPr>
      <w:r>
        <w:rPr>
          <w:kern w:val="0"/>
          <w:szCs w:val="24"/>
        </w:rPr>
        <w:fldChar w:fldCharType="begin"/>
      </w:r>
      <w:r>
        <w:rPr>
          <w:kern w:val="0"/>
          <w:szCs w:val="24"/>
        </w:rPr>
        <w:instrText xml:space="preserve"> = 1 \* GB3 </w:instrText>
      </w:r>
      <w:r>
        <w:rPr>
          <w:kern w:val="0"/>
          <w:szCs w:val="24"/>
        </w:rPr>
        <w:fldChar w:fldCharType="separate"/>
      </w:r>
      <w:r>
        <w:rPr>
          <w:kern w:val="0"/>
          <w:szCs w:val="24"/>
        </w:rPr>
        <w:t>①</w:t>
      </w:r>
      <w:r>
        <w:rPr>
          <w:kern w:val="0"/>
          <w:szCs w:val="24"/>
        </w:rPr>
        <w:fldChar w:fldCharType="end"/>
      </w:r>
      <w:r>
        <w:rPr>
          <w:kern w:val="0"/>
          <w:szCs w:val="24"/>
        </w:rPr>
        <w:t>施工期</w:t>
      </w:r>
    </w:p>
    <w:p>
      <w:pPr>
        <w:autoSpaceDE w:val="0"/>
        <w:autoSpaceDN w:val="0"/>
        <w:adjustRightInd w:val="0"/>
        <w:ind w:firstLine="480"/>
        <w:rPr>
          <w:kern w:val="0"/>
          <w:szCs w:val="24"/>
        </w:rPr>
      </w:pPr>
      <w:r>
        <w:rPr>
          <w:rFonts w:eastAsia="TimesNewRoman"/>
          <w:kern w:val="0"/>
          <w:szCs w:val="24"/>
        </w:rPr>
        <w:t>A</w:t>
      </w:r>
      <w:r>
        <w:rPr>
          <w:kern w:val="0"/>
          <w:szCs w:val="24"/>
        </w:rPr>
        <w:t>、工程弃渣：尽可能用于回填或综合利用，剩余弃渣应按照要求送到指定的渣场，堆渣前先修建挡渣墙，堆渣过程中逐层压实，控制堆渣高度和边坡稳定性，并根据施工进展情况修建排水沟等水土保持措施。</w:t>
      </w:r>
    </w:p>
    <w:p>
      <w:pPr>
        <w:autoSpaceDE w:val="0"/>
        <w:autoSpaceDN w:val="0"/>
        <w:adjustRightInd w:val="0"/>
        <w:ind w:firstLine="480"/>
        <w:rPr>
          <w:kern w:val="0"/>
          <w:szCs w:val="24"/>
        </w:rPr>
      </w:pPr>
      <w:r>
        <w:rPr>
          <w:rFonts w:eastAsia="TimesNewRoman"/>
          <w:kern w:val="0"/>
          <w:szCs w:val="24"/>
        </w:rPr>
        <w:t>B</w:t>
      </w:r>
      <w:r>
        <w:rPr>
          <w:kern w:val="0"/>
          <w:szCs w:val="24"/>
        </w:rPr>
        <w:t>、生活垃圾：生活垃圾集中收集后，运至</w:t>
      </w:r>
      <w:r>
        <w:rPr>
          <w:rFonts w:hint="eastAsia"/>
          <w:kern w:val="0"/>
          <w:szCs w:val="24"/>
        </w:rPr>
        <w:t>上高</w:t>
      </w:r>
      <w:r>
        <w:rPr>
          <w:kern w:val="0"/>
          <w:szCs w:val="24"/>
        </w:rPr>
        <w:t>县垃圾填埋场无害化处置。</w:t>
      </w:r>
    </w:p>
    <w:p>
      <w:pPr>
        <w:autoSpaceDE w:val="0"/>
        <w:autoSpaceDN w:val="0"/>
        <w:adjustRightInd w:val="0"/>
        <w:ind w:firstLine="480"/>
        <w:rPr>
          <w:kern w:val="0"/>
          <w:szCs w:val="24"/>
        </w:rPr>
      </w:pPr>
      <w:r>
        <w:rPr>
          <w:rFonts w:eastAsia="TimesNewRoman"/>
          <w:kern w:val="0"/>
          <w:szCs w:val="24"/>
        </w:rPr>
        <w:t>C</w:t>
      </w:r>
      <w:r>
        <w:rPr>
          <w:kern w:val="0"/>
          <w:szCs w:val="24"/>
        </w:rPr>
        <w:t>、危险废物：在维修处设置一处危险废物暂存间，定期委托有资质单位处置。</w:t>
      </w:r>
    </w:p>
    <w:p>
      <w:pPr>
        <w:autoSpaceDE w:val="0"/>
        <w:autoSpaceDN w:val="0"/>
        <w:adjustRightInd w:val="0"/>
        <w:ind w:firstLine="480"/>
        <w:rPr>
          <w:kern w:val="0"/>
          <w:szCs w:val="24"/>
        </w:rPr>
      </w:pPr>
      <w:r>
        <w:rPr>
          <w:kern w:val="0"/>
          <w:szCs w:val="24"/>
        </w:rPr>
        <w:fldChar w:fldCharType="begin"/>
      </w:r>
      <w:r>
        <w:rPr>
          <w:kern w:val="0"/>
          <w:szCs w:val="24"/>
        </w:rPr>
        <w:instrText xml:space="preserve"> = 2 \* GB3 </w:instrText>
      </w:r>
      <w:r>
        <w:rPr>
          <w:kern w:val="0"/>
          <w:szCs w:val="24"/>
        </w:rPr>
        <w:fldChar w:fldCharType="separate"/>
      </w:r>
      <w:r>
        <w:rPr>
          <w:kern w:val="0"/>
          <w:szCs w:val="24"/>
        </w:rPr>
        <w:t>②</w:t>
      </w:r>
      <w:r>
        <w:rPr>
          <w:kern w:val="0"/>
          <w:szCs w:val="24"/>
        </w:rPr>
        <w:fldChar w:fldCharType="end"/>
      </w:r>
      <w:r>
        <w:rPr>
          <w:kern w:val="0"/>
          <w:szCs w:val="24"/>
        </w:rPr>
        <w:t>运行期：</w:t>
      </w:r>
    </w:p>
    <w:p>
      <w:pPr>
        <w:autoSpaceDE w:val="0"/>
        <w:autoSpaceDN w:val="0"/>
        <w:adjustRightInd w:val="0"/>
        <w:ind w:firstLine="480"/>
        <w:rPr>
          <w:kern w:val="0"/>
          <w:szCs w:val="24"/>
        </w:rPr>
      </w:pPr>
      <w:r>
        <w:rPr>
          <w:rFonts w:eastAsia="TimesNewRoman"/>
          <w:kern w:val="0"/>
          <w:szCs w:val="24"/>
        </w:rPr>
        <w:t>A</w:t>
      </w:r>
      <w:r>
        <w:rPr>
          <w:kern w:val="0"/>
          <w:szCs w:val="24"/>
        </w:rPr>
        <w:t>、生活垃圾：集中收集生活垃圾，运至</w:t>
      </w:r>
      <w:r>
        <w:rPr>
          <w:rFonts w:hint="eastAsia"/>
          <w:kern w:val="0"/>
          <w:szCs w:val="24"/>
        </w:rPr>
        <w:t>上高</w:t>
      </w:r>
      <w:r>
        <w:rPr>
          <w:kern w:val="0"/>
          <w:szCs w:val="24"/>
        </w:rPr>
        <w:t>县垃圾填埋场无害化处置。</w:t>
      </w:r>
    </w:p>
    <w:p>
      <w:pPr>
        <w:pStyle w:val="284"/>
        <w:ind w:firstLine="480" w:firstLineChars="200"/>
        <w:rPr>
          <w:szCs w:val="20"/>
        </w:rPr>
      </w:pPr>
      <w:r>
        <w:rPr>
          <w:rFonts w:hint="eastAsia"/>
        </w:rPr>
        <w:t>(6)</w:t>
      </w:r>
      <w:r>
        <w:rPr>
          <w:rFonts w:hint="eastAsia"/>
          <w:szCs w:val="20"/>
        </w:rPr>
        <w:t>地下水环境防护措施</w:t>
      </w:r>
    </w:p>
    <w:p>
      <w:pPr>
        <w:autoSpaceDE w:val="0"/>
        <w:autoSpaceDN w:val="0"/>
        <w:adjustRightInd w:val="0"/>
        <w:ind w:firstLine="480"/>
      </w:pPr>
      <w:r>
        <w:rPr>
          <w:rFonts w:hint="eastAsia"/>
        </w:rPr>
        <w:t>在落实废污水处理、水质保护和控制抬水坝渗漏的基础上，进一步调查库区的补给区和径流通道，制定相关区域的污染治理和环境保护规划。</w:t>
      </w:r>
    </w:p>
    <w:p>
      <w:pPr>
        <w:autoSpaceDE w:val="0"/>
        <w:autoSpaceDN w:val="0"/>
        <w:adjustRightInd w:val="0"/>
        <w:ind w:firstLine="480"/>
      </w:pPr>
      <w:r>
        <w:rPr>
          <w:rFonts w:hint="eastAsia"/>
        </w:rPr>
        <w:t>(7)环境监测及管理计划</w:t>
      </w:r>
    </w:p>
    <w:p>
      <w:pPr>
        <w:autoSpaceDE w:val="0"/>
        <w:autoSpaceDN w:val="0"/>
        <w:adjustRightInd w:val="0"/>
        <w:ind w:firstLine="480"/>
      </w:pPr>
      <w:r>
        <w:rPr>
          <w:rFonts w:hint="eastAsia"/>
        </w:rPr>
        <w:t>毛家渡抬水工程环境监测系统包括水环境监测、环境空气监测、声环境监测、陆生生物调查、水生生态调查、土壤监测和调查以及人群健康调查等。</w:t>
      </w:r>
    </w:p>
    <w:p>
      <w:pPr>
        <w:autoSpaceDE w:val="0"/>
        <w:autoSpaceDN w:val="0"/>
        <w:adjustRightInd w:val="0"/>
        <w:ind w:firstLine="480"/>
      </w:pPr>
      <w:r>
        <w:rPr>
          <w:rFonts w:hint="eastAsia"/>
        </w:rPr>
        <w:t>环境管理分别就施工期、运行期提出了相应环境管理计划，明确建设单位、承包商环境管理机构和职责等环境管理要求；提出了工程环境监理计划，明确监理范围、监理方式、岗位职责、监理工作任务及主要内容。</w:t>
      </w:r>
    </w:p>
    <w:bookmarkEnd w:id="1401"/>
    <w:bookmarkEnd w:id="1402"/>
    <w:bookmarkEnd w:id="1403"/>
    <w:bookmarkEnd w:id="1426"/>
    <w:bookmarkEnd w:id="1427"/>
    <w:bookmarkEnd w:id="1428"/>
    <w:bookmarkEnd w:id="1429"/>
    <w:bookmarkEnd w:id="1430"/>
    <w:bookmarkEnd w:id="1431"/>
    <w:bookmarkEnd w:id="1432"/>
    <w:bookmarkEnd w:id="1433"/>
    <w:bookmarkEnd w:id="1482"/>
    <w:bookmarkEnd w:id="1483"/>
    <w:p>
      <w:pPr>
        <w:pStyle w:val="6"/>
        <w:spacing w:afterLines="50"/>
        <w:rPr>
          <w:szCs w:val="28"/>
        </w:rPr>
      </w:pPr>
      <w:bookmarkStart w:id="1485" w:name="_Toc5034"/>
      <w:r>
        <w:rPr>
          <w:szCs w:val="28"/>
        </w:rPr>
        <w:t>10.</w:t>
      </w:r>
      <w:r>
        <w:rPr>
          <w:rFonts w:hint="eastAsia"/>
          <w:szCs w:val="28"/>
        </w:rPr>
        <w:t>6环境风险评价结论</w:t>
      </w:r>
      <w:bookmarkEnd w:id="1485"/>
    </w:p>
    <w:p>
      <w:pPr>
        <w:autoSpaceDE w:val="0"/>
        <w:autoSpaceDN w:val="0"/>
        <w:adjustRightInd w:val="0"/>
        <w:ind w:firstLine="480"/>
        <w:rPr>
          <w:szCs w:val="24"/>
        </w:rPr>
      </w:pPr>
      <w:r>
        <w:rPr>
          <w:rFonts w:hint="eastAsia"/>
          <w:szCs w:val="24"/>
        </w:rPr>
        <w:t>根据项目风险分析，</w:t>
      </w:r>
      <w:r>
        <w:rPr>
          <w:rFonts w:hint="eastAsia" w:ascii="宋体" w:cs="宋体"/>
          <w:kern w:val="0"/>
          <w:szCs w:val="24"/>
        </w:rPr>
        <w:t>工程可能存在的环境风险主要是施工期使用油料可能造成爆炸和火灾、废污水事故排放，渣坝溃坝；运行期大坝溃坝引起的风险。建设单位通过建立健全安全生产责任制，加强施工期管理，防止爆炸、油料泄漏事故发生；加强日常维护、安全巡查工作，加强大坝安全监测，定期进行安全检查和鉴定，对观测资料进行整理和分析，发现异常情况及时处理等措施</w:t>
      </w:r>
      <w:r>
        <w:rPr>
          <w:rFonts w:hint="eastAsia"/>
          <w:szCs w:val="24"/>
        </w:rPr>
        <w:t>，同时制定有效的应急方案，使事故发生后对环境的影响减至最低程度。建设单位在按照本报告书的要求做好各项风险预防措施及应急预案的前提下，所产生的环境风险可以控制在可接受水平内。</w:t>
      </w:r>
    </w:p>
    <w:p>
      <w:pPr>
        <w:pStyle w:val="6"/>
        <w:spacing w:beforeLines="50" w:afterLines="50"/>
        <w:rPr>
          <w:szCs w:val="28"/>
        </w:rPr>
      </w:pPr>
      <w:bookmarkStart w:id="1486" w:name="_Toc53972184"/>
      <w:bookmarkStart w:id="1487" w:name="_Toc121902585"/>
      <w:bookmarkStart w:id="1488" w:name="_Toc219871073"/>
      <w:bookmarkStart w:id="1489" w:name="_Toc200267365"/>
      <w:bookmarkStart w:id="1490" w:name="_Toc334643229"/>
      <w:bookmarkStart w:id="1491" w:name="_Toc185306013"/>
      <w:bookmarkStart w:id="1492" w:name="_Toc269188134"/>
      <w:bookmarkStart w:id="1493" w:name="_Toc529279176"/>
      <w:bookmarkStart w:id="1494" w:name="_Toc534807173"/>
      <w:bookmarkStart w:id="1495" w:name="_Toc3903399"/>
      <w:bookmarkStart w:id="1496" w:name="_Toc534895390"/>
      <w:bookmarkStart w:id="1497" w:name="_Toc536265262"/>
      <w:bookmarkStart w:id="1498" w:name="_Toc534386420"/>
      <w:bookmarkStart w:id="1499" w:name="_Toc31144"/>
      <w:r>
        <w:rPr>
          <w:rFonts w:hint="eastAsia"/>
          <w:szCs w:val="28"/>
        </w:rPr>
        <w:t>10</w:t>
      </w:r>
      <w:r>
        <w:rPr>
          <w:szCs w:val="28"/>
        </w:rPr>
        <w:t>.</w:t>
      </w:r>
      <w:bookmarkEnd w:id="1486"/>
      <w:bookmarkEnd w:id="1487"/>
      <w:bookmarkEnd w:id="1488"/>
      <w:bookmarkEnd w:id="1489"/>
      <w:bookmarkEnd w:id="1490"/>
      <w:bookmarkEnd w:id="1491"/>
      <w:bookmarkEnd w:id="1492"/>
      <w:bookmarkStart w:id="1500" w:name="_Toc334643230"/>
      <w:bookmarkStart w:id="1501" w:name="_Toc219871079"/>
      <w:bookmarkStart w:id="1502" w:name="_Toc269188135"/>
      <w:bookmarkStart w:id="1503" w:name="_Toc121902586"/>
      <w:bookmarkStart w:id="1504" w:name="_Toc200267372"/>
      <w:bookmarkStart w:id="1505" w:name="_Toc185306021"/>
      <w:r>
        <w:rPr>
          <w:rFonts w:hint="eastAsia"/>
          <w:szCs w:val="28"/>
        </w:rPr>
        <w:t>7</w:t>
      </w:r>
      <w:bookmarkEnd w:id="1493"/>
      <w:bookmarkEnd w:id="1494"/>
      <w:bookmarkEnd w:id="1495"/>
      <w:bookmarkEnd w:id="1496"/>
      <w:bookmarkEnd w:id="1497"/>
      <w:bookmarkEnd w:id="1498"/>
      <w:bookmarkEnd w:id="1500"/>
      <w:bookmarkEnd w:id="1501"/>
      <w:bookmarkEnd w:id="1502"/>
      <w:bookmarkEnd w:id="1503"/>
      <w:bookmarkEnd w:id="1504"/>
      <w:bookmarkEnd w:id="1505"/>
      <w:r>
        <w:rPr>
          <w:rFonts w:hint="eastAsia"/>
          <w:szCs w:val="28"/>
        </w:rPr>
        <w:t>公众参与调查</w:t>
      </w:r>
      <w:bookmarkEnd w:id="1499"/>
    </w:p>
    <w:p>
      <w:pPr>
        <w:ind w:firstLine="480"/>
        <w:rPr>
          <w:szCs w:val="22"/>
        </w:rPr>
      </w:pPr>
      <w:bookmarkStart w:id="1506" w:name="OLE_LINK13"/>
      <w:r>
        <w:t>建设</w:t>
      </w:r>
      <w:r>
        <w:rPr>
          <w:szCs w:val="22"/>
        </w:rPr>
        <w:t>单位在本项目环评委托后，在项目所在地</w:t>
      </w:r>
      <w:r>
        <w:rPr>
          <w:rFonts w:hint="eastAsia"/>
          <w:szCs w:val="22"/>
        </w:rPr>
        <w:t>上高</w:t>
      </w:r>
      <w:r>
        <w:rPr>
          <w:szCs w:val="22"/>
        </w:rPr>
        <w:t>县政府信息公开网站上进行了第一次公示、第二次公示。在两次公示期间均未收到其他单位或个人的电话、传真、信件或邮件。参与的公众未对本项目的污染防治工作提出具体建议，但建设单位表示将全面落实环评提出的各项针对性的污染防治措施，做到污染物达标排放，避免造成环境污染。</w:t>
      </w:r>
      <w:bookmarkEnd w:id="1506"/>
    </w:p>
    <w:bookmarkEnd w:id="1369"/>
    <w:bookmarkEnd w:id="1370"/>
    <w:bookmarkEnd w:id="1371"/>
    <w:p>
      <w:pPr>
        <w:pStyle w:val="6"/>
        <w:spacing w:beforeLines="50" w:afterLines="50"/>
        <w:rPr>
          <w:szCs w:val="28"/>
        </w:rPr>
      </w:pPr>
      <w:bookmarkStart w:id="1507" w:name="_Toc534386422"/>
      <w:bookmarkStart w:id="1508" w:name="_Toc534807175"/>
      <w:bookmarkStart w:id="1509" w:name="_Toc3903401"/>
      <w:bookmarkStart w:id="1510" w:name="_Toc536265264"/>
      <w:bookmarkStart w:id="1511" w:name="_Toc22586"/>
      <w:bookmarkStart w:id="1512" w:name="_Toc534895392"/>
      <w:bookmarkStart w:id="1513" w:name="_Toc529279178"/>
      <w:r>
        <w:rPr>
          <w:rFonts w:hint="eastAsia"/>
          <w:szCs w:val="28"/>
        </w:rPr>
        <w:t>10</w:t>
      </w:r>
      <w:r>
        <w:rPr>
          <w:szCs w:val="28"/>
        </w:rPr>
        <w:t>.</w:t>
      </w:r>
      <w:r>
        <w:rPr>
          <w:rFonts w:hint="eastAsia"/>
          <w:szCs w:val="28"/>
        </w:rPr>
        <w:t>8评价</w:t>
      </w:r>
      <w:r>
        <w:rPr>
          <w:szCs w:val="28"/>
        </w:rPr>
        <w:t>总结论</w:t>
      </w:r>
      <w:bookmarkEnd w:id="1507"/>
      <w:bookmarkEnd w:id="1508"/>
      <w:bookmarkEnd w:id="1509"/>
      <w:bookmarkEnd w:id="1510"/>
      <w:bookmarkEnd w:id="1511"/>
      <w:bookmarkEnd w:id="1512"/>
      <w:bookmarkEnd w:id="1513"/>
    </w:p>
    <w:p>
      <w:pPr>
        <w:ind w:firstLine="480"/>
      </w:pPr>
      <w:r>
        <w:rPr>
          <w:rFonts w:hint="eastAsia"/>
        </w:rPr>
        <w:t>上高毛家渡抬水工程</w:t>
      </w:r>
      <w:r>
        <w:t>是一座以城市景观抬水为主，兼顾防洪的水利工程</w:t>
      </w:r>
      <w:r>
        <w:rPr>
          <w:rFonts w:hint="eastAsia"/>
        </w:rPr>
        <w:t>，符合</w:t>
      </w:r>
      <w:r>
        <w:t>国家和地方产业政策</w:t>
      </w:r>
      <w:r>
        <w:rPr>
          <w:rFonts w:hint="eastAsia"/>
        </w:rPr>
        <w:t>、法律法规及相关规划要求</w:t>
      </w:r>
      <w:r>
        <w:t>。</w:t>
      </w:r>
      <w:r>
        <w:rPr>
          <w:rFonts w:hint="eastAsia"/>
        </w:rPr>
        <w:t>抬水工程建设在取得综合利用效益的同时，也对环境带来一定不利影响，主要体现在自然生态环境方面，由于工程施工、抬水坝淹没、工程运行等活动对水环境、生态环境产生不利影响，但采取相应的保护与改善措施后，除耕地淹没损失为不可逆影响外，其他不利影响均可采取措施予以减缓或消除。项目实施不存在重大环境制约因素，从环境保护角度分析，工程建设可行。</w:t>
      </w:r>
    </w:p>
    <w:p>
      <w:pPr>
        <w:pStyle w:val="6"/>
        <w:spacing w:beforeLines="50" w:afterLines="50"/>
        <w:rPr>
          <w:szCs w:val="28"/>
        </w:rPr>
      </w:pPr>
      <w:bookmarkStart w:id="1514" w:name="_Toc534807176"/>
      <w:bookmarkStart w:id="1515" w:name="_Toc25747"/>
      <w:bookmarkStart w:id="1516" w:name="_Toc534895393"/>
      <w:bookmarkStart w:id="1517" w:name="_Toc536265265"/>
      <w:bookmarkStart w:id="1518" w:name="_Toc3903402"/>
      <w:r>
        <w:rPr>
          <w:rFonts w:hint="eastAsia"/>
          <w:szCs w:val="28"/>
        </w:rPr>
        <w:t>10</w:t>
      </w:r>
      <w:r>
        <w:rPr>
          <w:szCs w:val="28"/>
        </w:rPr>
        <w:t>.</w:t>
      </w:r>
      <w:r>
        <w:rPr>
          <w:rFonts w:hint="eastAsia"/>
          <w:szCs w:val="28"/>
        </w:rPr>
        <w:t>9</w:t>
      </w:r>
      <w:r>
        <w:rPr>
          <w:szCs w:val="28"/>
        </w:rPr>
        <w:t>建议</w:t>
      </w:r>
      <w:bookmarkEnd w:id="1514"/>
      <w:bookmarkEnd w:id="1515"/>
      <w:bookmarkEnd w:id="1516"/>
      <w:bookmarkEnd w:id="1517"/>
      <w:bookmarkEnd w:id="1518"/>
    </w:p>
    <w:p>
      <w:pPr>
        <w:ind w:firstLine="480"/>
      </w:pPr>
      <w:r>
        <w:rPr>
          <w:rFonts w:hint="eastAsia" w:ascii="宋体" w:hAnsi="宋体" w:cs="宋体"/>
        </w:rPr>
        <w:t>⑴</w:t>
      </w:r>
      <w:r>
        <w:t>建设单位在发包标书中应包含环境保护要求，明确承包商应承担的环境保护责任。</w:t>
      </w:r>
    </w:p>
    <w:p>
      <w:pPr>
        <w:ind w:firstLine="480"/>
      </w:pPr>
      <w:r>
        <w:rPr>
          <w:rFonts w:hint="eastAsia" w:ascii="宋体" w:hAnsi="宋体" w:cs="宋体"/>
        </w:rPr>
        <w:t>⑵</w:t>
      </w:r>
      <w:r>
        <w:t>环境保护措施能否顺利实施关键在于资金是否及时到位，建设单位应高度重视环保投入，积极筹措资金，做到专款专用。</w:t>
      </w:r>
    </w:p>
    <w:p>
      <w:pPr>
        <w:ind w:firstLine="480"/>
      </w:pPr>
      <w:r>
        <w:rPr>
          <w:rFonts w:hint="eastAsia" w:ascii="宋体" w:hAnsi="宋体" w:cs="宋体"/>
        </w:rPr>
        <w:t>⑶</w:t>
      </w:r>
      <w:r>
        <w:t>加强施工期环境监理、管理工作，自觉接受当地环保、水利、卫生等部门的监督。尽早建立环境管理机构，协调和管理施工期、运营期环境保护工作，责任明确到人，层层签订环境保护责任状，对于造成重大环境污染事件的人依法追究责任。</w:t>
      </w:r>
    </w:p>
    <w:p>
      <w:pPr>
        <w:ind w:firstLine="480"/>
      </w:pPr>
      <w:r>
        <w:rPr>
          <w:rFonts w:hint="eastAsia" w:ascii="宋体" w:hAnsi="宋体" w:cs="宋体"/>
        </w:rPr>
        <w:t>⑷</w:t>
      </w:r>
      <w:r>
        <w:t>下阶段进一步深入研究建筑物的结构型式和布置，优化设计方案。</w:t>
      </w:r>
    </w:p>
    <w:p>
      <w:pPr>
        <w:ind w:firstLine="480"/>
      </w:pPr>
      <w:r>
        <w:rPr>
          <w:rFonts w:hint="eastAsia" w:ascii="宋体" w:hAnsi="宋体" w:cs="宋体"/>
        </w:rPr>
        <w:t>⑸</w:t>
      </w:r>
      <w:r>
        <w:t>根据水工整体水力模型试验编制</w:t>
      </w:r>
      <w:r>
        <w:rPr>
          <w:rFonts w:hint="eastAsia"/>
        </w:rPr>
        <w:t>上高</w:t>
      </w:r>
      <w:r>
        <w:t>县</w:t>
      </w:r>
      <w:r>
        <w:rPr>
          <w:rFonts w:hint="eastAsia"/>
        </w:rPr>
        <w:t>毛家渡</w:t>
      </w:r>
      <w:r>
        <w:t>抬水坝的运行调度规章制度。</w:t>
      </w:r>
    </w:p>
    <w:p>
      <w:pPr>
        <w:ind w:firstLine="480"/>
      </w:pPr>
    </w:p>
    <w:sectPr>
      <w:headerReference r:id="rId22" w:type="default"/>
      <w:pgSz w:w="11906" w:h="16838"/>
      <w:pgMar w:top="1814" w:right="1134" w:bottom="1701" w:left="1418" w:header="1134" w:footer="992"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Garamond">
    <w:panose1 w:val="02020404030301010803"/>
    <w:charset w:val="00"/>
    <w:family w:val="roman"/>
    <w:pitch w:val="default"/>
    <w:sig w:usb0="00000287" w:usb1="00000000" w:usb2="00000000" w:usb3="00000000" w:csb0="0000009F" w:csb1="DFD70000"/>
  </w:font>
  <w:font w:name="楷体_GB2312">
    <w:altName w:val="楷体"/>
    <w:panose1 w:val="02010609030101010101"/>
    <w:charset w:val="86"/>
    <w:family w:val="modern"/>
    <w:pitch w:val="default"/>
    <w:sig w:usb0="00000000" w:usb1="00000000" w:usb2="00000000" w:usb3="00000000" w:csb0="00040000" w:csb1="00000000"/>
  </w:font>
  <w:font w:name="Century">
    <w:altName w:val="Bookman Old Style"/>
    <w:panose1 w:val="02040604050505020304"/>
    <w:charset w:val="00"/>
    <w:family w:val="roman"/>
    <w:pitch w:val="default"/>
    <w:sig w:usb0="00000000" w:usb1="00000000" w:usb2="00000000" w:usb3="00000000" w:csb0="2000009F" w:csb1="DFD70000"/>
  </w:font>
  <w:font w:name="新宋体">
    <w:panose1 w:val="02010609030101010101"/>
    <w:charset w:val="86"/>
    <w:family w:val="modern"/>
    <w:pitch w:val="default"/>
    <w:sig w:usb0="00000003" w:usb1="288F0000" w:usb2="00000006" w:usb3="00000000" w:csb0="00040001" w:csb1="00000000"/>
  </w:font>
  <w:font w:name="??">
    <w:altName w:val="Times New Roman"/>
    <w:panose1 w:val="00000000000000000000"/>
    <w:charset w:val="00"/>
    <w:family w:val="roman"/>
    <w:pitch w:val="default"/>
    <w:sig w:usb0="00000000" w:usb1="00000000" w:usb2="00000000"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Cambria">
    <w:panose1 w:val="02040503050406030204"/>
    <w:charset w:val="00"/>
    <w:family w:val="roman"/>
    <w:pitch w:val="default"/>
    <w:sig w:usb0="E00002FF" w:usb1="400004FF" w:usb2="00000000" w:usb3="00000000" w:csb0="2000019F" w:csb1="00000000"/>
  </w:font>
  <w:font w:name="华文中宋">
    <w:altName w:val="宋体"/>
    <w:panose1 w:val="02010600040101010101"/>
    <w:charset w:val="86"/>
    <w:family w:val="auto"/>
    <w:pitch w:val="default"/>
    <w:sig w:usb0="00000000" w:usb1="00000000" w:usb2="00000000" w:usb3="00000000" w:csb0="0004009F" w:csb1="DFD70000"/>
  </w:font>
  <w:font w:name="ˎ̥">
    <w:altName w:val="Times New Roman"/>
    <w:panose1 w:val="00000000000000000000"/>
    <w:charset w:val="00"/>
    <w:family w:val="roman"/>
    <w:pitch w:val="default"/>
    <w:sig w:usb0="00000000" w:usb1="00000000" w:usb2="00000000" w:usb3="00000000" w:csb0="00040001" w:csb1="00000000"/>
  </w:font>
  <w:font w:name="Ђˎ̥">
    <w:altName w:val="Times New Roman"/>
    <w:panose1 w:val="00000000000000000000"/>
    <w:charset w:val="00"/>
    <w:family w:val="roman"/>
    <w:pitch w:val="default"/>
    <w:sig w:usb0="00000000" w:usb1="00000000" w:usb2="00000000"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Juice ITC">
    <w:altName w:val="Gabriola"/>
    <w:panose1 w:val="04040403040A02020202"/>
    <w:charset w:val="00"/>
    <w:family w:val="decorative"/>
    <w:pitch w:val="default"/>
    <w:sig w:usb0="00000000" w:usb1="00000000" w:usb2="00000000" w:usb3="00000000" w:csb0="20000001" w:csb1="00000000"/>
  </w:font>
  <w:font w:name="Tahoma">
    <w:panose1 w:val="020B0604030504040204"/>
    <w:charset w:val="00"/>
    <w:family w:val="swiss"/>
    <w:pitch w:val="default"/>
    <w:sig w:usb0="E1002EFF" w:usb1="C000605B" w:usb2="00000029" w:usb3="00000000" w:csb0="200101FF" w:csb1="20280000"/>
  </w:font>
  <w:font w:name="PMingLiU">
    <w:panose1 w:val="02020500000000000000"/>
    <w:charset w:val="88"/>
    <w:family w:val="roman"/>
    <w:pitch w:val="default"/>
    <w:sig w:usb0="A00002FF" w:usb1="28CFFCFA" w:usb2="00000016" w:usb3="00000000" w:csb0="00100001" w:csb1="00000000"/>
  </w:font>
  <w:font w:name="@宋体">
    <w:panose1 w:val="02010600030101010101"/>
    <w:charset w:val="86"/>
    <w:family w:val="auto"/>
    <w:pitch w:val="default"/>
    <w:sig w:usb0="00000003" w:usb1="288F0000" w:usb2="00000006" w:usb3="00000000" w:csb0="00040001"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方正小标宋简体">
    <w:panose1 w:val="03000509000000000000"/>
    <w:charset w:val="86"/>
    <w:family w:val="script"/>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全真楷書">
    <w:altName w:val="宋体"/>
    <w:panose1 w:val="00000000000000000000"/>
    <w:charset w:val="88"/>
    <w:family w:val="modern"/>
    <w:pitch w:val="default"/>
    <w:sig w:usb0="00000000" w:usb1="00000000" w:usb2="00000010" w:usb3="00000000" w:csb0="00100000"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 w:name="TimesNewRoman">
    <w:altName w:val="微软雅黑"/>
    <w:panose1 w:val="00000000000000000000"/>
    <w:charset w:val="86"/>
    <w:family w:val="auto"/>
    <w:pitch w:val="default"/>
    <w:sig w:usb0="00000000" w:usb1="00000000" w:usb2="00000010" w:usb3="00000000" w:csb0="00040000" w:csb1="00000000"/>
  </w:font>
  <w:font w:name="CIDFont+F5">
    <w:altName w:val="微软雅黑"/>
    <w:panose1 w:val="00000000000000000000"/>
    <w:charset w:val="86"/>
    <w:family w:val="auto"/>
    <w:pitch w:val="default"/>
    <w:sig w:usb0="00000000" w:usb1="00000000" w:usb2="00000010" w:usb3="00000000" w:csb0="00040000" w:csb1="00000000"/>
  </w:font>
  <w:font w:name="CIDFont+F6">
    <w:altName w:val="宋体"/>
    <w:panose1 w:val="00000000000000000000"/>
    <w:charset w:val="86"/>
    <w:family w:val="auto"/>
    <w:pitch w:val="default"/>
    <w:sig w:usb0="00000000" w:usb1="00000000" w:usb2="00000010" w:usb3="00000000" w:csb0="00040000" w:csb1="00000000"/>
  </w:font>
  <w:font w:name="瀹嬩綋">
    <w:altName w:val="宋体"/>
    <w:panose1 w:val="00000000000000000000"/>
    <w:charset w:val="86"/>
    <w:family w:val="auto"/>
    <w:pitch w:val="default"/>
    <w:sig w:usb0="00000000" w:usb1="00000000" w:usb2="00000010" w:usb3="00000000" w:csb0="00040000" w:csb1="00000000"/>
  </w:font>
  <w:font w:name="TimesNewRomanPSMT">
    <w:altName w:val="微软雅黑"/>
    <w:panose1 w:val="00000000000000000000"/>
    <w:charset w:val="00"/>
    <w:family w:val="auto"/>
    <w:pitch w:val="default"/>
    <w:sig w:usb0="00000000" w:usb1="00000000" w:usb2="00000010" w:usb3="00000000" w:csb0="00020001" w:csb1="00000000"/>
  </w:font>
  <w:font w:name="MS Mincho">
    <w:panose1 w:val="02020609040205080304"/>
    <w:charset w:val="80"/>
    <w:family w:val="modern"/>
    <w:pitch w:val="default"/>
    <w:sig w:usb0="E00002FF" w:usb1="6AC7FDFB" w:usb2="00000012" w:usb3="00000000" w:csb0="4002009F" w:csb1="DFD70000"/>
  </w:font>
  <w:font w:name="Calibri+FPEF">
    <w:altName w:val="MS Mincho"/>
    <w:panose1 w:val="00000000000000000000"/>
    <w:charset w:val="80"/>
    <w:family w:val="auto"/>
    <w:pitch w:val="default"/>
    <w:sig w:usb0="00000000" w:usb1="00000000" w:usb2="00000010" w:usb3="00000000" w:csb0="00020000" w:csb1="00000000"/>
  </w:font>
  <w:font w:name="等线">
    <w:altName w:val="微软雅黑"/>
    <w:panose1 w:val="02010600030101010101"/>
    <w:charset w:val="86"/>
    <w:family w:val="auto"/>
    <w:pitch w:val="default"/>
    <w:sig w:usb0="00000000" w:usb1="00000000" w:usb2="00000016" w:usb3="00000000" w:csb0="0004000F" w:csb1="00000000"/>
  </w:font>
  <w:font w:name="Arial Narrow">
    <w:panose1 w:val="020B0606020202030204"/>
    <w:charset w:val="00"/>
    <w:family w:val="swiss"/>
    <w:pitch w:val="default"/>
    <w:sig w:usb0="00000287" w:usb1="00000800" w:usb2="00000000" w:usb3="00000000" w:csb0="2000009F" w:csb1="DFD70000"/>
  </w:font>
  <w:font w:name="Segoe UI Symbol">
    <w:panose1 w:val="020B0502040204020203"/>
    <w:charset w:val="00"/>
    <w:family w:val="swiss"/>
    <w:pitch w:val="default"/>
    <w:sig w:usb0="8000006F" w:usb1="1200FBEF" w:usb2="0064C000" w:usb3="00000002" w:csb0="00000001" w:csb1="40000000"/>
  </w:font>
  <w:font w:name="楷体">
    <w:panose1 w:val="02010609060101010101"/>
    <w:charset w:val="86"/>
    <w:family w:val="modern"/>
    <w:pitch w:val="default"/>
    <w:sig w:usb0="800002BF" w:usb1="38CF7CFA" w:usb2="00000016" w:usb3="00000000" w:csb0="00040001" w:csb1="00000000"/>
  </w:font>
  <w:font w:name="榛戜綋">
    <w:altName w:val="微软雅黑"/>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pPr>
    <w: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3"/>
                            <w:rPr>
                              <w:rStyle w:val="86"/>
                            </w:rPr>
                          </w:pPr>
                          <w:r>
                            <w:fldChar w:fldCharType="begin"/>
                          </w:r>
                          <w:r>
                            <w:rPr>
                              <w:rStyle w:val="86"/>
                            </w:rPr>
                            <w:instrText xml:space="preserve">PAGE  </w:instrText>
                          </w:r>
                          <w:r>
                            <w:fldChar w:fldCharType="separate"/>
                          </w:r>
                          <w:r>
                            <w:rPr>
                              <w:rStyle w:val="86"/>
                            </w:rPr>
                            <w:t>225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IiIqotAgAAV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IiIqotAgAAVwQAAA4AAAAAAAAAAQAgAAAAHwEAAGRycy9lMm9Eb2MueG1sUEsFBgAAAAAG&#10;AAYAWQEAAL4FAAAAAA==&#10;">
              <v:fill on="f" focussize="0,0"/>
              <v:stroke on="f" weight="0.5pt"/>
              <v:imagedata o:title=""/>
              <o:lock v:ext="edit" aspectratio="f"/>
              <v:textbox inset="0mm,0mm,0mm,0mm" style="mso-fit-shape-to-text:t;">
                <w:txbxContent>
                  <w:p>
                    <w:pPr>
                      <w:pStyle w:val="53"/>
                      <w:rPr>
                        <w:rStyle w:val="86"/>
                      </w:rPr>
                    </w:pPr>
                    <w:r>
                      <w:fldChar w:fldCharType="begin"/>
                    </w:r>
                    <w:r>
                      <w:rPr>
                        <w:rStyle w:val="86"/>
                      </w:rPr>
                      <w:instrText xml:space="preserve">PAGE  </w:instrText>
                    </w:r>
                    <w:r>
                      <w:fldChar w:fldCharType="separate"/>
                    </w:r>
                    <w:r>
                      <w:rPr>
                        <w:rStyle w:val="86"/>
                      </w:rPr>
                      <w:t>225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pPr>
    <w: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3"/>
                          </w:pPr>
                          <w:r>
                            <w:t xml:space="preserve">第 </w:t>
                          </w:r>
                          <w:r>
                            <w:fldChar w:fldCharType="begin"/>
                          </w:r>
                          <w:r>
                            <w:instrText xml:space="preserve"> PAGE  \* MERGEFORMAT </w:instrText>
                          </w:r>
                          <w:r>
                            <w:fldChar w:fldCharType="separate"/>
                          </w:r>
                          <w:r>
                            <w:t>i</w:t>
                          </w:r>
                          <w:r>
                            <w:fldChar w:fldCharType="end"/>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pPr>
                      <w:pStyle w:val="53"/>
                    </w:pPr>
                    <w:r>
                      <w:t xml:space="preserve">第 </w:t>
                    </w:r>
                    <w:r>
                      <w:fldChar w:fldCharType="begin"/>
                    </w:r>
                    <w:r>
                      <w:instrText xml:space="preserve"> PAGE  \* MERGEFORMAT </w:instrText>
                    </w:r>
                    <w:r>
                      <w:fldChar w:fldCharType="separate"/>
                    </w:r>
                    <w:r>
                      <w:t>i</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目录</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第六章 环境风险分析</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第七章  环境保护措施</w:t>
    </w:r>
    <w:r>
      <w:t>及技术经济可行性分析</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第八章  环境</w:t>
    </w:r>
    <w:r>
      <w:t>管理</w:t>
    </w:r>
    <w:r>
      <w:rPr>
        <w:rFonts w:hint="eastAsia"/>
      </w:rPr>
      <w:t>与监测计划</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第九章  环境影响经济损益分析</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Bdr>
        <w:bottom w:val="thinThickSmallGap" w:color="auto" w:sz="24" w:space="1"/>
      </w:pBdr>
      <w:tabs>
        <w:tab w:val="clear" w:pos="4110"/>
        <w:tab w:val="clear" w:pos="4535"/>
      </w:tabs>
      <w:ind w:firstLine="360"/>
    </w:pPr>
    <w:r>
      <w:rPr>
        <w:rFonts w:hint="eastAsia"/>
      </w:rPr>
      <w:t xml:space="preserve">第十章  </w:t>
    </w:r>
    <w:r>
      <w:t>评价结论</w:t>
    </w:r>
    <w:r>
      <w:rPr>
        <w:rFonts w:hint="eastAsia"/>
      </w:rPr>
      <w:t>与建议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概 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第一章  总则</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第二章  工程分析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第三章  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第四章  环境质量现状调查与评价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rPr>
        <w:rFonts w:hint="eastAsia"/>
      </w:rPr>
      <w:t>第五章 环境影响预测与</w:t>
    </w:r>
    <w:r>
      <w:t>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33px;height:35px" o:bullet="t">
        <v:imagedata r:id="rId1" o:title=""/>
      </v:shape>
    </w:pict>
  </w:numPicBullet>
  <w:abstractNum w:abstractNumId="0">
    <w:nsid w:val="880BFE9D"/>
    <w:multiLevelType w:val="singleLevel"/>
    <w:tmpl w:val="880BFE9D"/>
    <w:lvl w:ilvl="0" w:tentative="0">
      <w:start w:val="5"/>
      <w:numFmt w:val="decimal"/>
      <w:lvlText w:val="(%1)"/>
      <w:lvlJc w:val="left"/>
      <w:pPr>
        <w:tabs>
          <w:tab w:val="left" w:pos="312"/>
        </w:tabs>
      </w:pPr>
    </w:lvl>
  </w:abstractNum>
  <w:abstractNum w:abstractNumId="1">
    <w:nsid w:val="A1EE98AD"/>
    <w:multiLevelType w:val="singleLevel"/>
    <w:tmpl w:val="A1EE98AD"/>
    <w:lvl w:ilvl="0" w:tentative="0">
      <w:start w:val="3"/>
      <w:numFmt w:val="decimal"/>
      <w:lvlText w:val="(%1)"/>
      <w:lvlJc w:val="left"/>
      <w:pPr>
        <w:tabs>
          <w:tab w:val="left" w:pos="312"/>
        </w:tabs>
      </w:pPr>
    </w:lvl>
  </w:abstractNum>
  <w:abstractNum w:abstractNumId="2">
    <w:nsid w:val="A95575DF"/>
    <w:multiLevelType w:val="singleLevel"/>
    <w:tmpl w:val="A95575DF"/>
    <w:lvl w:ilvl="0" w:tentative="0">
      <w:start w:val="3"/>
      <w:numFmt w:val="decimal"/>
      <w:suff w:val="nothing"/>
      <w:lvlText w:val="（%1）"/>
      <w:lvlJc w:val="left"/>
    </w:lvl>
  </w:abstractNum>
  <w:abstractNum w:abstractNumId="3">
    <w:nsid w:val="CE146738"/>
    <w:multiLevelType w:val="singleLevel"/>
    <w:tmpl w:val="CE146738"/>
    <w:lvl w:ilvl="0" w:tentative="0">
      <w:start w:val="4"/>
      <w:numFmt w:val="decimal"/>
      <w:lvlText w:val="(%1)"/>
      <w:lvlJc w:val="left"/>
      <w:pPr>
        <w:tabs>
          <w:tab w:val="left" w:pos="312"/>
        </w:tabs>
      </w:pPr>
    </w:lvl>
  </w:abstractNum>
  <w:abstractNum w:abstractNumId="4">
    <w:nsid w:val="EF8E8D28"/>
    <w:multiLevelType w:val="singleLevel"/>
    <w:tmpl w:val="EF8E8D28"/>
    <w:lvl w:ilvl="0" w:tentative="0">
      <w:start w:val="2"/>
      <w:numFmt w:val="decimal"/>
      <w:suff w:val="nothing"/>
      <w:lvlText w:val="（%1）"/>
      <w:lvlJc w:val="left"/>
    </w:lvl>
  </w:abstractNum>
  <w:abstractNum w:abstractNumId="5">
    <w:nsid w:val="FFFFFF7F"/>
    <w:multiLevelType w:val="singleLevel"/>
    <w:tmpl w:val="FFFFFF7F"/>
    <w:lvl w:ilvl="0" w:tentative="0">
      <w:start w:val="1"/>
      <w:numFmt w:val="decimal"/>
      <w:pStyle w:val="32"/>
      <w:lvlText w:val="%1."/>
      <w:lvlJc w:val="left"/>
      <w:pPr>
        <w:tabs>
          <w:tab w:val="left" w:pos="780"/>
        </w:tabs>
        <w:ind w:left="780" w:hanging="360"/>
      </w:pPr>
    </w:lvl>
  </w:abstractNum>
  <w:abstractNum w:abstractNumId="6">
    <w:nsid w:val="21C24C23"/>
    <w:multiLevelType w:val="multilevel"/>
    <w:tmpl w:val="21C24C23"/>
    <w:lvl w:ilvl="0" w:tentative="0">
      <w:start w:val="1"/>
      <w:numFmt w:val="japaneseCounting"/>
      <w:pStyle w:val="5"/>
      <w:lvlText w:val="第%1章"/>
      <w:lvlJc w:val="left"/>
      <w:pPr>
        <w:tabs>
          <w:tab w:val="left" w:pos="3490"/>
        </w:tabs>
        <w:ind w:left="3490" w:hanging="1080"/>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7">
    <w:nsid w:val="31BA7186"/>
    <w:multiLevelType w:val="multilevel"/>
    <w:tmpl w:val="31BA7186"/>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abstractNum w:abstractNumId="8">
    <w:nsid w:val="3C918EF6"/>
    <w:multiLevelType w:val="singleLevel"/>
    <w:tmpl w:val="3C918EF6"/>
    <w:lvl w:ilvl="0" w:tentative="0">
      <w:start w:val="1"/>
      <w:numFmt w:val="decimal"/>
      <w:suff w:val="nothing"/>
      <w:lvlText w:val="（%1）"/>
      <w:lvlJc w:val="left"/>
    </w:lvl>
  </w:abstractNum>
  <w:abstractNum w:abstractNumId="9">
    <w:nsid w:val="59D513D6"/>
    <w:multiLevelType w:val="multilevel"/>
    <w:tmpl w:val="59D513D6"/>
    <w:lvl w:ilvl="0" w:tentative="0">
      <w:start w:val="1"/>
      <w:numFmt w:val="decimalEnclosedParen"/>
      <w:lvlText w:val="%1"/>
      <w:lvlJc w:val="left"/>
      <w:pPr>
        <w:ind w:left="842" w:hanging="360"/>
      </w:pPr>
      <w:rPr>
        <w:rFonts w:hint="default" w:ascii="宋体" w:hAnsi="宋体" w:cs="宋体"/>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0">
    <w:nsid w:val="71750EF6"/>
    <w:multiLevelType w:val="singleLevel"/>
    <w:tmpl w:val="71750EF6"/>
    <w:lvl w:ilvl="0" w:tentative="0">
      <w:start w:val="7"/>
      <w:numFmt w:val="decimal"/>
      <w:lvlText w:val="(%1)"/>
      <w:lvlJc w:val="left"/>
      <w:pPr>
        <w:tabs>
          <w:tab w:val="left" w:pos="312"/>
        </w:tabs>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0"/>
  </w:num>
  <w:num w:numId="4">
    <w:abstractNumId w:val="4"/>
  </w:num>
  <w:num w:numId="5">
    <w:abstractNumId w:val="3"/>
  </w:num>
  <w:num w:numId="6">
    <w:abstractNumId w:val="2"/>
  </w:num>
  <w:num w:numId="7">
    <w:abstractNumId w:val="10"/>
  </w:num>
  <w:num w:numId="8">
    <w:abstractNumId w:val="8"/>
  </w:num>
  <w:num w:numId="9">
    <w:abstractNumId w:val="9"/>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mirrorMargins w:val="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drawingGridHorizontalSpacing w:val="120"/>
  <w:drawingGridVerticalSpacing w:val="163"/>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I2NmE2MTYyZmE1ZmM4MDc2MzFjZmY1MjkxY2MwOTUifQ=="/>
  </w:docVars>
  <w:rsids>
    <w:rsidRoot w:val="00172A27"/>
    <w:rsid w:val="00000285"/>
    <w:rsid w:val="000004CD"/>
    <w:rsid w:val="0000070C"/>
    <w:rsid w:val="00000DD2"/>
    <w:rsid w:val="00002D30"/>
    <w:rsid w:val="00002ED4"/>
    <w:rsid w:val="000051B7"/>
    <w:rsid w:val="00005808"/>
    <w:rsid w:val="00006038"/>
    <w:rsid w:val="00006410"/>
    <w:rsid w:val="0000716E"/>
    <w:rsid w:val="00007B17"/>
    <w:rsid w:val="000107D6"/>
    <w:rsid w:val="00011813"/>
    <w:rsid w:val="000130A5"/>
    <w:rsid w:val="00015036"/>
    <w:rsid w:val="000203B1"/>
    <w:rsid w:val="000203ED"/>
    <w:rsid w:val="00020E16"/>
    <w:rsid w:val="000222CE"/>
    <w:rsid w:val="000226BF"/>
    <w:rsid w:val="00022DB3"/>
    <w:rsid w:val="00023C56"/>
    <w:rsid w:val="00023E27"/>
    <w:rsid w:val="00025117"/>
    <w:rsid w:val="000257A5"/>
    <w:rsid w:val="00025CD8"/>
    <w:rsid w:val="00026246"/>
    <w:rsid w:val="00026CAC"/>
    <w:rsid w:val="00026D40"/>
    <w:rsid w:val="000277BE"/>
    <w:rsid w:val="00030F4A"/>
    <w:rsid w:val="000318DA"/>
    <w:rsid w:val="00032ADB"/>
    <w:rsid w:val="0003384F"/>
    <w:rsid w:val="0003396D"/>
    <w:rsid w:val="00034988"/>
    <w:rsid w:val="00034D1D"/>
    <w:rsid w:val="00034D35"/>
    <w:rsid w:val="00035315"/>
    <w:rsid w:val="00035676"/>
    <w:rsid w:val="00035893"/>
    <w:rsid w:val="00035DC2"/>
    <w:rsid w:val="00035F7C"/>
    <w:rsid w:val="00037CD3"/>
    <w:rsid w:val="00042026"/>
    <w:rsid w:val="00043CF9"/>
    <w:rsid w:val="00043E6F"/>
    <w:rsid w:val="00044200"/>
    <w:rsid w:val="00047FAD"/>
    <w:rsid w:val="000500A0"/>
    <w:rsid w:val="00051572"/>
    <w:rsid w:val="00052EED"/>
    <w:rsid w:val="00052F36"/>
    <w:rsid w:val="000535F0"/>
    <w:rsid w:val="00053AB3"/>
    <w:rsid w:val="000546FF"/>
    <w:rsid w:val="0005522A"/>
    <w:rsid w:val="00056FFB"/>
    <w:rsid w:val="00060A73"/>
    <w:rsid w:val="00060B02"/>
    <w:rsid w:val="00061200"/>
    <w:rsid w:val="00061781"/>
    <w:rsid w:val="00062584"/>
    <w:rsid w:val="0006387C"/>
    <w:rsid w:val="00064165"/>
    <w:rsid w:val="000641FD"/>
    <w:rsid w:val="00064657"/>
    <w:rsid w:val="00064CB2"/>
    <w:rsid w:val="00064F68"/>
    <w:rsid w:val="00065159"/>
    <w:rsid w:val="0006556F"/>
    <w:rsid w:val="00066B70"/>
    <w:rsid w:val="00066F61"/>
    <w:rsid w:val="000704B8"/>
    <w:rsid w:val="00070D4B"/>
    <w:rsid w:val="00071FC6"/>
    <w:rsid w:val="00072B2B"/>
    <w:rsid w:val="00073E0C"/>
    <w:rsid w:val="0007549A"/>
    <w:rsid w:val="0007649D"/>
    <w:rsid w:val="000769A0"/>
    <w:rsid w:val="00076C39"/>
    <w:rsid w:val="00077F23"/>
    <w:rsid w:val="0008060E"/>
    <w:rsid w:val="0008062F"/>
    <w:rsid w:val="00082C4E"/>
    <w:rsid w:val="00083CDC"/>
    <w:rsid w:val="00084646"/>
    <w:rsid w:val="000854B9"/>
    <w:rsid w:val="000855DB"/>
    <w:rsid w:val="00085D24"/>
    <w:rsid w:val="00090526"/>
    <w:rsid w:val="000908B8"/>
    <w:rsid w:val="00091742"/>
    <w:rsid w:val="00091D6D"/>
    <w:rsid w:val="00091FEA"/>
    <w:rsid w:val="0009351B"/>
    <w:rsid w:val="00095488"/>
    <w:rsid w:val="00096891"/>
    <w:rsid w:val="00096A46"/>
    <w:rsid w:val="00096E15"/>
    <w:rsid w:val="00097D6C"/>
    <w:rsid w:val="000A0707"/>
    <w:rsid w:val="000A0B44"/>
    <w:rsid w:val="000A0EF1"/>
    <w:rsid w:val="000A2030"/>
    <w:rsid w:val="000A2182"/>
    <w:rsid w:val="000A281A"/>
    <w:rsid w:val="000A390B"/>
    <w:rsid w:val="000A394F"/>
    <w:rsid w:val="000A4DDA"/>
    <w:rsid w:val="000A6E0C"/>
    <w:rsid w:val="000A7769"/>
    <w:rsid w:val="000A7EC5"/>
    <w:rsid w:val="000B07FE"/>
    <w:rsid w:val="000B0929"/>
    <w:rsid w:val="000B1333"/>
    <w:rsid w:val="000B17B9"/>
    <w:rsid w:val="000B2A8A"/>
    <w:rsid w:val="000B2BD2"/>
    <w:rsid w:val="000B2EB6"/>
    <w:rsid w:val="000B36A2"/>
    <w:rsid w:val="000B3BDF"/>
    <w:rsid w:val="000B437E"/>
    <w:rsid w:val="000B5537"/>
    <w:rsid w:val="000B6074"/>
    <w:rsid w:val="000B7B30"/>
    <w:rsid w:val="000B7BFE"/>
    <w:rsid w:val="000C1BE3"/>
    <w:rsid w:val="000C2873"/>
    <w:rsid w:val="000C2DEA"/>
    <w:rsid w:val="000C34FC"/>
    <w:rsid w:val="000C3E51"/>
    <w:rsid w:val="000C40CD"/>
    <w:rsid w:val="000C4D74"/>
    <w:rsid w:val="000C5BEA"/>
    <w:rsid w:val="000C651E"/>
    <w:rsid w:val="000D2170"/>
    <w:rsid w:val="000D24CB"/>
    <w:rsid w:val="000D2E88"/>
    <w:rsid w:val="000D31F9"/>
    <w:rsid w:val="000D3C42"/>
    <w:rsid w:val="000D3D53"/>
    <w:rsid w:val="000D40BF"/>
    <w:rsid w:val="000D4873"/>
    <w:rsid w:val="000D5347"/>
    <w:rsid w:val="000D5417"/>
    <w:rsid w:val="000D5BD1"/>
    <w:rsid w:val="000D6A8C"/>
    <w:rsid w:val="000D7A49"/>
    <w:rsid w:val="000D7C3D"/>
    <w:rsid w:val="000E1A35"/>
    <w:rsid w:val="000E1ED3"/>
    <w:rsid w:val="000E27FE"/>
    <w:rsid w:val="000E3651"/>
    <w:rsid w:val="000E37F2"/>
    <w:rsid w:val="000E3A4E"/>
    <w:rsid w:val="000E458C"/>
    <w:rsid w:val="000E54ED"/>
    <w:rsid w:val="000E63AA"/>
    <w:rsid w:val="000E7214"/>
    <w:rsid w:val="000F1AEF"/>
    <w:rsid w:val="000F2817"/>
    <w:rsid w:val="000F356E"/>
    <w:rsid w:val="000F3AE7"/>
    <w:rsid w:val="000F3B30"/>
    <w:rsid w:val="000F3E2E"/>
    <w:rsid w:val="000F4237"/>
    <w:rsid w:val="000F5804"/>
    <w:rsid w:val="000F7155"/>
    <w:rsid w:val="000F71FC"/>
    <w:rsid w:val="001004AB"/>
    <w:rsid w:val="0010052F"/>
    <w:rsid w:val="00101474"/>
    <w:rsid w:val="00102DFD"/>
    <w:rsid w:val="001036DB"/>
    <w:rsid w:val="001050EF"/>
    <w:rsid w:val="00106F8D"/>
    <w:rsid w:val="001142AA"/>
    <w:rsid w:val="001151E9"/>
    <w:rsid w:val="00115F37"/>
    <w:rsid w:val="00116258"/>
    <w:rsid w:val="00116272"/>
    <w:rsid w:val="00116549"/>
    <w:rsid w:val="001204A7"/>
    <w:rsid w:val="0012172D"/>
    <w:rsid w:val="001220D0"/>
    <w:rsid w:val="00123D5F"/>
    <w:rsid w:val="00124951"/>
    <w:rsid w:val="00124FFA"/>
    <w:rsid w:val="00126ECB"/>
    <w:rsid w:val="001276D7"/>
    <w:rsid w:val="0012776A"/>
    <w:rsid w:val="00130D21"/>
    <w:rsid w:val="0013194A"/>
    <w:rsid w:val="001333DF"/>
    <w:rsid w:val="00133868"/>
    <w:rsid w:val="00134B81"/>
    <w:rsid w:val="00134F41"/>
    <w:rsid w:val="00134F79"/>
    <w:rsid w:val="0013532A"/>
    <w:rsid w:val="00136978"/>
    <w:rsid w:val="00136AF9"/>
    <w:rsid w:val="00136F2B"/>
    <w:rsid w:val="00137399"/>
    <w:rsid w:val="00137FB9"/>
    <w:rsid w:val="00140CAB"/>
    <w:rsid w:val="001417C6"/>
    <w:rsid w:val="00142B4B"/>
    <w:rsid w:val="00144116"/>
    <w:rsid w:val="00144945"/>
    <w:rsid w:val="001449AE"/>
    <w:rsid w:val="00145719"/>
    <w:rsid w:val="00147342"/>
    <w:rsid w:val="00151A95"/>
    <w:rsid w:val="00152A8F"/>
    <w:rsid w:val="00153573"/>
    <w:rsid w:val="001540B1"/>
    <w:rsid w:val="001543EF"/>
    <w:rsid w:val="00155257"/>
    <w:rsid w:val="001553B8"/>
    <w:rsid w:val="001563A5"/>
    <w:rsid w:val="00157E41"/>
    <w:rsid w:val="00161635"/>
    <w:rsid w:val="00163053"/>
    <w:rsid w:val="001646B8"/>
    <w:rsid w:val="00165EEF"/>
    <w:rsid w:val="00166B00"/>
    <w:rsid w:val="00166C52"/>
    <w:rsid w:val="0016701B"/>
    <w:rsid w:val="001673EC"/>
    <w:rsid w:val="00167674"/>
    <w:rsid w:val="001701BC"/>
    <w:rsid w:val="00170208"/>
    <w:rsid w:val="0017055D"/>
    <w:rsid w:val="001716DB"/>
    <w:rsid w:val="00171E59"/>
    <w:rsid w:val="00172A27"/>
    <w:rsid w:val="00174B37"/>
    <w:rsid w:val="00174E60"/>
    <w:rsid w:val="00175ECF"/>
    <w:rsid w:val="0017630C"/>
    <w:rsid w:val="0017654E"/>
    <w:rsid w:val="00176985"/>
    <w:rsid w:val="00176C0E"/>
    <w:rsid w:val="00176F21"/>
    <w:rsid w:val="00177B2C"/>
    <w:rsid w:val="00182A41"/>
    <w:rsid w:val="001832C5"/>
    <w:rsid w:val="001836FA"/>
    <w:rsid w:val="00183B4D"/>
    <w:rsid w:val="00184CB7"/>
    <w:rsid w:val="00184E0E"/>
    <w:rsid w:val="001854F1"/>
    <w:rsid w:val="001879A7"/>
    <w:rsid w:val="00187C9F"/>
    <w:rsid w:val="00191496"/>
    <w:rsid w:val="00192C04"/>
    <w:rsid w:val="00193E93"/>
    <w:rsid w:val="001943EC"/>
    <w:rsid w:val="00194FE3"/>
    <w:rsid w:val="001967FD"/>
    <w:rsid w:val="00196E49"/>
    <w:rsid w:val="0019737D"/>
    <w:rsid w:val="001A1522"/>
    <w:rsid w:val="001A2043"/>
    <w:rsid w:val="001A3558"/>
    <w:rsid w:val="001A38D5"/>
    <w:rsid w:val="001A4592"/>
    <w:rsid w:val="001A539D"/>
    <w:rsid w:val="001A69B2"/>
    <w:rsid w:val="001A6F80"/>
    <w:rsid w:val="001A72C0"/>
    <w:rsid w:val="001B1328"/>
    <w:rsid w:val="001B1A0C"/>
    <w:rsid w:val="001B1CCE"/>
    <w:rsid w:val="001B22F7"/>
    <w:rsid w:val="001B5128"/>
    <w:rsid w:val="001B6038"/>
    <w:rsid w:val="001C0047"/>
    <w:rsid w:val="001C3855"/>
    <w:rsid w:val="001C4319"/>
    <w:rsid w:val="001C44DF"/>
    <w:rsid w:val="001C4FE8"/>
    <w:rsid w:val="001C53C5"/>
    <w:rsid w:val="001C5666"/>
    <w:rsid w:val="001C5C35"/>
    <w:rsid w:val="001C60F8"/>
    <w:rsid w:val="001C6906"/>
    <w:rsid w:val="001C7ADB"/>
    <w:rsid w:val="001D074F"/>
    <w:rsid w:val="001D0A14"/>
    <w:rsid w:val="001D12BB"/>
    <w:rsid w:val="001D159A"/>
    <w:rsid w:val="001D1BD5"/>
    <w:rsid w:val="001D204E"/>
    <w:rsid w:val="001D20A5"/>
    <w:rsid w:val="001D2A6F"/>
    <w:rsid w:val="001D4590"/>
    <w:rsid w:val="001D4AA9"/>
    <w:rsid w:val="001D4CC8"/>
    <w:rsid w:val="001D5627"/>
    <w:rsid w:val="001D5694"/>
    <w:rsid w:val="001D5970"/>
    <w:rsid w:val="001D696B"/>
    <w:rsid w:val="001D70B4"/>
    <w:rsid w:val="001D7425"/>
    <w:rsid w:val="001D7D53"/>
    <w:rsid w:val="001D7DE9"/>
    <w:rsid w:val="001E1418"/>
    <w:rsid w:val="001E1B70"/>
    <w:rsid w:val="001E206D"/>
    <w:rsid w:val="001E2579"/>
    <w:rsid w:val="001E25F4"/>
    <w:rsid w:val="001E3010"/>
    <w:rsid w:val="001E3089"/>
    <w:rsid w:val="001E4111"/>
    <w:rsid w:val="001E4D79"/>
    <w:rsid w:val="001E4F5C"/>
    <w:rsid w:val="001E540F"/>
    <w:rsid w:val="001E6461"/>
    <w:rsid w:val="001F1073"/>
    <w:rsid w:val="001F18BA"/>
    <w:rsid w:val="001F1B28"/>
    <w:rsid w:val="001F2E8C"/>
    <w:rsid w:val="001F4276"/>
    <w:rsid w:val="001F49DF"/>
    <w:rsid w:val="001F4D27"/>
    <w:rsid w:val="001F5C41"/>
    <w:rsid w:val="001F66B8"/>
    <w:rsid w:val="001F719A"/>
    <w:rsid w:val="001F7EA1"/>
    <w:rsid w:val="00200190"/>
    <w:rsid w:val="00201324"/>
    <w:rsid w:val="00205F91"/>
    <w:rsid w:val="002066D2"/>
    <w:rsid w:val="00206AC8"/>
    <w:rsid w:val="002076DF"/>
    <w:rsid w:val="002111DD"/>
    <w:rsid w:val="00211677"/>
    <w:rsid w:val="00211CCB"/>
    <w:rsid w:val="00212511"/>
    <w:rsid w:val="00212C4A"/>
    <w:rsid w:val="002133A5"/>
    <w:rsid w:val="00214D32"/>
    <w:rsid w:val="00215118"/>
    <w:rsid w:val="002154D3"/>
    <w:rsid w:val="00215CFA"/>
    <w:rsid w:val="00216822"/>
    <w:rsid w:val="00216FCA"/>
    <w:rsid w:val="002202AF"/>
    <w:rsid w:val="0022143C"/>
    <w:rsid w:val="00222D05"/>
    <w:rsid w:val="002238DD"/>
    <w:rsid w:val="00223DCA"/>
    <w:rsid w:val="00224E17"/>
    <w:rsid w:val="00225619"/>
    <w:rsid w:val="00225AE5"/>
    <w:rsid w:val="00226856"/>
    <w:rsid w:val="00230A08"/>
    <w:rsid w:val="00230CF4"/>
    <w:rsid w:val="00231A81"/>
    <w:rsid w:val="00231BC1"/>
    <w:rsid w:val="002321B0"/>
    <w:rsid w:val="002323D6"/>
    <w:rsid w:val="00232BB6"/>
    <w:rsid w:val="00233144"/>
    <w:rsid w:val="0023345F"/>
    <w:rsid w:val="002348D6"/>
    <w:rsid w:val="002350FB"/>
    <w:rsid w:val="00235718"/>
    <w:rsid w:val="00235A14"/>
    <w:rsid w:val="0023619B"/>
    <w:rsid w:val="00236DA4"/>
    <w:rsid w:val="00236E86"/>
    <w:rsid w:val="00240D64"/>
    <w:rsid w:val="002431E8"/>
    <w:rsid w:val="00243380"/>
    <w:rsid w:val="00244A3F"/>
    <w:rsid w:val="00245184"/>
    <w:rsid w:val="00245927"/>
    <w:rsid w:val="00245C98"/>
    <w:rsid w:val="00245DE2"/>
    <w:rsid w:val="002462B5"/>
    <w:rsid w:val="00247934"/>
    <w:rsid w:val="0025157C"/>
    <w:rsid w:val="002519F5"/>
    <w:rsid w:val="00251D6A"/>
    <w:rsid w:val="00253D16"/>
    <w:rsid w:val="00254B3E"/>
    <w:rsid w:val="00255610"/>
    <w:rsid w:val="00257891"/>
    <w:rsid w:val="00257965"/>
    <w:rsid w:val="0026109D"/>
    <w:rsid w:val="002622DF"/>
    <w:rsid w:val="002627F9"/>
    <w:rsid w:val="002629BB"/>
    <w:rsid w:val="0026347D"/>
    <w:rsid w:val="002634B5"/>
    <w:rsid w:val="0026519D"/>
    <w:rsid w:val="002653F0"/>
    <w:rsid w:val="00265BF9"/>
    <w:rsid w:val="00267493"/>
    <w:rsid w:val="00270A65"/>
    <w:rsid w:val="00270DA0"/>
    <w:rsid w:val="0027232D"/>
    <w:rsid w:val="00272770"/>
    <w:rsid w:val="00272E1D"/>
    <w:rsid w:val="00273220"/>
    <w:rsid w:val="00273E69"/>
    <w:rsid w:val="00273FD8"/>
    <w:rsid w:val="00274629"/>
    <w:rsid w:val="00274781"/>
    <w:rsid w:val="00274DD6"/>
    <w:rsid w:val="0027532B"/>
    <w:rsid w:val="002761AE"/>
    <w:rsid w:val="00276BE4"/>
    <w:rsid w:val="00276C2D"/>
    <w:rsid w:val="002776A9"/>
    <w:rsid w:val="00277B20"/>
    <w:rsid w:val="00280914"/>
    <w:rsid w:val="00281B6F"/>
    <w:rsid w:val="00281F93"/>
    <w:rsid w:val="002827E4"/>
    <w:rsid w:val="00285446"/>
    <w:rsid w:val="00285E87"/>
    <w:rsid w:val="00286A2E"/>
    <w:rsid w:val="00287DF8"/>
    <w:rsid w:val="00291AA5"/>
    <w:rsid w:val="00291CC2"/>
    <w:rsid w:val="00293C55"/>
    <w:rsid w:val="002949EA"/>
    <w:rsid w:val="00295882"/>
    <w:rsid w:val="00296531"/>
    <w:rsid w:val="0029692F"/>
    <w:rsid w:val="00296DD2"/>
    <w:rsid w:val="00297A7C"/>
    <w:rsid w:val="002A06DC"/>
    <w:rsid w:val="002A0EB7"/>
    <w:rsid w:val="002A1BCF"/>
    <w:rsid w:val="002A23C7"/>
    <w:rsid w:val="002A4162"/>
    <w:rsid w:val="002A48D2"/>
    <w:rsid w:val="002A4E2E"/>
    <w:rsid w:val="002A6774"/>
    <w:rsid w:val="002A7E78"/>
    <w:rsid w:val="002A7F92"/>
    <w:rsid w:val="002B0970"/>
    <w:rsid w:val="002B26F5"/>
    <w:rsid w:val="002B2794"/>
    <w:rsid w:val="002B2D03"/>
    <w:rsid w:val="002B3F33"/>
    <w:rsid w:val="002B418C"/>
    <w:rsid w:val="002B518C"/>
    <w:rsid w:val="002B5248"/>
    <w:rsid w:val="002B5969"/>
    <w:rsid w:val="002B5A27"/>
    <w:rsid w:val="002B7627"/>
    <w:rsid w:val="002B7A9E"/>
    <w:rsid w:val="002B7AF6"/>
    <w:rsid w:val="002C0689"/>
    <w:rsid w:val="002C09E5"/>
    <w:rsid w:val="002C0AE4"/>
    <w:rsid w:val="002C0D91"/>
    <w:rsid w:val="002C166A"/>
    <w:rsid w:val="002C3EBF"/>
    <w:rsid w:val="002C577F"/>
    <w:rsid w:val="002C5F74"/>
    <w:rsid w:val="002C62B6"/>
    <w:rsid w:val="002C684F"/>
    <w:rsid w:val="002C6A06"/>
    <w:rsid w:val="002C72AD"/>
    <w:rsid w:val="002C779B"/>
    <w:rsid w:val="002D089B"/>
    <w:rsid w:val="002D26B4"/>
    <w:rsid w:val="002D302A"/>
    <w:rsid w:val="002D312C"/>
    <w:rsid w:val="002D39A7"/>
    <w:rsid w:val="002D4182"/>
    <w:rsid w:val="002D4C55"/>
    <w:rsid w:val="002D560C"/>
    <w:rsid w:val="002D61EA"/>
    <w:rsid w:val="002D7376"/>
    <w:rsid w:val="002D7408"/>
    <w:rsid w:val="002D7497"/>
    <w:rsid w:val="002D7534"/>
    <w:rsid w:val="002E08DA"/>
    <w:rsid w:val="002E20F0"/>
    <w:rsid w:val="002E392B"/>
    <w:rsid w:val="002E43E1"/>
    <w:rsid w:val="002E4985"/>
    <w:rsid w:val="002E4E35"/>
    <w:rsid w:val="002E5CB7"/>
    <w:rsid w:val="002E68A8"/>
    <w:rsid w:val="002E7370"/>
    <w:rsid w:val="002E7620"/>
    <w:rsid w:val="002F19D0"/>
    <w:rsid w:val="002F1C21"/>
    <w:rsid w:val="002F24B2"/>
    <w:rsid w:val="002F2B26"/>
    <w:rsid w:val="002F33CD"/>
    <w:rsid w:val="002F41FE"/>
    <w:rsid w:val="002F451B"/>
    <w:rsid w:val="002F4635"/>
    <w:rsid w:val="002F489F"/>
    <w:rsid w:val="002F550F"/>
    <w:rsid w:val="002F6004"/>
    <w:rsid w:val="002F6803"/>
    <w:rsid w:val="002F6A47"/>
    <w:rsid w:val="002F6D4C"/>
    <w:rsid w:val="002F790D"/>
    <w:rsid w:val="002F7FBA"/>
    <w:rsid w:val="003002A4"/>
    <w:rsid w:val="00300E57"/>
    <w:rsid w:val="00300F80"/>
    <w:rsid w:val="00301628"/>
    <w:rsid w:val="00301940"/>
    <w:rsid w:val="00302076"/>
    <w:rsid w:val="0030345E"/>
    <w:rsid w:val="00306B2D"/>
    <w:rsid w:val="003071FB"/>
    <w:rsid w:val="0030729A"/>
    <w:rsid w:val="00307C1F"/>
    <w:rsid w:val="00307DF2"/>
    <w:rsid w:val="00311877"/>
    <w:rsid w:val="00311E18"/>
    <w:rsid w:val="003126ED"/>
    <w:rsid w:val="003139D0"/>
    <w:rsid w:val="00314DF1"/>
    <w:rsid w:val="00314EA9"/>
    <w:rsid w:val="00315F03"/>
    <w:rsid w:val="003166B6"/>
    <w:rsid w:val="00317036"/>
    <w:rsid w:val="00317DA3"/>
    <w:rsid w:val="003203E2"/>
    <w:rsid w:val="00320FAD"/>
    <w:rsid w:val="00321A7A"/>
    <w:rsid w:val="0032260E"/>
    <w:rsid w:val="00322744"/>
    <w:rsid w:val="0032437C"/>
    <w:rsid w:val="003256DD"/>
    <w:rsid w:val="0032627D"/>
    <w:rsid w:val="00327121"/>
    <w:rsid w:val="00330C8B"/>
    <w:rsid w:val="00331255"/>
    <w:rsid w:val="0033242B"/>
    <w:rsid w:val="00335C00"/>
    <w:rsid w:val="00335CDE"/>
    <w:rsid w:val="003363EE"/>
    <w:rsid w:val="00337E0B"/>
    <w:rsid w:val="00340B08"/>
    <w:rsid w:val="00341174"/>
    <w:rsid w:val="00345BAF"/>
    <w:rsid w:val="0034629B"/>
    <w:rsid w:val="00350316"/>
    <w:rsid w:val="0035133C"/>
    <w:rsid w:val="00351C26"/>
    <w:rsid w:val="00352629"/>
    <w:rsid w:val="00352B16"/>
    <w:rsid w:val="00352E75"/>
    <w:rsid w:val="0035357C"/>
    <w:rsid w:val="003555E2"/>
    <w:rsid w:val="003558FF"/>
    <w:rsid w:val="00355BA3"/>
    <w:rsid w:val="00356FF9"/>
    <w:rsid w:val="00357AC9"/>
    <w:rsid w:val="00357F15"/>
    <w:rsid w:val="00357F4A"/>
    <w:rsid w:val="00360BF5"/>
    <w:rsid w:val="00360FC7"/>
    <w:rsid w:val="00361FD1"/>
    <w:rsid w:val="00362309"/>
    <w:rsid w:val="00362D34"/>
    <w:rsid w:val="003639A3"/>
    <w:rsid w:val="00363E9F"/>
    <w:rsid w:val="00364438"/>
    <w:rsid w:val="0036543C"/>
    <w:rsid w:val="00365CC7"/>
    <w:rsid w:val="00365E1B"/>
    <w:rsid w:val="003663AD"/>
    <w:rsid w:val="003677E0"/>
    <w:rsid w:val="00367AF2"/>
    <w:rsid w:val="00370814"/>
    <w:rsid w:val="00371094"/>
    <w:rsid w:val="00371660"/>
    <w:rsid w:val="00371A9C"/>
    <w:rsid w:val="003738CF"/>
    <w:rsid w:val="00374798"/>
    <w:rsid w:val="0037587B"/>
    <w:rsid w:val="00375BB9"/>
    <w:rsid w:val="00375EE7"/>
    <w:rsid w:val="00377ABF"/>
    <w:rsid w:val="00380147"/>
    <w:rsid w:val="003805CC"/>
    <w:rsid w:val="00380738"/>
    <w:rsid w:val="0038181E"/>
    <w:rsid w:val="00382959"/>
    <w:rsid w:val="003835EA"/>
    <w:rsid w:val="003864D8"/>
    <w:rsid w:val="00387473"/>
    <w:rsid w:val="00387732"/>
    <w:rsid w:val="003878A8"/>
    <w:rsid w:val="00390287"/>
    <w:rsid w:val="00390BAB"/>
    <w:rsid w:val="00391CEA"/>
    <w:rsid w:val="00394393"/>
    <w:rsid w:val="00394E74"/>
    <w:rsid w:val="003965F1"/>
    <w:rsid w:val="00396D95"/>
    <w:rsid w:val="00396FF7"/>
    <w:rsid w:val="003A0C86"/>
    <w:rsid w:val="003A1D46"/>
    <w:rsid w:val="003A2610"/>
    <w:rsid w:val="003A2A73"/>
    <w:rsid w:val="003A3C05"/>
    <w:rsid w:val="003A4BEC"/>
    <w:rsid w:val="003A5F32"/>
    <w:rsid w:val="003B0241"/>
    <w:rsid w:val="003B05C6"/>
    <w:rsid w:val="003B098C"/>
    <w:rsid w:val="003B0D31"/>
    <w:rsid w:val="003B18AF"/>
    <w:rsid w:val="003B3094"/>
    <w:rsid w:val="003B36E0"/>
    <w:rsid w:val="003B3EB6"/>
    <w:rsid w:val="003B439E"/>
    <w:rsid w:val="003B49E6"/>
    <w:rsid w:val="003B4CBD"/>
    <w:rsid w:val="003B536B"/>
    <w:rsid w:val="003B54BC"/>
    <w:rsid w:val="003B5CAF"/>
    <w:rsid w:val="003B61B3"/>
    <w:rsid w:val="003B7369"/>
    <w:rsid w:val="003C0B5E"/>
    <w:rsid w:val="003C1875"/>
    <w:rsid w:val="003C3339"/>
    <w:rsid w:val="003C36C1"/>
    <w:rsid w:val="003C403E"/>
    <w:rsid w:val="003C4AF6"/>
    <w:rsid w:val="003C500E"/>
    <w:rsid w:val="003C580A"/>
    <w:rsid w:val="003C73D5"/>
    <w:rsid w:val="003C743D"/>
    <w:rsid w:val="003C7536"/>
    <w:rsid w:val="003C7D0D"/>
    <w:rsid w:val="003D09C8"/>
    <w:rsid w:val="003D0FD0"/>
    <w:rsid w:val="003D1B12"/>
    <w:rsid w:val="003D2A26"/>
    <w:rsid w:val="003D40DD"/>
    <w:rsid w:val="003D5C7F"/>
    <w:rsid w:val="003D62A8"/>
    <w:rsid w:val="003D6FE0"/>
    <w:rsid w:val="003D797B"/>
    <w:rsid w:val="003E082D"/>
    <w:rsid w:val="003E0A47"/>
    <w:rsid w:val="003E0BE1"/>
    <w:rsid w:val="003E0CD5"/>
    <w:rsid w:val="003E1287"/>
    <w:rsid w:val="003E1F41"/>
    <w:rsid w:val="003E2802"/>
    <w:rsid w:val="003E432F"/>
    <w:rsid w:val="003E47E8"/>
    <w:rsid w:val="003E4A1F"/>
    <w:rsid w:val="003E6776"/>
    <w:rsid w:val="003F0A36"/>
    <w:rsid w:val="003F1A1D"/>
    <w:rsid w:val="003F1E7D"/>
    <w:rsid w:val="003F2AC7"/>
    <w:rsid w:val="003F2D79"/>
    <w:rsid w:val="003F3718"/>
    <w:rsid w:val="003F476C"/>
    <w:rsid w:val="003F4D86"/>
    <w:rsid w:val="003F4D8F"/>
    <w:rsid w:val="003F4EAB"/>
    <w:rsid w:val="003F5046"/>
    <w:rsid w:val="003F55F0"/>
    <w:rsid w:val="003F5DD8"/>
    <w:rsid w:val="003F6218"/>
    <w:rsid w:val="003F6298"/>
    <w:rsid w:val="003F7669"/>
    <w:rsid w:val="003F7B5C"/>
    <w:rsid w:val="00402517"/>
    <w:rsid w:val="0040260E"/>
    <w:rsid w:val="0040280D"/>
    <w:rsid w:val="00403102"/>
    <w:rsid w:val="0040499E"/>
    <w:rsid w:val="00405E13"/>
    <w:rsid w:val="004066A1"/>
    <w:rsid w:val="0041067B"/>
    <w:rsid w:val="0041164A"/>
    <w:rsid w:val="00412FDF"/>
    <w:rsid w:val="0041389A"/>
    <w:rsid w:val="00415842"/>
    <w:rsid w:val="00417A83"/>
    <w:rsid w:val="004205A3"/>
    <w:rsid w:val="00420670"/>
    <w:rsid w:val="00420BFC"/>
    <w:rsid w:val="004213BB"/>
    <w:rsid w:val="004236B0"/>
    <w:rsid w:val="00423EE7"/>
    <w:rsid w:val="004246AA"/>
    <w:rsid w:val="004267BB"/>
    <w:rsid w:val="00426C95"/>
    <w:rsid w:val="00427218"/>
    <w:rsid w:val="004304B9"/>
    <w:rsid w:val="00430F1F"/>
    <w:rsid w:val="00431A62"/>
    <w:rsid w:val="00433CAC"/>
    <w:rsid w:val="00434630"/>
    <w:rsid w:val="00434B7F"/>
    <w:rsid w:val="00435182"/>
    <w:rsid w:val="00435E8C"/>
    <w:rsid w:val="00436450"/>
    <w:rsid w:val="00436639"/>
    <w:rsid w:val="00436745"/>
    <w:rsid w:val="004373B6"/>
    <w:rsid w:val="004375A5"/>
    <w:rsid w:val="00437898"/>
    <w:rsid w:val="00437AEF"/>
    <w:rsid w:val="00440311"/>
    <w:rsid w:val="00441711"/>
    <w:rsid w:val="00441E82"/>
    <w:rsid w:val="00441EB9"/>
    <w:rsid w:val="00442A30"/>
    <w:rsid w:val="00442B5F"/>
    <w:rsid w:val="00445ACB"/>
    <w:rsid w:val="00446D40"/>
    <w:rsid w:val="004472E6"/>
    <w:rsid w:val="0044758A"/>
    <w:rsid w:val="0044763B"/>
    <w:rsid w:val="00447D4D"/>
    <w:rsid w:val="0045043F"/>
    <w:rsid w:val="00452D30"/>
    <w:rsid w:val="0045301C"/>
    <w:rsid w:val="00453427"/>
    <w:rsid w:val="004535BD"/>
    <w:rsid w:val="00453AB7"/>
    <w:rsid w:val="00455064"/>
    <w:rsid w:val="004552FF"/>
    <w:rsid w:val="004565F5"/>
    <w:rsid w:val="00456659"/>
    <w:rsid w:val="00457BFA"/>
    <w:rsid w:val="004610A3"/>
    <w:rsid w:val="004624B1"/>
    <w:rsid w:val="0046349E"/>
    <w:rsid w:val="00463F6C"/>
    <w:rsid w:val="0046470D"/>
    <w:rsid w:val="004648F5"/>
    <w:rsid w:val="00465112"/>
    <w:rsid w:val="004652B1"/>
    <w:rsid w:val="00466B43"/>
    <w:rsid w:val="00467916"/>
    <w:rsid w:val="004708DD"/>
    <w:rsid w:val="004714CE"/>
    <w:rsid w:val="004723CE"/>
    <w:rsid w:val="00472B8B"/>
    <w:rsid w:val="00475AD1"/>
    <w:rsid w:val="00475F7D"/>
    <w:rsid w:val="004767EB"/>
    <w:rsid w:val="00476DAE"/>
    <w:rsid w:val="00477019"/>
    <w:rsid w:val="00481628"/>
    <w:rsid w:val="00481B1B"/>
    <w:rsid w:val="0048243B"/>
    <w:rsid w:val="00482FCF"/>
    <w:rsid w:val="00484167"/>
    <w:rsid w:val="0048436D"/>
    <w:rsid w:val="00484C74"/>
    <w:rsid w:val="00484D4A"/>
    <w:rsid w:val="004863FE"/>
    <w:rsid w:val="00486C34"/>
    <w:rsid w:val="00487088"/>
    <w:rsid w:val="00487960"/>
    <w:rsid w:val="00487B66"/>
    <w:rsid w:val="004902BB"/>
    <w:rsid w:val="00492B88"/>
    <w:rsid w:val="00492BB5"/>
    <w:rsid w:val="00493943"/>
    <w:rsid w:val="00493D1A"/>
    <w:rsid w:val="00494476"/>
    <w:rsid w:val="00494997"/>
    <w:rsid w:val="004959DD"/>
    <w:rsid w:val="004968FD"/>
    <w:rsid w:val="00496B76"/>
    <w:rsid w:val="00497D44"/>
    <w:rsid w:val="004A03C0"/>
    <w:rsid w:val="004A07AF"/>
    <w:rsid w:val="004A22C1"/>
    <w:rsid w:val="004A3C08"/>
    <w:rsid w:val="004A4334"/>
    <w:rsid w:val="004A4CC6"/>
    <w:rsid w:val="004A51E8"/>
    <w:rsid w:val="004A53CE"/>
    <w:rsid w:val="004A5DB6"/>
    <w:rsid w:val="004A6510"/>
    <w:rsid w:val="004A6C5B"/>
    <w:rsid w:val="004A6DCD"/>
    <w:rsid w:val="004A7AB7"/>
    <w:rsid w:val="004B00A7"/>
    <w:rsid w:val="004B08C4"/>
    <w:rsid w:val="004B38F7"/>
    <w:rsid w:val="004B4FE4"/>
    <w:rsid w:val="004B6A9A"/>
    <w:rsid w:val="004B75F0"/>
    <w:rsid w:val="004B7B5B"/>
    <w:rsid w:val="004C0229"/>
    <w:rsid w:val="004C2C5F"/>
    <w:rsid w:val="004C3C58"/>
    <w:rsid w:val="004D062A"/>
    <w:rsid w:val="004D06CB"/>
    <w:rsid w:val="004D134F"/>
    <w:rsid w:val="004D1DC0"/>
    <w:rsid w:val="004D20CD"/>
    <w:rsid w:val="004D36B1"/>
    <w:rsid w:val="004D4E85"/>
    <w:rsid w:val="004D5505"/>
    <w:rsid w:val="004D6B54"/>
    <w:rsid w:val="004D709C"/>
    <w:rsid w:val="004E0499"/>
    <w:rsid w:val="004E0749"/>
    <w:rsid w:val="004E18A9"/>
    <w:rsid w:val="004E4120"/>
    <w:rsid w:val="004E4419"/>
    <w:rsid w:val="004E5C20"/>
    <w:rsid w:val="004E5DFA"/>
    <w:rsid w:val="004E684A"/>
    <w:rsid w:val="004E69A9"/>
    <w:rsid w:val="004E6CEE"/>
    <w:rsid w:val="004E79F6"/>
    <w:rsid w:val="004F090C"/>
    <w:rsid w:val="004F17C7"/>
    <w:rsid w:val="004F28AB"/>
    <w:rsid w:val="004F3451"/>
    <w:rsid w:val="004F3B55"/>
    <w:rsid w:val="004F3D93"/>
    <w:rsid w:val="004F5373"/>
    <w:rsid w:val="004F5472"/>
    <w:rsid w:val="004F573F"/>
    <w:rsid w:val="004F57D0"/>
    <w:rsid w:val="004F5B33"/>
    <w:rsid w:val="004F714E"/>
    <w:rsid w:val="004F761E"/>
    <w:rsid w:val="004F7B3D"/>
    <w:rsid w:val="004F7DB1"/>
    <w:rsid w:val="005003EA"/>
    <w:rsid w:val="005018DE"/>
    <w:rsid w:val="00501CE5"/>
    <w:rsid w:val="005020A1"/>
    <w:rsid w:val="005021C6"/>
    <w:rsid w:val="005024B6"/>
    <w:rsid w:val="005045EB"/>
    <w:rsid w:val="00504BB3"/>
    <w:rsid w:val="00504C77"/>
    <w:rsid w:val="00506A18"/>
    <w:rsid w:val="00507296"/>
    <w:rsid w:val="005072B2"/>
    <w:rsid w:val="005102EF"/>
    <w:rsid w:val="00511CD6"/>
    <w:rsid w:val="00511EF8"/>
    <w:rsid w:val="00512551"/>
    <w:rsid w:val="00513BEA"/>
    <w:rsid w:val="00514983"/>
    <w:rsid w:val="005150B2"/>
    <w:rsid w:val="005155F8"/>
    <w:rsid w:val="00515988"/>
    <w:rsid w:val="00517F03"/>
    <w:rsid w:val="00521569"/>
    <w:rsid w:val="005215F0"/>
    <w:rsid w:val="0052202E"/>
    <w:rsid w:val="0052223B"/>
    <w:rsid w:val="00522DA6"/>
    <w:rsid w:val="00523697"/>
    <w:rsid w:val="00524092"/>
    <w:rsid w:val="005266E9"/>
    <w:rsid w:val="005267FB"/>
    <w:rsid w:val="00527994"/>
    <w:rsid w:val="005307B5"/>
    <w:rsid w:val="00530C29"/>
    <w:rsid w:val="0053134E"/>
    <w:rsid w:val="0053205C"/>
    <w:rsid w:val="00532627"/>
    <w:rsid w:val="0053283D"/>
    <w:rsid w:val="005328E0"/>
    <w:rsid w:val="005329C5"/>
    <w:rsid w:val="0053349B"/>
    <w:rsid w:val="00533C53"/>
    <w:rsid w:val="00535321"/>
    <w:rsid w:val="005356A1"/>
    <w:rsid w:val="00535D4D"/>
    <w:rsid w:val="00535F17"/>
    <w:rsid w:val="005372CA"/>
    <w:rsid w:val="00537828"/>
    <w:rsid w:val="00540219"/>
    <w:rsid w:val="0054053B"/>
    <w:rsid w:val="00541C8D"/>
    <w:rsid w:val="00542687"/>
    <w:rsid w:val="00542F4A"/>
    <w:rsid w:val="00543DCC"/>
    <w:rsid w:val="00543E92"/>
    <w:rsid w:val="0054446E"/>
    <w:rsid w:val="0054506D"/>
    <w:rsid w:val="005456EB"/>
    <w:rsid w:val="00545973"/>
    <w:rsid w:val="00545D1A"/>
    <w:rsid w:val="005460C2"/>
    <w:rsid w:val="0054636F"/>
    <w:rsid w:val="00546FEB"/>
    <w:rsid w:val="00547E0D"/>
    <w:rsid w:val="00550877"/>
    <w:rsid w:val="005525AC"/>
    <w:rsid w:val="005533BC"/>
    <w:rsid w:val="00554CBE"/>
    <w:rsid w:val="0055526D"/>
    <w:rsid w:val="00555817"/>
    <w:rsid w:val="00556E42"/>
    <w:rsid w:val="00561746"/>
    <w:rsid w:val="005629F6"/>
    <w:rsid w:val="00563F78"/>
    <w:rsid w:val="005643D4"/>
    <w:rsid w:val="00567896"/>
    <w:rsid w:val="005706C8"/>
    <w:rsid w:val="00570C8E"/>
    <w:rsid w:val="00570D2C"/>
    <w:rsid w:val="00571257"/>
    <w:rsid w:val="0057162F"/>
    <w:rsid w:val="0057225C"/>
    <w:rsid w:val="00573A73"/>
    <w:rsid w:val="00574189"/>
    <w:rsid w:val="00574FD6"/>
    <w:rsid w:val="00575755"/>
    <w:rsid w:val="0057646E"/>
    <w:rsid w:val="00580307"/>
    <w:rsid w:val="005803ED"/>
    <w:rsid w:val="00580746"/>
    <w:rsid w:val="005811F6"/>
    <w:rsid w:val="005829C5"/>
    <w:rsid w:val="00585F9C"/>
    <w:rsid w:val="00586B9C"/>
    <w:rsid w:val="00586E0F"/>
    <w:rsid w:val="00587981"/>
    <w:rsid w:val="005907E0"/>
    <w:rsid w:val="00590C96"/>
    <w:rsid w:val="00591134"/>
    <w:rsid w:val="00592007"/>
    <w:rsid w:val="00592455"/>
    <w:rsid w:val="00592A07"/>
    <w:rsid w:val="00592ACE"/>
    <w:rsid w:val="00592F81"/>
    <w:rsid w:val="005949DD"/>
    <w:rsid w:val="00594A81"/>
    <w:rsid w:val="00594AA5"/>
    <w:rsid w:val="00594CE8"/>
    <w:rsid w:val="005952D6"/>
    <w:rsid w:val="0059546F"/>
    <w:rsid w:val="00595B1C"/>
    <w:rsid w:val="00595B48"/>
    <w:rsid w:val="00595FA6"/>
    <w:rsid w:val="005977EE"/>
    <w:rsid w:val="005A00FF"/>
    <w:rsid w:val="005A027D"/>
    <w:rsid w:val="005A205B"/>
    <w:rsid w:val="005A265F"/>
    <w:rsid w:val="005A31CF"/>
    <w:rsid w:val="005B3A52"/>
    <w:rsid w:val="005B3CB4"/>
    <w:rsid w:val="005B4C04"/>
    <w:rsid w:val="005B606A"/>
    <w:rsid w:val="005C18AC"/>
    <w:rsid w:val="005C252B"/>
    <w:rsid w:val="005C34FF"/>
    <w:rsid w:val="005C4253"/>
    <w:rsid w:val="005C4A6D"/>
    <w:rsid w:val="005C4B2C"/>
    <w:rsid w:val="005C5543"/>
    <w:rsid w:val="005C5960"/>
    <w:rsid w:val="005C5AEF"/>
    <w:rsid w:val="005C6C00"/>
    <w:rsid w:val="005C6E64"/>
    <w:rsid w:val="005C74B5"/>
    <w:rsid w:val="005C793B"/>
    <w:rsid w:val="005C7AFC"/>
    <w:rsid w:val="005D3608"/>
    <w:rsid w:val="005D3DA0"/>
    <w:rsid w:val="005D44AC"/>
    <w:rsid w:val="005D4792"/>
    <w:rsid w:val="005D56E4"/>
    <w:rsid w:val="005D6256"/>
    <w:rsid w:val="005D6AB1"/>
    <w:rsid w:val="005D6ADF"/>
    <w:rsid w:val="005D6D91"/>
    <w:rsid w:val="005E0214"/>
    <w:rsid w:val="005E0765"/>
    <w:rsid w:val="005E10A6"/>
    <w:rsid w:val="005E12E6"/>
    <w:rsid w:val="005E4064"/>
    <w:rsid w:val="005E4834"/>
    <w:rsid w:val="005E48CA"/>
    <w:rsid w:val="005E549D"/>
    <w:rsid w:val="005E620E"/>
    <w:rsid w:val="005E6A59"/>
    <w:rsid w:val="005E6F91"/>
    <w:rsid w:val="005E6F9C"/>
    <w:rsid w:val="005E796A"/>
    <w:rsid w:val="005F01F7"/>
    <w:rsid w:val="005F0976"/>
    <w:rsid w:val="005F6858"/>
    <w:rsid w:val="005F70C4"/>
    <w:rsid w:val="005F77A9"/>
    <w:rsid w:val="00602CB7"/>
    <w:rsid w:val="00603688"/>
    <w:rsid w:val="00603A9D"/>
    <w:rsid w:val="00604240"/>
    <w:rsid w:val="006052EB"/>
    <w:rsid w:val="006055A3"/>
    <w:rsid w:val="00606C88"/>
    <w:rsid w:val="0060790B"/>
    <w:rsid w:val="00607C5D"/>
    <w:rsid w:val="006101B1"/>
    <w:rsid w:val="006105AF"/>
    <w:rsid w:val="00610C23"/>
    <w:rsid w:val="006114AB"/>
    <w:rsid w:val="0061210F"/>
    <w:rsid w:val="00613CBA"/>
    <w:rsid w:val="00614461"/>
    <w:rsid w:val="00614691"/>
    <w:rsid w:val="00614904"/>
    <w:rsid w:val="00615239"/>
    <w:rsid w:val="00617080"/>
    <w:rsid w:val="006172B5"/>
    <w:rsid w:val="0061749C"/>
    <w:rsid w:val="0061770A"/>
    <w:rsid w:val="00620917"/>
    <w:rsid w:val="0062132D"/>
    <w:rsid w:val="006215D3"/>
    <w:rsid w:val="006224E6"/>
    <w:rsid w:val="00622C75"/>
    <w:rsid w:val="00624666"/>
    <w:rsid w:val="00630277"/>
    <w:rsid w:val="00630A3D"/>
    <w:rsid w:val="00631472"/>
    <w:rsid w:val="006316F0"/>
    <w:rsid w:val="00632239"/>
    <w:rsid w:val="00632897"/>
    <w:rsid w:val="00632A6A"/>
    <w:rsid w:val="00633551"/>
    <w:rsid w:val="00634B9F"/>
    <w:rsid w:val="006353FA"/>
    <w:rsid w:val="0063546A"/>
    <w:rsid w:val="0063585D"/>
    <w:rsid w:val="00635A43"/>
    <w:rsid w:val="006368B3"/>
    <w:rsid w:val="006369AA"/>
    <w:rsid w:val="006370D1"/>
    <w:rsid w:val="00637267"/>
    <w:rsid w:val="00637A0E"/>
    <w:rsid w:val="00640CFA"/>
    <w:rsid w:val="0064163F"/>
    <w:rsid w:val="00642A3A"/>
    <w:rsid w:val="00644223"/>
    <w:rsid w:val="00644B8E"/>
    <w:rsid w:val="00645FD1"/>
    <w:rsid w:val="006471A7"/>
    <w:rsid w:val="006501AF"/>
    <w:rsid w:val="0065063D"/>
    <w:rsid w:val="00650705"/>
    <w:rsid w:val="00652117"/>
    <w:rsid w:val="006557C0"/>
    <w:rsid w:val="00655DDB"/>
    <w:rsid w:val="00656144"/>
    <w:rsid w:val="00656BF0"/>
    <w:rsid w:val="00657F4F"/>
    <w:rsid w:val="0066016A"/>
    <w:rsid w:val="00660C46"/>
    <w:rsid w:val="00661B13"/>
    <w:rsid w:val="00662C06"/>
    <w:rsid w:val="00662DA8"/>
    <w:rsid w:val="006633C0"/>
    <w:rsid w:val="00663A92"/>
    <w:rsid w:val="006648CA"/>
    <w:rsid w:val="006648F1"/>
    <w:rsid w:val="006652BF"/>
    <w:rsid w:val="00665460"/>
    <w:rsid w:val="0066569B"/>
    <w:rsid w:val="00666800"/>
    <w:rsid w:val="006701DE"/>
    <w:rsid w:val="0067137B"/>
    <w:rsid w:val="00673581"/>
    <w:rsid w:val="006749F8"/>
    <w:rsid w:val="00674A91"/>
    <w:rsid w:val="00674FEB"/>
    <w:rsid w:val="00675EDE"/>
    <w:rsid w:val="00676BA7"/>
    <w:rsid w:val="006778DC"/>
    <w:rsid w:val="00677D4D"/>
    <w:rsid w:val="00680499"/>
    <w:rsid w:val="006811DC"/>
    <w:rsid w:val="00683196"/>
    <w:rsid w:val="00683365"/>
    <w:rsid w:val="006840FE"/>
    <w:rsid w:val="00684904"/>
    <w:rsid w:val="00684CA3"/>
    <w:rsid w:val="006855F5"/>
    <w:rsid w:val="00685AC1"/>
    <w:rsid w:val="00685EBA"/>
    <w:rsid w:val="006863F7"/>
    <w:rsid w:val="0068646F"/>
    <w:rsid w:val="00686E89"/>
    <w:rsid w:val="006875FB"/>
    <w:rsid w:val="00690996"/>
    <w:rsid w:val="00690E6D"/>
    <w:rsid w:val="006913F1"/>
    <w:rsid w:val="00691E88"/>
    <w:rsid w:val="006925E9"/>
    <w:rsid w:val="00695723"/>
    <w:rsid w:val="00695B45"/>
    <w:rsid w:val="00695D04"/>
    <w:rsid w:val="00696200"/>
    <w:rsid w:val="006968A9"/>
    <w:rsid w:val="006979FD"/>
    <w:rsid w:val="006A2F12"/>
    <w:rsid w:val="006A49EA"/>
    <w:rsid w:val="006A4CB0"/>
    <w:rsid w:val="006A5ABB"/>
    <w:rsid w:val="006A5E9D"/>
    <w:rsid w:val="006A6D2D"/>
    <w:rsid w:val="006A7443"/>
    <w:rsid w:val="006A7526"/>
    <w:rsid w:val="006A7741"/>
    <w:rsid w:val="006A7C1A"/>
    <w:rsid w:val="006B054A"/>
    <w:rsid w:val="006B0B5B"/>
    <w:rsid w:val="006B0D30"/>
    <w:rsid w:val="006B0ECD"/>
    <w:rsid w:val="006B2AAC"/>
    <w:rsid w:val="006B375B"/>
    <w:rsid w:val="006B54ED"/>
    <w:rsid w:val="006B676F"/>
    <w:rsid w:val="006B69EB"/>
    <w:rsid w:val="006B7E6F"/>
    <w:rsid w:val="006C1945"/>
    <w:rsid w:val="006C1C01"/>
    <w:rsid w:val="006C1D6A"/>
    <w:rsid w:val="006C366B"/>
    <w:rsid w:val="006C4305"/>
    <w:rsid w:val="006C4842"/>
    <w:rsid w:val="006C4991"/>
    <w:rsid w:val="006C4A6E"/>
    <w:rsid w:val="006C55B2"/>
    <w:rsid w:val="006C662D"/>
    <w:rsid w:val="006C77EF"/>
    <w:rsid w:val="006C7EAA"/>
    <w:rsid w:val="006D18BC"/>
    <w:rsid w:val="006D1DA5"/>
    <w:rsid w:val="006D237C"/>
    <w:rsid w:val="006D25EF"/>
    <w:rsid w:val="006D33A4"/>
    <w:rsid w:val="006D3BD5"/>
    <w:rsid w:val="006D4FBE"/>
    <w:rsid w:val="006D5219"/>
    <w:rsid w:val="006D53B3"/>
    <w:rsid w:val="006D6055"/>
    <w:rsid w:val="006D7370"/>
    <w:rsid w:val="006D7F65"/>
    <w:rsid w:val="006E04B6"/>
    <w:rsid w:val="006E0878"/>
    <w:rsid w:val="006E0DE2"/>
    <w:rsid w:val="006E135B"/>
    <w:rsid w:val="006E14E2"/>
    <w:rsid w:val="006E18C9"/>
    <w:rsid w:val="006E22C6"/>
    <w:rsid w:val="006E3743"/>
    <w:rsid w:val="006E3EBF"/>
    <w:rsid w:val="006E425F"/>
    <w:rsid w:val="006E4514"/>
    <w:rsid w:val="006E5177"/>
    <w:rsid w:val="006E5B99"/>
    <w:rsid w:val="006E7462"/>
    <w:rsid w:val="006E7695"/>
    <w:rsid w:val="006F0C12"/>
    <w:rsid w:val="006F0E72"/>
    <w:rsid w:val="006F2754"/>
    <w:rsid w:val="006F36D2"/>
    <w:rsid w:val="006F3BDD"/>
    <w:rsid w:val="006F4322"/>
    <w:rsid w:val="006F4F82"/>
    <w:rsid w:val="006F5642"/>
    <w:rsid w:val="006F604E"/>
    <w:rsid w:val="006F759D"/>
    <w:rsid w:val="0070098C"/>
    <w:rsid w:val="0070143A"/>
    <w:rsid w:val="00701C6C"/>
    <w:rsid w:val="00701C85"/>
    <w:rsid w:val="0070336B"/>
    <w:rsid w:val="0070442A"/>
    <w:rsid w:val="0070486F"/>
    <w:rsid w:val="00704BA5"/>
    <w:rsid w:val="00706D1C"/>
    <w:rsid w:val="00706EE7"/>
    <w:rsid w:val="00707062"/>
    <w:rsid w:val="00711C50"/>
    <w:rsid w:val="007124D1"/>
    <w:rsid w:val="00713718"/>
    <w:rsid w:val="00713C55"/>
    <w:rsid w:val="00713D76"/>
    <w:rsid w:val="007146BD"/>
    <w:rsid w:val="007159A6"/>
    <w:rsid w:val="00715BB0"/>
    <w:rsid w:val="00716055"/>
    <w:rsid w:val="00716327"/>
    <w:rsid w:val="00716454"/>
    <w:rsid w:val="00716659"/>
    <w:rsid w:val="00716F8E"/>
    <w:rsid w:val="00717668"/>
    <w:rsid w:val="00717E82"/>
    <w:rsid w:val="0072040A"/>
    <w:rsid w:val="00720B1C"/>
    <w:rsid w:val="00721A97"/>
    <w:rsid w:val="007234D8"/>
    <w:rsid w:val="00723F5F"/>
    <w:rsid w:val="0072439D"/>
    <w:rsid w:val="00724963"/>
    <w:rsid w:val="0072689B"/>
    <w:rsid w:val="00727D03"/>
    <w:rsid w:val="007306E0"/>
    <w:rsid w:val="00731217"/>
    <w:rsid w:val="00732F72"/>
    <w:rsid w:val="00733EAE"/>
    <w:rsid w:val="007351DF"/>
    <w:rsid w:val="007358E0"/>
    <w:rsid w:val="007358EC"/>
    <w:rsid w:val="00735D5F"/>
    <w:rsid w:val="007360D2"/>
    <w:rsid w:val="00736F3A"/>
    <w:rsid w:val="00740A93"/>
    <w:rsid w:val="00741295"/>
    <w:rsid w:val="00741520"/>
    <w:rsid w:val="00742105"/>
    <w:rsid w:val="00742B09"/>
    <w:rsid w:val="00743AD4"/>
    <w:rsid w:val="00744500"/>
    <w:rsid w:val="00745D9D"/>
    <w:rsid w:val="00752373"/>
    <w:rsid w:val="00752931"/>
    <w:rsid w:val="00752979"/>
    <w:rsid w:val="00753C73"/>
    <w:rsid w:val="00753FD6"/>
    <w:rsid w:val="00755605"/>
    <w:rsid w:val="0075688B"/>
    <w:rsid w:val="00756CA0"/>
    <w:rsid w:val="007573FD"/>
    <w:rsid w:val="00757A2F"/>
    <w:rsid w:val="0076129E"/>
    <w:rsid w:val="0076285B"/>
    <w:rsid w:val="007629A7"/>
    <w:rsid w:val="00762A5F"/>
    <w:rsid w:val="0076335C"/>
    <w:rsid w:val="007647EC"/>
    <w:rsid w:val="00764A06"/>
    <w:rsid w:val="00764CB3"/>
    <w:rsid w:val="00765111"/>
    <w:rsid w:val="00765287"/>
    <w:rsid w:val="00766C60"/>
    <w:rsid w:val="00767662"/>
    <w:rsid w:val="0077083D"/>
    <w:rsid w:val="00770A72"/>
    <w:rsid w:val="00771217"/>
    <w:rsid w:val="00771E76"/>
    <w:rsid w:val="00772934"/>
    <w:rsid w:val="007732B0"/>
    <w:rsid w:val="007739B1"/>
    <w:rsid w:val="007756CF"/>
    <w:rsid w:val="00776193"/>
    <w:rsid w:val="00780394"/>
    <w:rsid w:val="00780E15"/>
    <w:rsid w:val="00781EEE"/>
    <w:rsid w:val="00781F80"/>
    <w:rsid w:val="0078232A"/>
    <w:rsid w:val="007823A5"/>
    <w:rsid w:val="00783566"/>
    <w:rsid w:val="007842A4"/>
    <w:rsid w:val="007850EE"/>
    <w:rsid w:val="007871FD"/>
    <w:rsid w:val="0078738E"/>
    <w:rsid w:val="007873E9"/>
    <w:rsid w:val="007901D9"/>
    <w:rsid w:val="00790F86"/>
    <w:rsid w:val="00791AA7"/>
    <w:rsid w:val="0079292F"/>
    <w:rsid w:val="00793B7A"/>
    <w:rsid w:val="00793CD1"/>
    <w:rsid w:val="0079467D"/>
    <w:rsid w:val="00794749"/>
    <w:rsid w:val="00794783"/>
    <w:rsid w:val="00795527"/>
    <w:rsid w:val="007972A8"/>
    <w:rsid w:val="007A0C21"/>
    <w:rsid w:val="007A13BC"/>
    <w:rsid w:val="007A2499"/>
    <w:rsid w:val="007A2AD7"/>
    <w:rsid w:val="007A46D5"/>
    <w:rsid w:val="007A5318"/>
    <w:rsid w:val="007A538F"/>
    <w:rsid w:val="007A5C09"/>
    <w:rsid w:val="007A600E"/>
    <w:rsid w:val="007A6FC2"/>
    <w:rsid w:val="007A7B69"/>
    <w:rsid w:val="007A7EB1"/>
    <w:rsid w:val="007B0933"/>
    <w:rsid w:val="007B0ADE"/>
    <w:rsid w:val="007B2727"/>
    <w:rsid w:val="007B3926"/>
    <w:rsid w:val="007B3A79"/>
    <w:rsid w:val="007B3BF5"/>
    <w:rsid w:val="007B538A"/>
    <w:rsid w:val="007C18EC"/>
    <w:rsid w:val="007C1B40"/>
    <w:rsid w:val="007C20F7"/>
    <w:rsid w:val="007C220D"/>
    <w:rsid w:val="007C318C"/>
    <w:rsid w:val="007C351F"/>
    <w:rsid w:val="007C384D"/>
    <w:rsid w:val="007C40E8"/>
    <w:rsid w:val="007C47EC"/>
    <w:rsid w:val="007C4B6C"/>
    <w:rsid w:val="007C4EF2"/>
    <w:rsid w:val="007C5664"/>
    <w:rsid w:val="007C5B00"/>
    <w:rsid w:val="007C739F"/>
    <w:rsid w:val="007C79FA"/>
    <w:rsid w:val="007C7C36"/>
    <w:rsid w:val="007D0362"/>
    <w:rsid w:val="007D150C"/>
    <w:rsid w:val="007D18FF"/>
    <w:rsid w:val="007D223F"/>
    <w:rsid w:val="007D22E8"/>
    <w:rsid w:val="007D2409"/>
    <w:rsid w:val="007D318B"/>
    <w:rsid w:val="007D4A5B"/>
    <w:rsid w:val="007D4C59"/>
    <w:rsid w:val="007D4CE2"/>
    <w:rsid w:val="007D4F75"/>
    <w:rsid w:val="007D5308"/>
    <w:rsid w:val="007D5CC5"/>
    <w:rsid w:val="007D62CC"/>
    <w:rsid w:val="007D690A"/>
    <w:rsid w:val="007D6CCB"/>
    <w:rsid w:val="007D708A"/>
    <w:rsid w:val="007D729F"/>
    <w:rsid w:val="007D7E51"/>
    <w:rsid w:val="007E0B73"/>
    <w:rsid w:val="007E0FF8"/>
    <w:rsid w:val="007E1229"/>
    <w:rsid w:val="007E18FB"/>
    <w:rsid w:val="007E31BC"/>
    <w:rsid w:val="007E3AB5"/>
    <w:rsid w:val="007E43BD"/>
    <w:rsid w:val="007E4951"/>
    <w:rsid w:val="007E560E"/>
    <w:rsid w:val="007E5CDA"/>
    <w:rsid w:val="007E651B"/>
    <w:rsid w:val="007E6D15"/>
    <w:rsid w:val="007E71EC"/>
    <w:rsid w:val="007F2917"/>
    <w:rsid w:val="007F3653"/>
    <w:rsid w:val="007F3DC3"/>
    <w:rsid w:val="007F4099"/>
    <w:rsid w:val="007F48ED"/>
    <w:rsid w:val="007F4BB8"/>
    <w:rsid w:val="007F76C8"/>
    <w:rsid w:val="007F79DA"/>
    <w:rsid w:val="007F7B60"/>
    <w:rsid w:val="007F7CC5"/>
    <w:rsid w:val="008012BE"/>
    <w:rsid w:val="00801A2E"/>
    <w:rsid w:val="0080435A"/>
    <w:rsid w:val="00805477"/>
    <w:rsid w:val="00805BEF"/>
    <w:rsid w:val="0080641C"/>
    <w:rsid w:val="008069DF"/>
    <w:rsid w:val="00806D58"/>
    <w:rsid w:val="00807166"/>
    <w:rsid w:val="008078AC"/>
    <w:rsid w:val="0081051C"/>
    <w:rsid w:val="00810F19"/>
    <w:rsid w:val="00811F23"/>
    <w:rsid w:val="00813261"/>
    <w:rsid w:val="00813C4C"/>
    <w:rsid w:val="00814095"/>
    <w:rsid w:val="0081494D"/>
    <w:rsid w:val="008149A5"/>
    <w:rsid w:val="00820723"/>
    <w:rsid w:val="00820AEC"/>
    <w:rsid w:val="008227FF"/>
    <w:rsid w:val="008230AA"/>
    <w:rsid w:val="00823243"/>
    <w:rsid w:val="00823868"/>
    <w:rsid w:val="00823ED1"/>
    <w:rsid w:val="00824657"/>
    <w:rsid w:val="00826EE8"/>
    <w:rsid w:val="00831387"/>
    <w:rsid w:val="008333E5"/>
    <w:rsid w:val="008352AC"/>
    <w:rsid w:val="008352FC"/>
    <w:rsid w:val="00835C88"/>
    <w:rsid w:val="00836AD8"/>
    <w:rsid w:val="00836E93"/>
    <w:rsid w:val="008371B5"/>
    <w:rsid w:val="00837652"/>
    <w:rsid w:val="00841AD3"/>
    <w:rsid w:val="0084485C"/>
    <w:rsid w:val="00844A9C"/>
    <w:rsid w:val="00846FF2"/>
    <w:rsid w:val="008502E3"/>
    <w:rsid w:val="00850AB5"/>
    <w:rsid w:val="008516B1"/>
    <w:rsid w:val="00851B79"/>
    <w:rsid w:val="008538EE"/>
    <w:rsid w:val="00853A42"/>
    <w:rsid w:val="00855723"/>
    <w:rsid w:val="008568D7"/>
    <w:rsid w:val="00856A7C"/>
    <w:rsid w:val="00856E47"/>
    <w:rsid w:val="00860281"/>
    <w:rsid w:val="0086057A"/>
    <w:rsid w:val="00861019"/>
    <w:rsid w:val="0086116B"/>
    <w:rsid w:val="008617DC"/>
    <w:rsid w:val="0086451B"/>
    <w:rsid w:val="00865480"/>
    <w:rsid w:val="008657A4"/>
    <w:rsid w:val="0086622B"/>
    <w:rsid w:val="00866B22"/>
    <w:rsid w:val="008700E9"/>
    <w:rsid w:val="00870721"/>
    <w:rsid w:val="008708B8"/>
    <w:rsid w:val="008717D7"/>
    <w:rsid w:val="00871B58"/>
    <w:rsid w:val="00871D26"/>
    <w:rsid w:val="00872951"/>
    <w:rsid w:val="00872D75"/>
    <w:rsid w:val="00873941"/>
    <w:rsid w:val="008744ED"/>
    <w:rsid w:val="00874D63"/>
    <w:rsid w:val="00874F0E"/>
    <w:rsid w:val="008758D1"/>
    <w:rsid w:val="00875E34"/>
    <w:rsid w:val="00876617"/>
    <w:rsid w:val="00877149"/>
    <w:rsid w:val="008776E9"/>
    <w:rsid w:val="00880180"/>
    <w:rsid w:val="008807DE"/>
    <w:rsid w:val="00880AC5"/>
    <w:rsid w:val="00880BC7"/>
    <w:rsid w:val="00880E25"/>
    <w:rsid w:val="008818E6"/>
    <w:rsid w:val="00882222"/>
    <w:rsid w:val="00882649"/>
    <w:rsid w:val="0088760F"/>
    <w:rsid w:val="008920AE"/>
    <w:rsid w:val="008938AD"/>
    <w:rsid w:val="00893C9C"/>
    <w:rsid w:val="00894126"/>
    <w:rsid w:val="00895983"/>
    <w:rsid w:val="008A0CE9"/>
    <w:rsid w:val="008A1622"/>
    <w:rsid w:val="008A25B0"/>
    <w:rsid w:val="008A2701"/>
    <w:rsid w:val="008A387B"/>
    <w:rsid w:val="008A3E54"/>
    <w:rsid w:val="008A41A3"/>
    <w:rsid w:val="008A4526"/>
    <w:rsid w:val="008A55AD"/>
    <w:rsid w:val="008A718A"/>
    <w:rsid w:val="008B05AB"/>
    <w:rsid w:val="008B0B4B"/>
    <w:rsid w:val="008B2C8C"/>
    <w:rsid w:val="008B3CAC"/>
    <w:rsid w:val="008B444F"/>
    <w:rsid w:val="008B4B34"/>
    <w:rsid w:val="008B4D64"/>
    <w:rsid w:val="008B5F3C"/>
    <w:rsid w:val="008B6351"/>
    <w:rsid w:val="008B6646"/>
    <w:rsid w:val="008B6A01"/>
    <w:rsid w:val="008C0D8A"/>
    <w:rsid w:val="008C20DE"/>
    <w:rsid w:val="008C3BD9"/>
    <w:rsid w:val="008C3FBA"/>
    <w:rsid w:val="008C5C41"/>
    <w:rsid w:val="008C655A"/>
    <w:rsid w:val="008C69E8"/>
    <w:rsid w:val="008C73A3"/>
    <w:rsid w:val="008C7A92"/>
    <w:rsid w:val="008D11B5"/>
    <w:rsid w:val="008D1768"/>
    <w:rsid w:val="008D29A4"/>
    <w:rsid w:val="008D2ED2"/>
    <w:rsid w:val="008D358A"/>
    <w:rsid w:val="008D3F15"/>
    <w:rsid w:val="008D4662"/>
    <w:rsid w:val="008D4FB2"/>
    <w:rsid w:val="008D6310"/>
    <w:rsid w:val="008D6886"/>
    <w:rsid w:val="008D6F6A"/>
    <w:rsid w:val="008D7DDF"/>
    <w:rsid w:val="008E0305"/>
    <w:rsid w:val="008E0ECC"/>
    <w:rsid w:val="008E12E7"/>
    <w:rsid w:val="008E19EE"/>
    <w:rsid w:val="008E1A71"/>
    <w:rsid w:val="008E209C"/>
    <w:rsid w:val="008E36C2"/>
    <w:rsid w:val="008E451E"/>
    <w:rsid w:val="008E4854"/>
    <w:rsid w:val="008E4CC5"/>
    <w:rsid w:val="008E675E"/>
    <w:rsid w:val="008E7112"/>
    <w:rsid w:val="008E79A1"/>
    <w:rsid w:val="008F0F25"/>
    <w:rsid w:val="008F0F34"/>
    <w:rsid w:val="008F13D0"/>
    <w:rsid w:val="008F1E6E"/>
    <w:rsid w:val="008F33CE"/>
    <w:rsid w:val="008F3488"/>
    <w:rsid w:val="008F3F37"/>
    <w:rsid w:val="008F4CFF"/>
    <w:rsid w:val="008F54CB"/>
    <w:rsid w:val="008F5B2E"/>
    <w:rsid w:val="008F5E49"/>
    <w:rsid w:val="008F72A9"/>
    <w:rsid w:val="008F7CA2"/>
    <w:rsid w:val="00900AB0"/>
    <w:rsid w:val="0090148C"/>
    <w:rsid w:val="009014C3"/>
    <w:rsid w:val="00901CDF"/>
    <w:rsid w:val="009036F7"/>
    <w:rsid w:val="00903A6E"/>
    <w:rsid w:val="00904C7F"/>
    <w:rsid w:val="009070FE"/>
    <w:rsid w:val="009071D8"/>
    <w:rsid w:val="00910117"/>
    <w:rsid w:val="009109A7"/>
    <w:rsid w:val="009127C1"/>
    <w:rsid w:val="0091369B"/>
    <w:rsid w:val="00913B92"/>
    <w:rsid w:val="009140F7"/>
    <w:rsid w:val="009148F6"/>
    <w:rsid w:val="00915FF6"/>
    <w:rsid w:val="009161D0"/>
    <w:rsid w:val="009161F6"/>
    <w:rsid w:val="00916C43"/>
    <w:rsid w:val="00921AC9"/>
    <w:rsid w:val="00921D8F"/>
    <w:rsid w:val="009226A1"/>
    <w:rsid w:val="009231CE"/>
    <w:rsid w:val="009247E5"/>
    <w:rsid w:val="00924B5A"/>
    <w:rsid w:val="00925100"/>
    <w:rsid w:val="00926CB3"/>
    <w:rsid w:val="0092746C"/>
    <w:rsid w:val="00927CE5"/>
    <w:rsid w:val="009309DE"/>
    <w:rsid w:val="00931354"/>
    <w:rsid w:val="00931A5A"/>
    <w:rsid w:val="00931F10"/>
    <w:rsid w:val="009326BB"/>
    <w:rsid w:val="00933B85"/>
    <w:rsid w:val="00933D63"/>
    <w:rsid w:val="009343F2"/>
    <w:rsid w:val="00934567"/>
    <w:rsid w:val="00934F1A"/>
    <w:rsid w:val="009351EF"/>
    <w:rsid w:val="009377B1"/>
    <w:rsid w:val="00941E1E"/>
    <w:rsid w:val="00941F8F"/>
    <w:rsid w:val="00942030"/>
    <w:rsid w:val="00946097"/>
    <w:rsid w:val="00946E59"/>
    <w:rsid w:val="00950062"/>
    <w:rsid w:val="00951397"/>
    <w:rsid w:val="00951748"/>
    <w:rsid w:val="00953452"/>
    <w:rsid w:val="009543A0"/>
    <w:rsid w:val="009546E4"/>
    <w:rsid w:val="00955999"/>
    <w:rsid w:val="00955C60"/>
    <w:rsid w:val="00957302"/>
    <w:rsid w:val="00957884"/>
    <w:rsid w:val="009601EA"/>
    <w:rsid w:val="009605CC"/>
    <w:rsid w:val="00960805"/>
    <w:rsid w:val="00960D83"/>
    <w:rsid w:val="0096106D"/>
    <w:rsid w:val="00961557"/>
    <w:rsid w:val="00961CA4"/>
    <w:rsid w:val="00962D51"/>
    <w:rsid w:val="0096322C"/>
    <w:rsid w:val="00965877"/>
    <w:rsid w:val="00965C44"/>
    <w:rsid w:val="00966ADE"/>
    <w:rsid w:val="00966FAF"/>
    <w:rsid w:val="00967914"/>
    <w:rsid w:val="00967EF9"/>
    <w:rsid w:val="00970530"/>
    <w:rsid w:val="009716B8"/>
    <w:rsid w:val="00972CF3"/>
    <w:rsid w:val="00973F82"/>
    <w:rsid w:val="00973FB8"/>
    <w:rsid w:val="0097448F"/>
    <w:rsid w:val="00974A3F"/>
    <w:rsid w:val="009751E0"/>
    <w:rsid w:val="00975313"/>
    <w:rsid w:val="00975561"/>
    <w:rsid w:val="009761F3"/>
    <w:rsid w:val="00976C83"/>
    <w:rsid w:val="00981CCF"/>
    <w:rsid w:val="00982B2A"/>
    <w:rsid w:val="00982B97"/>
    <w:rsid w:val="009850AA"/>
    <w:rsid w:val="00986AAE"/>
    <w:rsid w:val="00986D43"/>
    <w:rsid w:val="00991035"/>
    <w:rsid w:val="009915EE"/>
    <w:rsid w:val="009935E5"/>
    <w:rsid w:val="00993C25"/>
    <w:rsid w:val="00993FE1"/>
    <w:rsid w:val="00994FF9"/>
    <w:rsid w:val="009955F4"/>
    <w:rsid w:val="00995635"/>
    <w:rsid w:val="00995C71"/>
    <w:rsid w:val="00995E61"/>
    <w:rsid w:val="009966B3"/>
    <w:rsid w:val="00996D10"/>
    <w:rsid w:val="00997871"/>
    <w:rsid w:val="009A0080"/>
    <w:rsid w:val="009A0EA3"/>
    <w:rsid w:val="009A15E3"/>
    <w:rsid w:val="009A16FD"/>
    <w:rsid w:val="009A37B8"/>
    <w:rsid w:val="009A6705"/>
    <w:rsid w:val="009A7960"/>
    <w:rsid w:val="009A7BC2"/>
    <w:rsid w:val="009B055F"/>
    <w:rsid w:val="009B05E9"/>
    <w:rsid w:val="009B20C9"/>
    <w:rsid w:val="009B44D9"/>
    <w:rsid w:val="009B62DB"/>
    <w:rsid w:val="009B7965"/>
    <w:rsid w:val="009C0522"/>
    <w:rsid w:val="009C08E5"/>
    <w:rsid w:val="009C0C18"/>
    <w:rsid w:val="009C21E1"/>
    <w:rsid w:val="009C2692"/>
    <w:rsid w:val="009C2808"/>
    <w:rsid w:val="009C2A8F"/>
    <w:rsid w:val="009C33BE"/>
    <w:rsid w:val="009C3EE3"/>
    <w:rsid w:val="009C41B2"/>
    <w:rsid w:val="009C4301"/>
    <w:rsid w:val="009C4992"/>
    <w:rsid w:val="009C54FA"/>
    <w:rsid w:val="009C5BCB"/>
    <w:rsid w:val="009C7607"/>
    <w:rsid w:val="009D0154"/>
    <w:rsid w:val="009D05E9"/>
    <w:rsid w:val="009D0BCA"/>
    <w:rsid w:val="009D0DA2"/>
    <w:rsid w:val="009D2545"/>
    <w:rsid w:val="009D2895"/>
    <w:rsid w:val="009D2D99"/>
    <w:rsid w:val="009D5400"/>
    <w:rsid w:val="009D5A75"/>
    <w:rsid w:val="009D5FAA"/>
    <w:rsid w:val="009D5FDE"/>
    <w:rsid w:val="009D600A"/>
    <w:rsid w:val="009D6E18"/>
    <w:rsid w:val="009E2DD9"/>
    <w:rsid w:val="009E43EC"/>
    <w:rsid w:val="009E569D"/>
    <w:rsid w:val="009E66F1"/>
    <w:rsid w:val="009E6B90"/>
    <w:rsid w:val="009E6EC4"/>
    <w:rsid w:val="009E7F4D"/>
    <w:rsid w:val="009F08B4"/>
    <w:rsid w:val="009F0F8C"/>
    <w:rsid w:val="009F1956"/>
    <w:rsid w:val="009F1DA7"/>
    <w:rsid w:val="009F5B15"/>
    <w:rsid w:val="009F6B42"/>
    <w:rsid w:val="009F785E"/>
    <w:rsid w:val="00A00D1F"/>
    <w:rsid w:val="00A01E7A"/>
    <w:rsid w:val="00A0382F"/>
    <w:rsid w:val="00A04BBF"/>
    <w:rsid w:val="00A07CA1"/>
    <w:rsid w:val="00A07FF0"/>
    <w:rsid w:val="00A10EA7"/>
    <w:rsid w:val="00A1201C"/>
    <w:rsid w:val="00A1218F"/>
    <w:rsid w:val="00A124FF"/>
    <w:rsid w:val="00A140CF"/>
    <w:rsid w:val="00A14637"/>
    <w:rsid w:val="00A1475C"/>
    <w:rsid w:val="00A159F4"/>
    <w:rsid w:val="00A16E1B"/>
    <w:rsid w:val="00A21706"/>
    <w:rsid w:val="00A2194C"/>
    <w:rsid w:val="00A21B8C"/>
    <w:rsid w:val="00A23503"/>
    <w:rsid w:val="00A24171"/>
    <w:rsid w:val="00A24EFB"/>
    <w:rsid w:val="00A25565"/>
    <w:rsid w:val="00A25EC6"/>
    <w:rsid w:val="00A25ECF"/>
    <w:rsid w:val="00A26578"/>
    <w:rsid w:val="00A26C55"/>
    <w:rsid w:val="00A26C8F"/>
    <w:rsid w:val="00A26FDB"/>
    <w:rsid w:val="00A2713D"/>
    <w:rsid w:val="00A27645"/>
    <w:rsid w:val="00A302F6"/>
    <w:rsid w:val="00A30D5C"/>
    <w:rsid w:val="00A31633"/>
    <w:rsid w:val="00A325D4"/>
    <w:rsid w:val="00A336DD"/>
    <w:rsid w:val="00A33CC5"/>
    <w:rsid w:val="00A3451F"/>
    <w:rsid w:val="00A34DFA"/>
    <w:rsid w:val="00A35AE5"/>
    <w:rsid w:val="00A36B28"/>
    <w:rsid w:val="00A375F1"/>
    <w:rsid w:val="00A3775F"/>
    <w:rsid w:val="00A37998"/>
    <w:rsid w:val="00A41166"/>
    <w:rsid w:val="00A41BC7"/>
    <w:rsid w:val="00A41BE6"/>
    <w:rsid w:val="00A41E1B"/>
    <w:rsid w:val="00A42498"/>
    <w:rsid w:val="00A42FE7"/>
    <w:rsid w:val="00A43188"/>
    <w:rsid w:val="00A43363"/>
    <w:rsid w:val="00A43652"/>
    <w:rsid w:val="00A43AA6"/>
    <w:rsid w:val="00A4491D"/>
    <w:rsid w:val="00A468AD"/>
    <w:rsid w:val="00A477CA"/>
    <w:rsid w:val="00A47FC8"/>
    <w:rsid w:val="00A51B3E"/>
    <w:rsid w:val="00A52325"/>
    <w:rsid w:val="00A538F7"/>
    <w:rsid w:val="00A557C8"/>
    <w:rsid w:val="00A56351"/>
    <w:rsid w:val="00A56A5E"/>
    <w:rsid w:val="00A56DBE"/>
    <w:rsid w:val="00A575FB"/>
    <w:rsid w:val="00A57BC3"/>
    <w:rsid w:val="00A60955"/>
    <w:rsid w:val="00A64307"/>
    <w:rsid w:val="00A65069"/>
    <w:rsid w:val="00A658D6"/>
    <w:rsid w:val="00A658ED"/>
    <w:rsid w:val="00A65976"/>
    <w:rsid w:val="00A65C43"/>
    <w:rsid w:val="00A665EE"/>
    <w:rsid w:val="00A67A01"/>
    <w:rsid w:val="00A70917"/>
    <w:rsid w:val="00A7167C"/>
    <w:rsid w:val="00A7196D"/>
    <w:rsid w:val="00A73430"/>
    <w:rsid w:val="00A73F4B"/>
    <w:rsid w:val="00A74579"/>
    <w:rsid w:val="00A757ED"/>
    <w:rsid w:val="00A7601B"/>
    <w:rsid w:val="00A769BA"/>
    <w:rsid w:val="00A76E7B"/>
    <w:rsid w:val="00A773AE"/>
    <w:rsid w:val="00A81999"/>
    <w:rsid w:val="00A81A13"/>
    <w:rsid w:val="00A840B4"/>
    <w:rsid w:val="00A8503A"/>
    <w:rsid w:val="00A85512"/>
    <w:rsid w:val="00A85939"/>
    <w:rsid w:val="00A85B48"/>
    <w:rsid w:val="00A86A69"/>
    <w:rsid w:val="00A87140"/>
    <w:rsid w:val="00A8747E"/>
    <w:rsid w:val="00A8783B"/>
    <w:rsid w:val="00A90716"/>
    <w:rsid w:val="00A90A0D"/>
    <w:rsid w:val="00A912A0"/>
    <w:rsid w:val="00A9286F"/>
    <w:rsid w:val="00A92A58"/>
    <w:rsid w:val="00A92DD2"/>
    <w:rsid w:val="00A9449E"/>
    <w:rsid w:val="00A9564B"/>
    <w:rsid w:val="00A95C09"/>
    <w:rsid w:val="00A96125"/>
    <w:rsid w:val="00A9749D"/>
    <w:rsid w:val="00A9758D"/>
    <w:rsid w:val="00A97A69"/>
    <w:rsid w:val="00A97EDB"/>
    <w:rsid w:val="00AA0061"/>
    <w:rsid w:val="00AA0559"/>
    <w:rsid w:val="00AA085A"/>
    <w:rsid w:val="00AA0E6D"/>
    <w:rsid w:val="00AA1419"/>
    <w:rsid w:val="00AA1D62"/>
    <w:rsid w:val="00AA227F"/>
    <w:rsid w:val="00AA29DE"/>
    <w:rsid w:val="00AA3C1D"/>
    <w:rsid w:val="00AA42CD"/>
    <w:rsid w:val="00AA543E"/>
    <w:rsid w:val="00AA5DB3"/>
    <w:rsid w:val="00AA616E"/>
    <w:rsid w:val="00AA717F"/>
    <w:rsid w:val="00AB09D2"/>
    <w:rsid w:val="00AB1183"/>
    <w:rsid w:val="00AB11B6"/>
    <w:rsid w:val="00AB13DF"/>
    <w:rsid w:val="00AB1B8A"/>
    <w:rsid w:val="00AB3B46"/>
    <w:rsid w:val="00AB47CD"/>
    <w:rsid w:val="00AB55C3"/>
    <w:rsid w:val="00AB649F"/>
    <w:rsid w:val="00AB6738"/>
    <w:rsid w:val="00AB6B6C"/>
    <w:rsid w:val="00AB717F"/>
    <w:rsid w:val="00AB7CF1"/>
    <w:rsid w:val="00AC0F73"/>
    <w:rsid w:val="00AC1070"/>
    <w:rsid w:val="00AC1089"/>
    <w:rsid w:val="00AC1A50"/>
    <w:rsid w:val="00AC1E79"/>
    <w:rsid w:val="00AC44CB"/>
    <w:rsid w:val="00AC63D2"/>
    <w:rsid w:val="00AC70E6"/>
    <w:rsid w:val="00AC7B94"/>
    <w:rsid w:val="00AD0614"/>
    <w:rsid w:val="00AD0DB9"/>
    <w:rsid w:val="00AD14A0"/>
    <w:rsid w:val="00AD1721"/>
    <w:rsid w:val="00AD199C"/>
    <w:rsid w:val="00AD1C37"/>
    <w:rsid w:val="00AD25F6"/>
    <w:rsid w:val="00AD27DB"/>
    <w:rsid w:val="00AD2836"/>
    <w:rsid w:val="00AD2951"/>
    <w:rsid w:val="00AD2A3A"/>
    <w:rsid w:val="00AD383B"/>
    <w:rsid w:val="00AD4108"/>
    <w:rsid w:val="00AD433E"/>
    <w:rsid w:val="00AD51D7"/>
    <w:rsid w:val="00AD6780"/>
    <w:rsid w:val="00AD7CA6"/>
    <w:rsid w:val="00AE0A64"/>
    <w:rsid w:val="00AE0DE6"/>
    <w:rsid w:val="00AE10F6"/>
    <w:rsid w:val="00AE188C"/>
    <w:rsid w:val="00AE1ECD"/>
    <w:rsid w:val="00AE2340"/>
    <w:rsid w:val="00AE268F"/>
    <w:rsid w:val="00AE2C16"/>
    <w:rsid w:val="00AE36A0"/>
    <w:rsid w:val="00AE392E"/>
    <w:rsid w:val="00AE4AD7"/>
    <w:rsid w:val="00AE53F0"/>
    <w:rsid w:val="00AE7D54"/>
    <w:rsid w:val="00AF1344"/>
    <w:rsid w:val="00AF13BA"/>
    <w:rsid w:val="00AF159F"/>
    <w:rsid w:val="00AF1F9F"/>
    <w:rsid w:val="00AF29F3"/>
    <w:rsid w:val="00AF37CE"/>
    <w:rsid w:val="00AF4607"/>
    <w:rsid w:val="00AF4946"/>
    <w:rsid w:val="00AF5477"/>
    <w:rsid w:val="00AF5979"/>
    <w:rsid w:val="00AF6EF5"/>
    <w:rsid w:val="00AF71DF"/>
    <w:rsid w:val="00AF7399"/>
    <w:rsid w:val="00AF7A91"/>
    <w:rsid w:val="00AF7DEF"/>
    <w:rsid w:val="00B00058"/>
    <w:rsid w:val="00B00488"/>
    <w:rsid w:val="00B01070"/>
    <w:rsid w:val="00B014C7"/>
    <w:rsid w:val="00B02184"/>
    <w:rsid w:val="00B02288"/>
    <w:rsid w:val="00B03713"/>
    <w:rsid w:val="00B0491C"/>
    <w:rsid w:val="00B060F4"/>
    <w:rsid w:val="00B066F9"/>
    <w:rsid w:val="00B07B22"/>
    <w:rsid w:val="00B137E9"/>
    <w:rsid w:val="00B17221"/>
    <w:rsid w:val="00B209A7"/>
    <w:rsid w:val="00B21010"/>
    <w:rsid w:val="00B22583"/>
    <w:rsid w:val="00B22A70"/>
    <w:rsid w:val="00B234E6"/>
    <w:rsid w:val="00B23F56"/>
    <w:rsid w:val="00B24B0D"/>
    <w:rsid w:val="00B25898"/>
    <w:rsid w:val="00B25E5C"/>
    <w:rsid w:val="00B25F1A"/>
    <w:rsid w:val="00B2792E"/>
    <w:rsid w:val="00B27988"/>
    <w:rsid w:val="00B27FA1"/>
    <w:rsid w:val="00B316F9"/>
    <w:rsid w:val="00B321DD"/>
    <w:rsid w:val="00B322CB"/>
    <w:rsid w:val="00B32B74"/>
    <w:rsid w:val="00B32BD2"/>
    <w:rsid w:val="00B33E6F"/>
    <w:rsid w:val="00B341C6"/>
    <w:rsid w:val="00B368B8"/>
    <w:rsid w:val="00B372AF"/>
    <w:rsid w:val="00B40C8F"/>
    <w:rsid w:val="00B426B7"/>
    <w:rsid w:val="00B42D90"/>
    <w:rsid w:val="00B4440F"/>
    <w:rsid w:val="00B4496A"/>
    <w:rsid w:val="00B45D77"/>
    <w:rsid w:val="00B467C4"/>
    <w:rsid w:val="00B47BB5"/>
    <w:rsid w:val="00B520D4"/>
    <w:rsid w:val="00B52574"/>
    <w:rsid w:val="00B525C8"/>
    <w:rsid w:val="00B54B80"/>
    <w:rsid w:val="00B54D83"/>
    <w:rsid w:val="00B55AD2"/>
    <w:rsid w:val="00B55C36"/>
    <w:rsid w:val="00B60A89"/>
    <w:rsid w:val="00B60EC7"/>
    <w:rsid w:val="00B61017"/>
    <w:rsid w:val="00B617EE"/>
    <w:rsid w:val="00B64C98"/>
    <w:rsid w:val="00B66045"/>
    <w:rsid w:val="00B66277"/>
    <w:rsid w:val="00B66318"/>
    <w:rsid w:val="00B66E3C"/>
    <w:rsid w:val="00B66ED4"/>
    <w:rsid w:val="00B679CF"/>
    <w:rsid w:val="00B70E40"/>
    <w:rsid w:val="00B71E7E"/>
    <w:rsid w:val="00B721CF"/>
    <w:rsid w:val="00B73530"/>
    <w:rsid w:val="00B748F1"/>
    <w:rsid w:val="00B74FD4"/>
    <w:rsid w:val="00B755EF"/>
    <w:rsid w:val="00B7641E"/>
    <w:rsid w:val="00B76D38"/>
    <w:rsid w:val="00B80481"/>
    <w:rsid w:val="00B80CCE"/>
    <w:rsid w:val="00B81138"/>
    <w:rsid w:val="00B825DC"/>
    <w:rsid w:val="00B82868"/>
    <w:rsid w:val="00B82B06"/>
    <w:rsid w:val="00B82BCC"/>
    <w:rsid w:val="00B83351"/>
    <w:rsid w:val="00B8365B"/>
    <w:rsid w:val="00B83744"/>
    <w:rsid w:val="00B83844"/>
    <w:rsid w:val="00B83B84"/>
    <w:rsid w:val="00B8460C"/>
    <w:rsid w:val="00B846CB"/>
    <w:rsid w:val="00B84C85"/>
    <w:rsid w:val="00B85587"/>
    <w:rsid w:val="00B85941"/>
    <w:rsid w:val="00B86927"/>
    <w:rsid w:val="00B92324"/>
    <w:rsid w:val="00B92582"/>
    <w:rsid w:val="00B944DD"/>
    <w:rsid w:val="00B947A8"/>
    <w:rsid w:val="00B94B1C"/>
    <w:rsid w:val="00B94C72"/>
    <w:rsid w:val="00B964CE"/>
    <w:rsid w:val="00B973BB"/>
    <w:rsid w:val="00B97A71"/>
    <w:rsid w:val="00BA0563"/>
    <w:rsid w:val="00BA1662"/>
    <w:rsid w:val="00BA2066"/>
    <w:rsid w:val="00BA2148"/>
    <w:rsid w:val="00BA2278"/>
    <w:rsid w:val="00BA25BD"/>
    <w:rsid w:val="00BA2D86"/>
    <w:rsid w:val="00BA2F84"/>
    <w:rsid w:val="00BA3D49"/>
    <w:rsid w:val="00BA3E46"/>
    <w:rsid w:val="00BA4565"/>
    <w:rsid w:val="00BA45CF"/>
    <w:rsid w:val="00BA4EAF"/>
    <w:rsid w:val="00BA5C85"/>
    <w:rsid w:val="00BA7B44"/>
    <w:rsid w:val="00BB0F0C"/>
    <w:rsid w:val="00BB1CF4"/>
    <w:rsid w:val="00BB1E0B"/>
    <w:rsid w:val="00BB2E31"/>
    <w:rsid w:val="00BB2E7E"/>
    <w:rsid w:val="00BB410F"/>
    <w:rsid w:val="00BB4B8B"/>
    <w:rsid w:val="00BB4E13"/>
    <w:rsid w:val="00BB5300"/>
    <w:rsid w:val="00BB5DFB"/>
    <w:rsid w:val="00BB6347"/>
    <w:rsid w:val="00BC0626"/>
    <w:rsid w:val="00BC1348"/>
    <w:rsid w:val="00BC1F8A"/>
    <w:rsid w:val="00BC25AE"/>
    <w:rsid w:val="00BC5D0F"/>
    <w:rsid w:val="00BC5D1B"/>
    <w:rsid w:val="00BC6C19"/>
    <w:rsid w:val="00BC749A"/>
    <w:rsid w:val="00BC7829"/>
    <w:rsid w:val="00BD072C"/>
    <w:rsid w:val="00BD3D22"/>
    <w:rsid w:val="00BD468D"/>
    <w:rsid w:val="00BD5BBF"/>
    <w:rsid w:val="00BD6790"/>
    <w:rsid w:val="00BD7694"/>
    <w:rsid w:val="00BD7AE5"/>
    <w:rsid w:val="00BE0F21"/>
    <w:rsid w:val="00BE18F4"/>
    <w:rsid w:val="00BE2BDA"/>
    <w:rsid w:val="00BE40C2"/>
    <w:rsid w:val="00BE4174"/>
    <w:rsid w:val="00BE58F3"/>
    <w:rsid w:val="00BE6482"/>
    <w:rsid w:val="00BF0229"/>
    <w:rsid w:val="00BF1647"/>
    <w:rsid w:val="00BF2620"/>
    <w:rsid w:val="00BF27BA"/>
    <w:rsid w:val="00BF4105"/>
    <w:rsid w:val="00BF7CAA"/>
    <w:rsid w:val="00C000F8"/>
    <w:rsid w:val="00C00AD2"/>
    <w:rsid w:val="00C01628"/>
    <w:rsid w:val="00C02844"/>
    <w:rsid w:val="00C02F64"/>
    <w:rsid w:val="00C02FD6"/>
    <w:rsid w:val="00C03275"/>
    <w:rsid w:val="00C037F1"/>
    <w:rsid w:val="00C054FD"/>
    <w:rsid w:val="00C05EDE"/>
    <w:rsid w:val="00C0780D"/>
    <w:rsid w:val="00C078F6"/>
    <w:rsid w:val="00C07C58"/>
    <w:rsid w:val="00C10062"/>
    <w:rsid w:val="00C202AA"/>
    <w:rsid w:val="00C210CA"/>
    <w:rsid w:val="00C21747"/>
    <w:rsid w:val="00C227C9"/>
    <w:rsid w:val="00C22B42"/>
    <w:rsid w:val="00C22DFC"/>
    <w:rsid w:val="00C2337C"/>
    <w:rsid w:val="00C23E07"/>
    <w:rsid w:val="00C23F2E"/>
    <w:rsid w:val="00C25232"/>
    <w:rsid w:val="00C26DA2"/>
    <w:rsid w:val="00C279AA"/>
    <w:rsid w:val="00C27BA3"/>
    <w:rsid w:val="00C30F02"/>
    <w:rsid w:val="00C33157"/>
    <w:rsid w:val="00C333B2"/>
    <w:rsid w:val="00C34226"/>
    <w:rsid w:val="00C34AD2"/>
    <w:rsid w:val="00C35B62"/>
    <w:rsid w:val="00C36339"/>
    <w:rsid w:val="00C36B74"/>
    <w:rsid w:val="00C407C9"/>
    <w:rsid w:val="00C4234F"/>
    <w:rsid w:val="00C42829"/>
    <w:rsid w:val="00C4356D"/>
    <w:rsid w:val="00C45187"/>
    <w:rsid w:val="00C4573B"/>
    <w:rsid w:val="00C45E8B"/>
    <w:rsid w:val="00C46BBD"/>
    <w:rsid w:val="00C46ED3"/>
    <w:rsid w:val="00C46FDB"/>
    <w:rsid w:val="00C50A3B"/>
    <w:rsid w:val="00C515C6"/>
    <w:rsid w:val="00C51F3B"/>
    <w:rsid w:val="00C52CF5"/>
    <w:rsid w:val="00C541D0"/>
    <w:rsid w:val="00C548EC"/>
    <w:rsid w:val="00C54EEF"/>
    <w:rsid w:val="00C570D6"/>
    <w:rsid w:val="00C572B6"/>
    <w:rsid w:val="00C57521"/>
    <w:rsid w:val="00C5779F"/>
    <w:rsid w:val="00C57EC3"/>
    <w:rsid w:val="00C60558"/>
    <w:rsid w:val="00C61F11"/>
    <w:rsid w:val="00C62591"/>
    <w:rsid w:val="00C62625"/>
    <w:rsid w:val="00C62D95"/>
    <w:rsid w:val="00C63ADC"/>
    <w:rsid w:val="00C63B87"/>
    <w:rsid w:val="00C63D60"/>
    <w:rsid w:val="00C65C2F"/>
    <w:rsid w:val="00C662E1"/>
    <w:rsid w:val="00C716D4"/>
    <w:rsid w:val="00C7188F"/>
    <w:rsid w:val="00C71A34"/>
    <w:rsid w:val="00C7231A"/>
    <w:rsid w:val="00C727A7"/>
    <w:rsid w:val="00C7303F"/>
    <w:rsid w:val="00C737B0"/>
    <w:rsid w:val="00C73C60"/>
    <w:rsid w:val="00C74274"/>
    <w:rsid w:val="00C74442"/>
    <w:rsid w:val="00C754A8"/>
    <w:rsid w:val="00C75CEB"/>
    <w:rsid w:val="00C76D07"/>
    <w:rsid w:val="00C77963"/>
    <w:rsid w:val="00C77A08"/>
    <w:rsid w:val="00C80173"/>
    <w:rsid w:val="00C80E63"/>
    <w:rsid w:val="00C80FE8"/>
    <w:rsid w:val="00C8112A"/>
    <w:rsid w:val="00C81DFD"/>
    <w:rsid w:val="00C824E2"/>
    <w:rsid w:val="00C82617"/>
    <w:rsid w:val="00C82E08"/>
    <w:rsid w:val="00C83BD2"/>
    <w:rsid w:val="00C84680"/>
    <w:rsid w:val="00C84724"/>
    <w:rsid w:val="00C84898"/>
    <w:rsid w:val="00C84A45"/>
    <w:rsid w:val="00C850C2"/>
    <w:rsid w:val="00C85697"/>
    <w:rsid w:val="00C87E23"/>
    <w:rsid w:val="00C90446"/>
    <w:rsid w:val="00C90C6B"/>
    <w:rsid w:val="00C91165"/>
    <w:rsid w:val="00C9184C"/>
    <w:rsid w:val="00C92662"/>
    <w:rsid w:val="00C92FD0"/>
    <w:rsid w:val="00C941E2"/>
    <w:rsid w:val="00C9564D"/>
    <w:rsid w:val="00C964B1"/>
    <w:rsid w:val="00C965F4"/>
    <w:rsid w:val="00C97516"/>
    <w:rsid w:val="00C97F65"/>
    <w:rsid w:val="00CA0795"/>
    <w:rsid w:val="00CA2503"/>
    <w:rsid w:val="00CA25D9"/>
    <w:rsid w:val="00CA265E"/>
    <w:rsid w:val="00CA2C96"/>
    <w:rsid w:val="00CA3155"/>
    <w:rsid w:val="00CA3C88"/>
    <w:rsid w:val="00CA4165"/>
    <w:rsid w:val="00CA4523"/>
    <w:rsid w:val="00CA4E22"/>
    <w:rsid w:val="00CA62B4"/>
    <w:rsid w:val="00CA6FB0"/>
    <w:rsid w:val="00CA7191"/>
    <w:rsid w:val="00CA71BB"/>
    <w:rsid w:val="00CA76A6"/>
    <w:rsid w:val="00CA798E"/>
    <w:rsid w:val="00CB0BAD"/>
    <w:rsid w:val="00CB1753"/>
    <w:rsid w:val="00CB2AEC"/>
    <w:rsid w:val="00CB4BA9"/>
    <w:rsid w:val="00CB4BB4"/>
    <w:rsid w:val="00CB4D3A"/>
    <w:rsid w:val="00CB4F18"/>
    <w:rsid w:val="00CB5DFF"/>
    <w:rsid w:val="00CB5F2A"/>
    <w:rsid w:val="00CB69E4"/>
    <w:rsid w:val="00CB7538"/>
    <w:rsid w:val="00CB753A"/>
    <w:rsid w:val="00CB75DE"/>
    <w:rsid w:val="00CC055A"/>
    <w:rsid w:val="00CC078D"/>
    <w:rsid w:val="00CC0C28"/>
    <w:rsid w:val="00CC36A1"/>
    <w:rsid w:val="00CC4598"/>
    <w:rsid w:val="00CC4911"/>
    <w:rsid w:val="00CC4C41"/>
    <w:rsid w:val="00CC527E"/>
    <w:rsid w:val="00CC6259"/>
    <w:rsid w:val="00CC738E"/>
    <w:rsid w:val="00CD05C0"/>
    <w:rsid w:val="00CD20B9"/>
    <w:rsid w:val="00CD333A"/>
    <w:rsid w:val="00CD3A11"/>
    <w:rsid w:val="00CD3B0C"/>
    <w:rsid w:val="00CD6789"/>
    <w:rsid w:val="00CE3081"/>
    <w:rsid w:val="00CE3B6D"/>
    <w:rsid w:val="00CE40CF"/>
    <w:rsid w:val="00CE4605"/>
    <w:rsid w:val="00CE6366"/>
    <w:rsid w:val="00CE7623"/>
    <w:rsid w:val="00CF000A"/>
    <w:rsid w:val="00CF02DD"/>
    <w:rsid w:val="00CF0FD3"/>
    <w:rsid w:val="00CF40D5"/>
    <w:rsid w:val="00CF4A20"/>
    <w:rsid w:val="00CF51D7"/>
    <w:rsid w:val="00CF5C23"/>
    <w:rsid w:val="00CF6463"/>
    <w:rsid w:val="00CF6D9C"/>
    <w:rsid w:val="00CF6F65"/>
    <w:rsid w:val="00CF7839"/>
    <w:rsid w:val="00D003C4"/>
    <w:rsid w:val="00D00811"/>
    <w:rsid w:val="00D00F65"/>
    <w:rsid w:val="00D011D1"/>
    <w:rsid w:val="00D021E7"/>
    <w:rsid w:val="00D022BB"/>
    <w:rsid w:val="00D04594"/>
    <w:rsid w:val="00D052BC"/>
    <w:rsid w:val="00D06345"/>
    <w:rsid w:val="00D079AD"/>
    <w:rsid w:val="00D07DFC"/>
    <w:rsid w:val="00D07E47"/>
    <w:rsid w:val="00D10064"/>
    <w:rsid w:val="00D103C7"/>
    <w:rsid w:val="00D10A09"/>
    <w:rsid w:val="00D11523"/>
    <w:rsid w:val="00D138B8"/>
    <w:rsid w:val="00D13A86"/>
    <w:rsid w:val="00D13C4E"/>
    <w:rsid w:val="00D15008"/>
    <w:rsid w:val="00D15B06"/>
    <w:rsid w:val="00D160E8"/>
    <w:rsid w:val="00D167F9"/>
    <w:rsid w:val="00D1690C"/>
    <w:rsid w:val="00D16E4C"/>
    <w:rsid w:val="00D17C5D"/>
    <w:rsid w:val="00D2058F"/>
    <w:rsid w:val="00D20A44"/>
    <w:rsid w:val="00D22839"/>
    <w:rsid w:val="00D232AB"/>
    <w:rsid w:val="00D23432"/>
    <w:rsid w:val="00D239B0"/>
    <w:rsid w:val="00D23F6F"/>
    <w:rsid w:val="00D24290"/>
    <w:rsid w:val="00D2464A"/>
    <w:rsid w:val="00D25A6F"/>
    <w:rsid w:val="00D25AA6"/>
    <w:rsid w:val="00D27308"/>
    <w:rsid w:val="00D30A08"/>
    <w:rsid w:val="00D32759"/>
    <w:rsid w:val="00D32A83"/>
    <w:rsid w:val="00D340B0"/>
    <w:rsid w:val="00D34DE0"/>
    <w:rsid w:val="00D351F2"/>
    <w:rsid w:val="00D35CF9"/>
    <w:rsid w:val="00D36F0A"/>
    <w:rsid w:val="00D375F0"/>
    <w:rsid w:val="00D378F7"/>
    <w:rsid w:val="00D404AC"/>
    <w:rsid w:val="00D40D75"/>
    <w:rsid w:val="00D4175E"/>
    <w:rsid w:val="00D444DE"/>
    <w:rsid w:val="00D4481F"/>
    <w:rsid w:val="00D44D2C"/>
    <w:rsid w:val="00D44EFD"/>
    <w:rsid w:val="00D47D45"/>
    <w:rsid w:val="00D5218F"/>
    <w:rsid w:val="00D52631"/>
    <w:rsid w:val="00D52788"/>
    <w:rsid w:val="00D5329E"/>
    <w:rsid w:val="00D536D8"/>
    <w:rsid w:val="00D54A01"/>
    <w:rsid w:val="00D56843"/>
    <w:rsid w:val="00D56D40"/>
    <w:rsid w:val="00D56E82"/>
    <w:rsid w:val="00D56FF2"/>
    <w:rsid w:val="00D57F5D"/>
    <w:rsid w:val="00D60FD0"/>
    <w:rsid w:val="00D6105C"/>
    <w:rsid w:val="00D6140E"/>
    <w:rsid w:val="00D6315F"/>
    <w:rsid w:val="00D63820"/>
    <w:rsid w:val="00D63EEE"/>
    <w:rsid w:val="00D64801"/>
    <w:rsid w:val="00D655C9"/>
    <w:rsid w:val="00D65F8D"/>
    <w:rsid w:val="00D66325"/>
    <w:rsid w:val="00D66AFC"/>
    <w:rsid w:val="00D67A8D"/>
    <w:rsid w:val="00D67FEF"/>
    <w:rsid w:val="00D703BB"/>
    <w:rsid w:val="00D7109F"/>
    <w:rsid w:val="00D71C97"/>
    <w:rsid w:val="00D72D77"/>
    <w:rsid w:val="00D73DFC"/>
    <w:rsid w:val="00D749C4"/>
    <w:rsid w:val="00D75073"/>
    <w:rsid w:val="00D75299"/>
    <w:rsid w:val="00D75FA6"/>
    <w:rsid w:val="00D80E55"/>
    <w:rsid w:val="00D82C10"/>
    <w:rsid w:val="00D83386"/>
    <w:rsid w:val="00D857A3"/>
    <w:rsid w:val="00D85F75"/>
    <w:rsid w:val="00D87B27"/>
    <w:rsid w:val="00D90C77"/>
    <w:rsid w:val="00D916C3"/>
    <w:rsid w:val="00D92079"/>
    <w:rsid w:val="00D925CA"/>
    <w:rsid w:val="00D92EB0"/>
    <w:rsid w:val="00D93197"/>
    <w:rsid w:val="00D93320"/>
    <w:rsid w:val="00D93A8A"/>
    <w:rsid w:val="00D9481F"/>
    <w:rsid w:val="00D94850"/>
    <w:rsid w:val="00D95CD0"/>
    <w:rsid w:val="00D96E05"/>
    <w:rsid w:val="00D96E4C"/>
    <w:rsid w:val="00D97BFE"/>
    <w:rsid w:val="00DA171D"/>
    <w:rsid w:val="00DA1F06"/>
    <w:rsid w:val="00DA3FB9"/>
    <w:rsid w:val="00DA4973"/>
    <w:rsid w:val="00DA54C3"/>
    <w:rsid w:val="00DA5A78"/>
    <w:rsid w:val="00DA69E2"/>
    <w:rsid w:val="00DA6EBA"/>
    <w:rsid w:val="00DA71F0"/>
    <w:rsid w:val="00DA7281"/>
    <w:rsid w:val="00DA790F"/>
    <w:rsid w:val="00DA7A28"/>
    <w:rsid w:val="00DB0953"/>
    <w:rsid w:val="00DB1B6E"/>
    <w:rsid w:val="00DB2629"/>
    <w:rsid w:val="00DB3558"/>
    <w:rsid w:val="00DB433D"/>
    <w:rsid w:val="00DB4995"/>
    <w:rsid w:val="00DB49CD"/>
    <w:rsid w:val="00DB61AD"/>
    <w:rsid w:val="00DB63D3"/>
    <w:rsid w:val="00DB7AF5"/>
    <w:rsid w:val="00DC0119"/>
    <w:rsid w:val="00DC0AFF"/>
    <w:rsid w:val="00DC1E40"/>
    <w:rsid w:val="00DC2809"/>
    <w:rsid w:val="00DC395B"/>
    <w:rsid w:val="00DC3CF9"/>
    <w:rsid w:val="00DC3E7C"/>
    <w:rsid w:val="00DC4E1A"/>
    <w:rsid w:val="00DC6147"/>
    <w:rsid w:val="00DC7A5C"/>
    <w:rsid w:val="00DD068B"/>
    <w:rsid w:val="00DD16CA"/>
    <w:rsid w:val="00DD24D7"/>
    <w:rsid w:val="00DD2C19"/>
    <w:rsid w:val="00DD40FF"/>
    <w:rsid w:val="00DD4600"/>
    <w:rsid w:val="00DD5727"/>
    <w:rsid w:val="00DE0192"/>
    <w:rsid w:val="00DE06D2"/>
    <w:rsid w:val="00DE0F3E"/>
    <w:rsid w:val="00DE1E68"/>
    <w:rsid w:val="00DE2045"/>
    <w:rsid w:val="00DE2973"/>
    <w:rsid w:val="00DE3157"/>
    <w:rsid w:val="00DE66D8"/>
    <w:rsid w:val="00DE6817"/>
    <w:rsid w:val="00DE6CE8"/>
    <w:rsid w:val="00DE7802"/>
    <w:rsid w:val="00DE7C2F"/>
    <w:rsid w:val="00DF1807"/>
    <w:rsid w:val="00DF1F0C"/>
    <w:rsid w:val="00DF21A5"/>
    <w:rsid w:val="00DF2856"/>
    <w:rsid w:val="00DF33FC"/>
    <w:rsid w:val="00DF3A1E"/>
    <w:rsid w:val="00DF4264"/>
    <w:rsid w:val="00DF4673"/>
    <w:rsid w:val="00DF5364"/>
    <w:rsid w:val="00DF604C"/>
    <w:rsid w:val="00DF6C67"/>
    <w:rsid w:val="00E02CCF"/>
    <w:rsid w:val="00E02CFE"/>
    <w:rsid w:val="00E0327F"/>
    <w:rsid w:val="00E034D5"/>
    <w:rsid w:val="00E03D35"/>
    <w:rsid w:val="00E0453C"/>
    <w:rsid w:val="00E04BFD"/>
    <w:rsid w:val="00E04FBB"/>
    <w:rsid w:val="00E06034"/>
    <w:rsid w:val="00E06297"/>
    <w:rsid w:val="00E068B8"/>
    <w:rsid w:val="00E10AC3"/>
    <w:rsid w:val="00E10DE7"/>
    <w:rsid w:val="00E12957"/>
    <w:rsid w:val="00E135D4"/>
    <w:rsid w:val="00E13810"/>
    <w:rsid w:val="00E13DA5"/>
    <w:rsid w:val="00E14182"/>
    <w:rsid w:val="00E146B4"/>
    <w:rsid w:val="00E1487E"/>
    <w:rsid w:val="00E14A77"/>
    <w:rsid w:val="00E15606"/>
    <w:rsid w:val="00E16AC3"/>
    <w:rsid w:val="00E17037"/>
    <w:rsid w:val="00E176C8"/>
    <w:rsid w:val="00E20698"/>
    <w:rsid w:val="00E20D75"/>
    <w:rsid w:val="00E20E38"/>
    <w:rsid w:val="00E21792"/>
    <w:rsid w:val="00E2278D"/>
    <w:rsid w:val="00E23198"/>
    <w:rsid w:val="00E24A21"/>
    <w:rsid w:val="00E2530A"/>
    <w:rsid w:val="00E25FD7"/>
    <w:rsid w:val="00E26340"/>
    <w:rsid w:val="00E26725"/>
    <w:rsid w:val="00E268B3"/>
    <w:rsid w:val="00E26BB7"/>
    <w:rsid w:val="00E26F59"/>
    <w:rsid w:val="00E27E5D"/>
    <w:rsid w:val="00E27E65"/>
    <w:rsid w:val="00E30285"/>
    <w:rsid w:val="00E30CEB"/>
    <w:rsid w:val="00E3225E"/>
    <w:rsid w:val="00E33B40"/>
    <w:rsid w:val="00E33C91"/>
    <w:rsid w:val="00E341E6"/>
    <w:rsid w:val="00E346FE"/>
    <w:rsid w:val="00E34992"/>
    <w:rsid w:val="00E349E5"/>
    <w:rsid w:val="00E34D6E"/>
    <w:rsid w:val="00E354AE"/>
    <w:rsid w:val="00E3559D"/>
    <w:rsid w:val="00E35A80"/>
    <w:rsid w:val="00E35DA7"/>
    <w:rsid w:val="00E36B2E"/>
    <w:rsid w:val="00E36BBB"/>
    <w:rsid w:val="00E406AA"/>
    <w:rsid w:val="00E406E4"/>
    <w:rsid w:val="00E412BE"/>
    <w:rsid w:val="00E4170D"/>
    <w:rsid w:val="00E42838"/>
    <w:rsid w:val="00E42FEB"/>
    <w:rsid w:val="00E448C9"/>
    <w:rsid w:val="00E45723"/>
    <w:rsid w:val="00E50C58"/>
    <w:rsid w:val="00E51D70"/>
    <w:rsid w:val="00E529D8"/>
    <w:rsid w:val="00E52BA2"/>
    <w:rsid w:val="00E5315B"/>
    <w:rsid w:val="00E532E0"/>
    <w:rsid w:val="00E53B8C"/>
    <w:rsid w:val="00E547C1"/>
    <w:rsid w:val="00E55376"/>
    <w:rsid w:val="00E569D2"/>
    <w:rsid w:val="00E57BF2"/>
    <w:rsid w:val="00E603C0"/>
    <w:rsid w:val="00E611CB"/>
    <w:rsid w:val="00E61645"/>
    <w:rsid w:val="00E61D2A"/>
    <w:rsid w:val="00E62294"/>
    <w:rsid w:val="00E62338"/>
    <w:rsid w:val="00E63413"/>
    <w:rsid w:val="00E63472"/>
    <w:rsid w:val="00E635E9"/>
    <w:rsid w:val="00E6557E"/>
    <w:rsid w:val="00E666B1"/>
    <w:rsid w:val="00E6797C"/>
    <w:rsid w:val="00E679A4"/>
    <w:rsid w:val="00E67F1A"/>
    <w:rsid w:val="00E703C9"/>
    <w:rsid w:val="00E70D47"/>
    <w:rsid w:val="00E72421"/>
    <w:rsid w:val="00E726DB"/>
    <w:rsid w:val="00E72BD7"/>
    <w:rsid w:val="00E73340"/>
    <w:rsid w:val="00E73479"/>
    <w:rsid w:val="00E748F0"/>
    <w:rsid w:val="00E7565D"/>
    <w:rsid w:val="00E75AE8"/>
    <w:rsid w:val="00E76248"/>
    <w:rsid w:val="00E7632C"/>
    <w:rsid w:val="00E7744B"/>
    <w:rsid w:val="00E7763C"/>
    <w:rsid w:val="00E80072"/>
    <w:rsid w:val="00E80876"/>
    <w:rsid w:val="00E8166D"/>
    <w:rsid w:val="00E816F4"/>
    <w:rsid w:val="00E81B83"/>
    <w:rsid w:val="00E82963"/>
    <w:rsid w:val="00E82B51"/>
    <w:rsid w:val="00E82F55"/>
    <w:rsid w:val="00E831BB"/>
    <w:rsid w:val="00E849DB"/>
    <w:rsid w:val="00E85907"/>
    <w:rsid w:val="00E867C7"/>
    <w:rsid w:val="00E8682D"/>
    <w:rsid w:val="00E87787"/>
    <w:rsid w:val="00E90614"/>
    <w:rsid w:val="00E91F8C"/>
    <w:rsid w:val="00E92280"/>
    <w:rsid w:val="00E9277A"/>
    <w:rsid w:val="00E93AF0"/>
    <w:rsid w:val="00E94579"/>
    <w:rsid w:val="00E95E90"/>
    <w:rsid w:val="00E95FD8"/>
    <w:rsid w:val="00E969BA"/>
    <w:rsid w:val="00E977B8"/>
    <w:rsid w:val="00E97D87"/>
    <w:rsid w:val="00E97DF8"/>
    <w:rsid w:val="00EA028E"/>
    <w:rsid w:val="00EA135B"/>
    <w:rsid w:val="00EA1722"/>
    <w:rsid w:val="00EA1FB1"/>
    <w:rsid w:val="00EA2582"/>
    <w:rsid w:val="00EA2F2C"/>
    <w:rsid w:val="00EA304A"/>
    <w:rsid w:val="00EA3456"/>
    <w:rsid w:val="00EA35CD"/>
    <w:rsid w:val="00EA38B2"/>
    <w:rsid w:val="00EA4F6D"/>
    <w:rsid w:val="00EA5A14"/>
    <w:rsid w:val="00EA642F"/>
    <w:rsid w:val="00EA7B48"/>
    <w:rsid w:val="00EA7E1E"/>
    <w:rsid w:val="00EA7FBE"/>
    <w:rsid w:val="00EB0904"/>
    <w:rsid w:val="00EB12EA"/>
    <w:rsid w:val="00EB2894"/>
    <w:rsid w:val="00EB36D0"/>
    <w:rsid w:val="00EB3CD0"/>
    <w:rsid w:val="00EB3E7F"/>
    <w:rsid w:val="00EB4707"/>
    <w:rsid w:val="00EB4825"/>
    <w:rsid w:val="00EB485F"/>
    <w:rsid w:val="00EB5122"/>
    <w:rsid w:val="00EB61D2"/>
    <w:rsid w:val="00EB7603"/>
    <w:rsid w:val="00EC0F91"/>
    <w:rsid w:val="00EC251F"/>
    <w:rsid w:val="00EC2570"/>
    <w:rsid w:val="00EC4C90"/>
    <w:rsid w:val="00EC53B8"/>
    <w:rsid w:val="00EC5461"/>
    <w:rsid w:val="00EC637F"/>
    <w:rsid w:val="00EC63CA"/>
    <w:rsid w:val="00EC77F4"/>
    <w:rsid w:val="00ED06CC"/>
    <w:rsid w:val="00ED1FF0"/>
    <w:rsid w:val="00ED4686"/>
    <w:rsid w:val="00ED4D2C"/>
    <w:rsid w:val="00ED4ED5"/>
    <w:rsid w:val="00ED5281"/>
    <w:rsid w:val="00ED73B1"/>
    <w:rsid w:val="00ED7673"/>
    <w:rsid w:val="00ED78D5"/>
    <w:rsid w:val="00ED793D"/>
    <w:rsid w:val="00ED7BD7"/>
    <w:rsid w:val="00ED7FDA"/>
    <w:rsid w:val="00EE1257"/>
    <w:rsid w:val="00EE1CD4"/>
    <w:rsid w:val="00EE507D"/>
    <w:rsid w:val="00EE5084"/>
    <w:rsid w:val="00EE5641"/>
    <w:rsid w:val="00EE5AB6"/>
    <w:rsid w:val="00EE7583"/>
    <w:rsid w:val="00EF2262"/>
    <w:rsid w:val="00EF378A"/>
    <w:rsid w:val="00EF52B5"/>
    <w:rsid w:val="00EF57DB"/>
    <w:rsid w:val="00EF6182"/>
    <w:rsid w:val="00EF6C85"/>
    <w:rsid w:val="00EF733A"/>
    <w:rsid w:val="00EF77F3"/>
    <w:rsid w:val="00F01120"/>
    <w:rsid w:val="00F011D6"/>
    <w:rsid w:val="00F02783"/>
    <w:rsid w:val="00F0373A"/>
    <w:rsid w:val="00F03A19"/>
    <w:rsid w:val="00F03B95"/>
    <w:rsid w:val="00F04A72"/>
    <w:rsid w:val="00F06033"/>
    <w:rsid w:val="00F07F22"/>
    <w:rsid w:val="00F105FA"/>
    <w:rsid w:val="00F10605"/>
    <w:rsid w:val="00F10629"/>
    <w:rsid w:val="00F10EDF"/>
    <w:rsid w:val="00F1199A"/>
    <w:rsid w:val="00F13F0D"/>
    <w:rsid w:val="00F148F5"/>
    <w:rsid w:val="00F1571B"/>
    <w:rsid w:val="00F17789"/>
    <w:rsid w:val="00F20530"/>
    <w:rsid w:val="00F21D75"/>
    <w:rsid w:val="00F22EF3"/>
    <w:rsid w:val="00F2378F"/>
    <w:rsid w:val="00F2382A"/>
    <w:rsid w:val="00F23F59"/>
    <w:rsid w:val="00F243CA"/>
    <w:rsid w:val="00F2486F"/>
    <w:rsid w:val="00F24E2B"/>
    <w:rsid w:val="00F25617"/>
    <w:rsid w:val="00F26507"/>
    <w:rsid w:val="00F265BE"/>
    <w:rsid w:val="00F265E9"/>
    <w:rsid w:val="00F267B0"/>
    <w:rsid w:val="00F26C7B"/>
    <w:rsid w:val="00F3080E"/>
    <w:rsid w:val="00F3118F"/>
    <w:rsid w:val="00F32129"/>
    <w:rsid w:val="00F32A7E"/>
    <w:rsid w:val="00F332B6"/>
    <w:rsid w:val="00F3335B"/>
    <w:rsid w:val="00F333B0"/>
    <w:rsid w:val="00F34252"/>
    <w:rsid w:val="00F35729"/>
    <w:rsid w:val="00F35D03"/>
    <w:rsid w:val="00F361F3"/>
    <w:rsid w:val="00F367DD"/>
    <w:rsid w:val="00F36B59"/>
    <w:rsid w:val="00F374C7"/>
    <w:rsid w:val="00F407EB"/>
    <w:rsid w:val="00F41325"/>
    <w:rsid w:val="00F4184B"/>
    <w:rsid w:val="00F41DD1"/>
    <w:rsid w:val="00F41E2E"/>
    <w:rsid w:val="00F41F19"/>
    <w:rsid w:val="00F42207"/>
    <w:rsid w:val="00F42708"/>
    <w:rsid w:val="00F427D3"/>
    <w:rsid w:val="00F439B5"/>
    <w:rsid w:val="00F44423"/>
    <w:rsid w:val="00F44687"/>
    <w:rsid w:val="00F478D2"/>
    <w:rsid w:val="00F47A07"/>
    <w:rsid w:val="00F517BB"/>
    <w:rsid w:val="00F5318D"/>
    <w:rsid w:val="00F53963"/>
    <w:rsid w:val="00F56B47"/>
    <w:rsid w:val="00F576A8"/>
    <w:rsid w:val="00F61083"/>
    <w:rsid w:val="00F621C3"/>
    <w:rsid w:val="00F624C3"/>
    <w:rsid w:val="00F62807"/>
    <w:rsid w:val="00F62961"/>
    <w:rsid w:val="00F62C3A"/>
    <w:rsid w:val="00F62C99"/>
    <w:rsid w:val="00F63203"/>
    <w:rsid w:val="00F6429F"/>
    <w:rsid w:val="00F6468B"/>
    <w:rsid w:val="00F648B3"/>
    <w:rsid w:val="00F653D9"/>
    <w:rsid w:val="00F6592A"/>
    <w:rsid w:val="00F676F1"/>
    <w:rsid w:val="00F677AF"/>
    <w:rsid w:val="00F707F8"/>
    <w:rsid w:val="00F71EB0"/>
    <w:rsid w:val="00F725E5"/>
    <w:rsid w:val="00F72E6D"/>
    <w:rsid w:val="00F7355F"/>
    <w:rsid w:val="00F73812"/>
    <w:rsid w:val="00F7403C"/>
    <w:rsid w:val="00F75126"/>
    <w:rsid w:val="00F752B4"/>
    <w:rsid w:val="00F752F5"/>
    <w:rsid w:val="00F754F3"/>
    <w:rsid w:val="00F7571C"/>
    <w:rsid w:val="00F764BF"/>
    <w:rsid w:val="00F7739C"/>
    <w:rsid w:val="00F828DD"/>
    <w:rsid w:val="00F82C72"/>
    <w:rsid w:val="00F83D58"/>
    <w:rsid w:val="00F8552F"/>
    <w:rsid w:val="00F866F4"/>
    <w:rsid w:val="00F86DC9"/>
    <w:rsid w:val="00F8772F"/>
    <w:rsid w:val="00F8793D"/>
    <w:rsid w:val="00F9032E"/>
    <w:rsid w:val="00F920B2"/>
    <w:rsid w:val="00F9231D"/>
    <w:rsid w:val="00F93A7F"/>
    <w:rsid w:val="00FA052C"/>
    <w:rsid w:val="00FA0678"/>
    <w:rsid w:val="00FA087B"/>
    <w:rsid w:val="00FA1002"/>
    <w:rsid w:val="00FA1E1D"/>
    <w:rsid w:val="00FA3555"/>
    <w:rsid w:val="00FA4395"/>
    <w:rsid w:val="00FA4575"/>
    <w:rsid w:val="00FA48AD"/>
    <w:rsid w:val="00FA580C"/>
    <w:rsid w:val="00FA7047"/>
    <w:rsid w:val="00FA7256"/>
    <w:rsid w:val="00FA7A66"/>
    <w:rsid w:val="00FB0A08"/>
    <w:rsid w:val="00FB1207"/>
    <w:rsid w:val="00FB1350"/>
    <w:rsid w:val="00FB13FC"/>
    <w:rsid w:val="00FB18EE"/>
    <w:rsid w:val="00FB2C6C"/>
    <w:rsid w:val="00FB347E"/>
    <w:rsid w:val="00FB3F16"/>
    <w:rsid w:val="00FB48F1"/>
    <w:rsid w:val="00FB508C"/>
    <w:rsid w:val="00FB5BE2"/>
    <w:rsid w:val="00FB5C00"/>
    <w:rsid w:val="00FB5E99"/>
    <w:rsid w:val="00FB5FCF"/>
    <w:rsid w:val="00FC0914"/>
    <w:rsid w:val="00FC21E7"/>
    <w:rsid w:val="00FC228E"/>
    <w:rsid w:val="00FC45FE"/>
    <w:rsid w:val="00FC618B"/>
    <w:rsid w:val="00FC6F62"/>
    <w:rsid w:val="00FC79C3"/>
    <w:rsid w:val="00FD06B1"/>
    <w:rsid w:val="00FD08DD"/>
    <w:rsid w:val="00FD143C"/>
    <w:rsid w:val="00FD18B1"/>
    <w:rsid w:val="00FD26E5"/>
    <w:rsid w:val="00FD2906"/>
    <w:rsid w:val="00FD4A60"/>
    <w:rsid w:val="00FD5A77"/>
    <w:rsid w:val="00FD6209"/>
    <w:rsid w:val="00FD6459"/>
    <w:rsid w:val="00FD70BC"/>
    <w:rsid w:val="00FE0206"/>
    <w:rsid w:val="00FE0858"/>
    <w:rsid w:val="00FE117E"/>
    <w:rsid w:val="00FE11C3"/>
    <w:rsid w:val="00FE1770"/>
    <w:rsid w:val="00FE3993"/>
    <w:rsid w:val="00FE51F6"/>
    <w:rsid w:val="00FE525F"/>
    <w:rsid w:val="00FE601C"/>
    <w:rsid w:val="00FE6799"/>
    <w:rsid w:val="00FE6D5A"/>
    <w:rsid w:val="00FE7CDF"/>
    <w:rsid w:val="00FF0109"/>
    <w:rsid w:val="00FF0A87"/>
    <w:rsid w:val="00FF154D"/>
    <w:rsid w:val="00FF3065"/>
    <w:rsid w:val="00FF3398"/>
    <w:rsid w:val="00FF392C"/>
    <w:rsid w:val="00FF4B3F"/>
    <w:rsid w:val="00FF5504"/>
    <w:rsid w:val="00FF5E44"/>
    <w:rsid w:val="00FF7A9E"/>
    <w:rsid w:val="0161132F"/>
    <w:rsid w:val="01E525D8"/>
    <w:rsid w:val="022C6591"/>
    <w:rsid w:val="02545732"/>
    <w:rsid w:val="025E57AC"/>
    <w:rsid w:val="02A856F1"/>
    <w:rsid w:val="031D20C7"/>
    <w:rsid w:val="03411571"/>
    <w:rsid w:val="04140A58"/>
    <w:rsid w:val="0525637C"/>
    <w:rsid w:val="0626650F"/>
    <w:rsid w:val="064863ED"/>
    <w:rsid w:val="089A71D5"/>
    <w:rsid w:val="08A94889"/>
    <w:rsid w:val="0993250A"/>
    <w:rsid w:val="09941E00"/>
    <w:rsid w:val="09C75D09"/>
    <w:rsid w:val="0A8F3BE9"/>
    <w:rsid w:val="0AA36E3C"/>
    <w:rsid w:val="0BE400CB"/>
    <w:rsid w:val="0C95549C"/>
    <w:rsid w:val="0CDE4E4B"/>
    <w:rsid w:val="0CF00F58"/>
    <w:rsid w:val="0CFD5ADE"/>
    <w:rsid w:val="0D8507D4"/>
    <w:rsid w:val="0DF90DF7"/>
    <w:rsid w:val="0E743D98"/>
    <w:rsid w:val="0EED009A"/>
    <w:rsid w:val="0EF06200"/>
    <w:rsid w:val="0F9C0AFC"/>
    <w:rsid w:val="0F9E3788"/>
    <w:rsid w:val="1011307F"/>
    <w:rsid w:val="10560DAC"/>
    <w:rsid w:val="107E783A"/>
    <w:rsid w:val="10F7360A"/>
    <w:rsid w:val="115275DD"/>
    <w:rsid w:val="126334D7"/>
    <w:rsid w:val="12B8018D"/>
    <w:rsid w:val="12D531FB"/>
    <w:rsid w:val="1389561C"/>
    <w:rsid w:val="13941CE1"/>
    <w:rsid w:val="13E106B7"/>
    <w:rsid w:val="147D0434"/>
    <w:rsid w:val="14BC6D15"/>
    <w:rsid w:val="155E5EDE"/>
    <w:rsid w:val="158741A4"/>
    <w:rsid w:val="15B4525D"/>
    <w:rsid w:val="15C72899"/>
    <w:rsid w:val="161C6EB6"/>
    <w:rsid w:val="16A125AE"/>
    <w:rsid w:val="175B4B2C"/>
    <w:rsid w:val="178514AB"/>
    <w:rsid w:val="17E34E51"/>
    <w:rsid w:val="182F01F9"/>
    <w:rsid w:val="18785A73"/>
    <w:rsid w:val="189904FD"/>
    <w:rsid w:val="18E31B9B"/>
    <w:rsid w:val="18FD5EC7"/>
    <w:rsid w:val="19993D94"/>
    <w:rsid w:val="19D46C99"/>
    <w:rsid w:val="19DB594E"/>
    <w:rsid w:val="1B0571D8"/>
    <w:rsid w:val="1C1B7454"/>
    <w:rsid w:val="1CFD750F"/>
    <w:rsid w:val="1D4225D2"/>
    <w:rsid w:val="1D5D7FEA"/>
    <w:rsid w:val="1DCE6F32"/>
    <w:rsid w:val="1E495E71"/>
    <w:rsid w:val="1FC815AA"/>
    <w:rsid w:val="205C548F"/>
    <w:rsid w:val="209815E0"/>
    <w:rsid w:val="21396D19"/>
    <w:rsid w:val="21CD6087"/>
    <w:rsid w:val="225C745C"/>
    <w:rsid w:val="23192A64"/>
    <w:rsid w:val="239B5810"/>
    <w:rsid w:val="2469558E"/>
    <w:rsid w:val="24A5476C"/>
    <w:rsid w:val="24A657DA"/>
    <w:rsid w:val="24DD4F27"/>
    <w:rsid w:val="25014317"/>
    <w:rsid w:val="255641C8"/>
    <w:rsid w:val="257E548F"/>
    <w:rsid w:val="25996438"/>
    <w:rsid w:val="26480BF2"/>
    <w:rsid w:val="26C63E8E"/>
    <w:rsid w:val="26CF205B"/>
    <w:rsid w:val="26EF1AA8"/>
    <w:rsid w:val="279F5FA2"/>
    <w:rsid w:val="27F52B53"/>
    <w:rsid w:val="282272F4"/>
    <w:rsid w:val="28970ADF"/>
    <w:rsid w:val="28AA0C76"/>
    <w:rsid w:val="28F43C01"/>
    <w:rsid w:val="29544B3F"/>
    <w:rsid w:val="299F289D"/>
    <w:rsid w:val="29E611D2"/>
    <w:rsid w:val="2A57672A"/>
    <w:rsid w:val="2A9C5BA4"/>
    <w:rsid w:val="2AF0192F"/>
    <w:rsid w:val="2C152F5C"/>
    <w:rsid w:val="2C6D7FE2"/>
    <w:rsid w:val="2C6E2615"/>
    <w:rsid w:val="2C7A12CF"/>
    <w:rsid w:val="2CC64437"/>
    <w:rsid w:val="2D51684B"/>
    <w:rsid w:val="2E6A3467"/>
    <w:rsid w:val="2E8500B3"/>
    <w:rsid w:val="2E92305D"/>
    <w:rsid w:val="2FA414AD"/>
    <w:rsid w:val="3041301F"/>
    <w:rsid w:val="30C00947"/>
    <w:rsid w:val="31026F1C"/>
    <w:rsid w:val="312F47A2"/>
    <w:rsid w:val="31780F82"/>
    <w:rsid w:val="319668EF"/>
    <w:rsid w:val="326C69F8"/>
    <w:rsid w:val="3273760D"/>
    <w:rsid w:val="3391440C"/>
    <w:rsid w:val="33CA51D8"/>
    <w:rsid w:val="341F769D"/>
    <w:rsid w:val="345A7A9A"/>
    <w:rsid w:val="347F5C5A"/>
    <w:rsid w:val="3567095C"/>
    <w:rsid w:val="35FE1241"/>
    <w:rsid w:val="36DC0EA7"/>
    <w:rsid w:val="36F241EA"/>
    <w:rsid w:val="36F55A81"/>
    <w:rsid w:val="36F63BB5"/>
    <w:rsid w:val="373227C5"/>
    <w:rsid w:val="374341C6"/>
    <w:rsid w:val="37E16ED6"/>
    <w:rsid w:val="38945B2C"/>
    <w:rsid w:val="395104A1"/>
    <w:rsid w:val="395A3182"/>
    <w:rsid w:val="39666C32"/>
    <w:rsid w:val="3A613301"/>
    <w:rsid w:val="3A702259"/>
    <w:rsid w:val="3AFF4626"/>
    <w:rsid w:val="3B484536"/>
    <w:rsid w:val="3C0D53AC"/>
    <w:rsid w:val="3C0E4427"/>
    <w:rsid w:val="3CC82828"/>
    <w:rsid w:val="3CF95F08"/>
    <w:rsid w:val="3D2E0F78"/>
    <w:rsid w:val="3DEB6029"/>
    <w:rsid w:val="3E2E7859"/>
    <w:rsid w:val="3E57756D"/>
    <w:rsid w:val="3E6B7769"/>
    <w:rsid w:val="3ECC22FA"/>
    <w:rsid w:val="3F825EE4"/>
    <w:rsid w:val="4044440F"/>
    <w:rsid w:val="40650A3A"/>
    <w:rsid w:val="40931AFD"/>
    <w:rsid w:val="40F9181D"/>
    <w:rsid w:val="41761E9A"/>
    <w:rsid w:val="4204798B"/>
    <w:rsid w:val="42707A58"/>
    <w:rsid w:val="42A046EC"/>
    <w:rsid w:val="42D825F4"/>
    <w:rsid w:val="43D730DE"/>
    <w:rsid w:val="441E3746"/>
    <w:rsid w:val="44A73960"/>
    <w:rsid w:val="44BD62F4"/>
    <w:rsid w:val="458F02AA"/>
    <w:rsid w:val="45A1038C"/>
    <w:rsid w:val="45AA4E4E"/>
    <w:rsid w:val="45B8657D"/>
    <w:rsid w:val="46252438"/>
    <w:rsid w:val="46820877"/>
    <w:rsid w:val="46C557DB"/>
    <w:rsid w:val="4791757E"/>
    <w:rsid w:val="47FA3E71"/>
    <w:rsid w:val="481012D9"/>
    <w:rsid w:val="485A27AA"/>
    <w:rsid w:val="486B3BB4"/>
    <w:rsid w:val="48AB58D0"/>
    <w:rsid w:val="48B94356"/>
    <w:rsid w:val="48C65B46"/>
    <w:rsid w:val="48EE356C"/>
    <w:rsid w:val="48EE6F2B"/>
    <w:rsid w:val="4944384C"/>
    <w:rsid w:val="49AB375A"/>
    <w:rsid w:val="4A1B7CD0"/>
    <w:rsid w:val="4A496A5A"/>
    <w:rsid w:val="4BB375C2"/>
    <w:rsid w:val="4BD538E7"/>
    <w:rsid w:val="4C1E2C33"/>
    <w:rsid w:val="4C3570B7"/>
    <w:rsid w:val="4CA1693E"/>
    <w:rsid w:val="4CEE2321"/>
    <w:rsid w:val="4D730311"/>
    <w:rsid w:val="4DBD69B2"/>
    <w:rsid w:val="4E2D685A"/>
    <w:rsid w:val="4E5C2C03"/>
    <w:rsid w:val="4E903323"/>
    <w:rsid w:val="4EC908C5"/>
    <w:rsid w:val="4EFC7232"/>
    <w:rsid w:val="4F187622"/>
    <w:rsid w:val="4F3D230C"/>
    <w:rsid w:val="4FD16484"/>
    <w:rsid w:val="5017224A"/>
    <w:rsid w:val="50355D31"/>
    <w:rsid w:val="503864DE"/>
    <w:rsid w:val="50D23AA2"/>
    <w:rsid w:val="51417079"/>
    <w:rsid w:val="514A5D3C"/>
    <w:rsid w:val="523E08F0"/>
    <w:rsid w:val="523F79BC"/>
    <w:rsid w:val="52533CE8"/>
    <w:rsid w:val="52873373"/>
    <w:rsid w:val="537B5ACB"/>
    <w:rsid w:val="53A95673"/>
    <w:rsid w:val="53CE5F44"/>
    <w:rsid w:val="53E81624"/>
    <w:rsid w:val="544465F6"/>
    <w:rsid w:val="55385C49"/>
    <w:rsid w:val="553E1482"/>
    <w:rsid w:val="556B3E4F"/>
    <w:rsid w:val="56775626"/>
    <w:rsid w:val="567A58D9"/>
    <w:rsid w:val="570857E4"/>
    <w:rsid w:val="578A1720"/>
    <w:rsid w:val="57F34F37"/>
    <w:rsid w:val="586C4CEF"/>
    <w:rsid w:val="58935D13"/>
    <w:rsid w:val="58A54A80"/>
    <w:rsid w:val="58B77C63"/>
    <w:rsid w:val="59B605EE"/>
    <w:rsid w:val="59FC236F"/>
    <w:rsid w:val="5B472BBE"/>
    <w:rsid w:val="5B616ACC"/>
    <w:rsid w:val="5CA50EBC"/>
    <w:rsid w:val="5D7E07CE"/>
    <w:rsid w:val="5DCA41FA"/>
    <w:rsid w:val="5DE137CD"/>
    <w:rsid w:val="5E9805AF"/>
    <w:rsid w:val="5EE30CAE"/>
    <w:rsid w:val="5F1B4A3F"/>
    <w:rsid w:val="5F53283E"/>
    <w:rsid w:val="5F897959"/>
    <w:rsid w:val="60B82E20"/>
    <w:rsid w:val="60C56719"/>
    <w:rsid w:val="61071697"/>
    <w:rsid w:val="61452D94"/>
    <w:rsid w:val="61683CE4"/>
    <w:rsid w:val="61BB6F8F"/>
    <w:rsid w:val="62964807"/>
    <w:rsid w:val="63A46D44"/>
    <w:rsid w:val="63E37DCA"/>
    <w:rsid w:val="643E6FB4"/>
    <w:rsid w:val="64CD1B07"/>
    <w:rsid w:val="64E948B9"/>
    <w:rsid w:val="65465654"/>
    <w:rsid w:val="658234D9"/>
    <w:rsid w:val="65857E0D"/>
    <w:rsid w:val="65A34DAE"/>
    <w:rsid w:val="663D5A72"/>
    <w:rsid w:val="664E17BD"/>
    <w:rsid w:val="665F5013"/>
    <w:rsid w:val="6756730C"/>
    <w:rsid w:val="678B666B"/>
    <w:rsid w:val="67B20BDB"/>
    <w:rsid w:val="67E41151"/>
    <w:rsid w:val="68517196"/>
    <w:rsid w:val="69533EED"/>
    <w:rsid w:val="69F6133C"/>
    <w:rsid w:val="6A70322E"/>
    <w:rsid w:val="6ADA3D2A"/>
    <w:rsid w:val="6AFB49C1"/>
    <w:rsid w:val="6C021A54"/>
    <w:rsid w:val="6CA64722"/>
    <w:rsid w:val="6D1F5934"/>
    <w:rsid w:val="6D402FF8"/>
    <w:rsid w:val="6D4A2605"/>
    <w:rsid w:val="6D8004A6"/>
    <w:rsid w:val="6DDD385B"/>
    <w:rsid w:val="6DEE6DCA"/>
    <w:rsid w:val="6E1A0886"/>
    <w:rsid w:val="6F425A39"/>
    <w:rsid w:val="6FB36522"/>
    <w:rsid w:val="700F1F41"/>
    <w:rsid w:val="708A6CDE"/>
    <w:rsid w:val="70E507EB"/>
    <w:rsid w:val="712E660D"/>
    <w:rsid w:val="71C7555A"/>
    <w:rsid w:val="71EA1549"/>
    <w:rsid w:val="72045B57"/>
    <w:rsid w:val="72404957"/>
    <w:rsid w:val="72997062"/>
    <w:rsid w:val="72CB1395"/>
    <w:rsid w:val="731A5B91"/>
    <w:rsid w:val="734D23E0"/>
    <w:rsid w:val="735365E4"/>
    <w:rsid w:val="737242A5"/>
    <w:rsid w:val="738549F4"/>
    <w:rsid w:val="73A071C6"/>
    <w:rsid w:val="74E22B13"/>
    <w:rsid w:val="751F509D"/>
    <w:rsid w:val="752D1FA6"/>
    <w:rsid w:val="75806AFE"/>
    <w:rsid w:val="760A5A30"/>
    <w:rsid w:val="76DB4F32"/>
    <w:rsid w:val="778831D2"/>
    <w:rsid w:val="778E6097"/>
    <w:rsid w:val="77B016FE"/>
    <w:rsid w:val="78B4651F"/>
    <w:rsid w:val="78F268FD"/>
    <w:rsid w:val="79752091"/>
    <w:rsid w:val="79F02779"/>
    <w:rsid w:val="7A794B2A"/>
    <w:rsid w:val="7AD116CB"/>
    <w:rsid w:val="7B182C68"/>
    <w:rsid w:val="7B2554EA"/>
    <w:rsid w:val="7B501A0A"/>
    <w:rsid w:val="7BCB7956"/>
    <w:rsid w:val="7C313863"/>
    <w:rsid w:val="7C3779E3"/>
    <w:rsid w:val="7C961A20"/>
    <w:rsid w:val="7CA15687"/>
    <w:rsid w:val="7CC4767C"/>
    <w:rsid w:val="7CFB79D1"/>
    <w:rsid w:val="7D2C665E"/>
    <w:rsid w:val="7D4C70DF"/>
    <w:rsid w:val="7D5C0E94"/>
    <w:rsid w:val="7D81368D"/>
    <w:rsid w:val="7DD923EE"/>
    <w:rsid w:val="7E0A3923"/>
    <w:rsid w:val="7F1E6C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1.5pt"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9"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uiPriority="0" w:name="index 3"/>
    <w:lsdException w:qFormat="1" w:unhideWhenUsed="0"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0" w:name="endnote reference"/>
    <w:lsdException w:qFormat="1" w:unhideWhenUsed="0" w:uiPriority="0" w:name="endnote text"/>
    <w:lsdException w:qFormat="1" w:unhideWhenUsed="0" w:uiPriority="0" w:name="table of authorities"/>
    <w:lsdException w:qFormat="1" w:unhideWhenUsed="0" w:uiPriority="0" w:name="macro"/>
    <w:lsdException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1" w:semiHidden="0" w:name="Body Text"/>
    <w:lsdException w:qFormat="1" w:unhideWhenUsed="0" w:uiPriority="99"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nhideWhenUsed="0" w:uiPriority="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5">
    <w:name w:val="heading 1"/>
    <w:basedOn w:val="1"/>
    <w:next w:val="1"/>
    <w:link w:val="102"/>
    <w:qFormat/>
    <w:uiPriority w:val="0"/>
    <w:pPr>
      <w:keepNext/>
      <w:keepLines/>
      <w:numPr>
        <w:ilvl w:val="0"/>
        <w:numId w:val="1"/>
      </w:numPr>
      <w:spacing w:before="240" w:after="360"/>
      <w:ind w:firstLine="0" w:firstLineChars="0"/>
      <w:jc w:val="center"/>
      <w:outlineLvl w:val="0"/>
    </w:pPr>
    <w:rPr>
      <w:rFonts w:ascii="宋体"/>
      <w:b/>
      <w:kern w:val="30"/>
      <w:sz w:val="30"/>
    </w:rPr>
  </w:style>
  <w:style w:type="paragraph" w:styleId="6">
    <w:name w:val="heading 2"/>
    <w:basedOn w:val="1"/>
    <w:next w:val="1"/>
    <w:link w:val="103"/>
    <w:qFormat/>
    <w:uiPriority w:val="0"/>
    <w:pPr>
      <w:keepNext/>
      <w:keepLines/>
      <w:spacing w:before="120" w:after="120"/>
      <w:ind w:firstLine="0" w:firstLineChars="0"/>
      <w:jc w:val="left"/>
      <w:outlineLvl w:val="1"/>
    </w:pPr>
    <w:rPr>
      <w:b/>
      <w:kern w:val="24"/>
      <w:sz w:val="28"/>
    </w:rPr>
  </w:style>
  <w:style w:type="paragraph" w:styleId="7">
    <w:name w:val="heading 3"/>
    <w:basedOn w:val="1"/>
    <w:next w:val="8"/>
    <w:link w:val="104"/>
    <w:qFormat/>
    <w:uiPriority w:val="0"/>
    <w:pPr>
      <w:keepNext/>
      <w:keepLines/>
      <w:ind w:firstLine="0" w:firstLineChars="0"/>
      <w:jc w:val="left"/>
      <w:outlineLvl w:val="2"/>
    </w:pPr>
    <w:rPr>
      <w:b/>
      <w:kern w:val="24"/>
    </w:rPr>
  </w:style>
  <w:style w:type="paragraph" w:styleId="9">
    <w:name w:val="heading 4"/>
    <w:basedOn w:val="1"/>
    <w:next w:val="1"/>
    <w:link w:val="105"/>
    <w:qFormat/>
    <w:uiPriority w:val="9"/>
    <w:pPr>
      <w:keepNext/>
      <w:keepLines/>
      <w:ind w:firstLine="0" w:firstLineChars="0"/>
      <w:outlineLvl w:val="3"/>
    </w:pPr>
    <w:rPr>
      <w:rFonts w:eastAsia="仿宋_GB2312"/>
      <w:kern w:val="24"/>
    </w:rPr>
  </w:style>
  <w:style w:type="paragraph" w:styleId="10">
    <w:name w:val="heading 5"/>
    <w:basedOn w:val="1"/>
    <w:next w:val="1"/>
    <w:link w:val="106"/>
    <w:qFormat/>
    <w:uiPriority w:val="0"/>
    <w:pPr>
      <w:keepNext/>
      <w:keepLines/>
      <w:spacing w:before="312" w:beforeLines="100" w:after="156" w:afterLines="50" w:line="240" w:lineRule="auto"/>
      <w:ind w:firstLine="0" w:firstLineChars="0"/>
      <w:outlineLvl w:val="4"/>
    </w:pPr>
    <w:rPr>
      <w:rFonts w:eastAsia="黑体"/>
      <w:bCs/>
      <w:sz w:val="28"/>
    </w:rPr>
  </w:style>
  <w:style w:type="paragraph" w:styleId="11">
    <w:name w:val="heading 6"/>
    <w:basedOn w:val="1"/>
    <w:next w:val="1"/>
    <w:link w:val="107"/>
    <w:qFormat/>
    <w:uiPriority w:val="9"/>
    <w:pPr>
      <w:keepNext/>
      <w:keepLines/>
      <w:spacing w:before="312" w:beforeLines="100" w:line="240" w:lineRule="auto"/>
      <w:ind w:firstLine="0" w:firstLineChars="0"/>
      <w:outlineLvl w:val="5"/>
    </w:pPr>
    <w:rPr>
      <w:rFonts w:ascii="Arial" w:hAnsi="Arial"/>
      <w:bCs/>
      <w:sz w:val="28"/>
    </w:rPr>
  </w:style>
  <w:style w:type="paragraph" w:styleId="12">
    <w:name w:val="heading 7"/>
    <w:basedOn w:val="1"/>
    <w:next w:val="1"/>
    <w:link w:val="108"/>
    <w:qFormat/>
    <w:uiPriority w:val="0"/>
    <w:pPr>
      <w:keepNext/>
      <w:keepLines/>
      <w:autoSpaceDE w:val="0"/>
      <w:autoSpaceDN w:val="0"/>
      <w:adjustRightInd w:val="0"/>
      <w:spacing w:before="240" w:after="64" w:line="320" w:lineRule="auto"/>
      <w:ind w:firstLine="0" w:firstLineChars="0"/>
      <w:jc w:val="left"/>
      <w:textAlignment w:val="baseline"/>
      <w:outlineLvl w:val="6"/>
    </w:pPr>
    <w:rPr>
      <w:b/>
      <w:kern w:val="0"/>
    </w:rPr>
  </w:style>
  <w:style w:type="paragraph" w:styleId="13">
    <w:name w:val="heading 8"/>
    <w:basedOn w:val="1"/>
    <w:next w:val="1"/>
    <w:link w:val="109"/>
    <w:qFormat/>
    <w:uiPriority w:val="0"/>
    <w:pPr>
      <w:keepNext/>
      <w:keepLines/>
      <w:autoSpaceDE w:val="0"/>
      <w:autoSpaceDN w:val="0"/>
      <w:adjustRightInd w:val="0"/>
      <w:spacing w:before="240" w:after="64" w:line="320" w:lineRule="auto"/>
      <w:ind w:firstLine="0" w:firstLineChars="0"/>
      <w:jc w:val="left"/>
      <w:textAlignment w:val="baseline"/>
      <w:outlineLvl w:val="7"/>
    </w:pPr>
    <w:rPr>
      <w:rFonts w:ascii="Arial" w:hAnsi="Arial" w:eastAsia="黑体"/>
      <w:kern w:val="0"/>
    </w:rPr>
  </w:style>
  <w:style w:type="paragraph" w:styleId="14">
    <w:name w:val="heading 9"/>
    <w:basedOn w:val="1"/>
    <w:next w:val="1"/>
    <w:link w:val="110"/>
    <w:qFormat/>
    <w:uiPriority w:val="0"/>
    <w:pPr>
      <w:keepNext/>
      <w:keepLines/>
      <w:autoSpaceDE w:val="0"/>
      <w:autoSpaceDN w:val="0"/>
      <w:adjustRightInd w:val="0"/>
      <w:spacing w:before="240" w:after="64" w:line="320" w:lineRule="auto"/>
      <w:ind w:firstLine="0" w:firstLineChars="0"/>
      <w:jc w:val="left"/>
      <w:textAlignment w:val="baseline"/>
      <w:outlineLvl w:val="8"/>
    </w:pPr>
    <w:rPr>
      <w:rFonts w:ascii="Arial" w:hAnsi="Arial" w:eastAsia="黑体"/>
      <w:kern w:val="0"/>
      <w:sz w:val="21"/>
    </w:rPr>
  </w:style>
  <w:style w:type="character" w:default="1" w:styleId="84">
    <w:name w:val="Default Paragraph Font"/>
    <w:semiHidden/>
    <w:unhideWhenUsed/>
    <w:qFormat/>
    <w:uiPriority w:val="1"/>
  </w:style>
  <w:style w:type="table" w:default="1" w:styleId="82">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38"/>
    <w:qFormat/>
    <w:uiPriority w:val="0"/>
    <w:pPr>
      <w:ind w:firstLine="420"/>
    </w:pPr>
  </w:style>
  <w:style w:type="paragraph" w:styleId="3">
    <w:name w:val="Body Text Indent"/>
    <w:basedOn w:val="1"/>
    <w:next w:val="1"/>
    <w:link w:val="119"/>
    <w:qFormat/>
    <w:uiPriority w:val="99"/>
    <w:pPr>
      <w:spacing w:after="120"/>
      <w:ind w:left="420" w:leftChars="200"/>
    </w:pPr>
  </w:style>
  <w:style w:type="paragraph" w:styleId="4">
    <w:name w:val="macro"/>
    <w:link w:val="101"/>
    <w:autoRedefine/>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8">
    <w:name w:val="Normal Indent"/>
    <w:basedOn w:val="1"/>
    <w:next w:val="1"/>
    <w:autoRedefine/>
    <w:qFormat/>
    <w:uiPriority w:val="0"/>
    <w:pPr>
      <w:ind w:firstLine="420"/>
    </w:pPr>
  </w:style>
  <w:style w:type="paragraph" w:styleId="15">
    <w:name w:val="List 3"/>
    <w:basedOn w:val="1"/>
    <w:autoRedefine/>
    <w:qFormat/>
    <w:uiPriority w:val="0"/>
    <w:pPr>
      <w:ind w:left="100" w:leftChars="400" w:hanging="200" w:hangingChars="200"/>
    </w:pPr>
  </w:style>
  <w:style w:type="paragraph" w:styleId="16">
    <w:name w:val="toc 7"/>
    <w:basedOn w:val="1"/>
    <w:next w:val="1"/>
    <w:autoRedefine/>
    <w:qFormat/>
    <w:uiPriority w:val="39"/>
    <w:pPr>
      <w:ind w:left="1440"/>
      <w:jc w:val="left"/>
    </w:pPr>
    <w:rPr>
      <w:rFonts w:ascii="Calibri" w:hAnsi="Calibri"/>
      <w:sz w:val="18"/>
      <w:szCs w:val="18"/>
    </w:rPr>
  </w:style>
  <w:style w:type="paragraph" w:styleId="17">
    <w:name w:val="List Number 2"/>
    <w:basedOn w:val="1"/>
    <w:autoRedefine/>
    <w:qFormat/>
    <w:uiPriority w:val="0"/>
    <w:pPr>
      <w:tabs>
        <w:tab w:val="left" w:pos="780"/>
      </w:tabs>
      <w:ind w:left="780" w:leftChars="200" w:hanging="360" w:hangingChars="200"/>
    </w:pPr>
  </w:style>
  <w:style w:type="paragraph" w:styleId="18">
    <w:name w:val="table of authorities"/>
    <w:basedOn w:val="1"/>
    <w:next w:val="1"/>
    <w:autoRedefine/>
    <w:semiHidden/>
    <w:qFormat/>
    <w:uiPriority w:val="0"/>
    <w:pPr>
      <w:spacing w:line="240" w:lineRule="auto"/>
      <w:ind w:left="420" w:leftChars="200" w:firstLine="0" w:firstLineChars="0"/>
    </w:pPr>
    <w:rPr>
      <w:sz w:val="21"/>
      <w:szCs w:val="24"/>
    </w:rPr>
  </w:style>
  <w:style w:type="paragraph" w:styleId="19">
    <w:name w:val="Note Heading"/>
    <w:basedOn w:val="1"/>
    <w:next w:val="1"/>
    <w:link w:val="111"/>
    <w:autoRedefine/>
    <w:qFormat/>
    <w:uiPriority w:val="0"/>
    <w:pPr>
      <w:jc w:val="center"/>
    </w:pPr>
  </w:style>
  <w:style w:type="paragraph" w:styleId="20">
    <w:name w:val="List Bullet 4"/>
    <w:basedOn w:val="1"/>
    <w:autoRedefine/>
    <w:qFormat/>
    <w:uiPriority w:val="0"/>
    <w:pPr>
      <w:tabs>
        <w:tab w:val="left" w:pos="780"/>
        <w:tab w:val="left" w:pos="1620"/>
      </w:tabs>
      <w:ind w:left="780" w:leftChars="200" w:hanging="360" w:hangingChars="200"/>
    </w:pPr>
  </w:style>
  <w:style w:type="paragraph" w:styleId="21">
    <w:name w:val="E-mail Signature"/>
    <w:basedOn w:val="1"/>
    <w:link w:val="112"/>
    <w:autoRedefine/>
    <w:qFormat/>
    <w:uiPriority w:val="0"/>
  </w:style>
  <w:style w:type="paragraph" w:styleId="22">
    <w:name w:val="List Number"/>
    <w:basedOn w:val="23"/>
    <w:autoRedefine/>
    <w:qFormat/>
    <w:uiPriority w:val="0"/>
    <w:pPr>
      <w:widowControl/>
      <w:tabs>
        <w:tab w:val="left" w:pos="782"/>
      </w:tabs>
      <w:autoSpaceDE/>
      <w:autoSpaceDN/>
      <w:adjustRightInd/>
      <w:spacing w:line="500" w:lineRule="exact"/>
      <w:ind w:left="782" w:hanging="362"/>
      <w:jc w:val="both"/>
      <w:textAlignment w:val="auto"/>
    </w:pPr>
    <w:rPr>
      <w:rFonts w:ascii="Garamond" w:hAnsi="Garamond"/>
      <w:sz w:val="28"/>
    </w:rPr>
  </w:style>
  <w:style w:type="paragraph" w:styleId="23">
    <w:name w:val="List"/>
    <w:basedOn w:val="1"/>
    <w:autoRedefine/>
    <w:qFormat/>
    <w:uiPriority w:val="0"/>
    <w:pPr>
      <w:autoSpaceDE w:val="0"/>
      <w:autoSpaceDN w:val="0"/>
      <w:adjustRightInd w:val="0"/>
      <w:spacing w:line="480" w:lineRule="exact"/>
      <w:ind w:left="420" w:hanging="420"/>
      <w:jc w:val="left"/>
      <w:textAlignment w:val="baseline"/>
    </w:pPr>
    <w:rPr>
      <w:rFonts w:ascii="宋体"/>
      <w:kern w:val="0"/>
      <w:sz w:val="34"/>
    </w:rPr>
  </w:style>
  <w:style w:type="paragraph" w:styleId="24">
    <w:name w:val="caption"/>
    <w:basedOn w:val="1"/>
    <w:next w:val="1"/>
    <w:autoRedefine/>
    <w:qFormat/>
    <w:uiPriority w:val="0"/>
    <w:pPr>
      <w:keepNext/>
      <w:spacing w:before="160" w:after="120" w:line="240" w:lineRule="auto"/>
      <w:ind w:firstLine="0" w:firstLineChars="0"/>
      <w:jc w:val="center"/>
    </w:pPr>
    <w:rPr>
      <w:rFonts w:ascii="宋体" w:hAnsi="宋体"/>
      <w:b/>
      <w:bCs/>
      <w:sz w:val="28"/>
    </w:rPr>
  </w:style>
  <w:style w:type="paragraph" w:styleId="25">
    <w:name w:val="List Bullet"/>
    <w:basedOn w:val="1"/>
    <w:autoRedefine/>
    <w:qFormat/>
    <w:uiPriority w:val="0"/>
    <w:pPr>
      <w:tabs>
        <w:tab w:val="left" w:pos="360"/>
        <w:tab w:val="left" w:pos="780"/>
      </w:tabs>
      <w:ind w:left="780" w:leftChars="200" w:hanging="360" w:hangingChars="200"/>
    </w:pPr>
  </w:style>
  <w:style w:type="paragraph" w:styleId="26">
    <w:name w:val="envelope address"/>
    <w:basedOn w:val="1"/>
    <w:autoRedefine/>
    <w:qFormat/>
    <w:uiPriority w:val="0"/>
    <w:pPr>
      <w:framePr w:w="7920" w:h="1980" w:hRule="exact" w:hSpace="180" w:wrap="around" w:vAnchor="margin" w:hAnchor="page" w:xAlign="center" w:yAlign="bottom"/>
      <w:snapToGrid w:val="0"/>
      <w:ind w:left="100" w:leftChars="1400"/>
    </w:pPr>
    <w:rPr>
      <w:rFonts w:ascii="Arial" w:hAnsi="Arial" w:cs="Arial"/>
      <w:szCs w:val="24"/>
    </w:rPr>
  </w:style>
  <w:style w:type="paragraph" w:styleId="27">
    <w:name w:val="Document Map"/>
    <w:basedOn w:val="1"/>
    <w:link w:val="113"/>
    <w:autoRedefine/>
    <w:semiHidden/>
    <w:qFormat/>
    <w:uiPriority w:val="0"/>
    <w:pPr>
      <w:shd w:val="clear" w:color="auto" w:fill="000080"/>
    </w:pPr>
    <w:rPr>
      <w:spacing w:val="20"/>
      <w:kern w:val="10"/>
      <w:sz w:val="28"/>
    </w:rPr>
  </w:style>
  <w:style w:type="paragraph" w:styleId="28">
    <w:name w:val="annotation text"/>
    <w:basedOn w:val="1"/>
    <w:link w:val="114"/>
    <w:autoRedefine/>
    <w:qFormat/>
    <w:uiPriority w:val="0"/>
    <w:pPr>
      <w:jc w:val="left"/>
    </w:pPr>
    <w:rPr>
      <w:spacing w:val="20"/>
      <w:kern w:val="10"/>
      <w:sz w:val="28"/>
    </w:rPr>
  </w:style>
  <w:style w:type="paragraph" w:styleId="29">
    <w:name w:val="Salutation"/>
    <w:basedOn w:val="1"/>
    <w:next w:val="1"/>
    <w:link w:val="115"/>
    <w:autoRedefine/>
    <w:qFormat/>
    <w:uiPriority w:val="0"/>
  </w:style>
  <w:style w:type="paragraph" w:styleId="30">
    <w:name w:val="Body Text 3"/>
    <w:basedOn w:val="1"/>
    <w:link w:val="116"/>
    <w:autoRedefine/>
    <w:qFormat/>
    <w:uiPriority w:val="0"/>
    <w:pPr>
      <w:spacing w:after="120"/>
    </w:pPr>
    <w:rPr>
      <w:sz w:val="16"/>
      <w:szCs w:val="16"/>
    </w:rPr>
  </w:style>
  <w:style w:type="paragraph" w:styleId="31">
    <w:name w:val="Closing"/>
    <w:basedOn w:val="1"/>
    <w:link w:val="117"/>
    <w:autoRedefine/>
    <w:qFormat/>
    <w:uiPriority w:val="0"/>
    <w:pPr>
      <w:ind w:left="100" w:leftChars="2100"/>
    </w:pPr>
  </w:style>
  <w:style w:type="paragraph" w:styleId="32">
    <w:name w:val="List Bullet 3"/>
    <w:basedOn w:val="1"/>
    <w:autoRedefine/>
    <w:qFormat/>
    <w:uiPriority w:val="0"/>
    <w:pPr>
      <w:numPr>
        <w:ilvl w:val="0"/>
        <w:numId w:val="2"/>
      </w:numPr>
      <w:tabs>
        <w:tab w:val="left" w:pos="1200"/>
      </w:tabs>
    </w:pPr>
  </w:style>
  <w:style w:type="paragraph" w:styleId="33">
    <w:name w:val="Body Text"/>
    <w:basedOn w:val="1"/>
    <w:next w:val="34"/>
    <w:link w:val="118"/>
    <w:autoRedefine/>
    <w:qFormat/>
    <w:uiPriority w:val="1"/>
    <w:pPr>
      <w:spacing w:after="120"/>
    </w:pPr>
  </w:style>
  <w:style w:type="paragraph" w:customStyle="1" w:styleId="34">
    <w:name w:val="Date1"/>
    <w:basedOn w:val="1"/>
    <w:next w:val="1"/>
    <w:autoRedefine/>
    <w:qFormat/>
    <w:uiPriority w:val="0"/>
    <w:pPr>
      <w:adjustRightInd w:val="0"/>
      <w:spacing w:line="240" w:lineRule="auto"/>
      <w:ind w:firstLine="0" w:firstLineChars="0"/>
      <w:textAlignment w:val="baseline"/>
    </w:pPr>
    <w:rPr>
      <w:sz w:val="21"/>
    </w:rPr>
  </w:style>
  <w:style w:type="paragraph" w:styleId="35">
    <w:name w:val="List Number 3"/>
    <w:basedOn w:val="1"/>
    <w:autoRedefine/>
    <w:qFormat/>
    <w:uiPriority w:val="0"/>
    <w:pPr>
      <w:tabs>
        <w:tab w:val="left" w:pos="780"/>
        <w:tab w:val="left" w:pos="1200"/>
      </w:tabs>
      <w:ind w:left="780" w:leftChars="200" w:hanging="360" w:hangingChars="200"/>
    </w:pPr>
  </w:style>
  <w:style w:type="paragraph" w:styleId="36">
    <w:name w:val="List 2"/>
    <w:basedOn w:val="1"/>
    <w:autoRedefine/>
    <w:qFormat/>
    <w:uiPriority w:val="0"/>
    <w:pPr>
      <w:ind w:left="100" w:leftChars="200" w:hanging="200" w:hangingChars="200"/>
    </w:pPr>
  </w:style>
  <w:style w:type="paragraph" w:styleId="37">
    <w:name w:val="List Continue"/>
    <w:basedOn w:val="1"/>
    <w:autoRedefine/>
    <w:qFormat/>
    <w:uiPriority w:val="0"/>
    <w:pPr>
      <w:spacing w:after="120"/>
      <w:ind w:left="420" w:leftChars="200"/>
    </w:pPr>
  </w:style>
  <w:style w:type="paragraph" w:styleId="38">
    <w:name w:val="Block Text"/>
    <w:basedOn w:val="1"/>
    <w:qFormat/>
    <w:uiPriority w:val="0"/>
    <w:pPr>
      <w:spacing w:after="120"/>
      <w:ind w:left="1440" w:leftChars="700" w:right="1440" w:rightChars="700"/>
    </w:pPr>
  </w:style>
  <w:style w:type="paragraph" w:styleId="39">
    <w:name w:val="List Bullet 2"/>
    <w:basedOn w:val="1"/>
    <w:qFormat/>
    <w:uiPriority w:val="0"/>
    <w:pPr>
      <w:tabs>
        <w:tab w:val="left" w:pos="780"/>
      </w:tabs>
      <w:ind w:left="780" w:leftChars="200" w:hanging="360" w:hangingChars="200"/>
    </w:pPr>
  </w:style>
  <w:style w:type="paragraph" w:styleId="40">
    <w:name w:val="HTML Address"/>
    <w:basedOn w:val="1"/>
    <w:link w:val="120"/>
    <w:qFormat/>
    <w:uiPriority w:val="0"/>
    <w:rPr>
      <w:i/>
      <w:iCs/>
    </w:rPr>
  </w:style>
  <w:style w:type="paragraph" w:styleId="41">
    <w:name w:val="index 4"/>
    <w:basedOn w:val="1"/>
    <w:next w:val="1"/>
    <w:semiHidden/>
    <w:qFormat/>
    <w:uiPriority w:val="0"/>
    <w:pPr>
      <w:ind w:left="600" w:leftChars="600" w:firstLine="0" w:firstLineChars="0"/>
    </w:pPr>
  </w:style>
  <w:style w:type="paragraph" w:styleId="42">
    <w:name w:val="toc 5"/>
    <w:basedOn w:val="1"/>
    <w:next w:val="1"/>
    <w:qFormat/>
    <w:uiPriority w:val="39"/>
    <w:pPr>
      <w:ind w:left="960"/>
      <w:jc w:val="left"/>
    </w:pPr>
    <w:rPr>
      <w:rFonts w:ascii="Calibri" w:hAnsi="Calibri"/>
      <w:sz w:val="18"/>
      <w:szCs w:val="18"/>
    </w:rPr>
  </w:style>
  <w:style w:type="paragraph" w:styleId="43">
    <w:name w:val="toc 3"/>
    <w:basedOn w:val="1"/>
    <w:next w:val="1"/>
    <w:qFormat/>
    <w:uiPriority w:val="39"/>
    <w:pPr>
      <w:ind w:left="480"/>
      <w:jc w:val="left"/>
    </w:pPr>
    <w:rPr>
      <w:rFonts w:ascii="Calibri" w:hAnsi="Calibri"/>
      <w:i/>
      <w:iCs/>
      <w:sz w:val="20"/>
    </w:rPr>
  </w:style>
  <w:style w:type="paragraph" w:styleId="44">
    <w:name w:val="Plain Text"/>
    <w:basedOn w:val="1"/>
    <w:link w:val="121"/>
    <w:qFormat/>
    <w:uiPriority w:val="0"/>
    <w:pPr>
      <w:spacing w:line="440" w:lineRule="exact"/>
      <w:ind w:firstLine="425" w:firstLineChars="0"/>
    </w:pPr>
    <w:rPr>
      <w:rFonts w:ascii="宋体" w:hAnsi="Courier New"/>
      <w:sz w:val="28"/>
    </w:rPr>
  </w:style>
  <w:style w:type="paragraph" w:styleId="45">
    <w:name w:val="List Bullet 5"/>
    <w:basedOn w:val="1"/>
    <w:qFormat/>
    <w:uiPriority w:val="0"/>
    <w:pPr>
      <w:tabs>
        <w:tab w:val="left" w:pos="780"/>
        <w:tab w:val="left" w:pos="2040"/>
      </w:tabs>
      <w:ind w:left="780" w:leftChars="200" w:hanging="360" w:hangingChars="200"/>
    </w:pPr>
  </w:style>
  <w:style w:type="paragraph" w:styleId="46">
    <w:name w:val="List Number 4"/>
    <w:basedOn w:val="1"/>
    <w:qFormat/>
    <w:uiPriority w:val="0"/>
    <w:pPr>
      <w:tabs>
        <w:tab w:val="left" w:pos="780"/>
        <w:tab w:val="left" w:pos="1620"/>
      </w:tabs>
      <w:ind w:left="780" w:leftChars="200" w:hanging="360" w:hangingChars="200"/>
    </w:pPr>
  </w:style>
  <w:style w:type="paragraph" w:styleId="47">
    <w:name w:val="toc 8"/>
    <w:basedOn w:val="1"/>
    <w:next w:val="1"/>
    <w:qFormat/>
    <w:uiPriority w:val="39"/>
    <w:pPr>
      <w:ind w:left="1680"/>
      <w:jc w:val="left"/>
    </w:pPr>
    <w:rPr>
      <w:rFonts w:ascii="Calibri" w:hAnsi="Calibri"/>
      <w:sz w:val="18"/>
      <w:szCs w:val="18"/>
    </w:rPr>
  </w:style>
  <w:style w:type="paragraph" w:styleId="48">
    <w:name w:val="Date"/>
    <w:basedOn w:val="1"/>
    <w:next w:val="1"/>
    <w:link w:val="122"/>
    <w:qFormat/>
    <w:uiPriority w:val="0"/>
  </w:style>
  <w:style w:type="paragraph" w:styleId="49">
    <w:name w:val="Body Text Indent 2"/>
    <w:basedOn w:val="1"/>
    <w:link w:val="123"/>
    <w:qFormat/>
    <w:uiPriority w:val="0"/>
    <w:pPr>
      <w:spacing w:after="120" w:line="480" w:lineRule="auto"/>
      <w:ind w:left="420" w:leftChars="200"/>
    </w:pPr>
  </w:style>
  <w:style w:type="paragraph" w:styleId="50">
    <w:name w:val="endnote text"/>
    <w:basedOn w:val="1"/>
    <w:link w:val="124"/>
    <w:semiHidden/>
    <w:qFormat/>
    <w:uiPriority w:val="0"/>
    <w:pPr>
      <w:snapToGrid w:val="0"/>
      <w:spacing w:line="240" w:lineRule="auto"/>
      <w:ind w:firstLine="0" w:firstLineChars="0"/>
      <w:jc w:val="left"/>
    </w:pPr>
    <w:rPr>
      <w:sz w:val="21"/>
      <w:szCs w:val="24"/>
    </w:rPr>
  </w:style>
  <w:style w:type="paragraph" w:styleId="51">
    <w:name w:val="List Continue 5"/>
    <w:basedOn w:val="1"/>
    <w:qFormat/>
    <w:uiPriority w:val="0"/>
    <w:pPr>
      <w:spacing w:after="120"/>
      <w:ind w:left="2100" w:leftChars="1000"/>
    </w:pPr>
  </w:style>
  <w:style w:type="paragraph" w:styleId="52">
    <w:name w:val="Balloon Text"/>
    <w:basedOn w:val="1"/>
    <w:link w:val="125"/>
    <w:qFormat/>
    <w:uiPriority w:val="0"/>
    <w:pPr>
      <w:adjustRightInd w:val="0"/>
      <w:snapToGrid w:val="0"/>
      <w:spacing w:after="156" w:afterLines="50" w:line="300" w:lineRule="auto"/>
      <w:ind w:firstLine="0" w:firstLineChars="0"/>
    </w:pPr>
    <w:rPr>
      <w:rFonts w:eastAsia="仿宋_GB2312"/>
      <w:sz w:val="18"/>
      <w:szCs w:val="18"/>
    </w:rPr>
  </w:style>
  <w:style w:type="paragraph" w:styleId="53">
    <w:name w:val="footer"/>
    <w:basedOn w:val="1"/>
    <w:link w:val="126"/>
    <w:qFormat/>
    <w:uiPriority w:val="99"/>
    <w:pPr>
      <w:tabs>
        <w:tab w:val="center" w:pos="4153"/>
        <w:tab w:val="right" w:pos="8306"/>
      </w:tabs>
      <w:snapToGrid w:val="0"/>
      <w:ind w:firstLine="0" w:firstLineChars="0"/>
      <w:jc w:val="left"/>
    </w:pPr>
    <w:rPr>
      <w:sz w:val="18"/>
    </w:rPr>
  </w:style>
  <w:style w:type="paragraph" w:styleId="54">
    <w:name w:val="envelope return"/>
    <w:basedOn w:val="1"/>
    <w:qFormat/>
    <w:uiPriority w:val="0"/>
    <w:pPr>
      <w:snapToGrid w:val="0"/>
    </w:pPr>
    <w:rPr>
      <w:rFonts w:ascii="Arial" w:hAnsi="Arial" w:cs="Arial"/>
    </w:rPr>
  </w:style>
  <w:style w:type="paragraph" w:styleId="55">
    <w:name w:val="header"/>
    <w:basedOn w:val="1"/>
    <w:link w:val="127"/>
    <w:qFormat/>
    <w:uiPriority w:val="99"/>
    <w:pPr>
      <w:pBdr>
        <w:bottom w:val="double" w:color="auto" w:sz="6" w:space="1"/>
      </w:pBdr>
      <w:tabs>
        <w:tab w:val="left" w:pos="4110"/>
        <w:tab w:val="center" w:pos="4153"/>
        <w:tab w:val="center" w:pos="4535"/>
        <w:tab w:val="right" w:pos="8306"/>
      </w:tabs>
      <w:snapToGrid w:val="0"/>
      <w:spacing w:line="240" w:lineRule="auto"/>
      <w:ind w:firstLine="0" w:firstLineChars="0"/>
      <w:jc w:val="center"/>
    </w:pPr>
    <w:rPr>
      <w:sz w:val="21"/>
    </w:rPr>
  </w:style>
  <w:style w:type="paragraph" w:styleId="56">
    <w:name w:val="Signature"/>
    <w:basedOn w:val="1"/>
    <w:link w:val="128"/>
    <w:qFormat/>
    <w:uiPriority w:val="0"/>
    <w:pPr>
      <w:ind w:left="100" w:leftChars="2100"/>
    </w:pPr>
  </w:style>
  <w:style w:type="paragraph" w:styleId="57">
    <w:name w:val="toc 1"/>
    <w:basedOn w:val="1"/>
    <w:next w:val="1"/>
    <w:qFormat/>
    <w:uiPriority w:val="39"/>
    <w:pPr>
      <w:spacing w:before="120" w:after="120"/>
      <w:jc w:val="left"/>
    </w:pPr>
    <w:rPr>
      <w:rFonts w:ascii="Calibri" w:hAnsi="Calibri"/>
      <w:b/>
      <w:bCs/>
      <w:caps/>
      <w:sz w:val="20"/>
    </w:rPr>
  </w:style>
  <w:style w:type="paragraph" w:styleId="58">
    <w:name w:val="List Continue 4"/>
    <w:basedOn w:val="1"/>
    <w:qFormat/>
    <w:uiPriority w:val="0"/>
    <w:pPr>
      <w:spacing w:after="120"/>
      <w:ind w:left="1680" w:leftChars="800"/>
    </w:pPr>
  </w:style>
  <w:style w:type="paragraph" w:styleId="59">
    <w:name w:val="toc 4"/>
    <w:basedOn w:val="1"/>
    <w:next w:val="1"/>
    <w:qFormat/>
    <w:uiPriority w:val="39"/>
    <w:pPr>
      <w:ind w:left="720"/>
      <w:jc w:val="left"/>
    </w:pPr>
    <w:rPr>
      <w:rFonts w:ascii="Calibri" w:hAnsi="Calibri"/>
      <w:sz w:val="18"/>
      <w:szCs w:val="18"/>
    </w:rPr>
  </w:style>
  <w:style w:type="paragraph" w:styleId="60">
    <w:name w:val="Subtitle"/>
    <w:basedOn w:val="1"/>
    <w:link w:val="129"/>
    <w:qFormat/>
    <w:uiPriority w:val="0"/>
    <w:pPr>
      <w:spacing w:before="240" w:after="60" w:line="312" w:lineRule="auto"/>
      <w:jc w:val="center"/>
      <w:outlineLvl w:val="1"/>
    </w:pPr>
    <w:rPr>
      <w:rFonts w:ascii="Arial" w:hAnsi="Arial"/>
      <w:b/>
      <w:bCs/>
      <w:kern w:val="28"/>
      <w:sz w:val="32"/>
      <w:szCs w:val="32"/>
    </w:rPr>
  </w:style>
  <w:style w:type="paragraph" w:styleId="61">
    <w:name w:val="List Number 5"/>
    <w:basedOn w:val="1"/>
    <w:qFormat/>
    <w:uiPriority w:val="0"/>
    <w:pPr>
      <w:tabs>
        <w:tab w:val="left" w:pos="780"/>
        <w:tab w:val="left" w:pos="2040"/>
      </w:tabs>
      <w:ind w:left="780" w:leftChars="200" w:hanging="360" w:hangingChars="200"/>
    </w:pPr>
  </w:style>
  <w:style w:type="paragraph" w:styleId="62">
    <w:name w:val="footnote text"/>
    <w:basedOn w:val="1"/>
    <w:next w:val="1"/>
    <w:link w:val="130"/>
    <w:qFormat/>
    <w:uiPriority w:val="0"/>
    <w:pPr>
      <w:autoSpaceDE w:val="0"/>
      <w:autoSpaceDN w:val="0"/>
      <w:adjustRightInd w:val="0"/>
      <w:spacing w:line="240" w:lineRule="auto"/>
      <w:ind w:firstLine="0" w:firstLineChars="0"/>
      <w:jc w:val="left"/>
    </w:pPr>
    <w:rPr>
      <w:kern w:val="0"/>
      <w:sz w:val="20"/>
      <w:szCs w:val="24"/>
    </w:rPr>
  </w:style>
  <w:style w:type="paragraph" w:styleId="63">
    <w:name w:val="toc 6"/>
    <w:basedOn w:val="1"/>
    <w:next w:val="1"/>
    <w:qFormat/>
    <w:uiPriority w:val="39"/>
    <w:pPr>
      <w:ind w:left="1200"/>
      <w:jc w:val="left"/>
    </w:pPr>
    <w:rPr>
      <w:rFonts w:ascii="Calibri" w:hAnsi="Calibri"/>
      <w:sz w:val="18"/>
      <w:szCs w:val="18"/>
    </w:rPr>
  </w:style>
  <w:style w:type="paragraph" w:styleId="64">
    <w:name w:val="List 5"/>
    <w:basedOn w:val="1"/>
    <w:qFormat/>
    <w:uiPriority w:val="0"/>
    <w:pPr>
      <w:ind w:left="100" w:leftChars="800" w:hanging="200" w:hangingChars="200"/>
    </w:pPr>
  </w:style>
  <w:style w:type="paragraph" w:styleId="65">
    <w:name w:val="Body Text Indent 3"/>
    <w:basedOn w:val="1"/>
    <w:link w:val="131"/>
    <w:qFormat/>
    <w:uiPriority w:val="0"/>
    <w:pPr>
      <w:spacing w:after="120"/>
      <w:ind w:left="420" w:leftChars="200"/>
    </w:pPr>
    <w:rPr>
      <w:sz w:val="16"/>
      <w:szCs w:val="16"/>
    </w:rPr>
  </w:style>
  <w:style w:type="paragraph" w:styleId="66">
    <w:name w:val="table of figures"/>
    <w:basedOn w:val="1"/>
    <w:next w:val="1"/>
    <w:semiHidden/>
    <w:qFormat/>
    <w:uiPriority w:val="0"/>
    <w:pPr>
      <w:ind w:left="840" w:leftChars="200" w:hanging="420" w:hangingChars="200"/>
    </w:pPr>
  </w:style>
  <w:style w:type="paragraph" w:styleId="67">
    <w:name w:val="toc 2"/>
    <w:basedOn w:val="1"/>
    <w:next w:val="1"/>
    <w:qFormat/>
    <w:uiPriority w:val="39"/>
    <w:pPr>
      <w:ind w:left="240"/>
      <w:jc w:val="left"/>
    </w:pPr>
    <w:rPr>
      <w:rFonts w:ascii="Calibri" w:hAnsi="Calibri"/>
      <w:smallCaps/>
      <w:sz w:val="20"/>
    </w:rPr>
  </w:style>
  <w:style w:type="paragraph" w:styleId="68">
    <w:name w:val="toc 9"/>
    <w:basedOn w:val="1"/>
    <w:next w:val="1"/>
    <w:qFormat/>
    <w:uiPriority w:val="39"/>
    <w:pPr>
      <w:ind w:left="1920"/>
      <w:jc w:val="left"/>
    </w:pPr>
    <w:rPr>
      <w:rFonts w:ascii="Calibri" w:hAnsi="Calibri"/>
      <w:sz w:val="18"/>
      <w:szCs w:val="18"/>
    </w:rPr>
  </w:style>
  <w:style w:type="paragraph" w:styleId="69">
    <w:name w:val="Body Text 2"/>
    <w:basedOn w:val="1"/>
    <w:link w:val="132"/>
    <w:qFormat/>
    <w:uiPriority w:val="0"/>
    <w:pPr>
      <w:spacing w:line="240" w:lineRule="auto"/>
      <w:ind w:firstLine="0" w:firstLineChars="0"/>
      <w:jc w:val="center"/>
    </w:pPr>
    <w:rPr>
      <w:sz w:val="21"/>
    </w:rPr>
  </w:style>
  <w:style w:type="paragraph" w:styleId="70">
    <w:name w:val="List 4"/>
    <w:basedOn w:val="1"/>
    <w:qFormat/>
    <w:uiPriority w:val="0"/>
    <w:pPr>
      <w:ind w:left="100" w:leftChars="600" w:hanging="200" w:hangingChars="200"/>
    </w:pPr>
  </w:style>
  <w:style w:type="paragraph" w:styleId="71">
    <w:name w:val="List Continue 2"/>
    <w:basedOn w:val="1"/>
    <w:qFormat/>
    <w:uiPriority w:val="0"/>
    <w:pPr>
      <w:spacing w:after="120"/>
      <w:ind w:left="840" w:leftChars="400"/>
    </w:pPr>
  </w:style>
  <w:style w:type="paragraph" w:styleId="72">
    <w:name w:val="Message Header"/>
    <w:basedOn w:val="1"/>
    <w:link w:val="133"/>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zCs w:val="24"/>
    </w:rPr>
  </w:style>
  <w:style w:type="paragraph" w:styleId="73">
    <w:name w:val="HTML Preformatted"/>
    <w:basedOn w:val="1"/>
    <w:link w:val="13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ind w:firstLine="0" w:firstLineChars="0"/>
      <w:jc w:val="left"/>
    </w:pPr>
    <w:rPr>
      <w:rFonts w:ascii="Arial" w:hAnsi="Arial"/>
      <w:kern w:val="0"/>
      <w:sz w:val="21"/>
      <w:szCs w:val="21"/>
    </w:rPr>
  </w:style>
  <w:style w:type="paragraph" w:styleId="74">
    <w:name w:val="Normal (Web)"/>
    <w:basedOn w:val="1"/>
    <w:next w:val="75"/>
    <w:qFormat/>
    <w:uiPriority w:val="99"/>
    <w:pPr>
      <w:widowControl/>
      <w:spacing w:before="100" w:beforeAutospacing="1" w:after="100" w:afterAutospacing="1" w:line="240" w:lineRule="auto"/>
      <w:ind w:firstLine="0" w:firstLineChars="0"/>
      <w:jc w:val="left"/>
    </w:pPr>
    <w:rPr>
      <w:rFonts w:ascii="宋体" w:hAnsi="宋体"/>
      <w:kern w:val="0"/>
      <w:szCs w:val="24"/>
    </w:rPr>
  </w:style>
  <w:style w:type="paragraph" w:customStyle="1" w:styleId="75">
    <w:name w:val="toc 84"/>
    <w:next w:val="1"/>
    <w:qFormat/>
    <w:uiPriority w:val="99"/>
    <w:pPr>
      <w:wordWrap w:val="0"/>
      <w:ind w:left="2975"/>
      <w:jc w:val="both"/>
    </w:pPr>
    <w:rPr>
      <w:rFonts w:ascii="Times New Roman" w:hAnsi="Times New Roman" w:eastAsia="宋体" w:cs="Times New Roman"/>
      <w:sz w:val="21"/>
      <w:szCs w:val="22"/>
      <w:lang w:val="en-US" w:eastAsia="zh-CN" w:bidi="ar-SA"/>
    </w:rPr>
  </w:style>
  <w:style w:type="paragraph" w:styleId="76">
    <w:name w:val="List Continue 3"/>
    <w:basedOn w:val="1"/>
    <w:qFormat/>
    <w:uiPriority w:val="0"/>
    <w:pPr>
      <w:spacing w:after="120"/>
      <w:ind w:left="1260" w:leftChars="600"/>
    </w:pPr>
  </w:style>
  <w:style w:type="paragraph" w:styleId="77">
    <w:name w:val="index 1"/>
    <w:basedOn w:val="1"/>
    <w:next w:val="1"/>
    <w:qFormat/>
    <w:uiPriority w:val="0"/>
    <w:pPr>
      <w:spacing w:line="240" w:lineRule="exact"/>
      <w:ind w:firstLine="0" w:firstLineChars="0"/>
      <w:jc w:val="center"/>
    </w:pPr>
    <w:rPr>
      <w:sz w:val="21"/>
      <w:szCs w:val="21"/>
    </w:rPr>
  </w:style>
  <w:style w:type="paragraph" w:styleId="78">
    <w:name w:val="index 2"/>
    <w:basedOn w:val="1"/>
    <w:next w:val="1"/>
    <w:qFormat/>
    <w:uiPriority w:val="0"/>
    <w:pPr>
      <w:spacing w:line="300" w:lineRule="auto"/>
      <w:ind w:left="560" w:leftChars="100" w:right="100" w:rightChars="100" w:firstLine="0"/>
    </w:pPr>
    <w:rPr>
      <w:rFonts w:ascii="宋体"/>
      <w:sz w:val="28"/>
    </w:rPr>
  </w:style>
  <w:style w:type="paragraph" w:styleId="79">
    <w:name w:val="Title"/>
    <w:basedOn w:val="1"/>
    <w:link w:val="135"/>
    <w:qFormat/>
    <w:uiPriority w:val="0"/>
    <w:pPr>
      <w:spacing w:before="240" w:after="60"/>
      <w:ind w:right="2687" w:firstLine="2760"/>
      <w:jc w:val="distribute"/>
      <w:outlineLvl w:val="0"/>
    </w:pPr>
    <w:rPr>
      <w:rFonts w:ascii="Arial" w:hAnsi="Arial"/>
      <w:b/>
      <w:sz w:val="32"/>
    </w:rPr>
  </w:style>
  <w:style w:type="paragraph" w:styleId="80">
    <w:name w:val="annotation subject"/>
    <w:basedOn w:val="28"/>
    <w:next w:val="28"/>
    <w:link w:val="136"/>
    <w:qFormat/>
    <w:uiPriority w:val="0"/>
    <w:pPr>
      <w:spacing w:line="240" w:lineRule="auto"/>
      <w:ind w:firstLine="0" w:firstLineChars="0"/>
    </w:pPr>
    <w:rPr>
      <w:spacing w:val="0"/>
      <w:kern w:val="0"/>
      <w:sz w:val="20"/>
      <w:szCs w:val="24"/>
    </w:rPr>
  </w:style>
  <w:style w:type="paragraph" w:styleId="81">
    <w:name w:val="Body Text First Indent"/>
    <w:basedOn w:val="33"/>
    <w:next w:val="1"/>
    <w:link w:val="137"/>
    <w:qFormat/>
    <w:uiPriority w:val="0"/>
    <w:pPr>
      <w:ind w:firstLine="420" w:firstLineChars="100"/>
    </w:pPr>
  </w:style>
  <w:style w:type="table" w:styleId="83">
    <w:name w:val="Table Grid"/>
    <w:basedOn w:val="82"/>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5">
    <w:name w:val="Strong"/>
    <w:qFormat/>
    <w:uiPriority w:val="22"/>
    <w:rPr>
      <w:b/>
      <w:bCs/>
    </w:rPr>
  </w:style>
  <w:style w:type="character" w:styleId="86">
    <w:name w:val="page number"/>
    <w:qFormat/>
    <w:uiPriority w:val="0"/>
  </w:style>
  <w:style w:type="character" w:styleId="87">
    <w:name w:val="FollowedHyperlink"/>
    <w:qFormat/>
    <w:uiPriority w:val="0"/>
    <w:rPr>
      <w:color w:val="000000"/>
      <w:sz w:val="18"/>
      <w:szCs w:val="18"/>
      <w:u w:val="none"/>
    </w:rPr>
  </w:style>
  <w:style w:type="character" w:styleId="88">
    <w:name w:val="Emphasis"/>
    <w:qFormat/>
    <w:uiPriority w:val="20"/>
    <w:rPr>
      <w:i/>
      <w:iCs/>
    </w:rPr>
  </w:style>
  <w:style w:type="character" w:styleId="89">
    <w:name w:val="line number"/>
    <w:qFormat/>
    <w:uiPriority w:val="0"/>
  </w:style>
  <w:style w:type="character" w:styleId="90">
    <w:name w:val="HTML Definition"/>
    <w:qFormat/>
    <w:uiPriority w:val="0"/>
    <w:rPr>
      <w:i/>
      <w:iCs/>
    </w:rPr>
  </w:style>
  <w:style w:type="character" w:styleId="91">
    <w:name w:val="HTML Typewriter"/>
    <w:qFormat/>
    <w:uiPriority w:val="0"/>
    <w:rPr>
      <w:rFonts w:ascii="Courier New" w:hAnsi="Courier New" w:cs="Courier New"/>
      <w:sz w:val="20"/>
      <w:szCs w:val="20"/>
    </w:rPr>
  </w:style>
  <w:style w:type="character" w:styleId="92">
    <w:name w:val="HTML Acronym"/>
    <w:qFormat/>
    <w:uiPriority w:val="0"/>
  </w:style>
  <w:style w:type="character" w:styleId="93">
    <w:name w:val="HTML Variable"/>
    <w:qFormat/>
    <w:uiPriority w:val="0"/>
    <w:rPr>
      <w:i/>
      <w:iCs/>
    </w:rPr>
  </w:style>
  <w:style w:type="character" w:styleId="94">
    <w:name w:val="Hyperlink"/>
    <w:qFormat/>
    <w:uiPriority w:val="99"/>
    <w:rPr>
      <w:color w:val="000000"/>
      <w:sz w:val="18"/>
      <w:szCs w:val="18"/>
      <w:u w:val="none"/>
    </w:rPr>
  </w:style>
  <w:style w:type="character" w:styleId="95">
    <w:name w:val="HTML Code"/>
    <w:qFormat/>
    <w:uiPriority w:val="0"/>
    <w:rPr>
      <w:rFonts w:ascii="Courier New" w:hAnsi="Courier New" w:cs="Courier New"/>
      <w:sz w:val="20"/>
      <w:szCs w:val="20"/>
    </w:rPr>
  </w:style>
  <w:style w:type="character" w:styleId="96">
    <w:name w:val="annotation reference"/>
    <w:qFormat/>
    <w:uiPriority w:val="0"/>
    <w:rPr>
      <w:sz w:val="21"/>
      <w:szCs w:val="21"/>
    </w:rPr>
  </w:style>
  <w:style w:type="character" w:styleId="97">
    <w:name w:val="HTML Cite"/>
    <w:qFormat/>
    <w:uiPriority w:val="0"/>
    <w:rPr>
      <w:i/>
      <w:iCs/>
    </w:rPr>
  </w:style>
  <w:style w:type="character" w:styleId="98">
    <w:name w:val="footnote reference"/>
    <w:qFormat/>
    <w:uiPriority w:val="0"/>
    <w:rPr>
      <w:vertAlign w:val="superscript"/>
    </w:rPr>
  </w:style>
  <w:style w:type="character" w:styleId="99">
    <w:name w:val="HTML Keyboard"/>
    <w:qFormat/>
    <w:uiPriority w:val="0"/>
    <w:rPr>
      <w:rFonts w:ascii="Courier New" w:hAnsi="Courier New" w:cs="Courier New"/>
      <w:sz w:val="20"/>
      <w:szCs w:val="20"/>
    </w:rPr>
  </w:style>
  <w:style w:type="character" w:styleId="100">
    <w:name w:val="HTML Sample"/>
    <w:qFormat/>
    <w:uiPriority w:val="0"/>
    <w:rPr>
      <w:rFonts w:ascii="Courier New" w:hAnsi="Courier New" w:cs="Courier New"/>
    </w:rPr>
  </w:style>
  <w:style w:type="character" w:customStyle="1" w:styleId="101">
    <w:name w:val="宏文本 字符"/>
    <w:link w:val="4"/>
    <w:semiHidden/>
    <w:qFormat/>
    <w:uiPriority w:val="0"/>
    <w:rPr>
      <w:rFonts w:ascii="Courier New" w:hAnsi="Courier New" w:cs="Courier New"/>
      <w:kern w:val="2"/>
      <w:sz w:val="24"/>
      <w:szCs w:val="24"/>
      <w:lang w:val="en-US" w:eastAsia="zh-CN" w:bidi="ar-SA"/>
    </w:rPr>
  </w:style>
  <w:style w:type="character" w:customStyle="1" w:styleId="102">
    <w:name w:val="标题 1 字符"/>
    <w:link w:val="5"/>
    <w:qFormat/>
    <w:uiPriority w:val="0"/>
    <w:rPr>
      <w:rFonts w:ascii="宋体"/>
      <w:b/>
      <w:kern w:val="30"/>
      <w:sz w:val="30"/>
    </w:rPr>
  </w:style>
  <w:style w:type="character" w:customStyle="1" w:styleId="103">
    <w:name w:val="标题 2 字符"/>
    <w:link w:val="6"/>
    <w:qFormat/>
    <w:uiPriority w:val="0"/>
    <w:rPr>
      <w:rFonts w:eastAsia="宋体"/>
      <w:b/>
      <w:kern w:val="24"/>
      <w:sz w:val="28"/>
      <w:lang w:val="en-US" w:eastAsia="zh-CN" w:bidi="ar-SA"/>
    </w:rPr>
  </w:style>
  <w:style w:type="character" w:customStyle="1" w:styleId="104">
    <w:name w:val="标题 3 字符"/>
    <w:link w:val="7"/>
    <w:qFormat/>
    <w:locked/>
    <w:uiPriority w:val="0"/>
    <w:rPr>
      <w:rFonts w:eastAsia="宋体"/>
      <w:b/>
      <w:kern w:val="24"/>
      <w:sz w:val="24"/>
      <w:lang w:val="en-US" w:eastAsia="zh-CN" w:bidi="ar-SA"/>
    </w:rPr>
  </w:style>
  <w:style w:type="character" w:customStyle="1" w:styleId="105">
    <w:name w:val="标题 4 字符"/>
    <w:link w:val="9"/>
    <w:qFormat/>
    <w:uiPriority w:val="9"/>
    <w:rPr>
      <w:rFonts w:eastAsia="仿宋_GB2312"/>
      <w:kern w:val="24"/>
      <w:sz w:val="24"/>
      <w:lang w:val="en-US" w:eastAsia="zh-CN" w:bidi="ar-SA"/>
    </w:rPr>
  </w:style>
  <w:style w:type="character" w:customStyle="1" w:styleId="106">
    <w:name w:val="标题 5 字符"/>
    <w:link w:val="10"/>
    <w:qFormat/>
    <w:uiPriority w:val="0"/>
    <w:rPr>
      <w:rFonts w:eastAsia="黑体"/>
      <w:bCs/>
      <w:kern w:val="2"/>
      <w:sz w:val="28"/>
    </w:rPr>
  </w:style>
  <w:style w:type="character" w:customStyle="1" w:styleId="107">
    <w:name w:val="标题 6 字符"/>
    <w:link w:val="11"/>
    <w:qFormat/>
    <w:uiPriority w:val="9"/>
    <w:rPr>
      <w:rFonts w:ascii="Arial" w:hAnsi="Arial"/>
      <w:bCs/>
      <w:kern w:val="2"/>
      <w:sz w:val="28"/>
    </w:rPr>
  </w:style>
  <w:style w:type="character" w:customStyle="1" w:styleId="108">
    <w:name w:val="标题 7 字符"/>
    <w:link w:val="12"/>
    <w:qFormat/>
    <w:uiPriority w:val="0"/>
    <w:rPr>
      <w:b/>
      <w:sz w:val="24"/>
    </w:rPr>
  </w:style>
  <w:style w:type="character" w:customStyle="1" w:styleId="109">
    <w:name w:val="标题 8 字符"/>
    <w:link w:val="13"/>
    <w:qFormat/>
    <w:uiPriority w:val="0"/>
    <w:rPr>
      <w:rFonts w:ascii="Arial" w:hAnsi="Arial" w:eastAsia="黑体"/>
      <w:sz w:val="24"/>
    </w:rPr>
  </w:style>
  <w:style w:type="character" w:customStyle="1" w:styleId="110">
    <w:name w:val="标题 9 字符"/>
    <w:link w:val="14"/>
    <w:qFormat/>
    <w:uiPriority w:val="0"/>
    <w:rPr>
      <w:rFonts w:ascii="Arial" w:hAnsi="Arial" w:eastAsia="黑体"/>
      <w:sz w:val="21"/>
    </w:rPr>
  </w:style>
  <w:style w:type="character" w:customStyle="1" w:styleId="111">
    <w:name w:val="注释标题 字符"/>
    <w:link w:val="19"/>
    <w:qFormat/>
    <w:uiPriority w:val="0"/>
    <w:rPr>
      <w:kern w:val="2"/>
      <w:sz w:val="24"/>
    </w:rPr>
  </w:style>
  <w:style w:type="character" w:customStyle="1" w:styleId="112">
    <w:name w:val="电子邮件签名 字符"/>
    <w:link w:val="21"/>
    <w:qFormat/>
    <w:uiPriority w:val="0"/>
    <w:rPr>
      <w:kern w:val="2"/>
      <w:sz w:val="24"/>
    </w:rPr>
  </w:style>
  <w:style w:type="character" w:customStyle="1" w:styleId="113">
    <w:name w:val="文档结构图 字符"/>
    <w:link w:val="27"/>
    <w:qFormat/>
    <w:uiPriority w:val="0"/>
    <w:rPr>
      <w:rFonts w:eastAsia="宋体"/>
      <w:spacing w:val="20"/>
      <w:kern w:val="10"/>
      <w:sz w:val="28"/>
      <w:lang w:val="en-US" w:eastAsia="zh-CN" w:bidi="ar-SA"/>
    </w:rPr>
  </w:style>
  <w:style w:type="character" w:customStyle="1" w:styleId="114">
    <w:name w:val="批注文字 字符"/>
    <w:link w:val="28"/>
    <w:semiHidden/>
    <w:qFormat/>
    <w:uiPriority w:val="0"/>
    <w:rPr>
      <w:spacing w:val="20"/>
      <w:kern w:val="10"/>
      <w:sz w:val="28"/>
    </w:rPr>
  </w:style>
  <w:style w:type="character" w:customStyle="1" w:styleId="115">
    <w:name w:val="称呼 字符"/>
    <w:link w:val="29"/>
    <w:qFormat/>
    <w:uiPriority w:val="0"/>
    <w:rPr>
      <w:kern w:val="2"/>
      <w:sz w:val="24"/>
    </w:rPr>
  </w:style>
  <w:style w:type="character" w:customStyle="1" w:styleId="116">
    <w:name w:val="正文文本 3 字符"/>
    <w:link w:val="30"/>
    <w:qFormat/>
    <w:uiPriority w:val="0"/>
    <w:rPr>
      <w:kern w:val="2"/>
      <w:sz w:val="16"/>
      <w:szCs w:val="16"/>
    </w:rPr>
  </w:style>
  <w:style w:type="character" w:customStyle="1" w:styleId="117">
    <w:name w:val="结束语 字符"/>
    <w:link w:val="31"/>
    <w:qFormat/>
    <w:uiPriority w:val="0"/>
    <w:rPr>
      <w:kern w:val="2"/>
      <w:sz w:val="24"/>
    </w:rPr>
  </w:style>
  <w:style w:type="character" w:customStyle="1" w:styleId="118">
    <w:name w:val="正文文本 字符"/>
    <w:link w:val="33"/>
    <w:qFormat/>
    <w:uiPriority w:val="1"/>
    <w:rPr>
      <w:kern w:val="2"/>
      <w:sz w:val="24"/>
    </w:rPr>
  </w:style>
  <w:style w:type="character" w:customStyle="1" w:styleId="119">
    <w:name w:val="正文文本缩进 字符"/>
    <w:link w:val="3"/>
    <w:qFormat/>
    <w:uiPriority w:val="99"/>
    <w:rPr>
      <w:kern w:val="2"/>
      <w:sz w:val="24"/>
    </w:rPr>
  </w:style>
  <w:style w:type="character" w:customStyle="1" w:styleId="120">
    <w:name w:val="HTML 地址 字符"/>
    <w:link w:val="40"/>
    <w:qFormat/>
    <w:uiPriority w:val="0"/>
    <w:rPr>
      <w:i/>
      <w:iCs/>
      <w:kern w:val="2"/>
      <w:sz w:val="24"/>
    </w:rPr>
  </w:style>
  <w:style w:type="character" w:customStyle="1" w:styleId="121">
    <w:name w:val="纯文本 字符"/>
    <w:link w:val="44"/>
    <w:qFormat/>
    <w:locked/>
    <w:uiPriority w:val="0"/>
    <w:rPr>
      <w:rFonts w:ascii="宋体" w:hAnsi="Courier New" w:eastAsia="宋体"/>
      <w:kern w:val="2"/>
      <w:sz w:val="28"/>
      <w:lang w:val="en-US" w:eastAsia="zh-CN" w:bidi="ar-SA"/>
    </w:rPr>
  </w:style>
  <w:style w:type="character" w:customStyle="1" w:styleId="122">
    <w:name w:val="日期 字符"/>
    <w:link w:val="48"/>
    <w:qFormat/>
    <w:uiPriority w:val="0"/>
    <w:rPr>
      <w:kern w:val="2"/>
      <w:sz w:val="24"/>
    </w:rPr>
  </w:style>
  <w:style w:type="character" w:customStyle="1" w:styleId="123">
    <w:name w:val="正文文本缩进 2 字符"/>
    <w:link w:val="49"/>
    <w:qFormat/>
    <w:uiPriority w:val="0"/>
    <w:rPr>
      <w:kern w:val="2"/>
      <w:sz w:val="24"/>
    </w:rPr>
  </w:style>
  <w:style w:type="character" w:customStyle="1" w:styleId="124">
    <w:name w:val="尾注文本 字符"/>
    <w:link w:val="50"/>
    <w:semiHidden/>
    <w:qFormat/>
    <w:uiPriority w:val="0"/>
    <w:rPr>
      <w:kern w:val="2"/>
      <w:sz w:val="21"/>
      <w:szCs w:val="24"/>
    </w:rPr>
  </w:style>
  <w:style w:type="character" w:customStyle="1" w:styleId="125">
    <w:name w:val="批注框文本 字符"/>
    <w:link w:val="52"/>
    <w:qFormat/>
    <w:uiPriority w:val="0"/>
    <w:rPr>
      <w:rFonts w:eastAsia="仿宋_GB2312"/>
      <w:kern w:val="2"/>
      <w:sz w:val="18"/>
      <w:szCs w:val="18"/>
    </w:rPr>
  </w:style>
  <w:style w:type="character" w:customStyle="1" w:styleId="126">
    <w:name w:val="页脚 字符"/>
    <w:link w:val="53"/>
    <w:qFormat/>
    <w:uiPriority w:val="99"/>
    <w:rPr>
      <w:rFonts w:eastAsia="宋体"/>
      <w:kern w:val="2"/>
      <w:sz w:val="18"/>
      <w:lang w:val="en-US" w:eastAsia="zh-CN" w:bidi="ar-SA"/>
    </w:rPr>
  </w:style>
  <w:style w:type="character" w:customStyle="1" w:styleId="127">
    <w:name w:val="页眉 字符"/>
    <w:link w:val="55"/>
    <w:qFormat/>
    <w:uiPriority w:val="99"/>
    <w:rPr>
      <w:kern w:val="2"/>
      <w:sz w:val="21"/>
    </w:rPr>
  </w:style>
  <w:style w:type="character" w:customStyle="1" w:styleId="128">
    <w:name w:val="签名 字符"/>
    <w:link w:val="56"/>
    <w:qFormat/>
    <w:uiPriority w:val="0"/>
    <w:rPr>
      <w:kern w:val="2"/>
      <w:sz w:val="24"/>
    </w:rPr>
  </w:style>
  <w:style w:type="character" w:customStyle="1" w:styleId="129">
    <w:name w:val="副标题 字符"/>
    <w:link w:val="60"/>
    <w:qFormat/>
    <w:uiPriority w:val="0"/>
    <w:rPr>
      <w:rFonts w:ascii="Arial" w:hAnsi="Arial" w:cs="Arial"/>
      <w:b/>
      <w:bCs/>
      <w:kern w:val="28"/>
      <w:sz w:val="32"/>
      <w:szCs w:val="32"/>
    </w:rPr>
  </w:style>
  <w:style w:type="character" w:customStyle="1" w:styleId="130">
    <w:name w:val="脚注文本 字符"/>
    <w:link w:val="62"/>
    <w:qFormat/>
    <w:uiPriority w:val="0"/>
    <w:rPr>
      <w:szCs w:val="24"/>
    </w:rPr>
  </w:style>
  <w:style w:type="character" w:customStyle="1" w:styleId="131">
    <w:name w:val="正文文本缩进 3 字符"/>
    <w:link w:val="65"/>
    <w:qFormat/>
    <w:uiPriority w:val="0"/>
    <w:rPr>
      <w:kern w:val="2"/>
      <w:sz w:val="16"/>
      <w:szCs w:val="16"/>
    </w:rPr>
  </w:style>
  <w:style w:type="character" w:customStyle="1" w:styleId="132">
    <w:name w:val="正文文本 2 字符"/>
    <w:link w:val="69"/>
    <w:qFormat/>
    <w:uiPriority w:val="0"/>
    <w:rPr>
      <w:kern w:val="2"/>
      <w:sz w:val="21"/>
    </w:rPr>
  </w:style>
  <w:style w:type="character" w:customStyle="1" w:styleId="133">
    <w:name w:val="信息标题 字符"/>
    <w:link w:val="72"/>
    <w:qFormat/>
    <w:uiPriority w:val="0"/>
    <w:rPr>
      <w:rFonts w:ascii="Arial" w:hAnsi="Arial" w:cs="Arial"/>
      <w:kern w:val="2"/>
      <w:sz w:val="24"/>
      <w:szCs w:val="24"/>
      <w:shd w:val="pct20" w:color="auto" w:fill="auto"/>
    </w:rPr>
  </w:style>
  <w:style w:type="character" w:customStyle="1" w:styleId="134">
    <w:name w:val="HTML 预设格式 字符"/>
    <w:link w:val="73"/>
    <w:qFormat/>
    <w:uiPriority w:val="0"/>
    <w:rPr>
      <w:rFonts w:ascii="Arial" w:hAnsi="Arial" w:cs="Arial"/>
      <w:sz w:val="21"/>
      <w:szCs w:val="21"/>
    </w:rPr>
  </w:style>
  <w:style w:type="character" w:customStyle="1" w:styleId="135">
    <w:name w:val="标题 字符"/>
    <w:link w:val="79"/>
    <w:qFormat/>
    <w:uiPriority w:val="0"/>
    <w:rPr>
      <w:rFonts w:ascii="Arial" w:hAnsi="Arial"/>
      <w:b/>
      <w:kern w:val="2"/>
      <w:sz w:val="32"/>
    </w:rPr>
  </w:style>
  <w:style w:type="character" w:customStyle="1" w:styleId="136">
    <w:name w:val="批注主题 字符"/>
    <w:link w:val="80"/>
    <w:qFormat/>
    <w:uiPriority w:val="0"/>
    <w:rPr>
      <w:rFonts w:ascii="Times New Roman" w:hAnsi="Times New Roman" w:eastAsia="宋体" w:cs="Times New Roman"/>
      <w:szCs w:val="24"/>
    </w:rPr>
  </w:style>
  <w:style w:type="character" w:customStyle="1" w:styleId="137">
    <w:name w:val="正文文本首行缩进 字符"/>
    <w:link w:val="81"/>
    <w:qFormat/>
    <w:uiPriority w:val="0"/>
    <w:rPr>
      <w:kern w:val="2"/>
      <w:sz w:val="24"/>
    </w:rPr>
  </w:style>
  <w:style w:type="character" w:customStyle="1" w:styleId="138">
    <w:name w:val="正文文本首行缩进 2 字符"/>
    <w:link w:val="2"/>
    <w:qFormat/>
    <w:uiPriority w:val="0"/>
    <w:rPr>
      <w:kern w:val="2"/>
      <w:sz w:val="24"/>
    </w:rPr>
  </w:style>
  <w:style w:type="character" w:customStyle="1" w:styleId="139">
    <w:name w:val="hover36"/>
    <w:qFormat/>
    <w:uiPriority w:val="0"/>
    <w:rPr>
      <w:color w:val="003567"/>
    </w:rPr>
  </w:style>
  <w:style w:type="character" w:customStyle="1" w:styleId="140">
    <w:name w:val="样式 标题 2 + 黑体 四号 非加粗 Char"/>
    <w:link w:val="141"/>
    <w:qFormat/>
    <w:uiPriority w:val="0"/>
    <w:rPr>
      <w:rFonts w:ascii="黑体" w:hAnsi="黑体" w:eastAsia="黑体"/>
      <w:b/>
      <w:kern w:val="2"/>
      <w:sz w:val="28"/>
    </w:rPr>
  </w:style>
  <w:style w:type="paragraph" w:customStyle="1" w:styleId="141">
    <w:name w:val="样式 标题 2 + 黑体 四号 非加粗"/>
    <w:basedOn w:val="6"/>
    <w:link w:val="140"/>
    <w:qFormat/>
    <w:uiPriority w:val="0"/>
    <w:pPr>
      <w:keepNext w:val="0"/>
      <w:keepLines w:val="0"/>
      <w:suppressLineNumbers/>
      <w:snapToGrid w:val="0"/>
      <w:spacing w:before="160" w:after="160"/>
    </w:pPr>
    <w:rPr>
      <w:rFonts w:ascii="黑体" w:hAnsi="黑体" w:eastAsia="黑体"/>
      <w:kern w:val="2"/>
    </w:rPr>
  </w:style>
  <w:style w:type="character" w:customStyle="1" w:styleId="142">
    <w:name w:val="表格内容 Char Char"/>
    <w:qFormat/>
    <w:uiPriority w:val="0"/>
    <w:rPr>
      <w:rFonts w:ascii="宋体" w:hAnsi="宋体" w:eastAsia="宋体"/>
      <w:color w:val="000000"/>
      <w:kern w:val="2"/>
      <w:sz w:val="21"/>
      <w:lang w:val="en-US" w:eastAsia="zh-CN" w:bidi="ar-SA"/>
    </w:rPr>
  </w:style>
  <w:style w:type="character" w:customStyle="1" w:styleId="143">
    <w:name w:val="样式1 Char Char Char"/>
    <w:link w:val="144"/>
    <w:qFormat/>
    <w:uiPriority w:val="0"/>
    <w:rPr>
      <w:rFonts w:ascii="黑体" w:hAnsi="黑体" w:eastAsia="黑体"/>
      <w:kern w:val="44"/>
      <w:sz w:val="30"/>
    </w:rPr>
  </w:style>
  <w:style w:type="paragraph" w:customStyle="1" w:styleId="144">
    <w:name w:val="样式1 Char Char"/>
    <w:basedOn w:val="145"/>
    <w:link w:val="143"/>
    <w:qFormat/>
    <w:uiPriority w:val="0"/>
    <w:pPr>
      <w:tabs>
        <w:tab w:val="left" w:pos="322"/>
        <w:tab w:val="left" w:pos="425"/>
        <w:tab w:val="left" w:pos="780"/>
      </w:tabs>
      <w:spacing w:before="156" w:beforeLines="50" w:after="156" w:afterLines="50" w:line="360" w:lineRule="auto"/>
      <w:ind w:left="780" w:leftChars="200" w:hanging="360" w:hangingChars="200"/>
    </w:pPr>
  </w:style>
  <w:style w:type="paragraph" w:customStyle="1" w:styleId="145">
    <w:name w:val="样式 标题 1 + 黑体 小三 非加粗"/>
    <w:basedOn w:val="5"/>
    <w:qFormat/>
    <w:uiPriority w:val="0"/>
    <w:pPr>
      <w:numPr>
        <w:numId w:val="0"/>
      </w:numPr>
      <w:tabs>
        <w:tab w:val="left" w:pos="425"/>
        <w:tab w:val="clear" w:pos="3490"/>
      </w:tabs>
      <w:spacing w:before="340" w:after="330" w:line="576" w:lineRule="auto"/>
      <w:ind w:left="425" w:hanging="425"/>
      <w:jc w:val="both"/>
    </w:pPr>
    <w:rPr>
      <w:rFonts w:ascii="黑体" w:hAnsi="黑体" w:eastAsia="黑体"/>
      <w:b w:val="0"/>
      <w:kern w:val="44"/>
    </w:rPr>
  </w:style>
  <w:style w:type="character" w:customStyle="1" w:styleId="146">
    <w:name w:val="文章正文样式 Char Char2"/>
    <w:qFormat/>
    <w:uiPriority w:val="0"/>
    <w:rPr>
      <w:rFonts w:ascii="宋体" w:hAnsi="宋体" w:eastAsia="宋体" w:cs="宋体"/>
      <w:kern w:val="2"/>
      <w:sz w:val="24"/>
      <w:szCs w:val="24"/>
      <w:lang w:val="en-US" w:eastAsia="zh-CN" w:bidi="ar-SA"/>
    </w:rPr>
  </w:style>
  <w:style w:type="character" w:customStyle="1" w:styleId="147">
    <w:name w:val="报告正文 Char1"/>
    <w:qFormat/>
    <w:uiPriority w:val="0"/>
    <w:rPr>
      <w:rFonts w:ascii="宋体" w:eastAsia="宋体"/>
      <w:kern w:val="2"/>
      <w:sz w:val="28"/>
      <w:lang w:val="en-US" w:eastAsia="zh-CN" w:bidi="ar-SA"/>
    </w:rPr>
  </w:style>
  <w:style w:type="character" w:customStyle="1" w:styleId="148">
    <w:name w:val="样式14 Char Char"/>
    <w:link w:val="149"/>
    <w:qFormat/>
    <w:uiPriority w:val="0"/>
    <w:rPr>
      <w:rFonts w:ascii="宋体" w:hAnsi="宋体"/>
      <w:kern w:val="2"/>
      <w:sz w:val="24"/>
    </w:rPr>
  </w:style>
  <w:style w:type="paragraph" w:customStyle="1" w:styleId="149">
    <w:name w:val="样式14 Char"/>
    <w:basedOn w:val="1"/>
    <w:link w:val="148"/>
    <w:qFormat/>
    <w:uiPriority w:val="0"/>
    <w:pPr>
      <w:keepNext/>
      <w:keepLines/>
      <w:tabs>
        <w:tab w:val="left" w:pos="0"/>
        <w:tab w:val="left" w:pos="720"/>
        <w:tab w:val="left" w:pos="864"/>
      </w:tabs>
      <w:spacing w:before="156" w:beforeLines="50" w:after="156" w:afterLines="50"/>
      <w:ind w:left="864" w:hanging="864" w:firstLineChars="0"/>
      <w:outlineLvl w:val="3"/>
    </w:pPr>
    <w:rPr>
      <w:rFonts w:ascii="宋体" w:hAnsi="宋体"/>
    </w:rPr>
  </w:style>
  <w:style w:type="character" w:customStyle="1" w:styleId="150">
    <w:name w:val="自动A Char Char"/>
    <w:link w:val="151"/>
    <w:qFormat/>
    <w:uiPriority w:val="0"/>
    <w:rPr>
      <w:rFonts w:ascii="宋体"/>
      <w:color w:val="000000"/>
      <w:kern w:val="2"/>
      <w:sz w:val="24"/>
    </w:rPr>
  </w:style>
  <w:style w:type="paragraph" w:customStyle="1" w:styleId="151">
    <w:name w:val="自动A Char"/>
    <w:basedOn w:val="1"/>
    <w:link w:val="150"/>
    <w:qFormat/>
    <w:uiPriority w:val="0"/>
    <w:pPr>
      <w:spacing w:before="120" w:after="120"/>
      <w:ind w:firstLine="480"/>
    </w:pPr>
    <w:rPr>
      <w:rFonts w:ascii="宋体"/>
      <w:color w:val="000000"/>
    </w:rPr>
  </w:style>
  <w:style w:type="character" w:customStyle="1" w:styleId="152">
    <w:name w:val="文档结构图 Char1"/>
    <w:semiHidden/>
    <w:qFormat/>
    <w:uiPriority w:val="0"/>
    <w:rPr>
      <w:rFonts w:ascii="宋体"/>
      <w:kern w:val="2"/>
      <w:sz w:val="18"/>
      <w:szCs w:val="18"/>
    </w:rPr>
  </w:style>
  <w:style w:type="character" w:customStyle="1" w:styleId="153">
    <w:name w:val="表格 Char"/>
    <w:link w:val="154"/>
    <w:qFormat/>
    <w:uiPriority w:val="0"/>
    <w:rPr>
      <w:rFonts w:eastAsia="楷体_GB2312"/>
      <w:sz w:val="24"/>
    </w:rPr>
  </w:style>
  <w:style w:type="paragraph" w:customStyle="1" w:styleId="154">
    <w:name w:val="表格"/>
    <w:basedOn w:val="1"/>
    <w:next w:val="1"/>
    <w:link w:val="153"/>
    <w:qFormat/>
    <w:uiPriority w:val="0"/>
    <w:pPr>
      <w:autoSpaceDE w:val="0"/>
      <w:autoSpaceDN w:val="0"/>
      <w:adjustRightInd w:val="0"/>
      <w:spacing w:line="520" w:lineRule="exact"/>
      <w:jc w:val="center"/>
    </w:pPr>
    <w:rPr>
      <w:rFonts w:eastAsia="楷体_GB2312"/>
      <w:kern w:val="0"/>
    </w:rPr>
  </w:style>
  <w:style w:type="character" w:customStyle="1" w:styleId="155">
    <w:name w:val="content"/>
    <w:semiHidden/>
    <w:qFormat/>
    <w:uiPriority w:val="0"/>
  </w:style>
  <w:style w:type="character" w:customStyle="1" w:styleId="156">
    <w:name w:val="样式 标题 3 + 首行缩进:  2 字符 Char"/>
    <w:link w:val="157"/>
    <w:qFormat/>
    <w:uiPriority w:val="0"/>
    <w:rPr>
      <w:rFonts w:eastAsia="宋体" w:cs="宋体"/>
      <w:b/>
      <w:kern w:val="2"/>
      <w:sz w:val="24"/>
      <w:lang w:val="en-US" w:eastAsia="zh-CN" w:bidi="ar-SA"/>
    </w:rPr>
  </w:style>
  <w:style w:type="paragraph" w:customStyle="1" w:styleId="157">
    <w:name w:val="样式 标题 3 + 首行缩进:  2 字符"/>
    <w:basedOn w:val="7"/>
    <w:link w:val="156"/>
    <w:qFormat/>
    <w:uiPriority w:val="0"/>
    <w:pPr>
      <w:keepNext w:val="0"/>
      <w:keepLines w:val="0"/>
      <w:adjustRightInd w:val="0"/>
      <w:snapToGrid w:val="0"/>
      <w:jc w:val="both"/>
    </w:pPr>
    <w:rPr>
      <w:rFonts w:cs="宋体"/>
      <w:kern w:val="2"/>
    </w:rPr>
  </w:style>
  <w:style w:type="character" w:customStyle="1" w:styleId="158">
    <w:name w:val="表格内容 Char"/>
    <w:link w:val="159"/>
    <w:qFormat/>
    <w:uiPriority w:val="0"/>
    <w:rPr>
      <w:rFonts w:eastAsia="宋体"/>
      <w:sz w:val="21"/>
      <w:lang w:val="en-US" w:eastAsia="zh-CN" w:bidi="ar-SA"/>
    </w:rPr>
  </w:style>
  <w:style w:type="paragraph" w:customStyle="1" w:styleId="159">
    <w:name w:val="表格内容"/>
    <w:basedOn w:val="1"/>
    <w:link w:val="158"/>
    <w:qFormat/>
    <w:uiPriority w:val="0"/>
    <w:pPr>
      <w:overflowPunct w:val="0"/>
      <w:adjustRightInd w:val="0"/>
      <w:snapToGrid w:val="0"/>
      <w:spacing w:line="340" w:lineRule="exact"/>
      <w:ind w:firstLine="0" w:firstLineChars="0"/>
      <w:jc w:val="center"/>
      <w:textAlignment w:val="baseline"/>
    </w:pPr>
    <w:rPr>
      <w:kern w:val="0"/>
      <w:sz w:val="21"/>
    </w:rPr>
  </w:style>
  <w:style w:type="character" w:customStyle="1" w:styleId="160">
    <w:name w:val="自定义正文 Char Char Char Char Char Char Char Char Char Char Char Char Char Char Char Char"/>
    <w:link w:val="161"/>
    <w:qFormat/>
    <w:uiPriority w:val="0"/>
    <w:rPr>
      <w:kern w:val="2"/>
      <w:position w:val="-28"/>
      <w:sz w:val="28"/>
      <w:lang w:val="en-US" w:eastAsia="zh-CN" w:bidi="ar-SA"/>
    </w:rPr>
  </w:style>
  <w:style w:type="paragraph" w:customStyle="1" w:styleId="161">
    <w:name w:val="自定义正文 Char Char Char Char Char Char Char Char Char Char Char Char Char Char Char"/>
    <w:link w:val="160"/>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character" w:customStyle="1" w:styleId="162">
    <w:name w:val="文章正文样式 Char Char1"/>
    <w:qFormat/>
    <w:uiPriority w:val="0"/>
    <w:rPr>
      <w:rFonts w:ascii="宋体" w:hAnsi="宋体" w:eastAsia="宋体" w:cs="宋体"/>
      <w:kern w:val="2"/>
      <w:sz w:val="24"/>
      <w:szCs w:val="24"/>
      <w:lang w:val="en-US" w:eastAsia="zh-CN" w:bidi="ar-SA"/>
    </w:rPr>
  </w:style>
  <w:style w:type="character" w:customStyle="1" w:styleId="163">
    <w:name w:val="show-img-bd"/>
    <w:qFormat/>
    <w:uiPriority w:val="0"/>
  </w:style>
  <w:style w:type="character" w:customStyle="1" w:styleId="164">
    <w:name w:val="第一条1"/>
    <w:qFormat/>
    <w:uiPriority w:val="0"/>
    <w:rPr>
      <w:rFonts w:hint="eastAsia" w:ascii="黑体" w:hAnsi="宋体" w:eastAsia="黑体"/>
      <w:kern w:val="2"/>
      <w:sz w:val="24"/>
      <w:lang w:val="en-US" w:eastAsia="zh-CN"/>
    </w:rPr>
  </w:style>
  <w:style w:type="character" w:customStyle="1" w:styleId="165">
    <w:name w:val="表头样式1 Char"/>
    <w:link w:val="166"/>
    <w:qFormat/>
    <w:uiPriority w:val="0"/>
    <w:rPr>
      <w:rFonts w:eastAsia="黑体"/>
      <w:b/>
      <w:kern w:val="2"/>
      <w:sz w:val="24"/>
      <w:lang w:val="en-US" w:eastAsia="zh-CN" w:bidi="ar-SA"/>
    </w:rPr>
  </w:style>
  <w:style w:type="paragraph" w:customStyle="1" w:styleId="166">
    <w:name w:val="表头样式1"/>
    <w:basedOn w:val="1"/>
    <w:link w:val="165"/>
    <w:semiHidden/>
    <w:qFormat/>
    <w:uiPriority w:val="0"/>
    <w:pPr>
      <w:spacing w:after="80" w:line="480" w:lineRule="atLeast"/>
      <w:ind w:firstLine="0" w:firstLineChars="0"/>
      <w:jc w:val="center"/>
    </w:pPr>
    <w:rPr>
      <w:rFonts w:eastAsia="黑体"/>
      <w:b/>
    </w:rPr>
  </w:style>
  <w:style w:type="character" w:customStyle="1" w:styleId="167">
    <w:name w:val="bds_nopic"/>
    <w:qFormat/>
    <w:uiPriority w:val="0"/>
  </w:style>
  <w:style w:type="character" w:customStyle="1" w:styleId="168">
    <w:name w:val="表头 Char"/>
    <w:link w:val="169"/>
    <w:qFormat/>
    <w:uiPriority w:val="0"/>
    <w:rPr>
      <w:rFonts w:eastAsia="楷体_GB2312"/>
      <w:kern w:val="2"/>
      <w:sz w:val="28"/>
    </w:rPr>
  </w:style>
  <w:style w:type="paragraph" w:customStyle="1" w:styleId="169">
    <w:name w:val="表头"/>
    <w:basedOn w:val="1"/>
    <w:link w:val="168"/>
    <w:qFormat/>
    <w:uiPriority w:val="0"/>
    <w:pPr>
      <w:adjustRightInd w:val="0"/>
      <w:spacing w:line="500" w:lineRule="exact"/>
      <w:jc w:val="center"/>
    </w:pPr>
    <w:rPr>
      <w:rFonts w:eastAsia="楷体_GB2312"/>
      <w:sz w:val="28"/>
    </w:rPr>
  </w:style>
  <w:style w:type="character" w:customStyle="1" w:styleId="170">
    <w:name w:val="自动A Char Char1"/>
    <w:qFormat/>
    <w:uiPriority w:val="0"/>
    <w:rPr>
      <w:rFonts w:ascii="宋体" w:eastAsia="宋体"/>
      <w:color w:val="000000"/>
      <w:kern w:val="2"/>
      <w:sz w:val="24"/>
      <w:lang w:val="en-US" w:eastAsia="zh-CN" w:bidi="ar-SA"/>
    </w:rPr>
  </w:style>
  <w:style w:type="character" w:customStyle="1" w:styleId="171">
    <w:name w:val="gb13-301"/>
    <w:qFormat/>
    <w:uiPriority w:val="0"/>
    <w:rPr>
      <w:sz w:val="20"/>
      <w:szCs w:val="20"/>
    </w:rPr>
  </w:style>
  <w:style w:type="character" w:customStyle="1" w:styleId="172">
    <w:name w:val="size13"/>
    <w:qFormat/>
    <w:uiPriority w:val="0"/>
  </w:style>
  <w:style w:type="character" w:customStyle="1" w:styleId="173">
    <w:name w:val="页脚 Char1"/>
    <w:semiHidden/>
    <w:qFormat/>
    <w:uiPriority w:val="0"/>
    <w:rPr>
      <w:rFonts w:ascii="Times New Roman" w:hAnsi="Times New Roman" w:eastAsia="宋体" w:cs="Times New Roman"/>
      <w:sz w:val="18"/>
      <w:szCs w:val="18"/>
    </w:rPr>
  </w:style>
  <w:style w:type="character" w:customStyle="1" w:styleId="174">
    <w:name w:val="bds_nopic1"/>
    <w:qFormat/>
    <w:uiPriority w:val="0"/>
  </w:style>
  <w:style w:type="character" w:customStyle="1" w:styleId="175">
    <w:name w:val="自动2 Char Char Char"/>
    <w:link w:val="176"/>
    <w:qFormat/>
    <w:uiPriority w:val="0"/>
    <w:rPr>
      <w:rFonts w:ascii="黑体" w:hAnsi="Arial" w:eastAsia="黑体"/>
      <w:b/>
      <w:color w:val="000000"/>
      <w:kern w:val="2"/>
      <w:sz w:val="28"/>
    </w:rPr>
  </w:style>
  <w:style w:type="paragraph" w:customStyle="1" w:styleId="176">
    <w:name w:val="自动2 Char Char"/>
    <w:basedOn w:val="177"/>
    <w:link w:val="175"/>
    <w:qFormat/>
    <w:uiPriority w:val="0"/>
    <w:pPr>
      <w:tabs>
        <w:tab w:val="left" w:pos="850"/>
        <w:tab w:val="left" w:pos="1320"/>
      </w:tabs>
      <w:spacing w:before="0" w:beforeLines="0" w:after="0" w:afterLines="0" w:line="360" w:lineRule="auto"/>
      <w:ind w:left="850" w:hanging="420"/>
      <w:outlineLvl w:val="1"/>
    </w:pPr>
    <w:rPr>
      <w:rFonts w:ascii="黑体"/>
      <w:b/>
      <w:bCs w:val="0"/>
      <w:color w:val="000000"/>
      <w:szCs w:val="20"/>
    </w:rPr>
  </w:style>
  <w:style w:type="paragraph" w:customStyle="1" w:styleId="177">
    <w:name w:val="二级标题 Char Char"/>
    <w:basedOn w:val="6"/>
    <w:link w:val="178"/>
    <w:qFormat/>
    <w:uiPriority w:val="0"/>
    <w:pPr>
      <w:spacing w:before="156" w:beforeLines="50" w:after="156" w:afterLines="50" w:line="520" w:lineRule="exact"/>
      <w:jc w:val="both"/>
      <w:outlineLvl w:val="2"/>
    </w:pPr>
    <w:rPr>
      <w:rFonts w:ascii="Arial" w:hAnsi="Arial" w:eastAsia="黑体"/>
      <w:b w:val="0"/>
      <w:bCs/>
      <w:kern w:val="2"/>
      <w:szCs w:val="32"/>
    </w:rPr>
  </w:style>
  <w:style w:type="character" w:customStyle="1" w:styleId="178">
    <w:name w:val="二级标题 Char Char Char"/>
    <w:link w:val="177"/>
    <w:qFormat/>
    <w:uiPriority w:val="0"/>
    <w:rPr>
      <w:rFonts w:ascii="Arial" w:hAnsi="Arial" w:eastAsia="黑体"/>
      <w:bCs/>
      <w:kern w:val="2"/>
      <w:sz w:val="28"/>
      <w:szCs w:val="32"/>
    </w:rPr>
  </w:style>
  <w:style w:type="character" w:customStyle="1" w:styleId="179">
    <w:name w:val="正文文本 3 Char1"/>
    <w:semiHidden/>
    <w:qFormat/>
    <w:uiPriority w:val="0"/>
    <w:rPr>
      <w:kern w:val="2"/>
      <w:sz w:val="16"/>
      <w:szCs w:val="16"/>
    </w:rPr>
  </w:style>
  <w:style w:type="character" w:customStyle="1" w:styleId="180">
    <w:name w:val="普通文字1 Char"/>
    <w:qFormat/>
    <w:uiPriority w:val="0"/>
    <w:rPr>
      <w:rFonts w:ascii="宋体" w:hAnsi="Courier New" w:cs="Century"/>
      <w:kern w:val="2"/>
      <w:sz w:val="21"/>
      <w:szCs w:val="21"/>
    </w:rPr>
  </w:style>
  <w:style w:type="character" w:customStyle="1" w:styleId="181">
    <w:name w:val="文章 Char Char Char"/>
    <w:link w:val="182"/>
    <w:qFormat/>
    <w:uiPriority w:val="0"/>
    <w:rPr>
      <w:rFonts w:ascii="宋体" w:hAnsi="宋体"/>
      <w:kern w:val="2"/>
      <w:sz w:val="24"/>
    </w:rPr>
  </w:style>
  <w:style w:type="paragraph" w:customStyle="1" w:styleId="182">
    <w:name w:val="文章 Char Char"/>
    <w:basedOn w:val="3"/>
    <w:link w:val="181"/>
    <w:qFormat/>
    <w:uiPriority w:val="0"/>
    <w:pPr>
      <w:spacing w:before="156" w:beforeLines="50" w:after="156" w:afterLines="50"/>
      <w:ind w:left="0" w:leftChars="0" w:firstLine="480"/>
    </w:pPr>
    <w:rPr>
      <w:rFonts w:ascii="宋体" w:hAnsi="宋体"/>
    </w:rPr>
  </w:style>
  <w:style w:type="character" w:customStyle="1" w:styleId="183">
    <w:name w:val="Char Char41"/>
    <w:qFormat/>
    <w:uiPriority w:val="0"/>
    <w:rPr>
      <w:rFonts w:eastAsia="宋体"/>
      <w:kern w:val="2"/>
      <w:sz w:val="21"/>
      <w:szCs w:val="24"/>
      <w:lang w:val="en-US" w:eastAsia="zh-CN" w:bidi="ar-SA"/>
    </w:rPr>
  </w:style>
  <w:style w:type="character" w:customStyle="1" w:styleId="184">
    <w:name w:val="a Char"/>
    <w:link w:val="185"/>
    <w:qFormat/>
    <w:uiPriority w:val="0"/>
    <w:rPr>
      <w:rFonts w:cs="宋体"/>
      <w:sz w:val="24"/>
      <w:szCs w:val="24"/>
    </w:rPr>
  </w:style>
  <w:style w:type="paragraph" w:customStyle="1" w:styleId="185">
    <w:name w:val="a"/>
    <w:basedOn w:val="1"/>
    <w:link w:val="184"/>
    <w:qFormat/>
    <w:uiPriority w:val="0"/>
    <w:pPr>
      <w:widowControl/>
    </w:pPr>
    <w:rPr>
      <w:kern w:val="0"/>
      <w:szCs w:val="24"/>
    </w:rPr>
  </w:style>
  <w:style w:type="character" w:customStyle="1" w:styleId="186">
    <w:name w:val="ct Char"/>
    <w:link w:val="187"/>
    <w:autoRedefine/>
    <w:qFormat/>
    <w:uiPriority w:val="0"/>
    <w:rPr>
      <w:rFonts w:eastAsia="黑体"/>
      <w:b/>
      <w:sz w:val="21"/>
      <w:szCs w:val="21"/>
      <w:lang w:val="en-US" w:eastAsia="zh-CN" w:bidi="en-US"/>
    </w:rPr>
  </w:style>
  <w:style w:type="paragraph" w:customStyle="1" w:styleId="187">
    <w:name w:val="ct"/>
    <w:link w:val="186"/>
    <w:autoRedefine/>
    <w:qFormat/>
    <w:uiPriority w:val="0"/>
    <w:pPr>
      <w:jc w:val="center"/>
    </w:pPr>
    <w:rPr>
      <w:rFonts w:ascii="Times New Roman" w:hAnsi="Times New Roman" w:eastAsia="黑体" w:cs="Times New Roman"/>
      <w:b/>
      <w:sz w:val="21"/>
      <w:szCs w:val="21"/>
      <w:lang w:val="en-US" w:eastAsia="zh-CN" w:bidi="en-US"/>
    </w:rPr>
  </w:style>
  <w:style w:type="character" w:customStyle="1" w:styleId="188">
    <w:name w:val="报告正文 Char Char"/>
    <w:autoRedefine/>
    <w:qFormat/>
    <w:uiPriority w:val="0"/>
    <w:rPr>
      <w:rFonts w:ascii="宋体" w:eastAsia="宋体"/>
      <w:kern w:val="2"/>
      <w:sz w:val="28"/>
      <w:lang w:val="en-US" w:eastAsia="zh-CN" w:bidi="ar-SA"/>
    </w:rPr>
  </w:style>
  <w:style w:type="character" w:customStyle="1" w:styleId="189">
    <w:name w:val="样式 首行缩进:  2 字符1 Char"/>
    <w:autoRedefine/>
    <w:semiHidden/>
    <w:qFormat/>
    <w:uiPriority w:val="0"/>
    <w:rPr>
      <w:rFonts w:eastAsia="宋体" w:cs="宋体"/>
      <w:kern w:val="2"/>
      <w:sz w:val="24"/>
      <w:lang w:val="en-US" w:eastAsia="zh-CN" w:bidi="ar-SA"/>
    </w:rPr>
  </w:style>
  <w:style w:type="character" w:customStyle="1" w:styleId="190">
    <w:name w:val="报告正文 Char"/>
    <w:link w:val="191"/>
    <w:autoRedefine/>
    <w:qFormat/>
    <w:uiPriority w:val="0"/>
    <w:rPr>
      <w:rFonts w:ascii="宋体"/>
      <w:kern w:val="2"/>
      <w:sz w:val="24"/>
    </w:rPr>
  </w:style>
  <w:style w:type="paragraph" w:customStyle="1" w:styleId="191">
    <w:name w:val="报告正文"/>
    <w:basedOn w:val="1"/>
    <w:link w:val="190"/>
    <w:autoRedefine/>
    <w:qFormat/>
    <w:uiPriority w:val="0"/>
    <w:pPr>
      <w:adjustRightInd w:val="0"/>
      <w:snapToGrid w:val="0"/>
    </w:pPr>
    <w:rPr>
      <w:rFonts w:ascii="宋体"/>
    </w:rPr>
  </w:style>
  <w:style w:type="character" w:customStyle="1" w:styleId="192">
    <w:name w:val="style_bt051"/>
    <w:qFormat/>
    <w:uiPriority w:val="0"/>
    <w:rPr>
      <w:b/>
      <w:bCs/>
      <w:sz w:val="24"/>
      <w:szCs w:val="24"/>
      <w:u w:val="none"/>
    </w:rPr>
  </w:style>
  <w:style w:type="character" w:customStyle="1" w:styleId="193">
    <w:name w:val="样式3 Char"/>
    <w:link w:val="194"/>
    <w:qFormat/>
    <w:uiPriority w:val="0"/>
    <w:rPr>
      <w:rFonts w:eastAsia="黑体"/>
      <w:kern w:val="2"/>
      <w:sz w:val="28"/>
      <w:lang w:val="en-US" w:eastAsia="zh-CN" w:bidi="ar-SA"/>
    </w:rPr>
  </w:style>
  <w:style w:type="paragraph" w:customStyle="1" w:styleId="194">
    <w:name w:val="样式3"/>
    <w:basedOn w:val="1"/>
    <w:link w:val="193"/>
    <w:qFormat/>
    <w:uiPriority w:val="0"/>
    <w:pPr>
      <w:adjustRightInd w:val="0"/>
      <w:spacing w:before="120" w:line="480" w:lineRule="exact"/>
      <w:jc w:val="center"/>
      <w:textAlignment w:val="baseline"/>
    </w:pPr>
    <w:rPr>
      <w:rFonts w:eastAsia="黑体"/>
      <w:sz w:val="28"/>
    </w:rPr>
  </w:style>
  <w:style w:type="character" w:customStyle="1" w:styleId="195">
    <w:name w:val="zhang正文 Char Char Char"/>
    <w:link w:val="196"/>
    <w:qFormat/>
    <w:uiPriority w:val="0"/>
    <w:rPr>
      <w:sz w:val="28"/>
    </w:rPr>
  </w:style>
  <w:style w:type="paragraph" w:customStyle="1" w:styleId="196">
    <w:name w:val="zhang正文 Char Char"/>
    <w:basedOn w:val="3"/>
    <w:link w:val="195"/>
    <w:qFormat/>
    <w:uiPriority w:val="0"/>
    <w:pPr>
      <w:autoSpaceDE w:val="0"/>
      <w:autoSpaceDN w:val="0"/>
      <w:adjustRightInd w:val="0"/>
      <w:snapToGrid w:val="0"/>
      <w:spacing w:after="0"/>
      <w:ind w:left="0" w:leftChars="0"/>
      <w:textAlignment w:val="baseline"/>
    </w:pPr>
    <w:rPr>
      <w:kern w:val="0"/>
      <w:sz w:val="28"/>
    </w:rPr>
  </w:style>
  <w:style w:type="character" w:customStyle="1" w:styleId="197">
    <w:name w:val="文章正文样式 Char1 Char Char Char Char1"/>
    <w:link w:val="198"/>
    <w:qFormat/>
    <w:uiPriority w:val="0"/>
    <w:rPr>
      <w:rFonts w:ascii="宋体" w:hAnsi="宋体" w:cs="宋体"/>
      <w:kern w:val="2"/>
      <w:sz w:val="24"/>
    </w:rPr>
  </w:style>
  <w:style w:type="paragraph" w:customStyle="1" w:styleId="198">
    <w:name w:val="文章正文样式 Char1 Char Char Char"/>
    <w:basedOn w:val="1"/>
    <w:link w:val="197"/>
    <w:autoRedefine/>
    <w:qFormat/>
    <w:uiPriority w:val="0"/>
    <w:pPr>
      <w:spacing w:line="520" w:lineRule="exact"/>
      <w:ind w:firstLine="480"/>
      <w:jc w:val="left"/>
    </w:pPr>
    <w:rPr>
      <w:rFonts w:ascii="宋体" w:hAnsi="宋体"/>
    </w:rPr>
  </w:style>
  <w:style w:type="character" w:customStyle="1" w:styleId="199">
    <w:name w:val="hb表头 Char"/>
    <w:link w:val="200"/>
    <w:qFormat/>
    <w:uiPriority w:val="0"/>
    <w:rPr>
      <w:rFonts w:ascii="黑体" w:hAnsi="宋体" w:eastAsia="黑体"/>
      <w:sz w:val="21"/>
    </w:rPr>
  </w:style>
  <w:style w:type="paragraph" w:customStyle="1" w:styleId="200">
    <w:name w:val="hb表头"/>
    <w:basedOn w:val="1"/>
    <w:link w:val="199"/>
    <w:qFormat/>
    <w:uiPriority w:val="0"/>
    <w:pPr>
      <w:spacing w:line="240" w:lineRule="auto"/>
      <w:ind w:firstLine="420"/>
    </w:pPr>
    <w:rPr>
      <w:rFonts w:ascii="黑体" w:hAnsi="宋体" w:eastAsia="黑体"/>
      <w:kern w:val="0"/>
      <w:sz w:val="21"/>
    </w:rPr>
  </w:style>
  <w:style w:type="character" w:customStyle="1" w:styleId="201">
    <w:name w:val="news21"/>
    <w:qFormat/>
    <w:uiPriority w:val="0"/>
    <w:rPr>
      <w:rFonts w:ascii="宋体" w:hAnsi="宋体" w:eastAsia="宋体"/>
      <w:kern w:val="2"/>
      <w:sz w:val="21"/>
      <w:lang w:val="en-US" w:eastAsia="zh-CN"/>
    </w:rPr>
  </w:style>
  <w:style w:type="character" w:customStyle="1" w:styleId="202">
    <w:name w:val="表格内容 Char Char Char Char Char"/>
    <w:link w:val="203"/>
    <w:qFormat/>
    <w:uiPriority w:val="0"/>
    <w:rPr>
      <w:rFonts w:ascii="宋体" w:hAnsi="宋体"/>
      <w:color w:val="000000"/>
      <w:kern w:val="2"/>
      <w:sz w:val="21"/>
    </w:rPr>
  </w:style>
  <w:style w:type="paragraph" w:customStyle="1" w:styleId="203">
    <w:name w:val="表格内容 Char Char Char Char"/>
    <w:basedOn w:val="1"/>
    <w:link w:val="202"/>
    <w:qFormat/>
    <w:uiPriority w:val="0"/>
    <w:pPr>
      <w:tabs>
        <w:tab w:val="left" w:pos="1535"/>
        <w:tab w:val="left" w:pos="3105"/>
        <w:tab w:val="left" w:pos="4676"/>
        <w:tab w:val="left" w:pos="6247"/>
        <w:tab w:val="left" w:pos="7740"/>
        <w:tab w:val="left" w:pos="9288"/>
      </w:tabs>
      <w:adjustRightInd w:val="0"/>
      <w:snapToGrid w:val="0"/>
      <w:spacing w:line="240" w:lineRule="exact"/>
      <w:ind w:firstLine="0" w:firstLineChars="0"/>
      <w:jc w:val="center"/>
      <w:textAlignment w:val="baseline"/>
    </w:pPr>
    <w:rPr>
      <w:rFonts w:ascii="宋体" w:hAnsi="宋体"/>
      <w:color w:val="000000"/>
      <w:sz w:val="21"/>
    </w:rPr>
  </w:style>
  <w:style w:type="character" w:customStyle="1" w:styleId="204">
    <w:name w:val="样式2 Char Char Char Char"/>
    <w:link w:val="205"/>
    <w:qFormat/>
    <w:uiPriority w:val="0"/>
    <w:rPr>
      <w:rFonts w:ascii="黑体" w:hAnsi="黑体" w:eastAsia="黑体"/>
      <w:color w:val="000000"/>
      <w:kern w:val="2"/>
      <w:sz w:val="28"/>
    </w:rPr>
  </w:style>
  <w:style w:type="paragraph" w:customStyle="1" w:styleId="205">
    <w:name w:val="样式2 Char Char Char"/>
    <w:basedOn w:val="206"/>
    <w:link w:val="204"/>
    <w:qFormat/>
    <w:uiPriority w:val="0"/>
    <w:pPr>
      <w:tabs>
        <w:tab w:val="left" w:pos="0"/>
        <w:tab w:val="left" w:pos="360"/>
        <w:tab w:val="left" w:pos="936"/>
        <w:tab w:val="left" w:pos="992"/>
      </w:tabs>
      <w:spacing w:before="156" w:beforeLines="50" w:after="156" w:afterLines="50" w:line="360" w:lineRule="auto"/>
      <w:ind w:left="992" w:hanging="567"/>
    </w:pPr>
  </w:style>
  <w:style w:type="paragraph" w:customStyle="1" w:styleId="206">
    <w:name w:val="样式 标题 2标题 21标题 121节H2SeHead wsa2标题 1.1 + 黑体 四号 非加粗 Char Char Char"/>
    <w:basedOn w:val="6"/>
    <w:link w:val="207"/>
    <w:qFormat/>
    <w:uiPriority w:val="0"/>
    <w:pPr>
      <w:tabs>
        <w:tab w:val="left" w:pos="936"/>
      </w:tabs>
      <w:spacing w:before="260" w:after="260" w:line="415" w:lineRule="auto"/>
      <w:ind w:left="945" w:hanging="420"/>
      <w:jc w:val="both"/>
    </w:pPr>
    <w:rPr>
      <w:rFonts w:ascii="黑体" w:hAnsi="黑体" w:eastAsia="黑体"/>
      <w:b w:val="0"/>
      <w:color w:val="000000"/>
      <w:kern w:val="2"/>
    </w:rPr>
  </w:style>
  <w:style w:type="character" w:customStyle="1" w:styleId="207">
    <w:name w:val="样式 标题 2标题 21标题 121节H2SeHead wsa2标题 1.1 + 黑体 四号 非加粗 Char Char Char Char"/>
    <w:link w:val="206"/>
    <w:qFormat/>
    <w:uiPriority w:val="0"/>
    <w:rPr>
      <w:rFonts w:ascii="黑体" w:hAnsi="黑体" w:eastAsia="黑体"/>
      <w:color w:val="000000"/>
      <w:kern w:val="2"/>
      <w:sz w:val="28"/>
    </w:rPr>
  </w:style>
  <w:style w:type="character" w:customStyle="1" w:styleId="208">
    <w:name w:val="样式43 Char Char Char Char"/>
    <w:link w:val="209"/>
    <w:qFormat/>
    <w:uiPriority w:val="0"/>
    <w:rPr>
      <w:rFonts w:ascii="宋体"/>
      <w:snapToGrid w:val="0"/>
      <w:kern w:val="2"/>
      <w:sz w:val="24"/>
      <w:lang w:val="zh-CN"/>
    </w:rPr>
  </w:style>
  <w:style w:type="paragraph" w:customStyle="1" w:styleId="209">
    <w:name w:val="样式43 Char Char Char"/>
    <w:basedOn w:val="1"/>
    <w:link w:val="208"/>
    <w:qFormat/>
    <w:uiPriority w:val="0"/>
    <w:pPr>
      <w:ind w:firstLine="480"/>
    </w:pPr>
    <w:rPr>
      <w:rFonts w:ascii="宋体"/>
      <w:snapToGrid w:val="0"/>
      <w:lang w:val="zh-CN"/>
    </w:rPr>
  </w:style>
  <w:style w:type="character" w:customStyle="1" w:styleId="210">
    <w:name w:val="表格标题--wd Char"/>
    <w:link w:val="211"/>
    <w:qFormat/>
    <w:uiPriority w:val="0"/>
    <w:rPr>
      <w:rFonts w:ascii="宋体" w:hAnsi="宋体" w:eastAsia="宋体"/>
      <w:b/>
      <w:color w:val="333300"/>
      <w:kern w:val="2"/>
      <w:sz w:val="24"/>
      <w:lang w:val="en-US" w:eastAsia="zh-CN" w:bidi="ar-SA"/>
    </w:rPr>
  </w:style>
  <w:style w:type="paragraph" w:customStyle="1" w:styleId="211">
    <w:name w:val="表格标题--wd"/>
    <w:basedOn w:val="23"/>
    <w:next w:val="1"/>
    <w:link w:val="210"/>
    <w:semiHidden/>
    <w:qFormat/>
    <w:uiPriority w:val="0"/>
    <w:pPr>
      <w:autoSpaceDE/>
      <w:autoSpaceDN/>
      <w:adjustRightInd/>
      <w:spacing w:line="240" w:lineRule="auto"/>
      <w:ind w:left="0" w:firstLine="0" w:firstLineChars="0"/>
      <w:jc w:val="center"/>
      <w:textAlignment w:val="auto"/>
    </w:pPr>
    <w:rPr>
      <w:rFonts w:hAnsi="宋体"/>
      <w:b/>
      <w:color w:val="333300"/>
      <w:kern w:val="2"/>
      <w:sz w:val="24"/>
    </w:rPr>
  </w:style>
  <w:style w:type="character" w:customStyle="1" w:styleId="212">
    <w:name w:val="样式 标题 3 + 宋体 小四 非加粗 Char Char Char"/>
    <w:link w:val="213"/>
    <w:qFormat/>
    <w:uiPriority w:val="0"/>
    <w:rPr>
      <w:rFonts w:ascii="宋体" w:eastAsia="黑体"/>
      <w:kern w:val="2"/>
      <w:sz w:val="24"/>
    </w:rPr>
  </w:style>
  <w:style w:type="paragraph" w:customStyle="1" w:styleId="213">
    <w:name w:val="样式 标题 3 + 宋体 小四 非加粗 Char Char"/>
    <w:basedOn w:val="7"/>
    <w:link w:val="212"/>
    <w:qFormat/>
    <w:uiPriority w:val="0"/>
    <w:pPr>
      <w:tabs>
        <w:tab w:val="left" w:pos="360"/>
        <w:tab w:val="left" w:pos="540"/>
        <w:tab w:val="left" w:pos="720"/>
        <w:tab w:val="left" w:pos="1571"/>
        <w:tab w:val="left" w:pos="1716"/>
      </w:tabs>
      <w:spacing w:before="156" w:beforeLines="50" w:after="156" w:afterLines="50"/>
      <w:ind w:left="1716" w:hanging="420"/>
      <w:jc w:val="both"/>
    </w:pPr>
    <w:rPr>
      <w:rFonts w:ascii="宋体" w:eastAsia="黑体"/>
      <w:b w:val="0"/>
      <w:kern w:val="2"/>
    </w:rPr>
  </w:style>
  <w:style w:type="character" w:customStyle="1" w:styleId="214">
    <w:name w:val="Char Char15"/>
    <w:qFormat/>
    <w:uiPriority w:val="0"/>
    <w:rPr>
      <w:rFonts w:ascii="Times New Roman" w:hAnsi="Times New Roman" w:eastAsia="宋体" w:cs="Times New Roman"/>
      <w:sz w:val="16"/>
      <w:szCs w:val="24"/>
    </w:rPr>
  </w:style>
  <w:style w:type="character" w:customStyle="1" w:styleId="215">
    <w:name w:val="!编号+仿宋四号 Char Char"/>
    <w:link w:val="216"/>
    <w:qFormat/>
    <w:uiPriority w:val="0"/>
    <w:rPr>
      <w:lang w:val="en-US" w:eastAsia="zh-CN" w:bidi="ar-SA"/>
    </w:rPr>
  </w:style>
  <w:style w:type="paragraph" w:customStyle="1" w:styleId="216">
    <w:name w:val="!编号+仿宋四号"/>
    <w:basedOn w:val="217"/>
    <w:next w:val="217"/>
    <w:link w:val="215"/>
    <w:qFormat/>
    <w:uiPriority w:val="0"/>
    <w:pPr>
      <w:tabs>
        <w:tab w:val="left" w:pos="780"/>
        <w:tab w:val="left" w:pos="1021"/>
      </w:tabs>
      <w:ind w:left="780" w:leftChars="200" w:firstLine="0" w:firstLineChars="0"/>
    </w:pPr>
  </w:style>
  <w:style w:type="paragraph" w:customStyle="1" w:styleId="217">
    <w:name w:val="!仿宋+四号，首缩"/>
    <w:link w:val="218"/>
    <w:qFormat/>
    <w:uiPriority w:val="0"/>
    <w:pPr>
      <w:widowControl w:val="0"/>
      <w:spacing w:line="600" w:lineRule="exact"/>
      <w:ind w:firstLine="200" w:firstLineChars="200"/>
      <w:jc w:val="both"/>
    </w:pPr>
    <w:rPr>
      <w:rFonts w:ascii="Times New Roman" w:hAnsi="Times New Roman" w:eastAsia="仿宋_GB2312" w:cs="Times New Roman"/>
      <w:kern w:val="2"/>
      <w:sz w:val="28"/>
      <w:szCs w:val="24"/>
      <w:lang w:val="en-US" w:eastAsia="zh-CN" w:bidi="ar-SA"/>
    </w:rPr>
  </w:style>
  <w:style w:type="character" w:customStyle="1" w:styleId="218">
    <w:name w:val="!仿宋+四号，首缩 Char"/>
    <w:link w:val="217"/>
    <w:qFormat/>
    <w:uiPriority w:val="0"/>
    <w:rPr>
      <w:rFonts w:eastAsia="仿宋_GB2312"/>
      <w:kern w:val="2"/>
      <w:sz w:val="28"/>
      <w:szCs w:val="24"/>
      <w:lang w:val="en-US" w:eastAsia="zh-CN" w:bidi="ar-SA"/>
    </w:rPr>
  </w:style>
  <w:style w:type="character" w:customStyle="1" w:styleId="219">
    <w:name w:val="bds_more"/>
    <w:qFormat/>
    <w:uiPriority w:val="0"/>
  </w:style>
  <w:style w:type="character" w:customStyle="1" w:styleId="220">
    <w:name w:val="Char Char51"/>
    <w:qFormat/>
    <w:locked/>
    <w:uiPriority w:val="0"/>
    <w:rPr>
      <w:rFonts w:eastAsia="宋体"/>
      <w:b/>
      <w:bCs/>
      <w:kern w:val="2"/>
      <w:sz w:val="32"/>
      <w:szCs w:val="32"/>
      <w:lang w:val="en-US" w:eastAsia="zh-CN" w:bidi="ar-SA"/>
    </w:rPr>
  </w:style>
  <w:style w:type="character" w:customStyle="1" w:styleId="221">
    <w:name w:val="Body Text 2 Char"/>
    <w:qFormat/>
    <w:uiPriority w:val="0"/>
    <w:rPr>
      <w:rFonts w:eastAsia="宋体"/>
      <w:spacing w:val="4"/>
      <w:kern w:val="2"/>
      <w:sz w:val="24"/>
      <w:lang w:val="en-US"/>
    </w:rPr>
  </w:style>
  <w:style w:type="character" w:customStyle="1" w:styleId="222">
    <w:name w:val="二号标题样式 Char Char Char Char Char Char"/>
    <w:link w:val="223"/>
    <w:qFormat/>
    <w:uiPriority w:val="0"/>
    <w:rPr>
      <w:rFonts w:ascii="Arial" w:hAnsi="Arial" w:eastAsia="黑体" w:cs="宋体"/>
      <w:kern w:val="2"/>
      <w:sz w:val="28"/>
    </w:rPr>
  </w:style>
  <w:style w:type="paragraph" w:customStyle="1" w:styleId="223">
    <w:name w:val="二号标题样式 Char Char Char Char Char"/>
    <w:basedOn w:val="1"/>
    <w:link w:val="222"/>
    <w:qFormat/>
    <w:uiPriority w:val="0"/>
    <w:pPr>
      <w:keepNext/>
      <w:keepLines/>
      <w:spacing w:before="156" w:beforeLines="50" w:after="156" w:afterLines="50" w:line="520" w:lineRule="exact"/>
      <w:ind w:firstLine="0" w:firstLineChars="0"/>
      <w:outlineLvl w:val="2"/>
    </w:pPr>
    <w:rPr>
      <w:rFonts w:ascii="Arial" w:hAnsi="Arial" w:eastAsia="黑体"/>
      <w:sz w:val="28"/>
    </w:rPr>
  </w:style>
  <w:style w:type="character" w:customStyle="1" w:styleId="224">
    <w:name w:val="样式1 Char"/>
    <w:link w:val="225"/>
    <w:qFormat/>
    <w:uiPriority w:val="0"/>
    <w:rPr>
      <w:rFonts w:eastAsia="仿宋_GB2312"/>
      <w:sz w:val="28"/>
      <w:lang w:val="en-US" w:eastAsia="zh-CN" w:bidi="ar-SA"/>
    </w:rPr>
  </w:style>
  <w:style w:type="paragraph" w:customStyle="1" w:styleId="225">
    <w:name w:val="样式1"/>
    <w:basedOn w:val="1"/>
    <w:link w:val="224"/>
    <w:qFormat/>
    <w:uiPriority w:val="0"/>
    <w:pPr>
      <w:adjustRightInd w:val="0"/>
      <w:spacing w:line="480" w:lineRule="atLeast"/>
      <w:ind w:firstLine="539"/>
    </w:pPr>
    <w:rPr>
      <w:rFonts w:eastAsia="仿宋_GB2312"/>
      <w:kern w:val="0"/>
      <w:sz w:val="28"/>
    </w:rPr>
  </w:style>
  <w:style w:type="character" w:customStyle="1" w:styleId="226">
    <w:name w:val="标4 Char Char Char Char Char Char"/>
    <w:link w:val="227"/>
    <w:qFormat/>
    <w:uiPriority w:val="0"/>
    <w:rPr>
      <w:rFonts w:ascii="宋体" w:hAnsi="宋体"/>
      <w:kern w:val="2"/>
      <w:sz w:val="24"/>
    </w:rPr>
  </w:style>
  <w:style w:type="paragraph" w:customStyle="1" w:styleId="227">
    <w:name w:val="标4 Char Char Char Char Char"/>
    <w:basedOn w:val="144"/>
    <w:link w:val="226"/>
    <w:qFormat/>
    <w:uiPriority w:val="0"/>
    <w:pPr>
      <w:keepNext w:val="0"/>
      <w:keepLines w:val="0"/>
      <w:tabs>
        <w:tab w:val="left" w:pos="1080"/>
        <w:tab w:val="left" w:pos="3490"/>
        <w:tab w:val="clear" w:pos="322"/>
      </w:tabs>
      <w:spacing w:before="0" w:beforeLines="0" w:after="0" w:afterLines="0" w:line="560" w:lineRule="atLeast"/>
      <w:ind w:left="0" w:leftChars="0" w:firstLine="0" w:firstLineChars="0"/>
      <w:outlineLvl w:val="3"/>
    </w:pPr>
    <w:rPr>
      <w:rFonts w:ascii="宋体" w:hAnsi="宋体" w:eastAsia="宋体"/>
      <w:kern w:val="2"/>
      <w:sz w:val="24"/>
    </w:rPr>
  </w:style>
  <w:style w:type="character" w:customStyle="1" w:styleId="228">
    <w:name w:val="hover35"/>
    <w:qFormat/>
    <w:uiPriority w:val="0"/>
    <w:rPr>
      <w:color w:val="003567"/>
    </w:rPr>
  </w:style>
  <w:style w:type="character" w:customStyle="1" w:styleId="229">
    <w:name w:val="正文1"/>
    <w:qFormat/>
    <w:uiPriority w:val="0"/>
    <w:rPr>
      <w:rFonts w:hint="eastAsia" w:ascii="宋体" w:hAnsi="宋体" w:eastAsia="宋体"/>
      <w:kern w:val="2"/>
      <w:sz w:val="24"/>
      <w:lang w:val="en-US" w:eastAsia="zh-CN"/>
    </w:rPr>
  </w:style>
  <w:style w:type="character" w:customStyle="1" w:styleId="230">
    <w:name w:val="style111"/>
    <w:qFormat/>
    <w:uiPriority w:val="0"/>
    <w:rPr>
      <w:rFonts w:ascii="宋体" w:hAnsi="宋体" w:eastAsia="宋体"/>
      <w:kern w:val="2"/>
      <w:sz w:val="21"/>
      <w:lang w:val="en-US" w:eastAsia="zh-CN"/>
    </w:rPr>
  </w:style>
  <w:style w:type="character" w:customStyle="1" w:styleId="231">
    <w:name w:val="H2 Char1"/>
    <w:qFormat/>
    <w:uiPriority w:val="0"/>
    <w:rPr>
      <w:rFonts w:ascii="楷体_GB2312" w:hAnsi="宋体" w:eastAsia="楷体_GB2312"/>
      <w:b/>
      <w:snapToGrid w:val="0"/>
      <w:color w:val="993300"/>
      <w:sz w:val="28"/>
      <w:szCs w:val="28"/>
      <w:lang w:val="en-US" w:eastAsia="zh-CN" w:bidi="ar-SA"/>
    </w:rPr>
  </w:style>
  <w:style w:type="character" w:customStyle="1" w:styleId="232">
    <w:name w:val="样式10 Char Char Char Char"/>
    <w:link w:val="233"/>
    <w:qFormat/>
    <w:uiPriority w:val="0"/>
    <w:rPr>
      <w:rFonts w:ascii="黑体" w:hAnsi="黑体" w:eastAsia="黑体"/>
      <w:color w:val="000000"/>
      <w:kern w:val="2"/>
      <w:sz w:val="28"/>
    </w:rPr>
  </w:style>
  <w:style w:type="paragraph" w:customStyle="1" w:styleId="233">
    <w:name w:val="样式10 Char Char Char"/>
    <w:basedOn w:val="206"/>
    <w:link w:val="232"/>
    <w:qFormat/>
    <w:uiPriority w:val="0"/>
    <w:pPr>
      <w:tabs>
        <w:tab w:val="left" w:pos="0"/>
        <w:tab w:val="left" w:pos="360"/>
        <w:tab w:val="left" w:pos="992"/>
        <w:tab w:val="clear" w:pos="936"/>
      </w:tabs>
      <w:spacing w:before="156" w:beforeLines="50" w:after="156" w:afterLines="50" w:line="360" w:lineRule="auto"/>
      <w:ind w:left="992" w:hanging="567"/>
    </w:pPr>
  </w:style>
  <w:style w:type="character" w:customStyle="1" w:styleId="234">
    <w:name w:val="正文格式 Char Char Char Char"/>
    <w:link w:val="235"/>
    <w:qFormat/>
    <w:uiPriority w:val="0"/>
    <w:rPr>
      <w:rFonts w:ascii="宋体" w:cs="宋体"/>
      <w:kern w:val="2"/>
      <w:sz w:val="24"/>
      <w:szCs w:val="24"/>
    </w:rPr>
  </w:style>
  <w:style w:type="paragraph" w:customStyle="1" w:styleId="235">
    <w:name w:val="正文格式 Char Char Char"/>
    <w:basedOn w:val="1"/>
    <w:link w:val="234"/>
    <w:qFormat/>
    <w:uiPriority w:val="0"/>
    <w:pPr>
      <w:ind w:firstLine="482" w:firstLineChars="0"/>
    </w:pPr>
    <w:rPr>
      <w:rFonts w:ascii="宋体"/>
      <w:szCs w:val="24"/>
    </w:rPr>
  </w:style>
  <w:style w:type="character" w:customStyle="1" w:styleId="236">
    <w:name w:val="style21"/>
    <w:qFormat/>
    <w:uiPriority w:val="0"/>
    <w:rPr>
      <w:color w:val="0000A0"/>
      <w:sz w:val="33"/>
      <w:szCs w:val="33"/>
    </w:rPr>
  </w:style>
  <w:style w:type="character" w:customStyle="1" w:styleId="237">
    <w:name w:val="表格 Char1"/>
    <w:unhideWhenUsed/>
    <w:qFormat/>
    <w:uiPriority w:val="99"/>
    <w:rPr>
      <w:rFonts w:hint="default" w:eastAsia="宋体"/>
      <w:sz w:val="21"/>
      <w:lang w:val="en-US" w:eastAsia="zh-CN"/>
    </w:rPr>
  </w:style>
  <w:style w:type="character" w:customStyle="1" w:styleId="238">
    <w:name w:val="文章正文样式 Char1 Char Char1 Char Char"/>
    <w:link w:val="239"/>
    <w:qFormat/>
    <w:uiPriority w:val="0"/>
    <w:rPr>
      <w:rFonts w:ascii="宋体" w:hAnsi="宋体" w:cs="宋体"/>
      <w:kern w:val="2"/>
      <w:sz w:val="24"/>
      <w:szCs w:val="24"/>
    </w:rPr>
  </w:style>
  <w:style w:type="paragraph" w:customStyle="1" w:styleId="239">
    <w:name w:val="文章正文样式 Char1 Char Char1 Char"/>
    <w:basedOn w:val="1"/>
    <w:link w:val="238"/>
    <w:qFormat/>
    <w:uiPriority w:val="0"/>
    <w:pPr>
      <w:spacing w:line="520" w:lineRule="exact"/>
      <w:jc w:val="left"/>
    </w:pPr>
    <w:rPr>
      <w:rFonts w:ascii="宋体" w:hAnsi="宋体"/>
      <w:szCs w:val="24"/>
    </w:rPr>
  </w:style>
  <w:style w:type="character" w:customStyle="1" w:styleId="240">
    <w:name w:val="正文（YHY-GDB) Char"/>
    <w:link w:val="241"/>
    <w:qFormat/>
    <w:uiPriority w:val="0"/>
    <w:rPr>
      <w:kern w:val="2"/>
      <w:sz w:val="24"/>
      <w:szCs w:val="24"/>
    </w:rPr>
  </w:style>
  <w:style w:type="paragraph" w:customStyle="1" w:styleId="241">
    <w:name w:val="正文（YHY-GDB)"/>
    <w:basedOn w:val="1"/>
    <w:link w:val="240"/>
    <w:qFormat/>
    <w:uiPriority w:val="0"/>
    <w:pPr>
      <w:spacing w:before="156" w:beforeLines="50" w:after="156" w:afterLines="50"/>
    </w:pPr>
    <w:rPr>
      <w:szCs w:val="24"/>
    </w:rPr>
  </w:style>
  <w:style w:type="character" w:customStyle="1" w:styleId="242">
    <w:name w:val="小四+首行缩进 Char2"/>
    <w:link w:val="243"/>
    <w:qFormat/>
    <w:uiPriority w:val="0"/>
    <w:rPr>
      <w:rFonts w:ascii="宋体" w:hAnsi="宋体"/>
      <w:sz w:val="24"/>
    </w:rPr>
  </w:style>
  <w:style w:type="paragraph" w:customStyle="1" w:styleId="243">
    <w:name w:val="小四+首行缩进"/>
    <w:basedOn w:val="1"/>
    <w:link w:val="242"/>
    <w:qFormat/>
    <w:uiPriority w:val="0"/>
    <w:pPr>
      <w:ind w:firstLine="482" w:firstLineChars="0"/>
    </w:pPr>
    <w:rPr>
      <w:rFonts w:ascii="宋体" w:hAnsi="宋体"/>
      <w:kern w:val="0"/>
    </w:rPr>
  </w:style>
  <w:style w:type="character" w:customStyle="1" w:styleId="244">
    <w:name w:val="图标题 Char Char"/>
    <w:link w:val="245"/>
    <w:qFormat/>
    <w:uiPriority w:val="0"/>
    <w:rPr>
      <w:kern w:val="2"/>
      <w:sz w:val="24"/>
      <w:szCs w:val="24"/>
    </w:rPr>
  </w:style>
  <w:style w:type="paragraph" w:customStyle="1" w:styleId="245">
    <w:name w:val="图标题 Char"/>
    <w:basedOn w:val="1"/>
    <w:link w:val="244"/>
    <w:qFormat/>
    <w:uiPriority w:val="0"/>
    <w:pPr>
      <w:snapToGrid w:val="0"/>
      <w:spacing w:after="312" w:afterLines="100" w:line="240" w:lineRule="auto"/>
      <w:ind w:firstLine="0" w:firstLineChars="0"/>
      <w:jc w:val="center"/>
      <w:textAlignment w:val="center"/>
    </w:pPr>
    <w:rPr>
      <w:szCs w:val="24"/>
    </w:rPr>
  </w:style>
  <w:style w:type="character" w:customStyle="1" w:styleId="246">
    <w:name w:val="CTINH Char"/>
    <w:link w:val="247"/>
    <w:qFormat/>
    <w:uiPriority w:val="0"/>
    <w:rPr>
      <w:rFonts w:hAnsi="宋体"/>
      <w:b/>
      <w:kern w:val="2"/>
      <w:sz w:val="18"/>
      <w:szCs w:val="18"/>
    </w:rPr>
  </w:style>
  <w:style w:type="paragraph" w:customStyle="1" w:styleId="247">
    <w:name w:val="CTINH"/>
    <w:basedOn w:val="248"/>
    <w:link w:val="246"/>
    <w:qFormat/>
    <w:uiPriority w:val="0"/>
    <w:pPr>
      <w:autoSpaceDE/>
      <w:autoSpaceDN/>
    </w:pPr>
    <w:rPr>
      <w:rFonts w:ascii="Times New Roman"/>
      <w:b/>
    </w:rPr>
  </w:style>
  <w:style w:type="paragraph" w:customStyle="1" w:styleId="248">
    <w:name w:val="CTin"/>
    <w:basedOn w:val="1"/>
    <w:link w:val="249"/>
    <w:qFormat/>
    <w:uiPriority w:val="0"/>
    <w:pPr>
      <w:autoSpaceDE w:val="0"/>
      <w:autoSpaceDN w:val="0"/>
      <w:spacing w:line="276" w:lineRule="auto"/>
      <w:ind w:firstLine="0" w:firstLineChars="0"/>
      <w:jc w:val="center"/>
    </w:pPr>
    <w:rPr>
      <w:rFonts w:ascii="宋体" w:hAnsi="宋体"/>
      <w:sz w:val="18"/>
      <w:szCs w:val="18"/>
    </w:rPr>
  </w:style>
  <w:style w:type="character" w:customStyle="1" w:styleId="249">
    <w:name w:val="CTin Char"/>
    <w:link w:val="248"/>
    <w:qFormat/>
    <w:uiPriority w:val="0"/>
    <w:rPr>
      <w:rFonts w:ascii="宋体" w:hAnsi="宋体"/>
      <w:kern w:val="2"/>
      <w:sz w:val="18"/>
      <w:szCs w:val="18"/>
    </w:rPr>
  </w:style>
  <w:style w:type="character" w:customStyle="1" w:styleId="250">
    <w:name w:val="样式4 Char Char Char Char"/>
    <w:link w:val="251"/>
    <w:qFormat/>
    <w:uiPriority w:val="0"/>
    <w:rPr>
      <w:rFonts w:ascii="仿宋_GB2312" w:hAnsi="宋体" w:eastAsia="仿宋_GB2312" w:cs="宋体"/>
      <w:color w:val="000000"/>
      <w:kern w:val="2"/>
      <w:sz w:val="28"/>
      <w:szCs w:val="28"/>
    </w:rPr>
  </w:style>
  <w:style w:type="paragraph" w:customStyle="1" w:styleId="251">
    <w:name w:val="样式4 Char Char Char"/>
    <w:basedOn w:val="1"/>
    <w:link w:val="250"/>
    <w:qFormat/>
    <w:uiPriority w:val="0"/>
    <w:pPr>
      <w:spacing w:line="520" w:lineRule="exact"/>
      <w:ind w:firstLine="536"/>
    </w:pPr>
    <w:rPr>
      <w:rFonts w:ascii="仿宋_GB2312" w:hAnsi="宋体" w:eastAsia="仿宋_GB2312"/>
      <w:color w:val="000000"/>
      <w:sz w:val="28"/>
      <w:szCs w:val="28"/>
    </w:rPr>
  </w:style>
  <w:style w:type="character" w:customStyle="1" w:styleId="252">
    <w:name w:val="bds_more2"/>
    <w:qFormat/>
    <w:uiPriority w:val="0"/>
  </w:style>
  <w:style w:type="character" w:customStyle="1" w:styleId="253">
    <w:name w:val="样式44 Char Char Char"/>
    <w:link w:val="254"/>
    <w:qFormat/>
    <w:uiPriority w:val="0"/>
    <w:rPr>
      <w:rFonts w:ascii="宋体" w:eastAsia="黑体"/>
      <w:kern w:val="2"/>
      <w:sz w:val="24"/>
    </w:rPr>
  </w:style>
  <w:style w:type="paragraph" w:customStyle="1" w:styleId="254">
    <w:name w:val="样式44 Char Char"/>
    <w:basedOn w:val="255"/>
    <w:link w:val="253"/>
    <w:qFormat/>
    <w:uiPriority w:val="0"/>
    <w:pPr>
      <w:tabs>
        <w:tab w:val="left" w:pos="900"/>
        <w:tab w:val="left" w:pos="1418"/>
        <w:tab w:val="left" w:pos="1571"/>
      </w:tabs>
    </w:pPr>
  </w:style>
  <w:style w:type="paragraph" w:customStyle="1" w:styleId="255">
    <w:name w:val="样式13 Char Char"/>
    <w:basedOn w:val="256"/>
    <w:link w:val="258"/>
    <w:qFormat/>
    <w:uiPriority w:val="0"/>
    <w:pPr>
      <w:tabs>
        <w:tab w:val="left" w:pos="900"/>
        <w:tab w:val="left" w:pos="1418"/>
        <w:tab w:val="left" w:pos="1571"/>
      </w:tabs>
    </w:pPr>
  </w:style>
  <w:style w:type="paragraph" w:customStyle="1" w:styleId="256">
    <w:name w:val="样式3 Char Char"/>
    <w:basedOn w:val="213"/>
    <w:link w:val="257"/>
    <w:qFormat/>
    <w:uiPriority w:val="0"/>
    <w:pPr>
      <w:tabs>
        <w:tab w:val="left" w:pos="900"/>
        <w:tab w:val="left" w:pos="1418"/>
        <w:tab w:val="clear" w:pos="360"/>
        <w:tab w:val="clear" w:pos="540"/>
        <w:tab w:val="clear" w:pos="720"/>
        <w:tab w:val="clear" w:pos="1571"/>
        <w:tab w:val="clear" w:pos="1716"/>
      </w:tabs>
      <w:spacing w:before="0" w:beforeLines="0" w:after="0" w:afterLines="0"/>
      <w:ind w:left="1418" w:hanging="567"/>
    </w:pPr>
  </w:style>
  <w:style w:type="character" w:customStyle="1" w:styleId="257">
    <w:name w:val="样式3 Char Char Char"/>
    <w:link w:val="256"/>
    <w:qFormat/>
    <w:uiPriority w:val="0"/>
    <w:rPr>
      <w:rFonts w:ascii="宋体" w:eastAsia="黑体"/>
      <w:kern w:val="2"/>
      <w:sz w:val="24"/>
    </w:rPr>
  </w:style>
  <w:style w:type="character" w:customStyle="1" w:styleId="258">
    <w:name w:val="样式13 Char Char Char"/>
    <w:link w:val="255"/>
    <w:qFormat/>
    <w:uiPriority w:val="0"/>
    <w:rPr>
      <w:rFonts w:ascii="宋体" w:eastAsia="黑体"/>
      <w:kern w:val="2"/>
      <w:sz w:val="24"/>
    </w:rPr>
  </w:style>
  <w:style w:type="character" w:customStyle="1" w:styleId="259">
    <w:name w:val="标准正文 Char Char Char"/>
    <w:link w:val="260"/>
    <w:qFormat/>
    <w:uiPriority w:val="0"/>
    <w:rPr>
      <w:bCs/>
      <w:kern w:val="2"/>
      <w:sz w:val="24"/>
    </w:rPr>
  </w:style>
  <w:style w:type="paragraph" w:customStyle="1" w:styleId="260">
    <w:name w:val="标准正文 Char Char"/>
    <w:basedOn w:val="1"/>
    <w:link w:val="259"/>
    <w:qFormat/>
    <w:uiPriority w:val="0"/>
    <w:pPr>
      <w:spacing w:line="540" w:lineRule="exact"/>
      <w:ind w:firstLine="480"/>
    </w:pPr>
    <w:rPr>
      <w:bCs/>
    </w:rPr>
  </w:style>
  <w:style w:type="character" w:customStyle="1" w:styleId="261">
    <w:name w:val="常用正文样式 Char1"/>
    <w:link w:val="262"/>
    <w:qFormat/>
    <w:uiPriority w:val="0"/>
    <w:rPr>
      <w:rFonts w:ascii="宋体" w:hAnsi="新宋体" w:eastAsia="仿宋_GB2312"/>
      <w:sz w:val="24"/>
      <w:szCs w:val="24"/>
      <w:lang w:val="en-US" w:eastAsia="zh-CN" w:bidi="ar-SA"/>
    </w:rPr>
  </w:style>
  <w:style w:type="paragraph" w:customStyle="1" w:styleId="262">
    <w:name w:val="常用正文样式"/>
    <w:link w:val="261"/>
    <w:qFormat/>
    <w:uiPriority w:val="0"/>
    <w:pPr>
      <w:widowControl w:val="0"/>
      <w:spacing w:line="360" w:lineRule="auto"/>
      <w:ind w:firstLine="454"/>
      <w:jc w:val="both"/>
    </w:pPr>
    <w:rPr>
      <w:rFonts w:ascii="宋体" w:hAnsi="新宋体" w:eastAsia="仿宋_GB2312" w:cs="Times New Roman"/>
      <w:sz w:val="24"/>
      <w:szCs w:val="24"/>
      <w:lang w:val="en-US" w:eastAsia="zh-CN" w:bidi="ar-SA"/>
    </w:rPr>
  </w:style>
  <w:style w:type="character" w:customStyle="1" w:styleId="263">
    <w:name w:val="4正文 Char Char"/>
    <w:link w:val="264"/>
    <w:qFormat/>
    <w:uiPriority w:val="0"/>
    <w:rPr>
      <w:rFonts w:cs="宋体"/>
      <w:kern w:val="2"/>
      <w:sz w:val="21"/>
    </w:rPr>
  </w:style>
  <w:style w:type="paragraph" w:customStyle="1" w:styleId="264">
    <w:name w:val="4正文"/>
    <w:basedOn w:val="1"/>
    <w:link w:val="263"/>
    <w:qFormat/>
    <w:uiPriority w:val="0"/>
    <w:pPr>
      <w:spacing w:line="240" w:lineRule="auto"/>
      <w:ind w:firstLine="480" w:firstLineChars="0"/>
    </w:pPr>
    <w:rPr>
      <w:sz w:val="21"/>
    </w:rPr>
  </w:style>
  <w:style w:type="character" w:customStyle="1" w:styleId="265">
    <w:name w:val="页眉 Char1"/>
    <w:semiHidden/>
    <w:qFormat/>
    <w:uiPriority w:val="0"/>
    <w:rPr>
      <w:kern w:val="2"/>
      <w:sz w:val="18"/>
      <w:szCs w:val="18"/>
    </w:rPr>
  </w:style>
  <w:style w:type="character" w:customStyle="1" w:styleId="266">
    <w:name w:val="文章正文样式 Char1 Char Char Char Char Char"/>
    <w:link w:val="267"/>
    <w:qFormat/>
    <w:uiPriority w:val="0"/>
    <w:rPr>
      <w:rFonts w:ascii="宋体" w:hAnsi="宋体" w:cs="宋体"/>
      <w:kern w:val="2"/>
      <w:sz w:val="24"/>
    </w:rPr>
  </w:style>
  <w:style w:type="paragraph" w:customStyle="1" w:styleId="267">
    <w:name w:val="文章正文样式 Char1 Char Char Char Char"/>
    <w:basedOn w:val="1"/>
    <w:link w:val="266"/>
    <w:qFormat/>
    <w:uiPriority w:val="0"/>
    <w:pPr>
      <w:spacing w:line="520" w:lineRule="exact"/>
      <w:ind w:firstLine="480"/>
      <w:jc w:val="left"/>
    </w:pPr>
    <w:rPr>
      <w:rFonts w:ascii="宋体" w:hAnsi="宋体"/>
    </w:rPr>
  </w:style>
  <w:style w:type="character" w:customStyle="1" w:styleId="268">
    <w:name w:val="defaultfont"/>
    <w:semiHidden/>
    <w:qFormat/>
    <w:uiPriority w:val="0"/>
  </w:style>
  <w:style w:type="character" w:customStyle="1" w:styleId="269">
    <w:name w:val="样式 文章正文 + 小四 Char Char Char"/>
    <w:link w:val="270"/>
    <w:qFormat/>
    <w:uiPriority w:val="0"/>
    <w:rPr>
      <w:rFonts w:ascii="宋体" w:hAnsi="宋体"/>
      <w:kern w:val="2"/>
      <w:sz w:val="24"/>
    </w:rPr>
  </w:style>
  <w:style w:type="paragraph" w:customStyle="1" w:styleId="270">
    <w:name w:val="样式 文章正文 + 小四 Char Char"/>
    <w:basedOn w:val="271"/>
    <w:link w:val="269"/>
    <w:qFormat/>
    <w:uiPriority w:val="0"/>
    <w:pPr>
      <w:spacing w:before="156" w:beforeLines="50" w:after="156" w:afterLines="50" w:line="360" w:lineRule="auto"/>
      <w:ind w:firstLine="480"/>
      <w:jc w:val="both"/>
    </w:pPr>
    <w:rPr>
      <w:szCs w:val="20"/>
    </w:rPr>
  </w:style>
  <w:style w:type="paragraph" w:customStyle="1" w:styleId="271">
    <w:name w:val="文章正文"/>
    <w:basedOn w:val="1"/>
    <w:link w:val="272"/>
    <w:qFormat/>
    <w:uiPriority w:val="0"/>
    <w:pPr>
      <w:spacing w:line="520" w:lineRule="exact"/>
      <w:jc w:val="left"/>
    </w:pPr>
    <w:rPr>
      <w:rFonts w:ascii="宋体" w:hAnsi="宋体"/>
      <w:szCs w:val="24"/>
    </w:rPr>
  </w:style>
  <w:style w:type="character" w:customStyle="1" w:styleId="272">
    <w:name w:val="文章正文 Char"/>
    <w:link w:val="271"/>
    <w:qFormat/>
    <w:uiPriority w:val="0"/>
    <w:rPr>
      <w:rFonts w:ascii="宋体" w:hAnsi="宋体"/>
      <w:kern w:val="2"/>
      <w:sz w:val="24"/>
      <w:szCs w:val="24"/>
    </w:rPr>
  </w:style>
  <w:style w:type="character" w:customStyle="1" w:styleId="273">
    <w:name w:val="邵光高速小四号宋体 Char"/>
    <w:link w:val="274"/>
    <w:qFormat/>
    <w:uiPriority w:val="0"/>
    <w:rPr>
      <w:rFonts w:hAnsi="宋体"/>
      <w:sz w:val="24"/>
      <w:szCs w:val="30"/>
      <w:lang w:val="en-US" w:eastAsia="zh-CN" w:bidi="ar-SA"/>
    </w:rPr>
  </w:style>
  <w:style w:type="paragraph" w:customStyle="1" w:styleId="274">
    <w:name w:val="邵光高速小四号宋体"/>
    <w:link w:val="273"/>
    <w:qFormat/>
    <w:uiPriority w:val="0"/>
    <w:pPr>
      <w:widowControl w:val="0"/>
      <w:spacing w:line="360" w:lineRule="auto"/>
      <w:ind w:firstLine="480" w:firstLineChars="200"/>
      <w:jc w:val="both"/>
    </w:pPr>
    <w:rPr>
      <w:rFonts w:ascii="Times New Roman" w:hAnsi="宋体" w:eastAsia="宋体" w:cs="Times New Roman"/>
      <w:sz w:val="24"/>
      <w:szCs w:val="30"/>
      <w:lang w:val="en-US" w:eastAsia="zh-CN" w:bidi="ar-SA"/>
    </w:rPr>
  </w:style>
  <w:style w:type="character" w:customStyle="1" w:styleId="275">
    <w:name w:val="正文1 Char"/>
    <w:qFormat/>
    <w:uiPriority w:val="0"/>
    <w:rPr>
      <w:rFonts w:ascii="Times New Roman" w:hAnsi="Times New Roman" w:eastAsia="宋体" w:cs="Times New Roman"/>
      <w:szCs w:val="24"/>
    </w:rPr>
  </w:style>
  <w:style w:type="character" w:customStyle="1" w:styleId="276">
    <w:name w:val="文章正文 Char Char Char1"/>
    <w:qFormat/>
    <w:uiPriority w:val="0"/>
    <w:rPr>
      <w:rFonts w:ascii="宋体" w:hAnsi="宋体" w:eastAsia="宋体"/>
      <w:kern w:val="2"/>
      <w:sz w:val="24"/>
      <w:szCs w:val="24"/>
      <w:lang w:val="en-US" w:eastAsia="zh-CN" w:bidi="ar-SA"/>
    </w:rPr>
  </w:style>
  <w:style w:type="character" w:customStyle="1" w:styleId="277">
    <w:name w:val="正文文字 Char Char Char Char Char Char Char Char Char"/>
    <w:semiHidden/>
    <w:qFormat/>
    <w:uiPriority w:val="0"/>
    <w:rPr>
      <w:rFonts w:ascii="宋体" w:eastAsia="宋体"/>
      <w:snapToGrid w:val="0"/>
      <w:spacing w:val="4"/>
      <w:kern w:val="18"/>
      <w:sz w:val="24"/>
      <w:szCs w:val="24"/>
      <w:lang w:val="en-US" w:eastAsia="zh-CN" w:bidi="ar-SA"/>
    </w:rPr>
  </w:style>
  <w:style w:type="character" w:customStyle="1" w:styleId="278">
    <w:name w:val="文章正文样式 Char2 Char Char Char"/>
    <w:link w:val="279"/>
    <w:qFormat/>
    <w:uiPriority w:val="0"/>
    <w:rPr>
      <w:rFonts w:ascii="宋体" w:hAnsi="宋体" w:cs="宋体"/>
      <w:kern w:val="2"/>
      <w:sz w:val="24"/>
    </w:rPr>
  </w:style>
  <w:style w:type="paragraph" w:customStyle="1" w:styleId="279">
    <w:name w:val="文章正文样式 Char2 Char Char"/>
    <w:basedOn w:val="1"/>
    <w:link w:val="278"/>
    <w:qFormat/>
    <w:uiPriority w:val="0"/>
    <w:pPr>
      <w:spacing w:line="520" w:lineRule="exact"/>
      <w:ind w:firstLine="480"/>
      <w:jc w:val="left"/>
    </w:pPr>
    <w:rPr>
      <w:rFonts w:ascii="宋体" w:hAnsi="宋体"/>
    </w:rPr>
  </w:style>
  <w:style w:type="character" w:customStyle="1" w:styleId="280">
    <w:name w:val="文章正文文字 Char Char Char1"/>
    <w:qFormat/>
    <w:uiPriority w:val="0"/>
    <w:rPr>
      <w:rFonts w:eastAsia="宋体"/>
      <w:kern w:val="2"/>
      <w:sz w:val="24"/>
      <w:szCs w:val="24"/>
      <w:lang w:val="en-US" w:eastAsia="zh-CN" w:bidi="ar-SA"/>
    </w:rPr>
  </w:style>
  <w:style w:type="character" w:customStyle="1" w:styleId="281">
    <w:name w:val="xl24 Char"/>
    <w:link w:val="282"/>
    <w:qFormat/>
    <w:uiPriority w:val="0"/>
    <w:rPr>
      <w:rFonts w:eastAsia="宋体"/>
      <w:sz w:val="21"/>
      <w:szCs w:val="21"/>
      <w:lang w:val="en-US" w:eastAsia="zh-CN" w:bidi="ar-SA"/>
    </w:rPr>
  </w:style>
  <w:style w:type="paragraph" w:customStyle="1" w:styleId="282">
    <w:name w:val="xl24"/>
    <w:basedOn w:val="1"/>
    <w:link w:val="28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kern w:val="0"/>
      <w:sz w:val="21"/>
      <w:szCs w:val="21"/>
    </w:rPr>
  </w:style>
  <w:style w:type="character" w:customStyle="1" w:styleId="283">
    <w:name w:val="正文-RED Char"/>
    <w:link w:val="284"/>
    <w:qFormat/>
    <w:uiPriority w:val="0"/>
    <w:rPr>
      <w:kern w:val="2"/>
      <w:sz w:val="24"/>
      <w:szCs w:val="22"/>
      <w:lang w:val="en-US" w:eastAsia="zh-CN" w:bidi="ar-SA"/>
    </w:rPr>
  </w:style>
  <w:style w:type="paragraph" w:customStyle="1" w:styleId="284">
    <w:name w:val="正文-RED"/>
    <w:link w:val="283"/>
    <w:qFormat/>
    <w:uiPriority w:val="0"/>
    <w:pPr>
      <w:spacing w:line="360" w:lineRule="auto"/>
      <w:ind w:firstLine="420"/>
      <w:jc w:val="both"/>
    </w:pPr>
    <w:rPr>
      <w:rFonts w:ascii="Times New Roman" w:hAnsi="Times New Roman" w:eastAsia="宋体" w:cs="Times New Roman"/>
      <w:kern w:val="2"/>
      <w:sz w:val="24"/>
      <w:szCs w:val="22"/>
      <w:lang w:val="en-US" w:eastAsia="zh-CN" w:bidi="ar-SA"/>
    </w:rPr>
  </w:style>
  <w:style w:type="character" w:customStyle="1" w:styleId="285">
    <w:name w:val="样式5 Char Char Char Char"/>
    <w:link w:val="286"/>
    <w:qFormat/>
    <w:uiPriority w:val="0"/>
    <w:rPr>
      <w:rFonts w:ascii="宋体"/>
      <w:kern w:val="2"/>
      <w:sz w:val="24"/>
    </w:rPr>
  </w:style>
  <w:style w:type="paragraph" w:customStyle="1" w:styleId="286">
    <w:name w:val="样式5 Char Char Char"/>
    <w:basedOn w:val="1"/>
    <w:link w:val="285"/>
    <w:qFormat/>
    <w:uiPriority w:val="0"/>
    <w:pPr>
      <w:ind w:firstLine="480"/>
    </w:pPr>
    <w:rPr>
      <w:rFonts w:ascii="宋体"/>
    </w:rPr>
  </w:style>
  <w:style w:type="character" w:customStyle="1" w:styleId="287">
    <w:name w:val="样式 样式 样式 首行缩进:  2 字符 + 居中 + 两端对齐 首行缩进:  2 字符 行距: 固定值 12 磅 Char"/>
    <w:link w:val="288"/>
    <w:qFormat/>
    <w:uiPriority w:val="0"/>
    <w:rPr>
      <w:rFonts w:eastAsia="宋体" w:cs="宋体"/>
      <w:kern w:val="2"/>
      <w:sz w:val="21"/>
      <w:lang w:val="en-US" w:eastAsia="zh-CN" w:bidi="ar-SA"/>
    </w:rPr>
  </w:style>
  <w:style w:type="paragraph" w:customStyle="1" w:styleId="288">
    <w:name w:val="样式 样式 样式 首行缩进:  2 字符 + 居中 + 两端对齐 首行缩进:  2 字符 行距: 固定值 12 磅"/>
    <w:basedOn w:val="1"/>
    <w:link w:val="287"/>
    <w:semiHidden/>
    <w:qFormat/>
    <w:uiPriority w:val="0"/>
    <w:pPr>
      <w:adjustRightInd w:val="0"/>
      <w:snapToGrid w:val="0"/>
      <w:spacing w:line="240" w:lineRule="exact"/>
      <w:ind w:firstLine="0" w:firstLineChars="0"/>
    </w:pPr>
    <w:rPr>
      <w:rFonts w:cs="宋体"/>
      <w:sz w:val="21"/>
    </w:rPr>
  </w:style>
  <w:style w:type="character" w:customStyle="1" w:styleId="289">
    <w:name w:val="!标题2 Char"/>
    <w:link w:val="290"/>
    <w:qFormat/>
    <w:uiPriority w:val="0"/>
    <w:rPr>
      <w:rFonts w:eastAsia="仿宋_GB2312"/>
      <w:b/>
      <w:bCs/>
      <w:kern w:val="2"/>
      <w:sz w:val="32"/>
      <w:szCs w:val="32"/>
    </w:rPr>
  </w:style>
  <w:style w:type="paragraph" w:customStyle="1" w:styleId="290">
    <w:name w:val="!标题2"/>
    <w:basedOn w:val="6"/>
    <w:next w:val="217"/>
    <w:link w:val="289"/>
    <w:qFormat/>
    <w:uiPriority w:val="0"/>
    <w:pPr>
      <w:keepNext w:val="0"/>
      <w:keepLines w:val="0"/>
      <w:spacing w:before="240" w:after="0" w:line="600" w:lineRule="exact"/>
      <w:ind w:firstLine="200" w:firstLineChars="200"/>
      <w:jc w:val="both"/>
    </w:pPr>
    <w:rPr>
      <w:rFonts w:eastAsia="仿宋_GB2312"/>
      <w:bCs/>
      <w:kern w:val="2"/>
      <w:sz w:val="32"/>
      <w:szCs w:val="32"/>
    </w:rPr>
  </w:style>
  <w:style w:type="character" w:customStyle="1" w:styleId="291">
    <w:name w:val="正文文字 Char Char Char"/>
    <w:link w:val="292"/>
    <w:qFormat/>
    <w:uiPriority w:val="0"/>
    <w:rPr>
      <w:kern w:val="2"/>
      <w:sz w:val="18"/>
      <w:szCs w:val="18"/>
    </w:rPr>
  </w:style>
  <w:style w:type="paragraph" w:customStyle="1" w:styleId="292">
    <w:name w:val="正文文字 Char Char"/>
    <w:basedOn w:val="1"/>
    <w:link w:val="291"/>
    <w:qFormat/>
    <w:uiPriority w:val="0"/>
    <w:pPr>
      <w:spacing w:line="240" w:lineRule="auto"/>
      <w:ind w:firstLine="0" w:firstLineChars="0"/>
    </w:pPr>
    <w:rPr>
      <w:sz w:val="18"/>
      <w:szCs w:val="18"/>
    </w:rPr>
  </w:style>
  <w:style w:type="character" w:customStyle="1" w:styleId="293">
    <w:name w:val="font91"/>
    <w:qFormat/>
    <w:uiPriority w:val="0"/>
    <w:rPr>
      <w:rFonts w:hint="default" w:ascii="Times New Roman" w:hAnsi="Times New Roman" w:eastAsia="宋体" w:cs="Times New Roman"/>
      <w:color w:val="000000"/>
      <w:kern w:val="2"/>
      <w:sz w:val="24"/>
      <w:szCs w:val="24"/>
      <w:u w:val="none"/>
      <w:vertAlign w:val="superscript"/>
    </w:rPr>
  </w:style>
  <w:style w:type="character" w:customStyle="1" w:styleId="294">
    <w:name w:val="haydonli Char"/>
    <w:link w:val="295"/>
    <w:qFormat/>
    <w:uiPriority w:val="0"/>
    <w:rPr>
      <w:snapToGrid w:val="0"/>
      <w:sz w:val="24"/>
      <w:szCs w:val="24"/>
    </w:rPr>
  </w:style>
  <w:style w:type="paragraph" w:customStyle="1" w:styleId="295">
    <w:name w:val="haydonli"/>
    <w:basedOn w:val="1"/>
    <w:link w:val="294"/>
    <w:qFormat/>
    <w:uiPriority w:val="0"/>
    <w:pPr>
      <w:snapToGrid w:val="0"/>
      <w:spacing w:line="400" w:lineRule="exact"/>
      <w:ind w:firstLine="451"/>
    </w:pPr>
    <w:rPr>
      <w:snapToGrid w:val="0"/>
      <w:kern w:val="0"/>
      <w:szCs w:val="24"/>
    </w:rPr>
  </w:style>
  <w:style w:type="character" w:customStyle="1" w:styleId="296">
    <w:name w:val="hb1 Char"/>
    <w:link w:val="297"/>
    <w:qFormat/>
    <w:uiPriority w:val="0"/>
    <w:rPr>
      <w:rFonts w:ascii="宋体" w:hAnsi="宋体"/>
      <w:color w:val="000000"/>
      <w:kern w:val="2"/>
      <w:sz w:val="24"/>
    </w:rPr>
  </w:style>
  <w:style w:type="paragraph" w:customStyle="1" w:styleId="297">
    <w:name w:val="hb1"/>
    <w:basedOn w:val="33"/>
    <w:link w:val="296"/>
    <w:qFormat/>
    <w:uiPriority w:val="0"/>
    <w:pPr>
      <w:spacing w:after="0" w:line="460" w:lineRule="exact"/>
      <w:ind w:firstLine="482" w:firstLineChars="0"/>
    </w:pPr>
    <w:rPr>
      <w:rFonts w:ascii="宋体" w:hAnsi="宋体"/>
      <w:color w:val="000000"/>
    </w:rPr>
  </w:style>
  <w:style w:type="character" w:customStyle="1" w:styleId="298">
    <w:name w:val="H6 Char"/>
    <w:qFormat/>
    <w:uiPriority w:val="0"/>
    <w:rPr>
      <w:rFonts w:ascii="Arial" w:hAnsi="Arial" w:eastAsia="黑体" w:cs="Times New Roman"/>
      <w:b/>
      <w:sz w:val="24"/>
      <w:szCs w:val="24"/>
    </w:rPr>
  </w:style>
  <w:style w:type="character" w:customStyle="1" w:styleId="299">
    <w:name w:val="正文何处 Char"/>
    <w:link w:val="300"/>
    <w:qFormat/>
    <w:uiPriority w:val="0"/>
    <w:rPr>
      <w:kern w:val="21"/>
      <w:sz w:val="24"/>
    </w:rPr>
  </w:style>
  <w:style w:type="paragraph" w:customStyle="1" w:styleId="300">
    <w:name w:val="正文何处"/>
    <w:basedOn w:val="1"/>
    <w:link w:val="299"/>
    <w:qFormat/>
    <w:uiPriority w:val="0"/>
    <w:pPr>
      <w:adjustRightInd w:val="0"/>
      <w:spacing w:line="480" w:lineRule="exact"/>
      <w:textAlignment w:val="baseline"/>
    </w:pPr>
    <w:rPr>
      <w:kern w:val="21"/>
    </w:rPr>
  </w:style>
  <w:style w:type="character" w:customStyle="1" w:styleId="301">
    <w:name w:val="title1"/>
    <w:semiHidden/>
    <w:qFormat/>
    <w:uiPriority w:val="0"/>
    <w:rPr>
      <w:rFonts w:hint="default" w:ascii="??" w:hAnsi="??"/>
      <w:b/>
      <w:bCs/>
      <w:color w:val="000099"/>
      <w:sz w:val="36"/>
      <w:szCs w:val="36"/>
      <w:u w:val="none"/>
    </w:rPr>
  </w:style>
  <w:style w:type="character" w:customStyle="1" w:styleId="302">
    <w:name w:val="alt+B Char"/>
    <w:link w:val="303"/>
    <w:qFormat/>
    <w:uiPriority w:val="0"/>
    <w:rPr>
      <w:rFonts w:hAnsi="宋体"/>
      <w:b/>
      <w:kern w:val="2"/>
      <w:sz w:val="18"/>
      <w:szCs w:val="18"/>
    </w:rPr>
  </w:style>
  <w:style w:type="paragraph" w:customStyle="1" w:styleId="303">
    <w:name w:val="alt+B"/>
    <w:basedOn w:val="1"/>
    <w:link w:val="302"/>
    <w:qFormat/>
    <w:uiPriority w:val="0"/>
    <w:pPr>
      <w:spacing w:line="276" w:lineRule="auto"/>
      <w:ind w:firstLine="0" w:firstLineChars="0"/>
      <w:jc w:val="center"/>
    </w:pPr>
    <w:rPr>
      <w:rFonts w:hAnsi="宋体"/>
      <w:b/>
      <w:sz w:val="18"/>
      <w:szCs w:val="18"/>
    </w:rPr>
  </w:style>
  <w:style w:type="character" w:customStyle="1" w:styleId="304">
    <w:name w:val="bds_nopic2"/>
    <w:qFormat/>
    <w:uiPriority w:val="0"/>
  </w:style>
  <w:style w:type="character" w:customStyle="1" w:styleId="305">
    <w:name w:val="5段落 Char"/>
    <w:link w:val="306"/>
    <w:qFormat/>
    <w:uiPriority w:val="0"/>
    <w:rPr>
      <w:rFonts w:eastAsia="宋体"/>
      <w:color w:val="000000"/>
      <w:kern w:val="2"/>
      <w:sz w:val="24"/>
      <w:szCs w:val="22"/>
      <w:lang w:val="en-US" w:eastAsia="zh-CN" w:bidi="ar-SA"/>
    </w:rPr>
  </w:style>
  <w:style w:type="paragraph" w:customStyle="1" w:styleId="306">
    <w:name w:val="5段落"/>
    <w:basedOn w:val="1"/>
    <w:link w:val="305"/>
    <w:qFormat/>
    <w:uiPriority w:val="0"/>
    <w:pPr>
      <w:adjustRightInd w:val="0"/>
      <w:snapToGrid w:val="0"/>
      <w:ind w:firstLine="480"/>
    </w:pPr>
    <w:rPr>
      <w:color w:val="000000"/>
      <w:szCs w:val="22"/>
    </w:rPr>
  </w:style>
  <w:style w:type="character" w:customStyle="1" w:styleId="307">
    <w:name w:val="标题1"/>
    <w:qFormat/>
    <w:uiPriority w:val="0"/>
  </w:style>
  <w:style w:type="character" w:customStyle="1" w:styleId="308">
    <w:name w:val="表格文字 Char Char Char Char Char Char1"/>
    <w:qFormat/>
    <w:uiPriority w:val="0"/>
    <w:rPr>
      <w:rFonts w:eastAsia="宋体"/>
      <w:kern w:val="2"/>
      <w:sz w:val="21"/>
      <w:lang w:val="en-US" w:eastAsia="zh-CN" w:bidi="ar-SA"/>
    </w:rPr>
  </w:style>
  <w:style w:type="character" w:customStyle="1" w:styleId="309">
    <w:name w:val="表格文字 Char1"/>
    <w:qFormat/>
    <w:uiPriority w:val="0"/>
    <w:rPr>
      <w:rFonts w:ascii="华文楷体" w:hAnsi="华文楷体" w:eastAsia="宋体"/>
      <w:kern w:val="2"/>
      <w:sz w:val="21"/>
      <w:lang w:val="en-US" w:eastAsia="zh-CN" w:bidi="ar-SA"/>
    </w:rPr>
  </w:style>
  <w:style w:type="character" w:customStyle="1" w:styleId="310">
    <w:name w:val="albumcount"/>
    <w:qFormat/>
    <w:uiPriority w:val="0"/>
  </w:style>
  <w:style w:type="character" w:customStyle="1" w:styleId="311">
    <w:name w:val="样式 (西文) 宋体 黑色"/>
    <w:qFormat/>
    <w:uiPriority w:val="0"/>
    <w:rPr>
      <w:rFonts w:ascii="宋体" w:hAnsi="宋体" w:eastAsia="宋体" w:cs="Courier New"/>
      <w:color w:val="000000"/>
      <w:kern w:val="2"/>
      <w:sz w:val="21"/>
      <w:szCs w:val="32"/>
      <w:lang w:val="en-US" w:eastAsia="zh-CN" w:bidi="ar-SA"/>
    </w:rPr>
  </w:style>
  <w:style w:type="character" w:customStyle="1" w:styleId="312">
    <w:name w:val="style291"/>
    <w:semiHidden/>
    <w:qFormat/>
    <w:uiPriority w:val="0"/>
    <w:rPr>
      <w:color w:val="335B64"/>
      <w:sz w:val="18"/>
      <w:szCs w:val="18"/>
    </w:rPr>
  </w:style>
  <w:style w:type="character" w:customStyle="1" w:styleId="313">
    <w:name w:val="副标题 Char1"/>
    <w:qFormat/>
    <w:uiPriority w:val="11"/>
    <w:rPr>
      <w:rFonts w:ascii="Cambria" w:hAnsi="Cambria" w:cs="Times New Roman"/>
      <w:b/>
      <w:bCs/>
      <w:kern w:val="28"/>
      <w:sz w:val="32"/>
      <w:szCs w:val="32"/>
    </w:rPr>
  </w:style>
  <w:style w:type="character" w:customStyle="1" w:styleId="314">
    <w:name w:val="ca-31"/>
    <w:qFormat/>
    <w:uiPriority w:val="0"/>
  </w:style>
  <w:style w:type="character" w:customStyle="1" w:styleId="315">
    <w:name w:val="zhang正文 Char"/>
    <w:link w:val="316"/>
    <w:qFormat/>
    <w:uiPriority w:val="0"/>
    <w:rPr>
      <w:rFonts w:eastAsia="楷体_GB2312"/>
      <w:sz w:val="28"/>
    </w:rPr>
  </w:style>
  <w:style w:type="paragraph" w:customStyle="1" w:styleId="316">
    <w:name w:val="zhang正文"/>
    <w:basedOn w:val="3"/>
    <w:link w:val="315"/>
    <w:qFormat/>
    <w:uiPriority w:val="0"/>
    <w:pPr>
      <w:autoSpaceDE w:val="0"/>
      <w:autoSpaceDN w:val="0"/>
      <w:adjustRightInd w:val="0"/>
      <w:snapToGrid w:val="0"/>
      <w:spacing w:after="0" w:line="500" w:lineRule="exact"/>
      <w:ind w:left="0" w:leftChars="0" w:firstLine="539" w:firstLineChars="0"/>
      <w:textAlignment w:val="baseline"/>
    </w:pPr>
    <w:rPr>
      <w:rFonts w:eastAsia="楷体_GB2312"/>
      <w:kern w:val="0"/>
      <w:sz w:val="28"/>
    </w:rPr>
  </w:style>
  <w:style w:type="character" w:customStyle="1" w:styleId="317">
    <w:name w:val="lemmatitleh1"/>
    <w:qFormat/>
    <w:uiPriority w:val="0"/>
  </w:style>
  <w:style w:type="character" w:customStyle="1" w:styleId="318">
    <w:name w:val="环科院标题2 Char"/>
    <w:link w:val="319"/>
    <w:semiHidden/>
    <w:qFormat/>
    <w:uiPriority w:val="0"/>
    <w:rPr>
      <w:rFonts w:eastAsia="华文中宋"/>
      <w:b/>
      <w:bCs/>
      <w:kern w:val="2"/>
      <w:sz w:val="32"/>
      <w:szCs w:val="32"/>
    </w:rPr>
  </w:style>
  <w:style w:type="paragraph" w:customStyle="1" w:styleId="319">
    <w:name w:val="环科院标题2"/>
    <w:basedOn w:val="6"/>
    <w:link w:val="318"/>
    <w:semiHidden/>
    <w:qFormat/>
    <w:uiPriority w:val="0"/>
    <w:pPr>
      <w:tabs>
        <w:tab w:val="left" w:pos="567"/>
        <w:tab w:val="left" w:pos="1144"/>
      </w:tabs>
      <w:spacing w:before="0" w:after="0"/>
      <w:jc w:val="both"/>
    </w:pPr>
    <w:rPr>
      <w:rFonts w:eastAsia="华文中宋"/>
      <w:bCs/>
      <w:kern w:val="2"/>
      <w:sz w:val="32"/>
      <w:szCs w:val="32"/>
    </w:rPr>
  </w:style>
  <w:style w:type="character" w:customStyle="1" w:styleId="320">
    <w:name w:val="表格文字 Char Char"/>
    <w:link w:val="321"/>
    <w:qFormat/>
    <w:uiPriority w:val="0"/>
    <w:rPr>
      <w:kern w:val="2"/>
      <w:sz w:val="21"/>
    </w:rPr>
  </w:style>
  <w:style w:type="paragraph" w:customStyle="1" w:styleId="321">
    <w:name w:val="表格文字 Char"/>
    <w:basedOn w:val="1"/>
    <w:link w:val="320"/>
    <w:qFormat/>
    <w:uiPriority w:val="0"/>
    <w:pPr>
      <w:spacing w:line="360" w:lineRule="exact"/>
      <w:ind w:firstLine="0" w:firstLineChars="0"/>
      <w:jc w:val="center"/>
    </w:pPr>
    <w:rPr>
      <w:sz w:val="21"/>
    </w:rPr>
  </w:style>
  <w:style w:type="character" w:customStyle="1" w:styleId="322">
    <w:name w:val="CJ 文本111 Char"/>
    <w:link w:val="323"/>
    <w:qFormat/>
    <w:uiPriority w:val="0"/>
    <w:rPr>
      <w:rFonts w:ascii="宋体" w:hAnsi="宋体" w:cs="Arial"/>
      <w:kern w:val="2"/>
      <w:sz w:val="24"/>
      <w:szCs w:val="24"/>
    </w:rPr>
  </w:style>
  <w:style w:type="paragraph" w:customStyle="1" w:styleId="323">
    <w:name w:val="CJ 文本111"/>
    <w:basedOn w:val="3"/>
    <w:link w:val="322"/>
    <w:qFormat/>
    <w:uiPriority w:val="0"/>
    <w:pPr>
      <w:spacing w:after="0"/>
      <w:ind w:left="0" w:leftChars="0"/>
      <w:jc w:val="left"/>
    </w:pPr>
    <w:rPr>
      <w:rFonts w:ascii="宋体" w:hAnsi="宋体"/>
      <w:szCs w:val="24"/>
    </w:rPr>
  </w:style>
  <w:style w:type="character" w:customStyle="1" w:styleId="324">
    <w:name w:val="样式2 Char"/>
    <w:link w:val="325"/>
    <w:qFormat/>
    <w:uiPriority w:val="0"/>
    <w:rPr>
      <w:rFonts w:ascii="宋体" w:eastAsia="宋体"/>
      <w:bCs/>
      <w:spacing w:val="-2"/>
      <w:sz w:val="28"/>
      <w:lang w:val="en-US" w:eastAsia="zh-CN" w:bidi="ar-SA"/>
    </w:rPr>
  </w:style>
  <w:style w:type="paragraph" w:customStyle="1" w:styleId="325">
    <w:name w:val="样式2"/>
    <w:basedOn w:val="1"/>
    <w:link w:val="324"/>
    <w:qFormat/>
    <w:uiPriority w:val="0"/>
    <w:pPr>
      <w:tabs>
        <w:tab w:val="left" w:pos="1557"/>
      </w:tabs>
      <w:spacing w:line="500" w:lineRule="exact"/>
      <w:ind w:left="1197" w:firstLine="0"/>
    </w:pPr>
    <w:rPr>
      <w:rFonts w:ascii="宋体"/>
      <w:bCs/>
      <w:spacing w:val="-2"/>
      <w:kern w:val="0"/>
      <w:sz w:val="28"/>
    </w:rPr>
  </w:style>
  <w:style w:type="character" w:customStyle="1" w:styleId="326">
    <w:name w:val="MY报告正文 Char"/>
    <w:link w:val="327"/>
    <w:qFormat/>
    <w:uiPriority w:val="0"/>
    <w:rPr>
      <w:rFonts w:ascii="宋体"/>
      <w:kern w:val="2"/>
      <w:sz w:val="28"/>
      <w:szCs w:val="28"/>
      <w:lang w:val="en-US" w:eastAsia="zh-CN" w:bidi="ar-SA"/>
    </w:rPr>
  </w:style>
  <w:style w:type="paragraph" w:customStyle="1" w:styleId="327">
    <w:name w:val="MY报告正文"/>
    <w:link w:val="326"/>
    <w:qFormat/>
    <w:uiPriority w:val="0"/>
    <w:pPr>
      <w:widowControl w:val="0"/>
      <w:adjustRightInd w:val="0"/>
      <w:snapToGrid w:val="0"/>
      <w:spacing w:line="300" w:lineRule="auto"/>
      <w:ind w:firstLine="200" w:firstLineChars="200"/>
    </w:pPr>
    <w:rPr>
      <w:rFonts w:ascii="宋体" w:hAnsi="Times New Roman" w:eastAsia="宋体" w:cs="Times New Roman"/>
      <w:kern w:val="2"/>
      <w:sz w:val="28"/>
      <w:szCs w:val="28"/>
      <w:lang w:val="en-US" w:eastAsia="zh-CN" w:bidi="ar-SA"/>
    </w:rPr>
  </w:style>
  <w:style w:type="character" w:customStyle="1" w:styleId="328">
    <w:name w:val="gl"/>
    <w:qFormat/>
    <w:uiPriority w:val="0"/>
  </w:style>
  <w:style w:type="character" w:customStyle="1" w:styleId="329">
    <w:name w:val="文章正文样式 Char1 Char2 Char Char Char"/>
    <w:link w:val="330"/>
    <w:qFormat/>
    <w:uiPriority w:val="0"/>
    <w:rPr>
      <w:rFonts w:ascii="宋体" w:hAnsi="宋体" w:cs="宋体"/>
      <w:kern w:val="2"/>
      <w:sz w:val="24"/>
    </w:rPr>
  </w:style>
  <w:style w:type="paragraph" w:customStyle="1" w:styleId="330">
    <w:name w:val="文章正文样式 Char1 Char2 Char Char"/>
    <w:basedOn w:val="1"/>
    <w:link w:val="329"/>
    <w:qFormat/>
    <w:uiPriority w:val="0"/>
    <w:pPr>
      <w:spacing w:line="520" w:lineRule="exact"/>
      <w:ind w:firstLine="480"/>
      <w:jc w:val="left"/>
    </w:pPr>
    <w:rPr>
      <w:rFonts w:ascii="宋体" w:hAnsi="宋体"/>
    </w:rPr>
  </w:style>
  <w:style w:type="character" w:customStyle="1" w:styleId="331">
    <w:name w:val="i_1"/>
    <w:qFormat/>
    <w:uiPriority w:val="0"/>
  </w:style>
  <w:style w:type="character" w:customStyle="1" w:styleId="332">
    <w:name w:val="修改后 Char Char Char"/>
    <w:link w:val="333"/>
    <w:qFormat/>
    <w:uiPriority w:val="0"/>
    <w:rPr>
      <w:rFonts w:ascii="宋体"/>
      <w:color w:val="000000"/>
      <w:kern w:val="2"/>
      <w:sz w:val="24"/>
    </w:rPr>
  </w:style>
  <w:style w:type="paragraph" w:customStyle="1" w:styleId="333">
    <w:name w:val="修改后 Char Char"/>
    <w:basedOn w:val="151"/>
    <w:link w:val="332"/>
    <w:qFormat/>
    <w:uiPriority w:val="0"/>
    <w:pPr>
      <w:spacing w:before="156" w:beforeLines="50" w:after="156" w:afterLines="50"/>
    </w:pPr>
    <w:rPr>
      <w:shd w:val="clear" w:color="auto" w:fill="00FFFF"/>
    </w:rPr>
  </w:style>
  <w:style w:type="character" w:customStyle="1" w:styleId="334">
    <w:name w:val="正文 Char"/>
    <w:link w:val="335"/>
    <w:qFormat/>
    <w:uiPriority w:val="0"/>
    <w:rPr>
      <w:rFonts w:hAnsi="宋体"/>
      <w:kern w:val="2"/>
      <w:sz w:val="24"/>
      <w:szCs w:val="24"/>
    </w:rPr>
  </w:style>
  <w:style w:type="paragraph" w:customStyle="1" w:styleId="335">
    <w:name w:val="正文2"/>
    <w:basedOn w:val="1"/>
    <w:link w:val="334"/>
    <w:qFormat/>
    <w:uiPriority w:val="0"/>
    <w:pPr>
      <w:ind w:firstLine="480"/>
    </w:pPr>
    <w:rPr>
      <w:rFonts w:hAnsi="宋体"/>
      <w:szCs w:val="24"/>
    </w:rPr>
  </w:style>
  <w:style w:type="character" w:customStyle="1" w:styleId="336">
    <w:name w:val="c141"/>
    <w:qFormat/>
    <w:uiPriority w:val="0"/>
    <w:rPr>
      <w:rFonts w:hint="default" w:ascii="ˎ̥" w:hAnsi="ˎ̥" w:eastAsia="宋体"/>
      <w:color w:val="003300"/>
      <w:kern w:val="2"/>
      <w:sz w:val="20"/>
      <w:lang w:val="en-US" w:eastAsia="zh-CN"/>
    </w:rPr>
  </w:style>
  <w:style w:type="character" w:customStyle="1" w:styleId="337">
    <w:name w:val="hover37"/>
    <w:qFormat/>
    <w:uiPriority w:val="0"/>
    <w:rPr>
      <w:color w:val="003567"/>
    </w:rPr>
  </w:style>
  <w:style w:type="character" w:customStyle="1" w:styleId="338">
    <w:name w:val="正文文本 Char2"/>
    <w:qFormat/>
    <w:uiPriority w:val="0"/>
    <w:rPr>
      <w:rFonts w:ascii="宋体" w:hAnsi="Times New Roman" w:eastAsia="宋体" w:cs="Times New Roman"/>
      <w:snapToGrid w:val="0"/>
      <w:spacing w:val="20"/>
      <w:kern w:val="28"/>
      <w:sz w:val="28"/>
      <w:szCs w:val="20"/>
    </w:rPr>
  </w:style>
  <w:style w:type="character" w:customStyle="1" w:styleId="339">
    <w:name w:val="样式14 Char Char1"/>
    <w:qFormat/>
    <w:uiPriority w:val="0"/>
    <w:rPr>
      <w:rFonts w:ascii="宋体" w:hAnsi="宋体" w:eastAsia="宋体"/>
      <w:kern w:val="2"/>
      <w:sz w:val="24"/>
      <w:lang w:val="en-US" w:eastAsia="zh-CN" w:bidi="ar-SA"/>
    </w:rPr>
  </w:style>
  <w:style w:type="character" w:customStyle="1" w:styleId="340">
    <w:name w:val="Char Char6"/>
    <w:qFormat/>
    <w:uiPriority w:val="0"/>
    <w:rPr>
      <w:rFonts w:ascii="Times New Roman" w:hAnsi="Times New Roman" w:eastAsia="宋体" w:cs="Times New Roman"/>
      <w:sz w:val="18"/>
      <w:szCs w:val="18"/>
    </w:rPr>
  </w:style>
  <w:style w:type="character" w:customStyle="1" w:styleId="341">
    <w:name w:val="脚注文本 Char1"/>
    <w:semiHidden/>
    <w:qFormat/>
    <w:uiPriority w:val="0"/>
    <w:rPr>
      <w:rFonts w:ascii="Times New Roman" w:hAnsi="Times New Roman" w:eastAsia="宋体" w:cs="Times New Roman"/>
      <w:sz w:val="18"/>
      <w:szCs w:val="18"/>
    </w:rPr>
  </w:style>
  <w:style w:type="character" w:customStyle="1" w:styleId="342">
    <w:name w:val="3 Char Char"/>
    <w:link w:val="343"/>
    <w:qFormat/>
    <w:uiPriority w:val="0"/>
    <w:rPr>
      <w:kern w:val="2"/>
      <w:sz w:val="28"/>
      <w:szCs w:val="28"/>
    </w:rPr>
  </w:style>
  <w:style w:type="paragraph" w:customStyle="1" w:styleId="343">
    <w:name w:val="3 Char"/>
    <w:basedOn w:val="1"/>
    <w:next w:val="65"/>
    <w:link w:val="342"/>
    <w:qFormat/>
    <w:uiPriority w:val="0"/>
    <w:pPr>
      <w:spacing w:line="240" w:lineRule="auto"/>
      <w:ind w:left="538" w:leftChars="224" w:firstLine="560" w:firstLineChars="0"/>
    </w:pPr>
    <w:rPr>
      <w:sz w:val="28"/>
      <w:szCs w:val="28"/>
    </w:rPr>
  </w:style>
  <w:style w:type="character" w:customStyle="1" w:styleId="344">
    <w:name w:val="样式 首行缩进:  2 字符1 Char Char"/>
    <w:link w:val="345"/>
    <w:qFormat/>
    <w:uiPriority w:val="0"/>
    <w:rPr>
      <w:rFonts w:eastAsia="宋体" w:cs="宋体"/>
      <w:kern w:val="2"/>
      <w:sz w:val="24"/>
      <w:lang w:val="en-US" w:eastAsia="zh-CN" w:bidi="ar-SA"/>
    </w:rPr>
  </w:style>
  <w:style w:type="paragraph" w:customStyle="1" w:styleId="345">
    <w:name w:val="样式 首行缩进:  2 字符1"/>
    <w:basedOn w:val="1"/>
    <w:link w:val="344"/>
    <w:qFormat/>
    <w:uiPriority w:val="0"/>
    <w:pPr>
      <w:adjustRightInd w:val="0"/>
      <w:snapToGrid w:val="0"/>
      <w:ind w:firstLine="480"/>
    </w:pPr>
    <w:rPr>
      <w:rFonts w:cs="宋体"/>
    </w:rPr>
  </w:style>
  <w:style w:type="character" w:customStyle="1" w:styleId="346">
    <w:name w:val="headline-content"/>
    <w:qFormat/>
    <w:uiPriority w:val="0"/>
  </w:style>
  <w:style w:type="character" w:customStyle="1" w:styleId="347">
    <w:name w:val="表格文字 Char Char Char Char"/>
    <w:link w:val="348"/>
    <w:qFormat/>
    <w:uiPriority w:val="0"/>
    <w:rPr>
      <w:kern w:val="2"/>
      <w:sz w:val="21"/>
    </w:rPr>
  </w:style>
  <w:style w:type="paragraph" w:customStyle="1" w:styleId="348">
    <w:name w:val="表格文字 Char Char Char"/>
    <w:basedOn w:val="1"/>
    <w:link w:val="347"/>
    <w:qFormat/>
    <w:uiPriority w:val="0"/>
    <w:pPr>
      <w:spacing w:line="360" w:lineRule="exact"/>
      <w:ind w:firstLine="0" w:firstLineChars="0"/>
      <w:jc w:val="center"/>
    </w:pPr>
    <w:rPr>
      <w:sz w:val="21"/>
    </w:rPr>
  </w:style>
  <w:style w:type="character" w:customStyle="1" w:styleId="349">
    <w:name w:val="表格内容样式 Char"/>
    <w:link w:val="350"/>
    <w:qFormat/>
    <w:uiPriority w:val="0"/>
    <w:rPr>
      <w:kern w:val="2"/>
      <w:sz w:val="21"/>
      <w:szCs w:val="24"/>
    </w:rPr>
  </w:style>
  <w:style w:type="paragraph" w:customStyle="1" w:styleId="350">
    <w:name w:val="表格内容样式"/>
    <w:basedOn w:val="1"/>
    <w:link w:val="349"/>
    <w:qFormat/>
    <w:uiPriority w:val="0"/>
    <w:pPr>
      <w:spacing w:line="240" w:lineRule="auto"/>
      <w:ind w:firstLine="0" w:firstLineChars="0"/>
      <w:jc w:val="center"/>
    </w:pPr>
    <w:rPr>
      <w:sz w:val="21"/>
      <w:szCs w:val="24"/>
    </w:rPr>
  </w:style>
  <w:style w:type="character" w:customStyle="1" w:styleId="351">
    <w:name w:val="Char Char3"/>
    <w:qFormat/>
    <w:uiPriority w:val="0"/>
    <w:rPr>
      <w:rFonts w:eastAsia="宋体"/>
      <w:kern w:val="2"/>
      <w:sz w:val="18"/>
      <w:szCs w:val="18"/>
      <w:lang w:val="en-US" w:eastAsia="zh-CN" w:bidi="ar-SA"/>
    </w:rPr>
  </w:style>
  <w:style w:type="character" w:customStyle="1" w:styleId="352">
    <w:name w:val="正文文本缩进 3 Char1"/>
    <w:semiHidden/>
    <w:qFormat/>
    <w:uiPriority w:val="0"/>
    <w:rPr>
      <w:kern w:val="2"/>
      <w:sz w:val="16"/>
      <w:szCs w:val="16"/>
    </w:rPr>
  </w:style>
  <w:style w:type="character" w:customStyle="1" w:styleId="353">
    <w:name w:val="hover39"/>
    <w:qFormat/>
    <w:uiPriority w:val="0"/>
    <w:rPr>
      <w:color w:val="003567"/>
    </w:rPr>
  </w:style>
  <w:style w:type="character" w:customStyle="1" w:styleId="354">
    <w:name w:val="表格文字2 Char"/>
    <w:link w:val="355"/>
    <w:qFormat/>
    <w:uiPriority w:val="0"/>
    <w:rPr>
      <w:rFonts w:eastAsia="宋体"/>
      <w:sz w:val="21"/>
      <w:szCs w:val="21"/>
      <w:lang w:val="en-US" w:eastAsia="zh-CN" w:bidi="ar-SA"/>
    </w:rPr>
  </w:style>
  <w:style w:type="paragraph" w:customStyle="1" w:styleId="355">
    <w:name w:val="表格文字2"/>
    <w:basedOn w:val="1"/>
    <w:link w:val="354"/>
    <w:qFormat/>
    <w:uiPriority w:val="0"/>
    <w:pPr>
      <w:tabs>
        <w:tab w:val="left" w:pos="277"/>
        <w:tab w:val="left" w:pos="600"/>
        <w:tab w:val="left" w:pos="780"/>
        <w:tab w:val="left" w:pos="2517"/>
      </w:tabs>
      <w:adjustRightInd w:val="0"/>
      <w:spacing w:before="60" w:line="240" w:lineRule="auto"/>
      <w:ind w:firstLine="0" w:firstLineChars="0"/>
      <w:jc w:val="center"/>
      <w:textAlignment w:val="baseline"/>
    </w:pPr>
    <w:rPr>
      <w:kern w:val="0"/>
      <w:sz w:val="21"/>
      <w:szCs w:val="21"/>
    </w:rPr>
  </w:style>
  <w:style w:type="character" w:customStyle="1" w:styleId="356">
    <w:name w:val="main1"/>
    <w:qFormat/>
    <w:uiPriority w:val="0"/>
    <w:rPr>
      <w:color w:val="333333"/>
      <w:sz w:val="18"/>
      <w:szCs w:val="18"/>
    </w:rPr>
  </w:style>
  <w:style w:type="character" w:customStyle="1" w:styleId="357">
    <w:name w:val="文章正文样式 Char Char Char Char Char Char Char Char"/>
    <w:link w:val="358"/>
    <w:qFormat/>
    <w:uiPriority w:val="0"/>
    <w:rPr>
      <w:rFonts w:ascii="宋体" w:hAnsi="宋体" w:cs="宋体"/>
      <w:kern w:val="2"/>
      <w:sz w:val="24"/>
      <w:szCs w:val="24"/>
    </w:rPr>
  </w:style>
  <w:style w:type="paragraph" w:customStyle="1" w:styleId="358">
    <w:name w:val="文章正文样式 Char Char Char Char Char Char Char"/>
    <w:basedOn w:val="1"/>
    <w:link w:val="357"/>
    <w:qFormat/>
    <w:uiPriority w:val="0"/>
    <w:pPr>
      <w:spacing w:line="520" w:lineRule="exact"/>
      <w:ind w:firstLine="480"/>
      <w:jc w:val="left"/>
    </w:pPr>
    <w:rPr>
      <w:rFonts w:ascii="宋体" w:hAnsi="宋体"/>
      <w:szCs w:val="24"/>
    </w:rPr>
  </w:style>
  <w:style w:type="character" w:customStyle="1" w:styleId="359">
    <w:name w:val="text"/>
    <w:semiHidden/>
    <w:qFormat/>
    <w:uiPriority w:val="0"/>
  </w:style>
  <w:style w:type="character" w:customStyle="1" w:styleId="360">
    <w:name w:val="样式 题注 + 居中 Char"/>
    <w:link w:val="361"/>
    <w:qFormat/>
    <w:uiPriority w:val="0"/>
    <w:rPr>
      <w:rFonts w:ascii="Arial" w:hAnsi="Arial" w:eastAsia="黑体" w:cs="宋体"/>
      <w:kern w:val="2"/>
      <w:sz w:val="24"/>
      <w:szCs w:val="24"/>
    </w:rPr>
  </w:style>
  <w:style w:type="paragraph" w:customStyle="1" w:styleId="361">
    <w:name w:val="样式 题注 + 居中"/>
    <w:basedOn w:val="24"/>
    <w:next w:val="1"/>
    <w:link w:val="360"/>
    <w:qFormat/>
    <w:uiPriority w:val="0"/>
    <w:pPr>
      <w:keepNext w:val="0"/>
      <w:spacing w:before="120"/>
    </w:pPr>
    <w:rPr>
      <w:rFonts w:ascii="Arial" w:hAnsi="Arial" w:eastAsia="黑体"/>
      <w:b w:val="0"/>
      <w:bCs w:val="0"/>
      <w:sz w:val="24"/>
      <w:szCs w:val="24"/>
    </w:rPr>
  </w:style>
  <w:style w:type="character" w:customStyle="1" w:styleId="362">
    <w:name w:val="Char Char31"/>
    <w:qFormat/>
    <w:uiPriority w:val="0"/>
    <w:rPr>
      <w:rFonts w:eastAsia="宋体"/>
      <w:kern w:val="2"/>
      <w:sz w:val="18"/>
      <w:szCs w:val="18"/>
      <w:lang w:val="en-US" w:eastAsia="zh-CN" w:bidi="ar-SA"/>
    </w:rPr>
  </w:style>
  <w:style w:type="character" w:customStyle="1" w:styleId="363">
    <w:name w:val="样式 小四 黑色"/>
    <w:qFormat/>
    <w:uiPriority w:val="0"/>
    <w:rPr>
      <w:color w:val="000000"/>
      <w:sz w:val="28"/>
    </w:rPr>
  </w:style>
  <w:style w:type="character" w:customStyle="1" w:styleId="364">
    <w:name w:val="批注框文本 Char1"/>
    <w:semiHidden/>
    <w:qFormat/>
    <w:uiPriority w:val="0"/>
    <w:rPr>
      <w:kern w:val="2"/>
      <w:sz w:val="18"/>
      <w:szCs w:val="18"/>
    </w:rPr>
  </w:style>
  <w:style w:type="character" w:customStyle="1" w:styleId="365">
    <w:name w:val="Char Char32"/>
    <w:qFormat/>
    <w:uiPriority w:val="0"/>
    <w:rPr>
      <w:rFonts w:eastAsia="宋体"/>
      <w:kern w:val="2"/>
      <w:sz w:val="18"/>
      <w:szCs w:val="18"/>
      <w:lang w:val="en-US" w:eastAsia="zh-CN" w:bidi="ar-SA"/>
    </w:rPr>
  </w:style>
  <w:style w:type="character" w:customStyle="1" w:styleId="366">
    <w:name w:val="文章正文文字 Char Char1 Char Char"/>
    <w:link w:val="367"/>
    <w:semiHidden/>
    <w:qFormat/>
    <w:uiPriority w:val="0"/>
    <w:rPr>
      <w:kern w:val="2"/>
      <w:sz w:val="24"/>
      <w:szCs w:val="24"/>
    </w:rPr>
  </w:style>
  <w:style w:type="paragraph" w:customStyle="1" w:styleId="367">
    <w:name w:val="文章正文文字 Char Char1 Char"/>
    <w:basedOn w:val="1"/>
    <w:link w:val="366"/>
    <w:semiHidden/>
    <w:qFormat/>
    <w:uiPriority w:val="0"/>
    <w:pPr>
      <w:spacing w:line="520" w:lineRule="exact"/>
      <w:ind w:firstLine="0" w:firstLineChars="0"/>
      <w:jc w:val="left"/>
    </w:pPr>
    <w:rPr>
      <w:szCs w:val="24"/>
    </w:rPr>
  </w:style>
  <w:style w:type="character" w:customStyle="1" w:styleId="368">
    <w:name w:val="日期 Char1"/>
    <w:qFormat/>
    <w:uiPriority w:val="0"/>
    <w:rPr>
      <w:kern w:val="2"/>
      <w:sz w:val="21"/>
      <w:szCs w:val="22"/>
    </w:rPr>
  </w:style>
  <w:style w:type="character" w:customStyle="1" w:styleId="369">
    <w:name w:val="自动表头 Char Char Char"/>
    <w:link w:val="370"/>
    <w:qFormat/>
    <w:uiPriority w:val="0"/>
    <w:rPr>
      <w:rFonts w:ascii="黑体"/>
      <w:b/>
      <w:color w:val="000000"/>
      <w:kern w:val="2"/>
      <w:sz w:val="21"/>
    </w:rPr>
  </w:style>
  <w:style w:type="paragraph" w:customStyle="1" w:styleId="370">
    <w:name w:val="自动表头 Char Char"/>
    <w:basedOn w:val="371"/>
    <w:link w:val="369"/>
    <w:qFormat/>
    <w:uiPriority w:val="0"/>
    <w:pPr>
      <w:snapToGrid/>
      <w:spacing w:before="156" w:beforeLines="50" w:after="156" w:afterLines="50"/>
      <w:ind w:firstLine="422" w:firstLineChars="200"/>
    </w:pPr>
    <w:rPr>
      <w:rFonts w:eastAsia="宋体"/>
      <w:b/>
      <w:color w:val="000000"/>
    </w:rPr>
  </w:style>
  <w:style w:type="paragraph" w:customStyle="1" w:styleId="371">
    <w:name w:val="表头 Char Char"/>
    <w:basedOn w:val="1"/>
    <w:link w:val="372"/>
    <w:qFormat/>
    <w:uiPriority w:val="0"/>
    <w:pPr>
      <w:autoSpaceDE w:val="0"/>
      <w:autoSpaceDN w:val="0"/>
      <w:adjustRightInd w:val="0"/>
      <w:snapToGrid w:val="0"/>
      <w:spacing w:line="240" w:lineRule="auto"/>
      <w:ind w:firstLine="1890" w:firstLineChars="900"/>
    </w:pPr>
    <w:rPr>
      <w:rFonts w:ascii="黑体" w:eastAsia="黑体"/>
      <w:sz w:val="21"/>
    </w:rPr>
  </w:style>
  <w:style w:type="character" w:customStyle="1" w:styleId="372">
    <w:name w:val="表头 Char Char Char"/>
    <w:link w:val="371"/>
    <w:qFormat/>
    <w:uiPriority w:val="0"/>
    <w:rPr>
      <w:rFonts w:ascii="黑体" w:eastAsia="黑体"/>
      <w:kern w:val="2"/>
      <w:sz w:val="21"/>
    </w:rPr>
  </w:style>
  <w:style w:type="character" w:customStyle="1" w:styleId="373">
    <w:name w:val="Char Char52"/>
    <w:qFormat/>
    <w:locked/>
    <w:uiPriority w:val="0"/>
    <w:rPr>
      <w:rFonts w:eastAsia="宋体"/>
      <w:b/>
      <w:bCs/>
      <w:kern w:val="2"/>
      <w:sz w:val="32"/>
      <w:szCs w:val="32"/>
      <w:lang w:val="en-US" w:eastAsia="zh-CN" w:bidi="ar-SA"/>
    </w:rPr>
  </w:style>
  <w:style w:type="character" w:customStyle="1" w:styleId="374">
    <w:name w:val="pp-headline-item pp-headline-address"/>
    <w:qFormat/>
    <w:uiPriority w:val="0"/>
  </w:style>
  <w:style w:type="character" w:customStyle="1" w:styleId="375">
    <w:name w:val="black"/>
    <w:qFormat/>
    <w:uiPriority w:val="0"/>
  </w:style>
  <w:style w:type="character" w:customStyle="1" w:styleId="376">
    <w:name w:val="样式 样式 样式 样式 首行缩进:  2 字符 + 居中 + (中文) 黑体 五号 首行缩进:  2 字符 + 首行缩进:  2... Char Char"/>
    <w:semiHidden/>
    <w:qFormat/>
    <w:uiPriority w:val="0"/>
    <w:rPr>
      <w:rFonts w:eastAsia="黑体" w:cs="宋体"/>
      <w:kern w:val="2"/>
      <w:sz w:val="24"/>
      <w:lang w:val="en-US" w:eastAsia="zh-CN" w:bidi="ar-SA"/>
    </w:rPr>
  </w:style>
  <w:style w:type="character" w:customStyle="1" w:styleId="377">
    <w:name w:val="表头文字 Char Char Char Char Char Char"/>
    <w:link w:val="378"/>
    <w:qFormat/>
    <w:uiPriority w:val="0"/>
    <w:rPr>
      <w:rFonts w:ascii="黑体" w:hAnsi="宋体" w:eastAsia="黑体"/>
      <w:kern w:val="2"/>
      <w:sz w:val="24"/>
    </w:rPr>
  </w:style>
  <w:style w:type="paragraph" w:customStyle="1" w:styleId="378">
    <w:name w:val="表头文字 Char Char Char Char Char"/>
    <w:basedOn w:val="1"/>
    <w:link w:val="377"/>
    <w:qFormat/>
    <w:uiPriority w:val="0"/>
    <w:pPr>
      <w:spacing w:before="312" w:beforeLines="100" w:line="400" w:lineRule="exact"/>
      <w:ind w:firstLine="0" w:firstLineChars="0"/>
      <w:jc w:val="center"/>
    </w:pPr>
    <w:rPr>
      <w:rFonts w:ascii="黑体" w:hAnsi="宋体" w:eastAsia="黑体"/>
    </w:rPr>
  </w:style>
  <w:style w:type="character" w:customStyle="1" w:styleId="379">
    <w:name w:val="word1"/>
    <w:qFormat/>
    <w:uiPriority w:val="0"/>
    <w:rPr>
      <w:rFonts w:hint="default" w:ascii="ˎ̥" w:hAnsi="ˎ̥"/>
      <w:color w:val="000000"/>
      <w:sz w:val="17"/>
      <w:szCs w:val="17"/>
      <w:u w:val="none"/>
    </w:rPr>
  </w:style>
  <w:style w:type="character" w:customStyle="1" w:styleId="380">
    <w:name w:val="Char Char42"/>
    <w:qFormat/>
    <w:uiPriority w:val="0"/>
    <w:rPr>
      <w:rFonts w:eastAsia="宋体"/>
      <w:kern w:val="2"/>
      <w:sz w:val="21"/>
      <w:szCs w:val="24"/>
      <w:lang w:val="en-US" w:eastAsia="zh-CN" w:bidi="ar-SA"/>
    </w:rPr>
  </w:style>
  <w:style w:type="character" w:customStyle="1" w:styleId="381">
    <w:name w:val="apple-converted-space"/>
    <w:qFormat/>
    <w:uiPriority w:val="0"/>
  </w:style>
  <w:style w:type="character" w:customStyle="1" w:styleId="382">
    <w:name w:val="表内格式 Char"/>
    <w:link w:val="383"/>
    <w:qFormat/>
    <w:uiPriority w:val="0"/>
    <w:rPr>
      <w:rFonts w:eastAsia="宋体"/>
      <w:kern w:val="2"/>
      <w:sz w:val="18"/>
      <w:lang w:val="en-US" w:eastAsia="zh-CN" w:bidi="ar-SA"/>
    </w:rPr>
  </w:style>
  <w:style w:type="paragraph" w:customStyle="1" w:styleId="383">
    <w:name w:val="表内格式"/>
    <w:basedOn w:val="1"/>
    <w:link w:val="382"/>
    <w:semiHidden/>
    <w:qFormat/>
    <w:uiPriority w:val="0"/>
    <w:pPr>
      <w:spacing w:line="240" w:lineRule="auto"/>
      <w:ind w:firstLine="0" w:firstLineChars="0"/>
      <w:jc w:val="center"/>
    </w:pPr>
    <w:rPr>
      <w:sz w:val="18"/>
    </w:rPr>
  </w:style>
  <w:style w:type="character" w:customStyle="1" w:styleId="384">
    <w:name w:val="文章正文样式 Char Char Char Char Char"/>
    <w:link w:val="385"/>
    <w:qFormat/>
    <w:uiPriority w:val="0"/>
    <w:rPr>
      <w:rFonts w:ascii="宋体" w:hAnsi="宋体" w:cs="宋体"/>
      <w:kern w:val="2"/>
      <w:sz w:val="24"/>
    </w:rPr>
  </w:style>
  <w:style w:type="paragraph" w:customStyle="1" w:styleId="385">
    <w:name w:val="文章正文样式 Char Char Char Char"/>
    <w:basedOn w:val="1"/>
    <w:link w:val="384"/>
    <w:qFormat/>
    <w:uiPriority w:val="0"/>
    <w:pPr>
      <w:spacing w:line="520" w:lineRule="exact"/>
      <w:ind w:firstLine="480"/>
      <w:jc w:val="left"/>
    </w:pPr>
    <w:rPr>
      <w:rFonts w:ascii="宋体" w:hAnsi="宋体"/>
    </w:rPr>
  </w:style>
  <w:style w:type="character" w:customStyle="1" w:styleId="386">
    <w:name w:val="表格文字 Char Char Char Char Char Char"/>
    <w:link w:val="387"/>
    <w:qFormat/>
    <w:uiPriority w:val="0"/>
    <w:rPr>
      <w:kern w:val="2"/>
      <w:sz w:val="21"/>
    </w:rPr>
  </w:style>
  <w:style w:type="paragraph" w:customStyle="1" w:styleId="387">
    <w:name w:val="表格文字 Char Char Char Char Char"/>
    <w:basedOn w:val="1"/>
    <w:link w:val="386"/>
    <w:qFormat/>
    <w:uiPriority w:val="0"/>
    <w:pPr>
      <w:spacing w:line="360" w:lineRule="exact"/>
      <w:ind w:firstLine="0" w:firstLineChars="0"/>
      <w:jc w:val="center"/>
    </w:pPr>
    <w:rPr>
      <w:sz w:val="21"/>
    </w:rPr>
  </w:style>
  <w:style w:type="character" w:customStyle="1" w:styleId="388">
    <w:name w:val="样式 宋体 小四 行距: 固定值 26 磅 Char"/>
    <w:link w:val="389"/>
    <w:qFormat/>
    <w:uiPriority w:val="0"/>
    <w:rPr>
      <w:rFonts w:cs="宋体"/>
      <w:kern w:val="2"/>
      <w:sz w:val="24"/>
      <w:szCs w:val="24"/>
    </w:rPr>
  </w:style>
  <w:style w:type="paragraph" w:customStyle="1" w:styleId="389">
    <w:name w:val="样式 宋体 小四 行距: 固定值 26 磅"/>
    <w:basedOn w:val="1"/>
    <w:link w:val="388"/>
    <w:qFormat/>
    <w:uiPriority w:val="0"/>
    <w:pPr>
      <w:spacing w:line="520" w:lineRule="exact"/>
      <w:ind w:firstLine="480"/>
    </w:pPr>
    <w:rPr>
      <w:szCs w:val="24"/>
    </w:rPr>
  </w:style>
  <w:style w:type="character" w:customStyle="1" w:styleId="390">
    <w:name w:val="环科院表格 Char"/>
    <w:link w:val="391"/>
    <w:semiHidden/>
    <w:qFormat/>
    <w:uiPriority w:val="0"/>
    <w:rPr>
      <w:sz w:val="18"/>
      <w:szCs w:val="18"/>
    </w:rPr>
  </w:style>
  <w:style w:type="paragraph" w:customStyle="1" w:styleId="391">
    <w:name w:val="环科院表格"/>
    <w:basedOn w:val="1"/>
    <w:link w:val="390"/>
    <w:semiHidden/>
    <w:qFormat/>
    <w:uiPriority w:val="0"/>
    <w:pPr>
      <w:kinsoku w:val="0"/>
      <w:overflowPunct w:val="0"/>
      <w:autoSpaceDE w:val="0"/>
      <w:autoSpaceDN w:val="0"/>
      <w:spacing w:line="240" w:lineRule="exact"/>
      <w:ind w:firstLine="0" w:firstLineChars="0"/>
      <w:jc w:val="center"/>
      <w:textAlignment w:val="center"/>
    </w:pPr>
    <w:rPr>
      <w:kern w:val="0"/>
      <w:sz w:val="18"/>
      <w:szCs w:val="18"/>
    </w:rPr>
  </w:style>
  <w:style w:type="character" w:customStyle="1" w:styleId="392">
    <w:name w:val="常用表头样式 Char"/>
    <w:link w:val="393"/>
    <w:qFormat/>
    <w:uiPriority w:val="0"/>
    <w:rPr>
      <w:rFonts w:ascii="黑体" w:hAnsi="Calibri" w:eastAsia="仿宋_GB2312"/>
      <w:b/>
      <w:szCs w:val="21"/>
    </w:rPr>
  </w:style>
  <w:style w:type="paragraph" w:customStyle="1" w:styleId="393">
    <w:name w:val="常用表头样式"/>
    <w:basedOn w:val="81"/>
    <w:link w:val="392"/>
    <w:qFormat/>
    <w:uiPriority w:val="0"/>
    <w:pPr>
      <w:overflowPunct w:val="0"/>
      <w:autoSpaceDE w:val="0"/>
      <w:autoSpaceDN w:val="0"/>
      <w:adjustRightInd w:val="0"/>
      <w:spacing w:after="0"/>
      <w:ind w:firstLine="0" w:firstLineChars="0"/>
      <w:jc w:val="center"/>
      <w:textAlignment w:val="baseline"/>
    </w:pPr>
    <w:rPr>
      <w:rFonts w:ascii="黑体" w:hAnsi="Calibri" w:eastAsia="仿宋_GB2312"/>
      <w:b/>
      <w:kern w:val="0"/>
      <w:sz w:val="20"/>
      <w:szCs w:val="21"/>
    </w:rPr>
  </w:style>
  <w:style w:type="character" w:customStyle="1" w:styleId="394">
    <w:name w:val="f141"/>
    <w:qFormat/>
    <w:uiPriority w:val="0"/>
    <w:rPr>
      <w:sz w:val="21"/>
      <w:szCs w:val="21"/>
    </w:rPr>
  </w:style>
  <w:style w:type="character" w:customStyle="1" w:styleId="395">
    <w:name w:val="表格样式 Char Char Char"/>
    <w:qFormat/>
    <w:uiPriority w:val="0"/>
    <w:rPr>
      <w:rFonts w:ascii="宋体" w:eastAsia="宋体"/>
      <w:snapToGrid w:val="0"/>
      <w:spacing w:val="4"/>
      <w:w w:val="90"/>
      <w:kern w:val="21"/>
      <w:sz w:val="24"/>
      <w:lang w:val="en-US" w:eastAsia="zh-CN"/>
    </w:rPr>
  </w:style>
  <w:style w:type="character" w:customStyle="1" w:styleId="396">
    <w:name w:val="样式 正文文本缩进 2 + (西文) 宋体 黑色 Char"/>
    <w:link w:val="397"/>
    <w:qFormat/>
    <w:uiPriority w:val="0"/>
    <w:rPr>
      <w:rFonts w:ascii="宋体" w:hAnsi="宋体" w:eastAsia="Times New Roman"/>
      <w:color w:val="000000"/>
      <w:kern w:val="2"/>
      <w:sz w:val="24"/>
      <w:szCs w:val="24"/>
    </w:rPr>
  </w:style>
  <w:style w:type="paragraph" w:customStyle="1" w:styleId="397">
    <w:name w:val="样式 正文文本缩进 2 + (西文) 宋体 黑色"/>
    <w:basedOn w:val="49"/>
    <w:link w:val="396"/>
    <w:qFormat/>
    <w:uiPriority w:val="0"/>
    <w:pPr>
      <w:spacing w:after="0" w:line="360" w:lineRule="auto"/>
      <w:ind w:left="0" w:leftChars="0" w:firstLine="420" w:firstLineChars="0"/>
      <w:jc w:val="left"/>
    </w:pPr>
    <w:rPr>
      <w:rFonts w:ascii="宋体" w:hAnsi="宋体" w:eastAsia="Times New Roman"/>
      <w:color w:val="000000"/>
      <w:szCs w:val="24"/>
    </w:rPr>
  </w:style>
  <w:style w:type="character" w:customStyle="1" w:styleId="398">
    <w:name w:val="表头 Char1"/>
    <w:qFormat/>
    <w:uiPriority w:val="0"/>
    <w:rPr>
      <w:rFonts w:ascii="宋体" w:hAnsi="宋体"/>
      <w:b/>
      <w:spacing w:val="4"/>
      <w:w w:val="90"/>
      <w:sz w:val="24"/>
    </w:rPr>
  </w:style>
  <w:style w:type="character" w:customStyle="1" w:styleId="399">
    <w:name w:val="hover38"/>
    <w:qFormat/>
    <w:uiPriority w:val="0"/>
    <w:rPr>
      <w:color w:val="003567"/>
    </w:rPr>
  </w:style>
  <w:style w:type="character" w:customStyle="1" w:styleId="400">
    <w:name w:val="表格正文 Char Char"/>
    <w:link w:val="401"/>
    <w:qFormat/>
    <w:uiPriority w:val="0"/>
    <w:rPr>
      <w:rFonts w:ascii="宋体" w:hAnsi="Calibri"/>
      <w:snapToGrid w:val="0"/>
      <w:spacing w:val="4"/>
      <w:sz w:val="21"/>
      <w:szCs w:val="21"/>
    </w:rPr>
  </w:style>
  <w:style w:type="paragraph" w:customStyle="1" w:styleId="401">
    <w:name w:val="表格正文 Char"/>
    <w:basedOn w:val="1"/>
    <w:next w:val="1"/>
    <w:link w:val="400"/>
    <w:qFormat/>
    <w:uiPriority w:val="0"/>
    <w:pPr>
      <w:adjustRightInd w:val="0"/>
      <w:snapToGrid w:val="0"/>
      <w:spacing w:line="500" w:lineRule="exact"/>
      <w:ind w:firstLine="0" w:firstLineChars="0"/>
      <w:jc w:val="center"/>
      <w:textAlignment w:val="baseline"/>
    </w:pPr>
    <w:rPr>
      <w:rFonts w:ascii="宋体" w:hAnsi="Calibri"/>
      <w:snapToGrid w:val="0"/>
      <w:spacing w:val="4"/>
      <w:kern w:val="0"/>
      <w:sz w:val="21"/>
      <w:szCs w:val="21"/>
    </w:rPr>
  </w:style>
  <w:style w:type="character" w:customStyle="1" w:styleId="402">
    <w:name w:val="question-title"/>
    <w:semiHidden/>
    <w:qFormat/>
    <w:uiPriority w:val="0"/>
  </w:style>
  <w:style w:type="character" w:customStyle="1" w:styleId="403">
    <w:name w:val="isellp"/>
    <w:qFormat/>
    <w:uiPriority w:val="0"/>
  </w:style>
  <w:style w:type="character" w:customStyle="1" w:styleId="404">
    <w:name w:val="报告 Char"/>
    <w:link w:val="405"/>
    <w:qFormat/>
    <w:uiPriority w:val="0"/>
    <w:rPr>
      <w:rFonts w:eastAsia="宋体"/>
      <w:sz w:val="24"/>
      <w:lang w:val="en-US" w:eastAsia="zh-CN" w:bidi="ar-SA"/>
    </w:rPr>
  </w:style>
  <w:style w:type="paragraph" w:customStyle="1" w:styleId="405">
    <w:name w:val="报告"/>
    <w:basedOn w:val="1"/>
    <w:link w:val="404"/>
    <w:qFormat/>
    <w:uiPriority w:val="0"/>
    <w:pPr>
      <w:overflowPunct w:val="0"/>
      <w:autoSpaceDE w:val="0"/>
      <w:autoSpaceDN w:val="0"/>
      <w:adjustRightInd w:val="0"/>
      <w:spacing w:before="120" w:after="120" w:line="400" w:lineRule="atLeast"/>
      <w:ind w:left="840" w:leftChars="400" w:firstLine="0" w:firstLineChars="0"/>
      <w:textAlignment w:val="baseline"/>
    </w:pPr>
    <w:rPr>
      <w:kern w:val="0"/>
    </w:rPr>
  </w:style>
  <w:style w:type="character" w:customStyle="1" w:styleId="406">
    <w:name w:val="报告正文0 Char Char"/>
    <w:link w:val="407"/>
    <w:qFormat/>
    <w:uiPriority w:val="0"/>
    <w:rPr>
      <w:rFonts w:cs="宋体"/>
      <w:color w:val="333399"/>
      <w:sz w:val="24"/>
      <w:szCs w:val="24"/>
    </w:rPr>
  </w:style>
  <w:style w:type="paragraph" w:customStyle="1" w:styleId="407">
    <w:name w:val="报告正文0"/>
    <w:basedOn w:val="1"/>
    <w:link w:val="406"/>
    <w:qFormat/>
    <w:uiPriority w:val="0"/>
    <w:pPr>
      <w:ind w:firstLine="480"/>
    </w:pPr>
    <w:rPr>
      <w:color w:val="333399"/>
      <w:kern w:val="0"/>
      <w:szCs w:val="24"/>
    </w:rPr>
  </w:style>
  <w:style w:type="character" w:customStyle="1" w:styleId="408">
    <w:name w:val="报告书正文 Char"/>
    <w:link w:val="409"/>
    <w:qFormat/>
    <w:uiPriority w:val="0"/>
    <w:rPr>
      <w:rFonts w:eastAsia="宋体"/>
      <w:kern w:val="2"/>
      <w:sz w:val="24"/>
      <w:szCs w:val="24"/>
      <w:lang w:val="en-US" w:eastAsia="zh-CN" w:bidi="ar-SA"/>
    </w:rPr>
  </w:style>
  <w:style w:type="paragraph" w:customStyle="1" w:styleId="409">
    <w:name w:val="报告书正文"/>
    <w:basedOn w:val="1"/>
    <w:link w:val="408"/>
    <w:qFormat/>
    <w:uiPriority w:val="0"/>
    <w:pPr>
      <w:ind w:firstLine="480"/>
    </w:pPr>
    <w:rPr>
      <w:szCs w:val="24"/>
    </w:rPr>
  </w:style>
  <w:style w:type="character" w:customStyle="1" w:styleId="410">
    <w:name w:val="A正文 Char"/>
    <w:link w:val="411"/>
    <w:qFormat/>
    <w:uiPriority w:val="0"/>
    <w:rPr>
      <w:snapToGrid w:val="0"/>
      <w:kern w:val="2"/>
      <w:sz w:val="24"/>
      <w:szCs w:val="24"/>
    </w:rPr>
  </w:style>
  <w:style w:type="paragraph" w:customStyle="1" w:styleId="411">
    <w:name w:val="A正文"/>
    <w:basedOn w:val="1"/>
    <w:link w:val="410"/>
    <w:qFormat/>
    <w:uiPriority w:val="0"/>
    <w:pPr>
      <w:widowControl/>
      <w:adjustRightInd w:val="0"/>
      <w:snapToGrid w:val="0"/>
      <w:spacing w:before="156" w:beforeLines="50"/>
      <w:jc w:val="left"/>
    </w:pPr>
    <w:rPr>
      <w:snapToGrid w:val="0"/>
      <w:szCs w:val="24"/>
    </w:rPr>
  </w:style>
  <w:style w:type="character" w:customStyle="1" w:styleId="412">
    <w:name w:val="gsbody1"/>
    <w:qFormat/>
    <w:uiPriority w:val="0"/>
    <w:rPr>
      <w:color w:val="666666"/>
      <w:spacing w:val="330"/>
      <w:sz w:val="20"/>
      <w:szCs w:val="20"/>
    </w:rPr>
  </w:style>
  <w:style w:type="character" w:customStyle="1" w:styleId="413">
    <w:name w:val="样式 环科院正文 + (西文) 宋体 加粗 Char"/>
    <w:link w:val="414"/>
    <w:semiHidden/>
    <w:qFormat/>
    <w:uiPriority w:val="0"/>
    <w:rPr>
      <w:b/>
      <w:bCs/>
      <w:snapToGrid w:val="0"/>
      <w:color w:val="000000"/>
      <w:kern w:val="21"/>
      <w:sz w:val="21"/>
      <w:szCs w:val="21"/>
    </w:rPr>
  </w:style>
  <w:style w:type="paragraph" w:customStyle="1" w:styleId="414">
    <w:name w:val="样式 环科院正文 + (西文) 宋体 加粗"/>
    <w:basedOn w:val="415"/>
    <w:link w:val="413"/>
    <w:semiHidden/>
    <w:qFormat/>
    <w:uiPriority w:val="0"/>
    <w:pPr>
      <w:spacing w:line="300" w:lineRule="auto"/>
    </w:pPr>
    <w:rPr>
      <w:b/>
      <w:bCs/>
      <w:color w:val="000000"/>
    </w:rPr>
  </w:style>
  <w:style w:type="paragraph" w:customStyle="1" w:styleId="415">
    <w:name w:val="环科院正文"/>
    <w:basedOn w:val="1"/>
    <w:link w:val="416"/>
    <w:qFormat/>
    <w:uiPriority w:val="0"/>
    <w:pPr>
      <w:spacing w:line="240" w:lineRule="exact"/>
      <w:ind w:firstLine="0" w:firstLineChars="0"/>
      <w:jc w:val="center"/>
    </w:pPr>
    <w:rPr>
      <w:snapToGrid w:val="0"/>
      <w:kern w:val="21"/>
      <w:sz w:val="21"/>
      <w:szCs w:val="21"/>
    </w:rPr>
  </w:style>
  <w:style w:type="character" w:customStyle="1" w:styleId="416">
    <w:name w:val="环科院正文 Char"/>
    <w:link w:val="415"/>
    <w:qFormat/>
    <w:uiPriority w:val="0"/>
    <w:rPr>
      <w:snapToGrid w:val="0"/>
      <w:kern w:val="21"/>
      <w:sz w:val="21"/>
      <w:szCs w:val="21"/>
    </w:rPr>
  </w:style>
  <w:style w:type="character" w:customStyle="1" w:styleId="417">
    <w:name w:val="正文文本 Char1"/>
    <w:qFormat/>
    <w:uiPriority w:val="0"/>
    <w:rPr>
      <w:rFonts w:ascii="Times New Roman" w:hAnsi="Times New Roman" w:eastAsia="宋体" w:cs="Times New Roman"/>
      <w:szCs w:val="24"/>
    </w:rPr>
  </w:style>
  <w:style w:type="character" w:customStyle="1" w:styleId="418">
    <w:name w:val="hei141"/>
    <w:qFormat/>
    <w:uiPriority w:val="0"/>
    <w:rPr>
      <w:color w:val="000000"/>
      <w:sz w:val="21"/>
      <w:szCs w:val="21"/>
    </w:rPr>
  </w:style>
  <w:style w:type="character" w:customStyle="1" w:styleId="419">
    <w:name w:val="正文（首行缩进两字） Char Char Char Char Char Char Char Char Char Char Char Char Char Char Char Char Char Char Char Char Char Char Char Char Char Char Char Char Char Char Char Char Char Char Char Char Char Char Char Char Char Char Char Char Char Char"/>
    <w:qFormat/>
    <w:uiPriority w:val="0"/>
    <w:rPr>
      <w:rFonts w:ascii="仿宋_GB2312" w:eastAsia="仿宋_GB2312"/>
      <w:kern w:val="2"/>
      <w:sz w:val="28"/>
      <w:szCs w:val="24"/>
      <w:lang w:val="en-US" w:eastAsia="zh-CN" w:bidi="ar-SA"/>
    </w:rPr>
  </w:style>
  <w:style w:type="character" w:customStyle="1" w:styleId="420">
    <w:name w:val="cr"/>
    <w:semiHidden/>
    <w:qFormat/>
    <w:uiPriority w:val="0"/>
  </w:style>
  <w:style w:type="character" w:customStyle="1" w:styleId="421">
    <w:name w:val="hover34"/>
    <w:qFormat/>
    <w:uiPriority w:val="0"/>
    <w:rPr>
      <w:color w:val="003567"/>
    </w:rPr>
  </w:style>
  <w:style w:type="character" w:customStyle="1" w:styleId="422">
    <w:name w:val="T环科院正文 Char Char"/>
    <w:link w:val="423"/>
    <w:semiHidden/>
    <w:qFormat/>
    <w:uiPriority w:val="0"/>
    <w:rPr>
      <w:color w:val="000000"/>
      <w:spacing w:val="-10"/>
      <w:kern w:val="2"/>
      <w:sz w:val="24"/>
      <w:szCs w:val="24"/>
    </w:rPr>
  </w:style>
  <w:style w:type="paragraph" w:customStyle="1" w:styleId="423">
    <w:name w:val="T环科院正文"/>
    <w:basedOn w:val="1"/>
    <w:link w:val="422"/>
    <w:semiHidden/>
    <w:qFormat/>
    <w:uiPriority w:val="0"/>
    <w:pPr>
      <w:spacing w:line="300" w:lineRule="auto"/>
      <w:ind w:firstLine="440"/>
    </w:pPr>
    <w:rPr>
      <w:color w:val="000000"/>
      <w:spacing w:val="-10"/>
      <w:szCs w:val="24"/>
    </w:rPr>
  </w:style>
  <w:style w:type="character" w:customStyle="1" w:styleId="424">
    <w:name w:val="style12"/>
    <w:qFormat/>
    <w:uiPriority w:val="0"/>
  </w:style>
  <w:style w:type="character" w:customStyle="1" w:styleId="425">
    <w:name w:val="三级标题 Char Char Char"/>
    <w:link w:val="426"/>
    <w:qFormat/>
    <w:uiPriority w:val="0"/>
    <w:rPr>
      <w:rFonts w:ascii="宋体" w:hAnsi="宋体"/>
      <w:b/>
      <w:kern w:val="2"/>
      <w:sz w:val="24"/>
    </w:rPr>
  </w:style>
  <w:style w:type="paragraph" w:customStyle="1" w:styleId="426">
    <w:name w:val="三级标题 Char Char"/>
    <w:basedOn w:val="7"/>
    <w:link w:val="425"/>
    <w:qFormat/>
    <w:uiPriority w:val="0"/>
    <w:pPr>
      <w:spacing w:before="156" w:beforeLines="50" w:after="156" w:afterLines="50"/>
      <w:jc w:val="both"/>
    </w:pPr>
    <w:rPr>
      <w:rFonts w:ascii="宋体" w:hAnsi="宋体"/>
      <w:kern w:val="2"/>
    </w:rPr>
  </w:style>
  <w:style w:type="character" w:customStyle="1" w:styleId="427">
    <w:name w:val="headline-content2"/>
    <w:qFormat/>
    <w:uiPriority w:val="0"/>
  </w:style>
  <w:style w:type="character" w:customStyle="1" w:styleId="428">
    <w:name w:val="表头文字 Char Char Char Char"/>
    <w:link w:val="429"/>
    <w:qFormat/>
    <w:uiPriority w:val="0"/>
    <w:rPr>
      <w:rFonts w:ascii="黑体" w:hAnsi="宋体" w:eastAsia="黑体"/>
      <w:kern w:val="2"/>
      <w:sz w:val="24"/>
    </w:rPr>
  </w:style>
  <w:style w:type="paragraph" w:customStyle="1" w:styleId="429">
    <w:name w:val="表头文字 Char Char Char"/>
    <w:basedOn w:val="1"/>
    <w:link w:val="428"/>
    <w:qFormat/>
    <w:uiPriority w:val="0"/>
    <w:pPr>
      <w:spacing w:before="312" w:beforeLines="100" w:line="400" w:lineRule="exact"/>
      <w:ind w:firstLine="0" w:firstLineChars="0"/>
      <w:jc w:val="center"/>
    </w:pPr>
    <w:rPr>
      <w:rFonts w:ascii="黑体" w:hAnsi="宋体" w:eastAsia="黑体"/>
    </w:rPr>
  </w:style>
  <w:style w:type="character" w:customStyle="1" w:styleId="430">
    <w:name w:val="文章正文 Char1"/>
    <w:qFormat/>
    <w:uiPriority w:val="0"/>
    <w:rPr>
      <w:rFonts w:ascii="宋体" w:hAnsi="宋体" w:eastAsia="宋体"/>
      <w:kern w:val="2"/>
      <w:sz w:val="24"/>
      <w:lang w:val="en-US" w:eastAsia="zh-CN"/>
    </w:rPr>
  </w:style>
  <w:style w:type="character" w:customStyle="1" w:styleId="431">
    <w:name w:val="样式 正文首行缩进"/>
    <w:qFormat/>
    <w:uiPriority w:val="0"/>
    <w:rPr>
      <w:rFonts w:ascii="黑体" w:eastAsia="宋体" w:cs="宋体"/>
      <w:bCs/>
      <w:spacing w:val="10"/>
      <w:kern w:val="2"/>
      <w:sz w:val="28"/>
      <w:szCs w:val="28"/>
      <w:lang w:val="en-US" w:eastAsia="zh-CN" w:bidi="ar-SA"/>
    </w:rPr>
  </w:style>
  <w:style w:type="character" w:customStyle="1" w:styleId="432">
    <w:name w:val="Re Char"/>
    <w:qFormat/>
    <w:uiPriority w:val="0"/>
    <w:rPr>
      <w:rFonts w:eastAsia="宋体"/>
      <w:b/>
      <w:bCs/>
      <w:kern w:val="2"/>
      <w:sz w:val="28"/>
      <w:szCs w:val="32"/>
      <w:lang w:val="en-US" w:eastAsia="zh-CN" w:bidi="ar-SA"/>
    </w:rPr>
  </w:style>
  <w:style w:type="character" w:customStyle="1" w:styleId="433">
    <w:name w:val="表中正文 Char"/>
    <w:link w:val="434"/>
    <w:qFormat/>
    <w:uiPriority w:val="0"/>
    <w:rPr>
      <w:rFonts w:ascii="宋体" w:eastAsia="宋体"/>
      <w:sz w:val="21"/>
      <w:szCs w:val="21"/>
      <w:lang w:val="en-US" w:eastAsia="zh-CN" w:bidi="ar-SA"/>
    </w:rPr>
  </w:style>
  <w:style w:type="paragraph" w:customStyle="1" w:styleId="434">
    <w:name w:val="表中正文"/>
    <w:basedOn w:val="1"/>
    <w:link w:val="433"/>
    <w:semiHidden/>
    <w:qFormat/>
    <w:uiPriority w:val="0"/>
    <w:pPr>
      <w:autoSpaceDE w:val="0"/>
      <w:autoSpaceDN w:val="0"/>
      <w:adjustRightInd w:val="0"/>
      <w:snapToGrid w:val="0"/>
      <w:spacing w:line="300" w:lineRule="exact"/>
      <w:ind w:firstLine="0" w:firstLineChars="0"/>
      <w:jc w:val="center"/>
    </w:pPr>
    <w:rPr>
      <w:rFonts w:ascii="宋体"/>
      <w:kern w:val="0"/>
      <w:sz w:val="21"/>
      <w:szCs w:val="21"/>
    </w:rPr>
  </w:style>
  <w:style w:type="character" w:customStyle="1" w:styleId="435">
    <w:name w:val="环科院表格标题 Char"/>
    <w:link w:val="436"/>
    <w:semiHidden/>
    <w:qFormat/>
    <w:uiPriority w:val="0"/>
    <w:rPr>
      <w:rFonts w:ascii="黑体" w:eastAsia="黑体"/>
      <w:b/>
      <w:bCs/>
      <w:sz w:val="21"/>
      <w:szCs w:val="21"/>
    </w:rPr>
  </w:style>
  <w:style w:type="paragraph" w:customStyle="1" w:styleId="436">
    <w:name w:val="环科院表格标题"/>
    <w:basedOn w:val="1"/>
    <w:link w:val="435"/>
    <w:semiHidden/>
    <w:qFormat/>
    <w:uiPriority w:val="0"/>
    <w:pPr>
      <w:spacing w:line="240" w:lineRule="auto"/>
      <w:ind w:firstLine="0" w:firstLineChars="0"/>
      <w:jc w:val="center"/>
    </w:pPr>
    <w:rPr>
      <w:rFonts w:ascii="黑体" w:eastAsia="黑体"/>
      <w:b/>
      <w:bCs/>
      <w:kern w:val="0"/>
      <w:sz w:val="21"/>
      <w:szCs w:val="21"/>
    </w:rPr>
  </w:style>
  <w:style w:type="character" w:customStyle="1" w:styleId="437">
    <w:name w:val="表格2 Char"/>
    <w:link w:val="438"/>
    <w:qFormat/>
    <w:uiPriority w:val="0"/>
    <w:rPr>
      <w:b/>
      <w:sz w:val="21"/>
      <w:lang w:val="en-US" w:eastAsia="zh-CN" w:bidi="ar-SA"/>
    </w:rPr>
  </w:style>
  <w:style w:type="paragraph" w:customStyle="1" w:styleId="438">
    <w:name w:val="表格2"/>
    <w:link w:val="437"/>
    <w:qFormat/>
    <w:uiPriority w:val="0"/>
    <w:pPr>
      <w:adjustRightInd w:val="0"/>
      <w:snapToGrid w:val="0"/>
      <w:jc w:val="center"/>
    </w:pPr>
    <w:rPr>
      <w:rFonts w:ascii="Times New Roman" w:hAnsi="Times New Roman" w:eastAsia="宋体" w:cs="Times New Roman"/>
      <w:b/>
      <w:sz w:val="21"/>
      <w:lang w:val="en-US" w:eastAsia="zh-CN" w:bidi="ar-SA"/>
    </w:rPr>
  </w:style>
  <w:style w:type="character" w:customStyle="1" w:styleId="439">
    <w:name w:val="无间隔 Char"/>
    <w:link w:val="440"/>
    <w:qFormat/>
    <w:uiPriority w:val="0"/>
    <w:rPr>
      <w:color w:val="000000"/>
      <w:lang w:val="en-US" w:eastAsia="zh-CN" w:bidi="ar-SA"/>
    </w:rPr>
  </w:style>
  <w:style w:type="paragraph" w:customStyle="1" w:styleId="440">
    <w:name w:val="无间隔1"/>
    <w:link w:val="439"/>
    <w:qFormat/>
    <w:uiPriority w:val="0"/>
    <w:rPr>
      <w:rFonts w:ascii="Times New Roman" w:hAnsi="Times New Roman" w:eastAsia="宋体" w:cs="Times New Roman"/>
      <w:color w:val="000000"/>
      <w:lang w:val="en-US" w:eastAsia="zh-CN" w:bidi="ar-SA"/>
    </w:rPr>
  </w:style>
  <w:style w:type="character" w:customStyle="1" w:styleId="441">
    <w:name w:val="Footer-Even Char"/>
    <w:qFormat/>
    <w:uiPriority w:val="0"/>
    <w:rPr>
      <w:kern w:val="2"/>
      <w:sz w:val="18"/>
      <w:szCs w:val="18"/>
    </w:rPr>
  </w:style>
  <w:style w:type="character" w:customStyle="1" w:styleId="442">
    <w:name w:val="图表标题 Char"/>
    <w:link w:val="443"/>
    <w:qFormat/>
    <w:uiPriority w:val="0"/>
    <w:rPr>
      <w:rFonts w:ascii="宋体" w:hAnsi="宋体"/>
      <w:bCs/>
      <w:sz w:val="24"/>
      <w:szCs w:val="24"/>
    </w:rPr>
  </w:style>
  <w:style w:type="paragraph" w:customStyle="1" w:styleId="443">
    <w:name w:val="图表标题"/>
    <w:basedOn w:val="1"/>
    <w:next w:val="1"/>
    <w:link w:val="442"/>
    <w:qFormat/>
    <w:uiPriority w:val="0"/>
    <w:pPr>
      <w:adjustRightInd w:val="0"/>
      <w:snapToGrid w:val="0"/>
      <w:spacing w:line="460" w:lineRule="exact"/>
      <w:ind w:firstLine="0" w:firstLineChars="0"/>
      <w:jc w:val="center"/>
      <w:textAlignment w:val="baseline"/>
    </w:pPr>
    <w:rPr>
      <w:rFonts w:ascii="宋体" w:hAnsi="宋体"/>
      <w:bCs/>
      <w:kern w:val="0"/>
      <w:szCs w:val="24"/>
    </w:rPr>
  </w:style>
  <w:style w:type="character" w:customStyle="1" w:styleId="444">
    <w:name w:val="正文文本缩进 2 Char1"/>
    <w:semiHidden/>
    <w:qFormat/>
    <w:uiPriority w:val="0"/>
    <w:rPr>
      <w:kern w:val="2"/>
      <w:sz w:val="21"/>
      <w:szCs w:val="22"/>
    </w:rPr>
  </w:style>
  <w:style w:type="character" w:customStyle="1" w:styleId="445">
    <w:name w:val="表格-RED Char"/>
    <w:link w:val="446"/>
    <w:qFormat/>
    <w:uiPriority w:val="0"/>
    <w:rPr>
      <w:rFonts w:hAnsi="宋体"/>
      <w:b/>
      <w:kern w:val="2"/>
      <w:sz w:val="18"/>
      <w:szCs w:val="18"/>
      <w:lang w:val="en-US" w:eastAsia="zh-CN" w:bidi="ar-SA"/>
    </w:rPr>
  </w:style>
  <w:style w:type="paragraph" w:customStyle="1" w:styleId="446">
    <w:name w:val="表格-RED"/>
    <w:link w:val="445"/>
    <w:qFormat/>
    <w:uiPriority w:val="0"/>
    <w:pPr>
      <w:spacing w:line="276" w:lineRule="auto"/>
      <w:jc w:val="center"/>
    </w:pPr>
    <w:rPr>
      <w:rFonts w:ascii="Times New Roman" w:hAnsi="宋体" w:eastAsia="宋体" w:cs="Times New Roman"/>
      <w:b/>
      <w:kern w:val="2"/>
      <w:sz w:val="18"/>
      <w:szCs w:val="18"/>
      <w:lang w:val="en-US" w:eastAsia="zh-CN" w:bidi="ar-SA"/>
    </w:rPr>
  </w:style>
  <w:style w:type="character" w:customStyle="1" w:styleId="447">
    <w:name w:val="正文缩进1 Char"/>
    <w:qFormat/>
    <w:uiPriority w:val="0"/>
    <w:rPr>
      <w:rFonts w:eastAsia="宋体"/>
      <w:kern w:val="2"/>
      <w:sz w:val="21"/>
      <w:szCs w:val="24"/>
      <w:lang w:val="en-US" w:eastAsia="zh-CN" w:bidi="ar-SA"/>
    </w:rPr>
  </w:style>
  <w:style w:type="character" w:customStyle="1" w:styleId="448">
    <w:name w:val="正文(修改)-wd Char"/>
    <w:link w:val="449"/>
    <w:qFormat/>
    <w:uiPriority w:val="0"/>
    <w:rPr>
      <w:rFonts w:ascii="宋体" w:hAnsi="Arial"/>
      <w:kern w:val="2"/>
      <w:sz w:val="24"/>
      <w:szCs w:val="24"/>
    </w:rPr>
  </w:style>
  <w:style w:type="paragraph" w:customStyle="1" w:styleId="449">
    <w:name w:val="正文(修改)-wd"/>
    <w:basedOn w:val="1"/>
    <w:link w:val="448"/>
    <w:qFormat/>
    <w:uiPriority w:val="0"/>
    <w:pPr>
      <w:ind w:firstLine="480"/>
    </w:pPr>
    <w:rPr>
      <w:rFonts w:ascii="宋体" w:hAnsi="Arial"/>
      <w:szCs w:val="24"/>
    </w:rPr>
  </w:style>
  <w:style w:type="character" w:customStyle="1" w:styleId="450">
    <w:name w:val="正文文字缩进 Char1"/>
    <w:qFormat/>
    <w:uiPriority w:val="0"/>
    <w:rPr>
      <w:rFonts w:ascii="Times New Roman" w:hAnsi="Times New Roman" w:eastAsia="宋体" w:cs="Times New Roman"/>
      <w:sz w:val="24"/>
      <w:szCs w:val="24"/>
    </w:rPr>
  </w:style>
  <w:style w:type="character" w:customStyle="1" w:styleId="451">
    <w:name w:val="文章正文文字 Char Char Char Char Char"/>
    <w:link w:val="452"/>
    <w:semiHidden/>
    <w:qFormat/>
    <w:uiPriority w:val="0"/>
    <w:rPr>
      <w:kern w:val="2"/>
      <w:sz w:val="24"/>
      <w:szCs w:val="24"/>
    </w:rPr>
  </w:style>
  <w:style w:type="paragraph" w:customStyle="1" w:styleId="452">
    <w:name w:val="文章正文文字 Char Char Char Char"/>
    <w:basedOn w:val="1"/>
    <w:link w:val="451"/>
    <w:semiHidden/>
    <w:qFormat/>
    <w:uiPriority w:val="0"/>
    <w:pPr>
      <w:spacing w:line="520" w:lineRule="exact"/>
      <w:jc w:val="left"/>
    </w:pPr>
    <w:rPr>
      <w:szCs w:val="24"/>
    </w:rPr>
  </w:style>
  <w:style w:type="character" w:customStyle="1" w:styleId="453">
    <w:name w:val="style6"/>
    <w:qFormat/>
    <w:uiPriority w:val="0"/>
  </w:style>
  <w:style w:type="character" w:customStyle="1" w:styleId="454">
    <w:name w:val="grame"/>
    <w:qFormat/>
    <w:uiPriority w:val="0"/>
  </w:style>
  <w:style w:type="character" w:customStyle="1" w:styleId="455">
    <w:name w:val="文章正文样式 Char Char Char Char Char2"/>
    <w:link w:val="456"/>
    <w:qFormat/>
    <w:uiPriority w:val="0"/>
    <w:rPr>
      <w:rFonts w:ascii="宋体" w:hAnsi="宋体" w:cs="宋体"/>
      <w:kern w:val="2"/>
      <w:sz w:val="24"/>
    </w:rPr>
  </w:style>
  <w:style w:type="paragraph" w:customStyle="1" w:styleId="456">
    <w:name w:val="文章正文样式 Char Char Char Char1"/>
    <w:basedOn w:val="1"/>
    <w:link w:val="455"/>
    <w:qFormat/>
    <w:uiPriority w:val="0"/>
    <w:pPr>
      <w:spacing w:line="520" w:lineRule="exact"/>
      <w:ind w:firstLine="480"/>
      <w:jc w:val="left"/>
    </w:pPr>
    <w:rPr>
      <w:rFonts w:ascii="宋体" w:hAnsi="宋体"/>
    </w:rPr>
  </w:style>
  <w:style w:type="character" w:customStyle="1" w:styleId="457">
    <w:name w:val="样式4 Char Char Char Char Char Char"/>
    <w:link w:val="458"/>
    <w:qFormat/>
    <w:uiPriority w:val="0"/>
    <w:rPr>
      <w:rFonts w:ascii="仿宋_GB2312" w:hAnsi="宋体" w:eastAsia="仿宋_GB2312" w:cs="宋体"/>
      <w:color w:val="000000"/>
      <w:kern w:val="2"/>
      <w:sz w:val="28"/>
      <w:szCs w:val="28"/>
    </w:rPr>
  </w:style>
  <w:style w:type="paragraph" w:customStyle="1" w:styleId="458">
    <w:name w:val="样式4 Char Char Char Char Char"/>
    <w:basedOn w:val="1"/>
    <w:link w:val="457"/>
    <w:qFormat/>
    <w:uiPriority w:val="0"/>
    <w:pPr>
      <w:spacing w:line="520" w:lineRule="exact"/>
      <w:ind w:firstLine="536"/>
    </w:pPr>
    <w:rPr>
      <w:rFonts w:ascii="仿宋_GB2312" w:hAnsi="宋体" w:eastAsia="仿宋_GB2312"/>
      <w:color w:val="000000"/>
      <w:sz w:val="28"/>
      <w:szCs w:val="28"/>
    </w:rPr>
  </w:style>
  <w:style w:type="character" w:customStyle="1" w:styleId="459">
    <w:name w:val="样式15 Char Char1"/>
    <w:qFormat/>
    <w:uiPriority w:val="0"/>
    <w:rPr>
      <w:rFonts w:ascii="宋体" w:eastAsia="宋体"/>
      <w:kern w:val="2"/>
      <w:sz w:val="24"/>
      <w:lang w:val="en-US" w:eastAsia="zh-CN" w:bidi="ar-SA"/>
    </w:rPr>
  </w:style>
  <w:style w:type="character" w:customStyle="1" w:styleId="460">
    <w:name w:val="Char Char7"/>
    <w:qFormat/>
    <w:uiPriority w:val="0"/>
    <w:rPr>
      <w:rFonts w:ascii="宋体" w:hAnsi="宋体" w:eastAsia="宋体"/>
      <w:b/>
      <w:snapToGrid w:val="0"/>
      <w:kern w:val="2"/>
      <w:sz w:val="28"/>
      <w:lang w:val="en-US" w:eastAsia="zh-CN" w:bidi="ar-SA"/>
    </w:rPr>
  </w:style>
  <w:style w:type="character" w:customStyle="1" w:styleId="461">
    <w:name w:val="表格文字 Char Char Char Char Char1"/>
    <w:qFormat/>
    <w:uiPriority w:val="0"/>
    <w:rPr>
      <w:rFonts w:eastAsia="宋体"/>
      <w:kern w:val="2"/>
      <w:sz w:val="21"/>
      <w:lang w:val="en-US" w:eastAsia="zh-CN" w:bidi="ar-SA"/>
    </w:rPr>
  </w:style>
  <w:style w:type="character" w:customStyle="1" w:styleId="462">
    <w:name w:val="apple-style-span"/>
    <w:qFormat/>
    <w:uiPriority w:val="0"/>
  </w:style>
  <w:style w:type="character" w:customStyle="1" w:styleId="463">
    <w:name w:val="批注文字 Char"/>
    <w:qFormat/>
    <w:uiPriority w:val="0"/>
    <w:rPr>
      <w:rFonts w:ascii="Times New Roman" w:hAnsi="Times New Roman" w:eastAsia="宋体" w:cs="Times New Roman"/>
      <w:szCs w:val="24"/>
    </w:rPr>
  </w:style>
  <w:style w:type="character" w:customStyle="1" w:styleId="464">
    <w:name w:val="标题 6 Char1"/>
    <w:qFormat/>
    <w:uiPriority w:val="0"/>
    <w:rPr>
      <w:rFonts w:ascii="Times New Roman" w:hAnsi="Times New Roman" w:eastAsia="黑体"/>
      <w:kern w:val="2"/>
      <w:sz w:val="24"/>
      <w:szCs w:val="24"/>
    </w:rPr>
  </w:style>
  <w:style w:type="character" w:customStyle="1" w:styleId="465">
    <w:name w:val="样式 样式 样式 样式 首行缩进:  2 字符 + 居中 + (中文) 黑体 五号 首行缩进:  2 字符 + 首行缩进:  2... Char"/>
    <w:link w:val="466"/>
    <w:qFormat/>
    <w:uiPriority w:val="0"/>
    <w:rPr>
      <w:rFonts w:eastAsia="黑体" w:cs="宋体"/>
      <w:kern w:val="2"/>
      <w:sz w:val="24"/>
      <w:lang w:val="en-US" w:eastAsia="zh-CN" w:bidi="ar-SA"/>
    </w:rPr>
  </w:style>
  <w:style w:type="paragraph" w:customStyle="1" w:styleId="466">
    <w:name w:val="样式 样式 样式 样式 首行缩进:  2 字符 + 居中 + (中文) 黑体 五号 首行缩进:  2 字符 + 首行缩进:  2..."/>
    <w:basedOn w:val="1"/>
    <w:link w:val="465"/>
    <w:semiHidden/>
    <w:qFormat/>
    <w:uiPriority w:val="0"/>
    <w:pPr>
      <w:adjustRightInd w:val="0"/>
      <w:snapToGrid w:val="0"/>
      <w:spacing w:before="156" w:beforeLines="50"/>
      <w:ind w:firstLine="0" w:firstLineChars="0"/>
      <w:jc w:val="center"/>
    </w:pPr>
    <w:rPr>
      <w:rFonts w:eastAsia="黑体" w:cs="宋体"/>
    </w:rPr>
  </w:style>
  <w:style w:type="character" w:customStyle="1" w:styleId="467">
    <w:name w:val="报告书正文 Char Char Char Char Char Char Char Char Char Char Char Char Char Char Char Char"/>
    <w:link w:val="468"/>
    <w:qFormat/>
    <w:uiPriority w:val="0"/>
    <w:rPr>
      <w:rFonts w:ascii="宋体"/>
      <w:color w:val="000000"/>
      <w:kern w:val="2"/>
      <w:sz w:val="24"/>
    </w:rPr>
  </w:style>
  <w:style w:type="paragraph" w:customStyle="1" w:styleId="468">
    <w:name w:val="报告书正文 Char Char Char Char Char Char Char Char Char Char Char Char Char Char Char"/>
    <w:basedOn w:val="1"/>
    <w:link w:val="467"/>
    <w:qFormat/>
    <w:uiPriority w:val="0"/>
    <w:pPr>
      <w:spacing w:line="300" w:lineRule="auto"/>
      <w:ind w:firstLine="480"/>
    </w:pPr>
    <w:rPr>
      <w:rFonts w:ascii="宋体"/>
      <w:color w:val="000000"/>
    </w:rPr>
  </w:style>
  <w:style w:type="character" w:customStyle="1" w:styleId="469">
    <w:name w:val="t_tag"/>
    <w:semiHidden/>
    <w:qFormat/>
    <w:uiPriority w:val="0"/>
  </w:style>
  <w:style w:type="character" w:customStyle="1" w:styleId="470">
    <w:name w:val="表格文字 Char Char Char Char Char Char Char Char"/>
    <w:link w:val="471"/>
    <w:qFormat/>
    <w:uiPriority w:val="0"/>
    <w:rPr>
      <w:kern w:val="2"/>
      <w:sz w:val="21"/>
    </w:rPr>
  </w:style>
  <w:style w:type="paragraph" w:customStyle="1" w:styleId="471">
    <w:name w:val="表格文字 Char Char Char Char Char Char Char"/>
    <w:basedOn w:val="1"/>
    <w:link w:val="470"/>
    <w:qFormat/>
    <w:uiPriority w:val="0"/>
    <w:pPr>
      <w:spacing w:line="360" w:lineRule="exact"/>
      <w:ind w:firstLine="0" w:firstLineChars="0"/>
      <w:jc w:val="center"/>
    </w:pPr>
    <w:rPr>
      <w:sz w:val="21"/>
    </w:rPr>
  </w:style>
  <w:style w:type="character" w:customStyle="1" w:styleId="472">
    <w:name w:val="style81"/>
    <w:qFormat/>
    <w:uiPriority w:val="0"/>
    <w:rPr>
      <w:sz w:val="23"/>
      <w:szCs w:val="23"/>
    </w:rPr>
  </w:style>
  <w:style w:type="character" w:customStyle="1" w:styleId="473">
    <w:name w:val="documenttitle1"/>
    <w:semiHidden/>
    <w:qFormat/>
    <w:uiPriority w:val="0"/>
    <w:rPr>
      <w:b/>
      <w:bCs/>
      <w:color w:val="01649D"/>
      <w:sz w:val="24"/>
      <w:szCs w:val="24"/>
      <w:u w:val="none"/>
    </w:rPr>
  </w:style>
  <w:style w:type="character" w:customStyle="1" w:styleId="474">
    <w:name w:val="文章正文样式 Char1 Char2 Char"/>
    <w:link w:val="475"/>
    <w:qFormat/>
    <w:uiPriority w:val="0"/>
    <w:rPr>
      <w:rFonts w:ascii="宋体" w:hAnsi="宋体" w:cs="宋体"/>
      <w:kern w:val="2"/>
      <w:sz w:val="24"/>
    </w:rPr>
  </w:style>
  <w:style w:type="paragraph" w:customStyle="1" w:styleId="475">
    <w:name w:val="文章正文样式 Char1 Char2"/>
    <w:basedOn w:val="1"/>
    <w:link w:val="474"/>
    <w:qFormat/>
    <w:uiPriority w:val="0"/>
    <w:pPr>
      <w:spacing w:line="520" w:lineRule="exact"/>
      <w:ind w:firstLine="480"/>
      <w:jc w:val="left"/>
    </w:pPr>
    <w:rPr>
      <w:rFonts w:ascii="宋体" w:hAnsi="宋体"/>
    </w:rPr>
  </w:style>
  <w:style w:type="character" w:customStyle="1" w:styleId="476">
    <w:name w:val="文章正文样式 Char Char Char"/>
    <w:link w:val="477"/>
    <w:qFormat/>
    <w:uiPriority w:val="0"/>
    <w:rPr>
      <w:rFonts w:ascii="宋体" w:hAnsi="宋体" w:cs="宋体"/>
      <w:kern w:val="2"/>
      <w:sz w:val="24"/>
    </w:rPr>
  </w:style>
  <w:style w:type="paragraph" w:customStyle="1" w:styleId="477">
    <w:name w:val="文章正文样式 Char Char"/>
    <w:basedOn w:val="1"/>
    <w:link w:val="476"/>
    <w:qFormat/>
    <w:uiPriority w:val="0"/>
    <w:pPr>
      <w:spacing w:line="520" w:lineRule="exact"/>
      <w:ind w:firstLine="480"/>
      <w:jc w:val="left"/>
    </w:pPr>
    <w:rPr>
      <w:rFonts w:ascii="宋体" w:hAnsi="宋体"/>
    </w:rPr>
  </w:style>
  <w:style w:type="character" w:customStyle="1" w:styleId="478">
    <w:name w:val="表格文字2 Char Char Char"/>
    <w:link w:val="479"/>
    <w:qFormat/>
    <w:uiPriority w:val="0"/>
    <w:rPr>
      <w:kern w:val="2"/>
      <w:sz w:val="21"/>
      <w:szCs w:val="21"/>
    </w:rPr>
  </w:style>
  <w:style w:type="paragraph" w:customStyle="1" w:styleId="479">
    <w:name w:val="表格文字2 Char Char"/>
    <w:basedOn w:val="1"/>
    <w:link w:val="478"/>
    <w:qFormat/>
    <w:uiPriority w:val="0"/>
    <w:pPr>
      <w:tabs>
        <w:tab w:val="left" w:pos="277"/>
        <w:tab w:val="left" w:pos="600"/>
        <w:tab w:val="left" w:pos="780"/>
        <w:tab w:val="left" w:pos="2517"/>
      </w:tabs>
      <w:adjustRightInd w:val="0"/>
      <w:spacing w:before="60" w:line="240" w:lineRule="auto"/>
      <w:ind w:firstLine="0" w:firstLineChars="0"/>
      <w:jc w:val="center"/>
      <w:textAlignment w:val="baseline"/>
    </w:pPr>
    <w:rPr>
      <w:sz w:val="21"/>
      <w:szCs w:val="21"/>
    </w:rPr>
  </w:style>
  <w:style w:type="character" w:customStyle="1" w:styleId="480">
    <w:name w:val="textcontents"/>
    <w:qFormat/>
    <w:uiPriority w:val="0"/>
  </w:style>
  <w:style w:type="character" w:customStyle="1" w:styleId="481">
    <w:name w:val="四级标题 Char Char Char"/>
    <w:link w:val="482"/>
    <w:qFormat/>
    <w:uiPriority w:val="0"/>
    <w:rPr>
      <w:rFonts w:ascii="宋体" w:hAnsi="宋体"/>
      <w:kern w:val="2"/>
      <w:sz w:val="24"/>
    </w:rPr>
  </w:style>
  <w:style w:type="paragraph" w:customStyle="1" w:styleId="482">
    <w:name w:val="四级标题 Char Char"/>
    <w:basedOn w:val="9"/>
    <w:link w:val="481"/>
    <w:qFormat/>
    <w:uiPriority w:val="0"/>
    <w:pPr>
      <w:spacing w:before="156" w:beforeLines="50" w:after="156" w:afterLines="50"/>
    </w:pPr>
    <w:rPr>
      <w:rFonts w:ascii="宋体" w:hAnsi="宋体" w:eastAsia="宋体"/>
      <w:kern w:val="2"/>
    </w:rPr>
  </w:style>
  <w:style w:type="character" w:customStyle="1" w:styleId="483">
    <w:name w:val="样式 (西文) 黑体 (中文) 黑体 (符号) 宋体 五号"/>
    <w:qFormat/>
    <w:uiPriority w:val="0"/>
    <w:rPr>
      <w:rFonts w:ascii="黑体" w:eastAsia="黑体"/>
      <w:sz w:val="24"/>
      <w:szCs w:val="24"/>
    </w:rPr>
  </w:style>
  <w:style w:type="character" w:customStyle="1" w:styleId="484">
    <w:name w:val="表格标题 Char"/>
    <w:link w:val="485"/>
    <w:qFormat/>
    <w:uiPriority w:val="0"/>
    <w:rPr>
      <w:kern w:val="2"/>
      <w:sz w:val="24"/>
      <w:szCs w:val="24"/>
    </w:rPr>
  </w:style>
  <w:style w:type="paragraph" w:customStyle="1" w:styleId="485">
    <w:name w:val="表格标题"/>
    <w:basedOn w:val="1"/>
    <w:link w:val="484"/>
    <w:qFormat/>
    <w:uiPriority w:val="0"/>
    <w:pPr>
      <w:spacing w:before="60" w:line="460" w:lineRule="exact"/>
      <w:ind w:firstLine="0" w:firstLineChars="0"/>
      <w:jc w:val="center"/>
    </w:pPr>
    <w:rPr>
      <w:szCs w:val="24"/>
    </w:rPr>
  </w:style>
  <w:style w:type="character" w:customStyle="1" w:styleId="486">
    <w:name w:val="二号标题样式 Char Char Char Char Char1"/>
    <w:link w:val="487"/>
    <w:qFormat/>
    <w:uiPriority w:val="0"/>
    <w:rPr>
      <w:rFonts w:ascii="Arial" w:hAnsi="Arial" w:eastAsia="黑体" w:cs="宋体"/>
      <w:kern w:val="2"/>
      <w:sz w:val="28"/>
    </w:rPr>
  </w:style>
  <w:style w:type="paragraph" w:customStyle="1" w:styleId="487">
    <w:name w:val="二号标题样式 Char Char Char Char"/>
    <w:basedOn w:val="488"/>
    <w:link w:val="486"/>
    <w:qFormat/>
    <w:uiPriority w:val="0"/>
    <w:pPr>
      <w:spacing w:before="156" w:beforeLines="50" w:after="156" w:afterLines="50"/>
    </w:pPr>
    <w:rPr>
      <w:rFonts w:cs="Times New Roman"/>
      <w:bCs w:val="0"/>
      <w:szCs w:val="20"/>
    </w:rPr>
  </w:style>
  <w:style w:type="paragraph" w:customStyle="1" w:styleId="488">
    <w:name w:val="二号标题"/>
    <w:basedOn w:val="1"/>
    <w:qFormat/>
    <w:uiPriority w:val="0"/>
    <w:pPr>
      <w:keepNext/>
      <w:keepLines/>
      <w:spacing w:before="312" w:beforeLines="100" w:after="312" w:afterLines="100" w:line="520" w:lineRule="exact"/>
      <w:ind w:firstLine="0" w:firstLineChars="0"/>
      <w:outlineLvl w:val="2"/>
    </w:pPr>
    <w:rPr>
      <w:rFonts w:ascii="Arial" w:hAnsi="Arial" w:eastAsia="黑体" w:cs="宋体"/>
      <w:bCs/>
      <w:sz w:val="28"/>
      <w:szCs w:val="28"/>
    </w:rPr>
  </w:style>
  <w:style w:type="character" w:customStyle="1" w:styleId="489">
    <w:name w:val="批注主题 Char1"/>
    <w:qFormat/>
    <w:uiPriority w:val="0"/>
    <w:rPr>
      <w:spacing w:val="20"/>
      <w:kern w:val="10"/>
      <w:sz w:val="28"/>
    </w:rPr>
  </w:style>
  <w:style w:type="character" w:customStyle="1" w:styleId="490">
    <w:name w:val="article"/>
    <w:qFormat/>
    <w:uiPriority w:val="0"/>
  </w:style>
  <w:style w:type="character" w:customStyle="1" w:styleId="491">
    <w:name w:val="font21"/>
    <w:qFormat/>
    <w:uiPriority w:val="0"/>
    <w:rPr>
      <w:rFonts w:hint="eastAsia" w:ascii="宋体" w:hAnsi="宋体" w:eastAsia="宋体" w:cs="宋体"/>
      <w:color w:val="000000"/>
      <w:sz w:val="20"/>
      <w:szCs w:val="20"/>
      <w:u w:val="none"/>
    </w:rPr>
  </w:style>
  <w:style w:type="character" w:customStyle="1" w:styleId="492">
    <w:name w:val="bds_more1"/>
    <w:qFormat/>
    <w:uiPriority w:val="0"/>
    <w:rPr>
      <w:rFonts w:hint="eastAsia" w:ascii="宋体" w:hAnsi="宋体" w:eastAsia="宋体" w:cs="宋体"/>
    </w:rPr>
  </w:style>
  <w:style w:type="character" w:customStyle="1" w:styleId="493">
    <w:name w:val="正文 + 首行缩进:  2 字符 Char Char Char"/>
    <w:link w:val="494"/>
    <w:qFormat/>
    <w:uiPriority w:val="0"/>
    <w:rPr>
      <w:rFonts w:ascii="宋体"/>
      <w:kern w:val="2"/>
      <w:sz w:val="24"/>
    </w:rPr>
  </w:style>
  <w:style w:type="paragraph" w:customStyle="1" w:styleId="494">
    <w:name w:val="正文 + 首行缩进:  2 字符 Char Char"/>
    <w:basedOn w:val="1"/>
    <w:link w:val="493"/>
    <w:qFormat/>
    <w:uiPriority w:val="0"/>
    <w:pPr>
      <w:ind w:firstLine="480"/>
    </w:pPr>
    <w:rPr>
      <w:rFonts w:ascii="宋体"/>
    </w:rPr>
  </w:style>
  <w:style w:type="character" w:customStyle="1" w:styleId="495">
    <w:name w:val="ht1"/>
    <w:qFormat/>
    <w:uiPriority w:val="0"/>
    <w:rPr>
      <w:rFonts w:ascii="黑体" w:eastAsia="黑体"/>
      <w:b/>
      <w:bCs/>
    </w:rPr>
  </w:style>
  <w:style w:type="character" w:customStyle="1" w:styleId="496">
    <w:name w:val="样式1 Char Char Char Char Char Char Char"/>
    <w:link w:val="497"/>
    <w:qFormat/>
    <w:uiPriority w:val="0"/>
    <w:rPr>
      <w:rFonts w:ascii="宋体" w:hAnsi="宋体"/>
      <w:kern w:val="2"/>
      <w:sz w:val="24"/>
    </w:rPr>
  </w:style>
  <w:style w:type="paragraph" w:customStyle="1" w:styleId="497">
    <w:name w:val="样式1 Char Char Char Char Char Char"/>
    <w:basedOn w:val="73"/>
    <w:link w:val="496"/>
    <w:qFormat/>
    <w:uiPriority w:val="0"/>
    <w:pPr>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jc w:val="both"/>
      <w:textAlignment w:val="baseline"/>
    </w:pPr>
    <w:rPr>
      <w:rFonts w:ascii="宋体" w:hAnsi="宋体"/>
      <w:kern w:val="2"/>
      <w:sz w:val="24"/>
      <w:szCs w:val="20"/>
    </w:rPr>
  </w:style>
  <w:style w:type="character" w:customStyle="1" w:styleId="498">
    <w:name w:val="haydonli Char Char"/>
    <w:qFormat/>
    <w:uiPriority w:val="0"/>
    <w:rPr>
      <w:rFonts w:ascii="宋体" w:hAnsi="宋体" w:eastAsia="宋体"/>
      <w:snapToGrid w:val="0"/>
      <w:sz w:val="24"/>
      <w:szCs w:val="24"/>
      <w:lang w:val="en-US" w:eastAsia="zh-CN" w:bidi="ar-SA"/>
    </w:rPr>
  </w:style>
  <w:style w:type="character" w:customStyle="1" w:styleId="499">
    <w:name w:val="font01"/>
    <w:qFormat/>
    <w:uiPriority w:val="0"/>
    <w:rPr>
      <w:rFonts w:hint="eastAsia" w:ascii="宋体" w:hAnsi="宋体" w:eastAsia="宋体" w:cs="宋体"/>
      <w:color w:val="000000"/>
      <w:sz w:val="20"/>
      <w:szCs w:val="20"/>
      <w:u w:val="none"/>
    </w:rPr>
  </w:style>
  <w:style w:type="character" w:customStyle="1" w:styleId="500">
    <w:name w:val="样式15 Char Char"/>
    <w:link w:val="501"/>
    <w:qFormat/>
    <w:uiPriority w:val="0"/>
    <w:rPr>
      <w:rFonts w:ascii="宋体"/>
      <w:kern w:val="2"/>
      <w:sz w:val="24"/>
    </w:rPr>
  </w:style>
  <w:style w:type="paragraph" w:customStyle="1" w:styleId="501">
    <w:name w:val="样式15 Char"/>
    <w:basedOn w:val="1"/>
    <w:link w:val="500"/>
    <w:qFormat/>
    <w:uiPriority w:val="0"/>
    <w:pPr>
      <w:ind w:firstLine="600" w:firstLineChars="250"/>
    </w:pPr>
    <w:rPr>
      <w:rFonts w:ascii="宋体"/>
    </w:rPr>
  </w:style>
  <w:style w:type="character" w:customStyle="1" w:styleId="502">
    <w:name w:val="环科院正文 Char1"/>
    <w:semiHidden/>
    <w:qFormat/>
    <w:uiPriority w:val="0"/>
    <w:rPr>
      <w:rFonts w:ascii="宋体" w:hAnsi="宋体" w:eastAsia="宋体"/>
      <w:sz w:val="24"/>
      <w:szCs w:val="24"/>
      <w:lang w:val="en-US" w:eastAsia="zh-CN" w:bidi="ar-SA"/>
    </w:rPr>
  </w:style>
  <w:style w:type="character" w:customStyle="1" w:styleId="503">
    <w:name w:val="样式 样式 标题 1 + 首行缩进:  2 字符2 + 段前: 1 行 段后: 1 行 Char"/>
    <w:link w:val="504"/>
    <w:qFormat/>
    <w:uiPriority w:val="0"/>
    <w:rPr>
      <w:rFonts w:eastAsia="宋体" w:cs="宋体"/>
      <w:b/>
      <w:bCs/>
      <w:kern w:val="44"/>
      <w:sz w:val="30"/>
      <w:lang w:val="en-US" w:eastAsia="zh-CN" w:bidi="ar-SA"/>
    </w:rPr>
  </w:style>
  <w:style w:type="paragraph" w:customStyle="1" w:styleId="504">
    <w:name w:val="样式 样式 标题 1 + 首行缩进:  2 字符2 + 段前: 1 行 段后: 1 行"/>
    <w:basedOn w:val="1"/>
    <w:link w:val="503"/>
    <w:semiHidden/>
    <w:qFormat/>
    <w:uiPriority w:val="0"/>
    <w:pPr>
      <w:adjustRightInd w:val="0"/>
      <w:snapToGrid w:val="0"/>
      <w:spacing w:before="312" w:beforeLines="100" w:after="312" w:afterLines="100"/>
      <w:ind w:firstLine="0" w:firstLineChars="0"/>
      <w:jc w:val="center"/>
      <w:outlineLvl w:val="0"/>
    </w:pPr>
    <w:rPr>
      <w:rFonts w:cs="宋体"/>
      <w:b/>
      <w:bCs/>
      <w:kern w:val="44"/>
      <w:sz w:val="30"/>
    </w:rPr>
  </w:style>
  <w:style w:type="character" w:customStyle="1" w:styleId="505">
    <w:name w:val="文章正文 Char Char Char"/>
    <w:link w:val="506"/>
    <w:semiHidden/>
    <w:qFormat/>
    <w:uiPriority w:val="0"/>
    <w:rPr>
      <w:rFonts w:ascii="宋体" w:hAnsi="宋体"/>
      <w:kern w:val="2"/>
      <w:sz w:val="24"/>
      <w:szCs w:val="24"/>
    </w:rPr>
  </w:style>
  <w:style w:type="paragraph" w:customStyle="1" w:styleId="506">
    <w:name w:val="文章正文 Char Char"/>
    <w:basedOn w:val="1"/>
    <w:link w:val="505"/>
    <w:semiHidden/>
    <w:qFormat/>
    <w:uiPriority w:val="0"/>
    <w:pPr>
      <w:spacing w:line="520" w:lineRule="exact"/>
      <w:jc w:val="left"/>
    </w:pPr>
    <w:rPr>
      <w:rFonts w:ascii="宋体" w:hAnsi="宋体"/>
      <w:szCs w:val="24"/>
    </w:rPr>
  </w:style>
  <w:style w:type="character" w:customStyle="1" w:styleId="507">
    <w:name w:val="Char Char8"/>
    <w:semiHidden/>
    <w:qFormat/>
    <w:uiPriority w:val="0"/>
    <w:rPr>
      <w:rFonts w:ascii="Times New Roman" w:hAnsi="Times New Roman" w:eastAsia="宋体" w:cs="Times New Roman"/>
      <w:sz w:val="24"/>
      <w:szCs w:val="24"/>
    </w:rPr>
  </w:style>
  <w:style w:type="character" w:customStyle="1" w:styleId="508">
    <w:name w:val="样式8 Char Char Char Char"/>
    <w:link w:val="509"/>
    <w:qFormat/>
    <w:uiPriority w:val="0"/>
    <w:rPr>
      <w:rFonts w:ascii="宋体"/>
      <w:kern w:val="2"/>
      <w:sz w:val="24"/>
    </w:rPr>
  </w:style>
  <w:style w:type="paragraph" w:customStyle="1" w:styleId="509">
    <w:name w:val="样式8 Char Char Char"/>
    <w:basedOn w:val="1"/>
    <w:link w:val="508"/>
    <w:qFormat/>
    <w:uiPriority w:val="0"/>
    <w:pPr>
      <w:ind w:firstLine="557" w:firstLineChars="232"/>
    </w:pPr>
    <w:rPr>
      <w:rFonts w:ascii="宋体"/>
    </w:rPr>
  </w:style>
  <w:style w:type="character" w:customStyle="1" w:styleId="510">
    <w:name w:val="魏秀珍   正文 Char"/>
    <w:link w:val="511"/>
    <w:qFormat/>
    <w:uiPriority w:val="0"/>
    <w:rPr>
      <w:rFonts w:ascii="Calibri" w:hAnsi="Calibri"/>
      <w:sz w:val="24"/>
      <w:lang w:val="en-GB"/>
    </w:rPr>
  </w:style>
  <w:style w:type="paragraph" w:customStyle="1" w:styleId="511">
    <w:name w:val="魏秀珍   正文"/>
    <w:basedOn w:val="8"/>
    <w:link w:val="510"/>
    <w:qFormat/>
    <w:uiPriority w:val="0"/>
    <w:pPr>
      <w:adjustRightInd w:val="0"/>
      <w:snapToGrid w:val="0"/>
      <w:ind w:firstLine="480"/>
      <w:jc w:val="left"/>
    </w:pPr>
    <w:rPr>
      <w:rFonts w:ascii="Calibri" w:hAnsi="Calibri"/>
      <w:kern w:val="0"/>
      <w:lang w:val="en-GB"/>
    </w:rPr>
  </w:style>
  <w:style w:type="character" w:customStyle="1" w:styleId="512">
    <w:name w:val="表格内正文 Char1"/>
    <w:link w:val="513"/>
    <w:qFormat/>
    <w:uiPriority w:val="0"/>
    <w:rPr>
      <w:rFonts w:ascii="宋体" w:hAnsi="宋体"/>
      <w:spacing w:val="4"/>
      <w:kern w:val="18"/>
      <w:sz w:val="24"/>
      <w:szCs w:val="24"/>
    </w:rPr>
  </w:style>
  <w:style w:type="paragraph" w:customStyle="1" w:styleId="513">
    <w:name w:val="表格内正文"/>
    <w:basedOn w:val="1"/>
    <w:link w:val="512"/>
    <w:qFormat/>
    <w:uiPriority w:val="0"/>
    <w:pPr>
      <w:ind w:firstLine="493" w:firstLineChars="0"/>
    </w:pPr>
    <w:rPr>
      <w:rFonts w:ascii="宋体" w:hAnsi="宋体"/>
      <w:spacing w:val="4"/>
      <w:kern w:val="18"/>
      <w:szCs w:val="24"/>
    </w:rPr>
  </w:style>
  <w:style w:type="character" w:customStyle="1" w:styleId="514">
    <w:name w:val="hj-easyread-speakerprocesser-position-action-icon"/>
    <w:qFormat/>
    <w:uiPriority w:val="0"/>
  </w:style>
  <w:style w:type="character" w:customStyle="1" w:styleId="515">
    <w:name w:val="表格、图表名称 Char"/>
    <w:link w:val="516"/>
    <w:qFormat/>
    <w:uiPriority w:val="0"/>
    <w:rPr>
      <w:b/>
      <w:kern w:val="2"/>
      <w:sz w:val="24"/>
      <w:szCs w:val="22"/>
    </w:rPr>
  </w:style>
  <w:style w:type="paragraph" w:customStyle="1" w:styleId="516">
    <w:name w:val="表格、图表名称"/>
    <w:basedOn w:val="1"/>
    <w:link w:val="515"/>
    <w:qFormat/>
    <w:uiPriority w:val="0"/>
    <w:pPr>
      <w:spacing w:line="240" w:lineRule="auto"/>
      <w:ind w:firstLine="0" w:firstLineChars="0"/>
      <w:jc w:val="center"/>
    </w:pPr>
    <w:rPr>
      <w:b/>
      <w:szCs w:val="22"/>
    </w:rPr>
  </w:style>
  <w:style w:type="character" w:customStyle="1" w:styleId="517">
    <w:name w:val="标题 33 Char Char"/>
    <w:qFormat/>
    <w:uiPriority w:val="0"/>
    <w:rPr>
      <w:rFonts w:ascii="宋体" w:hAnsi="宋体" w:eastAsia="宋体"/>
      <w:kern w:val="2"/>
      <w:sz w:val="28"/>
      <w:lang w:val="en-US" w:eastAsia="zh-CN"/>
    </w:rPr>
  </w:style>
  <w:style w:type="character" w:customStyle="1" w:styleId="518">
    <w:name w:val="Char Char4"/>
    <w:qFormat/>
    <w:uiPriority w:val="0"/>
    <w:rPr>
      <w:rFonts w:eastAsia="宋体"/>
      <w:kern w:val="2"/>
      <w:sz w:val="21"/>
      <w:szCs w:val="24"/>
      <w:lang w:val="en-US" w:eastAsia="zh-CN" w:bidi="ar-SA"/>
    </w:rPr>
  </w:style>
  <w:style w:type="character" w:customStyle="1" w:styleId="519">
    <w:name w:val="正文样式1 Char Char1 Char Char Char Char"/>
    <w:link w:val="520"/>
    <w:qFormat/>
    <w:uiPriority w:val="0"/>
    <w:rPr>
      <w:snapToGrid w:val="0"/>
      <w:position w:val="-12"/>
      <w:sz w:val="24"/>
      <w:szCs w:val="24"/>
    </w:rPr>
  </w:style>
  <w:style w:type="paragraph" w:customStyle="1" w:styleId="520">
    <w:name w:val="正文样式1 Char Char1 Char Char Char"/>
    <w:basedOn w:val="1"/>
    <w:link w:val="519"/>
    <w:qFormat/>
    <w:uiPriority w:val="0"/>
    <w:pPr>
      <w:adjustRightInd w:val="0"/>
      <w:spacing w:before="31" w:beforeLines="10" w:after="31" w:afterLines="10" w:line="312" w:lineRule="auto"/>
      <w:textAlignment w:val="baseline"/>
    </w:pPr>
    <w:rPr>
      <w:snapToGrid w:val="0"/>
      <w:kern w:val="0"/>
      <w:position w:val="-12"/>
      <w:szCs w:val="24"/>
    </w:rPr>
  </w:style>
  <w:style w:type="character" w:customStyle="1" w:styleId="521">
    <w:name w:val="img_descr"/>
    <w:qFormat/>
    <w:uiPriority w:val="0"/>
  </w:style>
  <w:style w:type="character" w:customStyle="1" w:styleId="522">
    <w:name w:val="样式 自动A + Char Char Char"/>
    <w:link w:val="523"/>
    <w:qFormat/>
    <w:uiPriority w:val="0"/>
    <w:rPr>
      <w:rFonts w:ascii="宋体"/>
      <w:color w:val="000000"/>
      <w:kern w:val="2"/>
      <w:sz w:val="24"/>
    </w:rPr>
  </w:style>
  <w:style w:type="paragraph" w:customStyle="1" w:styleId="523">
    <w:name w:val="样式 自动A + Char Char"/>
    <w:basedOn w:val="151"/>
    <w:link w:val="522"/>
    <w:qFormat/>
    <w:uiPriority w:val="0"/>
    <w:pPr>
      <w:spacing w:before="156" w:beforeLines="50" w:after="156" w:afterLines="50"/>
    </w:pPr>
  </w:style>
  <w:style w:type="character" w:customStyle="1" w:styleId="524">
    <w:name w:val="Char Char5"/>
    <w:qFormat/>
    <w:locked/>
    <w:uiPriority w:val="0"/>
    <w:rPr>
      <w:rFonts w:eastAsia="宋体"/>
      <w:b/>
      <w:bCs/>
      <w:kern w:val="2"/>
      <w:sz w:val="32"/>
      <w:szCs w:val="32"/>
      <w:lang w:val="en-US" w:eastAsia="zh-CN" w:bidi="ar-SA"/>
    </w:rPr>
  </w:style>
  <w:style w:type="character" w:customStyle="1" w:styleId="525">
    <w:name w:val="样式 标题 4 + 宋体 小四 非加粗 Char Char Char"/>
    <w:link w:val="526"/>
    <w:qFormat/>
    <w:uiPriority w:val="0"/>
    <w:rPr>
      <w:rFonts w:ascii="宋体" w:hAnsi="宋体"/>
      <w:kern w:val="2"/>
      <w:sz w:val="24"/>
    </w:rPr>
  </w:style>
  <w:style w:type="paragraph" w:customStyle="1" w:styleId="526">
    <w:name w:val="样式 标题 4 + 宋体 小四 非加粗 Char Char"/>
    <w:basedOn w:val="9"/>
    <w:link w:val="525"/>
    <w:qFormat/>
    <w:uiPriority w:val="0"/>
    <w:pPr>
      <w:tabs>
        <w:tab w:val="left" w:pos="1680"/>
      </w:tabs>
      <w:spacing w:before="280" w:after="290" w:line="374" w:lineRule="auto"/>
      <w:ind w:left="1680" w:hanging="420"/>
    </w:pPr>
    <w:rPr>
      <w:rFonts w:ascii="宋体" w:hAnsi="宋体" w:eastAsia="宋体"/>
      <w:kern w:val="2"/>
    </w:rPr>
  </w:style>
  <w:style w:type="character" w:customStyle="1" w:styleId="527">
    <w:name w:val="二号标题样式 Char Char Char Char Char Char1"/>
    <w:link w:val="528"/>
    <w:qFormat/>
    <w:uiPriority w:val="0"/>
    <w:rPr>
      <w:rFonts w:ascii="Arial" w:hAnsi="Arial" w:eastAsia="黑体" w:cs="宋体"/>
      <w:kern w:val="2"/>
      <w:sz w:val="28"/>
    </w:rPr>
  </w:style>
  <w:style w:type="paragraph" w:customStyle="1" w:styleId="528">
    <w:name w:val="二号标题样式 Char Char Char Char Char2"/>
    <w:basedOn w:val="488"/>
    <w:link w:val="527"/>
    <w:qFormat/>
    <w:uiPriority w:val="0"/>
    <w:pPr>
      <w:spacing w:before="156" w:beforeLines="50" w:after="156" w:afterLines="50"/>
    </w:pPr>
    <w:rPr>
      <w:rFonts w:cs="Times New Roman"/>
      <w:bCs w:val="0"/>
      <w:szCs w:val="20"/>
    </w:rPr>
  </w:style>
  <w:style w:type="character" w:customStyle="1" w:styleId="529">
    <w:name w:val="表的标题 Char"/>
    <w:link w:val="530"/>
    <w:qFormat/>
    <w:uiPriority w:val="0"/>
    <w:rPr>
      <w:rFonts w:eastAsia="黑体" w:cs="宋体"/>
      <w:kern w:val="2"/>
      <w:sz w:val="24"/>
      <w:lang w:val="en-US" w:eastAsia="zh-CN" w:bidi="ar-SA"/>
    </w:rPr>
  </w:style>
  <w:style w:type="paragraph" w:customStyle="1" w:styleId="530">
    <w:name w:val="表的标题"/>
    <w:basedOn w:val="1"/>
    <w:next w:val="434"/>
    <w:link w:val="529"/>
    <w:qFormat/>
    <w:uiPriority w:val="0"/>
    <w:pPr>
      <w:adjustRightInd w:val="0"/>
      <w:snapToGrid w:val="0"/>
      <w:spacing w:before="156" w:beforeLines="50" w:line="240" w:lineRule="auto"/>
      <w:ind w:firstLine="0" w:firstLineChars="0"/>
      <w:jc w:val="center"/>
    </w:pPr>
    <w:rPr>
      <w:rFonts w:eastAsia="黑体" w:cs="宋体"/>
    </w:rPr>
  </w:style>
  <w:style w:type="character" w:customStyle="1" w:styleId="531">
    <w:name w:val="二号标题样式 Char"/>
    <w:link w:val="532"/>
    <w:qFormat/>
    <w:uiPriority w:val="0"/>
    <w:rPr>
      <w:rFonts w:ascii="Arial" w:hAnsi="Arial" w:eastAsia="黑体" w:cs="宋体"/>
      <w:kern w:val="2"/>
      <w:sz w:val="28"/>
    </w:rPr>
  </w:style>
  <w:style w:type="paragraph" w:customStyle="1" w:styleId="532">
    <w:name w:val="二号标题样式"/>
    <w:basedOn w:val="488"/>
    <w:link w:val="531"/>
    <w:qFormat/>
    <w:uiPriority w:val="0"/>
    <w:pPr>
      <w:spacing w:before="156" w:beforeLines="50" w:after="156" w:afterLines="50"/>
    </w:pPr>
    <w:rPr>
      <w:rFonts w:cs="Times New Roman"/>
      <w:bCs w:val="0"/>
      <w:szCs w:val="20"/>
    </w:rPr>
  </w:style>
  <w:style w:type="character" w:customStyle="1" w:styleId="533">
    <w:name w:val="环科院正文 Char Char"/>
    <w:qFormat/>
    <w:uiPriority w:val="0"/>
    <w:rPr>
      <w:rFonts w:eastAsia="宋体"/>
      <w:kern w:val="2"/>
      <w:sz w:val="24"/>
      <w:szCs w:val="24"/>
      <w:lang w:val="en-US" w:eastAsia="zh-CN" w:bidi="ar-SA"/>
    </w:rPr>
  </w:style>
  <w:style w:type="character" w:customStyle="1" w:styleId="534">
    <w:name w:val="fontxs1"/>
    <w:semiHidden/>
    <w:qFormat/>
    <w:uiPriority w:val="0"/>
    <w:rPr>
      <w:rFonts w:hint="default" w:ascii="Ђˎ̥" w:hAnsi="Ђˎ̥"/>
      <w:sz w:val="18"/>
      <w:szCs w:val="18"/>
    </w:rPr>
  </w:style>
  <w:style w:type="character" w:customStyle="1" w:styleId="535">
    <w:name w:val="style121"/>
    <w:qFormat/>
    <w:uiPriority w:val="0"/>
    <w:rPr>
      <w:b/>
      <w:bCs/>
      <w:sz w:val="24"/>
      <w:szCs w:val="24"/>
      <w:u w:val="none"/>
    </w:rPr>
  </w:style>
  <w:style w:type="character" w:customStyle="1" w:styleId="536">
    <w:name w:val="bodytext11"/>
    <w:semiHidden/>
    <w:qFormat/>
    <w:uiPriority w:val="0"/>
    <w:rPr>
      <w:rFonts w:hint="default" w:ascii="Arial" w:hAnsi="Arial"/>
      <w:color w:val="4B4B4B"/>
      <w:sz w:val="18"/>
    </w:rPr>
  </w:style>
  <w:style w:type="character" w:customStyle="1" w:styleId="537">
    <w:name w:val="正文样式1 Char1"/>
    <w:link w:val="538"/>
    <w:qFormat/>
    <w:uiPriority w:val="0"/>
    <w:rPr>
      <w:snapToGrid w:val="0"/>
      <w:kern w:val="2"/>
      <w:position w:val="-12"/>
      <w:sz w:val="24"/>
      <w:szCs w:val="24"/>
    </w:rPr>
  </w:style>
  <w:style w:type="paragraph" w:customStyle="1" w:styleId="538">
    <w:name w:val="正文样式1"/>
    <w:basedOn w:val="1"/>
    <w:link w:val="537"/>
    <w:qFormat/>
    <w:uiPriority w:val="0"/>
    <w:pPr>
      <w:adjustRightInd w:val="0"/>
      <w:spacing w:before="31" w:beforeLines="10" w:after="31" w:afterLines="10" w:line="312" w:lineRule="auto"/>
      <w:textAlignment w:val="baseline"/>
    </w:pPr>
    <w:rPr>
      <w:snapToGrid w:val="0"/>
      <w:position w:val="-12"/>
      <w:szCs w:val="24"/>
    </w:rPr>
  </w:style>
  <w:style w:type="character" w:customStyle="1" w:styleId="539">
    <w:name w:val="样式 样式 样式 首行缩进:  2 字符 + 居中 + 行距: 固定值 17 磅 Char"/>
    <w:link w:val="540"/>
    <w:qFormat/>
    <w:uiPriority w:val="0"/>
    <w:rPr>
      <w:rFonts w:eastAsia="宋体" w:cs="宋体"/>
      <w:color w:val="000000"/>
      <w:kern w:val="2"/>
      <w:sz w:val="21"/>
      <w:lang w:val="en-US" w:eastAsia="zh-CN" w:bidi="ar-SA"/>
    </w:rPr>
  </w:style>
  <w:style w:type="paragraph" w:customStyle="1" w:styleId="540">
    <w:name w:val="样式 样式 样式 首行缩进:  2 字符 + 居中 + 行距: 固定值 17 磅"/>
    <w:basedOn w:val="1"/>
    <w:link w:val="539"/>
    <w:qFormat/>
    <w:uiPriority w:val="0"/>
    <w:pPr>
      <w:adjustRightInd w:val="0"/>
      <w:snapToGrid w:val="0"/>
      <w:spacing w:line="340" w:lineRule="exact"/>
      <w:ind w:firstLine="0" w:firstLineChars="0"/>
      <w:jc w:val="center"/>
      <w:outlineLvl w:val="2"/>
    </w:pPr>
    <w:rPr>
      <w:rFonts w:cs="宋体"/>
      <w:color w:val="000000"/>
      <w:sz w:val="21"/>
    </w:rPr>
  </w:style>
  <w:style w:type="character" w:customStyle="1" w:styleId="541">
    <w:name w:val="style27"/>
    <w:qFormat/>
    <w:uiPriority w:val="0"/>
  </w:style>
  <w:style w:type="character" w:customStyle="1" w:styleId="542">
    <w:name w:val="图字体 Char Char Char"/>
    <w:link w:val="543"/>
    <w:qFormat/>
    <w:uiPriority w:val="0"/>
    <w:rPr>
      <w:kern w:val="2"/>
      <w:sz w:val="24"/>
      <w:szCs w:val="24"/>
    </w:rPr>
  </w:style>
  <w:style w:type="paragraph" w:customStyle="1" w:styleId="543">
    <w:name w:val="图字体 Char Char"/>
    <w:basedOn w:val="1"/>
    <w:link w:val="542"/>
    <w:qFormat/>
    <w:uiPriority w:val="0"/>
    <w:pPr>
      <w:snapToGrid w:val="0"/>
      <w:ind w:firstLine="0" w:firstLineChars="0"/>
      <w:jc w:val="center"/>
      <w:textAlignment w:val="center"/>
    </w:pPr>
    <w:rPr>
      <w:szCs w:val="24"/>
    </w:rPr>
  </w:style>
  <w:style w:type="paragraph" w:customStyle="1" w:styleId="544">
    <w:name w:val="Char Char Char Char Char Char1 Char Char Char1 Char Char Char Char"/>
    <w:basedOn w:val="1"/>
    <w:semiHidden/>
    <w:qFormat/>
    <w:uiPriority w:val="0"/>
    <w:pPr>
      <w:widowControl/>
      <w:spacing w:line="400" w:lineRule="exact"/>
      <w:ind w:firstLine="0" w:firstLineChars="0"/>
    </w:pPr>
    <w:rPr>
      <w:rFonts w:ascii="宋体" w:hAnsi="宋体"/>
      <w:kern w:val="0"/>
      <w:sz w:val="21"/>
    </w:rPr>
  </w:style>
  <w:style w:type="paragraph" w:customStyle="1" w:styleId="545">
    <w:name w:val="样式 标题 4 + 宋体 小四 非加粗 Char"/>
    <w:basedOn w:val="9"/>
    <w:qFormat/>
    <w:uiPriority w:val="0"/>
    <w:pPr>
      <w:tabs>
        <w:tab w:val="left" w:pos="1680"/>
      </w:tabs>
      <w:spacing w:before="280" w:after="290" w:line="374" w:lineRule="auto"/>
      <w:ind w:left="1680" w:hanging="420"/>
    </w:pPr>
    <w:rPr>
      <w:rFonts w:ascii="宋体" w:hAnsi="宋体" w:eastAsia="宋体"/>
      <w:kern w:val="2"/>
    </w:rPr>
  </w:style>
  <w:style w:type="paragraph" w:customStyle="1" w:styleId="546">
    <w:name w:val="图片"/>
    <w:basedOn w:val="1"/>
    <w:qFormat/>
    <w:uiPriority w:val="0"/>
    <w:pPr>
      <w:spacing w:line="440" w:lineRule="exact"/>
      <w:ind w:firstLine="0" w:firstLineChars="0"/>
    </w:pPr>
  </w:style>
  <w:style w:type="paragraph" w:customStyle="1" w:styleId="547">
    <w:name w:val="Char Char11"/>
    <w:basedOn w:val="1"/>
    <w:qFormat/>
    <w:uiPriority w:val="0"/>
    <w:rPr>
      <w:rFonts w:ascii="宋体" w:hAnsi="宋体"/>
    </w:rPr>
  </w:style>
  <w:style w:type="paragraph" w:customStyle="1" w:styleId="548">
    <w:name w:val="xl45"/>
    <w:basedOn w:val="1"/>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rPr>
  </w:style>
  <w:style w:type="paragraph" w:customStyle="1" w:styleId="549">
    <w:name w:val="样式42"/>
    <w:basedOn w:val="1"/>
    <w:qFormat/>
    <w:uiPriority w:val="0"/>
    <w:pPr>
      <w:ind w:firstLine="480"/>
    </w:pPr>
    <w:rPr>
      <w:rFonts w:ascii="宋体"/>
    </w:rPr>
  </w:style>
  <w:style w:type="paragraph" w:customStyle="1" w:styleId="550">
    <w:name w:val="样式 一号标题 + 段前: 0 磅 段后: 0 磅 行距: 固定值 25 磅"/>
    <w:basedOn w:val="551"/>
    <w:qFormat/>
    <w:uiPriority w:val="0"/>
    <w:pPr>
      <w:spacing w:before="156" w:beforeLines="50" w:after="156" w:afterLines="50" w:line="240" w:lineRule="auto"/>
    </w:pPr>
    <w:rPr>
      <w:rFonts w:cs="宋体"/>
      <w:szCs w:val="20"/>
    </w:rPr>
  </w:style>
  <w:style w:type="paragraph" w:customStyle="1" w:styleId="551">
    <w:name w:val="一号标题"/>
    <w:basedOn w:val="6"/>
    <w:qFormat/>
    <w:uiPriority w:val="0"/>
    <w:pPr>
      <w:spacing w:before="240" w:after="240" w:line="520" w:lineRule="exact"/>
    </w:pPr>
    <w:rPr>
      <w:rFonts w:ascii="Arial" w:hAnsi="Arial" w:eastAsia="黑体"/>
      <w:b w:val="0"/>
      <w:sz w:val="32"/>
      <w:szCs w:val="32"/>
    </w:rPr>
  </w:style>
  <w:style w:type="paragraph" w:customStyle="1" w:styleId="552">
    <w:name w:val="目录 11"/>
    <w:basedOn w:val="335"/>
    <w:next w:val="335"/>
    <w:qFormat/>
    <w:uiPriority w:val="0"/>
    <w:pPr>
      <w:tabs>
        <w:tab w:val="right" w:leader="dot" w:pos="8306"/>
      </w:tabs>
      <w:adjustRightInd w:val="0"/>
      <w:spacing w:before="120" w:after="120" w:line="360" w:lineRule="atLeast"/>
      <w:ind w:firstLine="0" w:firstLineChars="0"/>
      <w:textAlignment w:val="baseline"/>
    </w:pPr>
    <w:rPr>
      <w:rFonts w:ascii="宋体" w:hAnsi="Times New Roman"/>
      <w:caps/>
      <w:kern w:val="0"/>
      <w:sz w:val="30"/>
      <w:szCs w:val="20"/>
    </w:rPr>
  </w:style>
  <w:style w:type="paragraph" w:customStyle="1" w:styleId="553">
    <w:name w:val="普通段落"/>
    <w:basedOn w:val="1"/>
    <w:qFormat/>
    <w:uiPriority w:val="0"/>
    <w:pPr>
      <w:adjustRightInd w:val="0"/>
      <w:snapToGrid w:val="0"/>
      <w:spacing w:before="156" w:beforeLines="50" w:line="500" w:lineRule="exact"/>
    </w:pPr>
    <w:rPr>
      <w:szCs w:val="24"/>
    </w:rPr>
  </w:style>
  <w:style w:type="paragraph" w:customStyle="1" w:styleId="554">
    <w:name w:val="图标题"/>
    <w:basedOn w:val="1"/>
    <w:qFormat/>
    <w:uiPriority w:val="0"/>
    <w:pPr>
      <w:snapToGrid w:val="0"/>
      <w:spacing w:after="312" w:afterLines="100" w:line="240" w:lineRule="auto"/>
      <w:ind w:firstLine="0" w:firstLineChars="0"/>
      <w:jc w:val="center"/>
      <w:textAlignment w:val="center"/>
    </w:pPr>
    <w:rPr>
      <w:sz w:val="28"/>
      <w:szCs w:val="28"/>
    </w:rPr>
  </w:style>
  <w:style w:type="paragraph" w:customStyle="1" w:styleId="555">
    <w:name w:val="样式 宋体 居中"/>
    <w:basedOn w:val="1"/>
    <w:qFormat/>
    <w:uiPriority w:val="0"/>
    <w:pPr>
      <w:adjustRightInd w:val="0"/>
      <w:ind w:firstLine="0" w:firstLineChars="0"/>
      <w:jc w:val="center"/>
      <w:textAlignment w:val="baseline"/>
    </w:pPr>
    <w:rPr>
      <w:rFonts w:ascii="宋体" w:hAnsi="宋体"/>
      <w:kern w:val="21"/>
    </w:rPr>
  </w:style>
  <w:style w:type="paragraph" w:customStyle="1" w:styleId="556">
    <w:name w:val="xl22"/>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kern w:val="0"/>
    </w:rPr>
  </w:style>
  <w:style w:type="paragraph" w:customStyle="1" w:styleId="557">
    <w:name w:val="样式60"/>
    <w:basedOn w:val="558"/>
    <w:qFormat/>
    <w:uiPriority w:val="0"/>
  </w:style>
  <w:style w:type="paragraph" w:customStyle="1" w:styleId="558">
    <w:name w:val="样式43"/>
    <w:basedOn w:val="1"/>
    <w:qFormat/>
    <w:uiPriority w:val="0"/>
    <w:pPr>
      <w:ind w:firstLine="480"/>
    </w:pPr>
    <w:rPr>
      <w:rFonts w:ascii="宋体"/>
      <w:snapToGrid w:val="0"/>
      <w:lang w:val="zh-CN"/>
    </w:rPr>
  </w:style>
  <w:style w:type="paragraph" w:customStyle="1" w:styleId="559">
    <w:name w:val="标题 22"/>
    <w:basedOn w:val="5"/>
    <w:qFormat/>
    <w:uiPriority w:val="0"/>
    <w:pPr>
      <w:pageBreakBefore/>
      <w:numPr>
        <w:numId w:val="0"/>
      </w:numPr>
      <w:spacing w:before="156" w:beforeLines="50" w:after="156" w:afterLines="50" w:line="240" w:lineRule="auto"/>
    </w:pPr>
    <w:rPr>
      <w:rFonts w:ascii="Times New Roman" w:eastAsia="黑体"/>
      <w:bCs/>
      <w:kern w:val="44"/>
      <w:sz w:val="24"/>
      <w:szCs w:val="44"/>
    </w:rPr>
  </w:style>
  <w:style w:type="paragraph" w:customStyle="1" w:styleId="560">
    <w:name w:val="表内"/>
    <w:basedOn w:val="1"/>
    <w:qFormat/>
    <w:uiPriority w:val="0"/>
    <w:pPr>
      <w:spacing w:line="340" w:lineRule="exact"/>
      <w:ind w:firstLine="0" w:firstLineChars="0"/>
      <w:jc w:val="center"/>
    </w:pPr>
    <w:rPr>
      <w:sz w:val="21"/>
      <w:szCs w:val="24"/>
    </w:rPr>
  </w:style>
  <w:style w:type="paragraph" w:customStyle="1" w:styleId="561">
    <w:name w:val="Char Char Char Char Char Char Char Char1 Char Char Char Char5"/>
    <w:basedOn w:val="1"/>
    <w:qFormat/>
    <w:uiPriority w:val="0"/>
    <w:pPr>
      <w:spacing w:line="240" w:lineRule="auto"/>
      <w:ind w:firstLine="0" w:firstLineChars="0"/>
    </w:pPr>
    <w:rPr>
      <w:sz w:val="21"/>
      <w:szCs w:val="24"/>
    </w:rPr>
  </w:style>
  <w:style w:type="paragraph" w:customStyle="1" w:styleId="562">
    <w:name w:val="蓝色居中5"/>
    <w:basedOn w:val="1"/>
    <w:qFormat/>
    <w:uiPriority w:val="0"/>
    <w:pPr>
      <w:autoSpaceDE w:val="0"/>
      <w:autoSpaceDN w:val="0"/>
      <w:snapToGrid w:val="0"/>
      <w:spacing w:line="240" w:lineRule="atLeast"/>
      <w:ind w:firstLine="567" w:firstLineChars="0"/>
      <w:jc w:val="center"/>
    </w:pPr>
    <w:rPr>
      <w:b/>
      <w:color w:val="000080"/>
      <w:spacing w:val="60"/>
    </w:rPr>
  </w:style>
  <w:style w:type="paragraph" w:customStyle="1" w:styleId="563">
    <w:name w:val="标题 311"/>
    <w:basedOn w:val="564"/>
    <w:next w:val="564"/>
    <w:qFormat/>
    <w:uiPriority w:val="0"/>
    <w:pPr>
      <w:keepNext/>
      <w:keepLines/>
      <w:spacing w:before="260" w:after="260" w:line="416" w:lineRule="atLeast"/>
      <w:jc w:val="both"/>
    </w:pPr>
    <w:rPr>
      <w:b/>
      <w:sz w:val="32"/>
    </w:rPr>
  </w:style>
  <w:style w:type="paragraph" w:customStyle="1" w:styleId="564">
    <w:name w:val="正文2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565">
    <w:name w:val="表格（一）"/>
    <w:basedOn w:val="1"/>
    <w:qFormat/>
    <w:uiPriority w:val="0"/>
    <w:pPr>
      <w:autoSpaceDN w:val="0"/>
      <w:adjustRightInd w:val="0"/>
      <w:snapToGrid w:val="0"/>
      <w:spacing w:line="240" w:lineRule="auto"/>
      <w:ind w:firstLine="0" w:firstLineChars="0"/>
      <w:jc w:val="center"/>
    </w:pPr>
    <w:rPr>
      <w:rFonts w:ascii="宋体" w:hAnsi="宋体"/>
      <w:spacing w:val="14"/>
      <w:sz w:val="21"/>
      <w:szCs w:val="24"/>
    </w:rPr>
  </w:style>
  <w:style w:type="paragraph" w:customStyle="1" w:styleId="566">
    <w:name w:val="样式 正文首行缩进正文首行缩进 Char + 首行缩进:  1 字符1"/>
    <w:basedOn w:val="81"/>
    <w:qFormat/>
    <w:uiPriority w:val="0"/>
    <w:pPr>
      <w:widowControl/>
      <w:ind w:firstLine="100"/>
      <w:jc w:val="left"/>
    </w:pPr>
    <w:rPr>
      <w:rFonts w:cs="宋体"/>
      <w:kern w:val="0"/>
    </w:rPr>
  </w:style>
  <w:style w:type="paragraph" w:customStyle="1" w:styleId="567">
    <w:name w:val="6表(图)头(治)"/>
    <w:next w:val="1"/>
    <w:semiHidden/>
    <w:qFormat/>
    <w:uiPriority w:val="0"/>
    <w:pPr>
      <w:widowControl w:val="0"/>
      <w:jc w:val="center"/>
    </w:pPr>
    <w:rPr>
      <w:rFonts w:ascii="Times New Roman" w:hAnsi="Times New Roman" w:eastAsia="黑体" w:cs="Times New Roman"/>
      <w:sz w:val="28"/>
      <w:lang w:val="en-US" w:eastAsia="zh-CN" w:bidi="ar-SA"/>
    </w:rPr>
  </w:style>
  <w:style w:type="paragraph" w:customStyle="1" w:styleId="568">
    <w:name w:val="样式 表格文字 + 段后: 6 磅 左  2 字符1"/>
    <w:basedOn w:val="387"/>
    <w:next w:val="387"/>
    <w:qFormat/>
    <w:uiPriority w:val="0"/>
    <w:rPr>
      <w:rFonts w:cs="宋体"/>
    </w:rPr>
  </w:style>
  <w:style w:type="paragraph" w:customStyle="1" w:styleId="569">
    <w:name w:val="缩进正文"/>
    <w:basedOn w:val="3"/>
    <w:qFormat/>
    <w:uiPriority w:val="0"/>
    <w:pPr>
      <w:adjustRightInd w:val="0"/>
      <w:snapToGrid w:val="0"/>
      <w:spacing w:after="0" w:line="420" w:lineRule="exact"/>
      <w:ind w:left="0" w:leftChars="0" w:firstLine="567" w:firstLineChars="0"/>
    </w:pPr>
    <w:rPr>
      <w:rFonts w:ascii="宋体" w:hAnsi="Juice ITC"/>
      <w:sz w:val="28"/>
    </w:rPr>
  </w:style>
  <w:style w:type="paragraph" w:customStyle="1" w:styleId="570">
    <w:name w:val="图表头"/>
    <w:basedOn w:val="1"/>
    <w:qFormat/>
    <w:uiPriority w:val="0"/>
    <w:pPr>
      <w:adjustRightInd w:val="0"/>
      <w:ind w:firstLine="0" w:firstLineChars="0"/>
      <w:jc w:val="center"/>
      <w:textAlignment w:val="baseline"/>
    </w:pPr>
    <w:rPr>
      <w:rFonts w:ascii="黑体" w:eastAsia="黑体"/>
      <w:spacing w:val="5"/>
      <w:kern w:val="0"/>
      <w:sz w:val="21"/>
    </w:rPr>
  </w:style>
  <w:style w:type="paragraph" w:customStyle="1" w:styleId="571">
    <w:name w:val="font12"/>
    <w:basedOn w:val="1"/>
    <w:qFormat/>
    <w:uiPriority w:val="0"/>
    <w:pPr>
      <w:widowControl/>
      <w:spacing w:before="100" w:beforeAutospacing="1" w:after="100" w:afterAutospacing="1" w:line="240" w:lineRule="auto"/>
      <w:ind w:firstLine="0" w:firstLineChars="0"/>
      <w:jc w:val="left"/>
    </w:pPr>
    <w:rPr>
      <w:rFonts w:hint="eastAsia" w:ascii="宋体" w:hAnsi="宋体"/>
      <w:color w:val="FF00FF"/>
      <w:kern w:val="0"/>
      <w:sz w:val="20"/>
    </w:rPr>
  </w:style>
  <w:style w:type="paragraph" w:customStyle="1" w:styleId="572">
    <w:name w:val="样式34"/>
    <w:basedOn w:val="573"/>
    <w:qFormat/>
    <w:uiPriority w:val="0"/>
    <w:pPr>
      <w:spacing w:line="360" w:lineRule="auto"/>
      <w:ind w:firstLine="480" w:firstLineChars="200"/>
    </w:pPr>
    <w:rPr>
      <w:rFonts w:ascii="Times New Roman" w:cs="Times New Roman"/>
      <w:color w:val="auto"/>
      <w:szCs w:val="20"/>
    </w:rPr>
  </w:style>
  <w:style w:type="paragraph" w:customStyle="1" w:styleId="57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74">
    <w:name w:val="环科院正文加粗"/>
    <w:basedOn w:val="415"/>
    <w:qFormat/>
    <w:uiPriority w:val="0"/>
  </w:style>
  <w:style w:type="paragraph" w:customStyle="1" w:styleId="575">
    <w:name w:val="xl64"/>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 w:val="22"/>
    </w:rPr>
  </w:style>
  <w:style w:type="paragraph" w:customStyle="1" w:styleId="576">
    <w:name w:val="环科院无编号标题1"/>
    <w:basedOn w:val="5"/>
    <w:semiHidden/>
    <w:qFormat/>
    <w:uiPriority w:val="0"/>
    <w:pPr>
      <w:numPr>
        <w:numId w:val="0"/>
      </w:numPr>
      <w:spacing w:after="0" w:line="240" w:lineRule="auto"/>
      <w:jc w:val="both"/>
    </w:pPr>
    <w:rPr>
      <w:rFonts w:ascii="Times New Roman" w:eastAsia="华文中宋"/>
      <w:bCs/>
      <w:kern w:val="44"/>
      <w:sz w:val="44"/>
      <w:szCs w:val="44"/>
    </w:rPr>
  </w:style>
  <w:style w:type="paragraph" w:customStyle="1" w:styleId="577">
    <w:name w:val="标题 72"/>
    <w:basedOn w:val="578"/>
    <w:next w:val="578"/>
    <w:qFormat/>
    <w:uiPriority w:val="0"/>
    <w:pPr>
      <w:keepNext/>
      <w:keepLines/>
      <w:spacing w:before="240" w:after="64" w:line="320" w:lineRule="atLeast"/>
      <w:jc w:val="both"/>
    </w:pPr>
    <w:rPr>
      <w:b/>
      <w:sz w:val="24"/>
    </w:rPr>
  </w:style>
  <w:style w:type="paragraph" w:customStyle="1" w:styleId="578">
    <w:name w:val="正文3"/>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579">
    <w:name w:val="样式 标题 3 + 蓝色 行距: 1.5 倍行距"/>
    <w:basedOn w:val="7"/>
    <w:qFormat/>
    <w:uiPriority w:val="0"/>
    <w:pPr>
      <w:adjustRightInd w:val="0"/>
      <w:spacing w:after="120"/>
      <w:jc w:val="both"/>
      <w:textAlignment w:val="baseline"/>
    </w:pPr>
    <w:rPr>
      <w:rFonts w:eastAsia="黑体" w:cs="宋体"/>
      <w:bCs/>
      <w:color w:val="0000FF"/>
      <w:kern w:val="2"/>
      <w:szCs w:val="24"/>
    </w:rPr>
  </w:style>
  <w:style w:type="paragraph" w:customStyle="1" w:styleId="580">
    <w:name w:val="标题 42"/>
    <w:basedOn w:val="578"/>
    <w:next w:val="578"/>
    <w:qFormat/>
    <w:uiPriority w:val="0"/>
    <w:pPr>
      <w:keepNext/>
      <w:keepLines/>
      <w:spacing w:before="280" w:after="290" w:line="376" w:lineRule="atLeast"/>
      <w:jc w:val="both"/>
    </w:pPr>
    <w:rPr>
      <w:b/>
      <w:sz w:val="28"/>
    </w:rPr>
  </w:style>
  <w:style w:type="paragraph" w:customStyle="1" w:styleId="581">
    <w:name w:val="样式12"/>
    <w:basedOn w:val="1"/>
    <w:qFormat/>
    <w:uiPriority w:val="0"/>
    <w:pPr>
      <w:keepNext/>
      <w:keepLines/>
      <w:tabs>
        <w:tab w:val="left" w:pos="0"/>
        <w:tab w:val="left" w:pos="360"/>
        <w:tab w:val="left" w:pos="576"/>
      </w:tabs>
      <w:spacing w:before="156" w:beforeLines="50" w:after="156" w:afterLines="50"/>
      <w:ind w:left="576" w:hanging="576" w:firstLineChars="0"/>
      <w:outlineLvl w:val="1"/>
    </w:pPr>
    <w:rPr>
      <w:rFonts w:eastAsia="黑体"/>
      <w:color w:val="000000"/>
      <w:sz w:val="28"/>
    </w:rPr>
  </w:style>
  <w:style w:type="paragraph" w:customStyle="1" w:styleId="582">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583">
    <w:name w:val="6表内容"/>
    <w:basedOn w:val="1"/>
    <w:qFormat/>
    <w:uiPriority w:val="0"/>
    <w:pPr>
      <w:spacing w:line="340" w:lineRule="exact"/>
      <w:ind w:firstLine="0" w:firstLineChars="0"/>
      <w:jc w:val="center"/>
    </w:pPr>
    <w:rPr>
      <w:rFonts w:cs="宋体"/>
      <w:color w:val="000000"/>
      <w:sz w:val="21"/>
    </w:rPr>
  </w:style>
  <w:style w:type="paragraph" w:customStyle="1" w:styleId="584">
    <w:name w:val="Char Char Char Char Char Char Char"/>
    <w:basedOn w:val="1"/>
    <w:qFormat/>
    <w:uiPriority w:val="0"/>
    <w:pPr>
      <w:spacing w:line="240" w:lineRule="auto"/>
      <w:ind w:firstLine="0" w:firstLineChars="0"/>
    </w:pPr>
    <w:rPr>
      <w:sz w:val="21"/>
      <w:szCs w:val="24"/>
    </w:rPr>
  </w:style>
  <w:style w:type="paragraph" w:customStyle="1" w:styleId="585">
    <w:name w:val="文本正文"/>
    <w:basedOn w:val="1"/>
    <w:qFormat/>
    <w:uiPriority w:val="0"/>
    <w:pPr>
      <w:autoSpaceDE w:val="0"/>
      <w:autoSpaceDN w:val="0"/>
      <w:adjustRightInd w:val="0"/>
      <w:textAlignment w:val="baseline"/>
    </w:pPr>
    <w:rPr>
      <w:rFonts w:ascii="宋体" w:hAnsi="宋体"/>
      <w:snapToGrid w:val="0"/>
      <w:color w:val="000000"/>
      <w:spacing w:val="4"/>
      <w:kern w:val="18"/>
      <w:szCs w:val="22"/>
    </w:rPr>
  </w:style>
  <w:style w:type="paragraph" w:customStyle="1" w:styleId="586">
    <w:name w:val="样式 样式 样式 正文首行缩进 2 + 首行缩进:  2 字符 + 首行缩进:  2 字符 + 首行缩进:  2 字符"/>
    <w:basedOn w:val="1"/>
    <w:semiHidden/>
    <w:qFormat/>
    <w:uiPriority w:val="0"/>
    <w:pPr>
      <w:spacing w:line="440" w:lineRule="exact"/>
    </w:pPr>
    <w:rPr>
      <w:rFonts w:cs="宋体"/>
    </w:rPr>
  </w:style>
  <w:style w:type="paragraph" w:customStyle="1" w:styleId="587">
    <w:name w:val="标题 61"/>
    <w:basedOn w:val="335"/>
    <w:next w:val="335"/>
    <w:qFormat/>
    <w:uiPriority w:val="0"/>
    <w:pPr>
      <w:keepNext/>
      <w:keepLines/>
      <w:adjustRightInd w:val="0"/>
      <w:spacing w:before="240" w:after="64" w:line="320" w:lineRule="atLeast"/>
      <w:ind w:firstLine="0" w:firstLineChars="0"/>
      <w:textAlignment w:val="baseline"/>
    </w:pPr>
    <w:rPr>
      <w:rFonts w:ascii="宋体" w:hAnsi="Times New Roman"/>
      <w:b/>
      <w:kern w:val="0"/>
      <w:szCs w:val="20"/>
    </w:rPr>
  </w:style>
  <w:style w:type="paragraph" w:customStyle="1" w:styleId="588">
    <w:name w:val="Char Char Char Char Char Char Char Char1 Char Char Char Char10"/>
    <w:basedOn w:val="1"/>
    <w:qFormat/>
    <w:uiPriority w:val="0"/>
    <w:pPr>
      <w:spacing w:line="240" w:lineRule="auto"/>
      <w:ind w:firstLine="0" w:firstLineChars="0"/>
    </w:pPr>
    <w:rPr>
      <w:sz w:val="21"/>
      <w:szCs w:val="24"/>
    </w:rPr>
  </w:style>
  <w:style w:type="paragraph" w:customStyle="1" w:styleId="589">
    <w:name w:val="Char Char Char Char Char Char Char Char1 Char Char Char Char4"/>
    <w:basedOn w:val="1"/>
    <w:qFormat/>
    <w:uiPriority w:val="0"/>
    <w:pPr>
      <w:spacing w:line="240" w:lineRule="auto"/>
      <w:ind w:firstLine="0" w:firstLineChars="0"/>
    </w:pPr>
    <w:rPr>
      <w:sz w:val="21"/>
      <w:szCs w:val="24"/>
    </w:rPr>
  </w:style>
  <w:style w:type="paragraph" w:customStyle="1" w:styleId="590">
    <w:name w:val="图表正文"/>
    <w:basedOn w:val="1"/>
    <w:qFormat/>
    <w:uiPriority w:val="0"/>
    <w:pPr>
      <w:snapToGrid w:val="0"/>
      <w:spacing w:before="6" w:beforeLines="2" w:after="6" w:afterLines="2" w:line="320" w:lineRule="exact"/>
      <w:ind w:firstLine="0" w:firstLineChars="0"/>
      <w:jc w:val="center"/>
    </w:pPr>
    <w:rPr>
      <w:rFonts w:ascii="宋体" w:hAnsi="宋体"/>
      <w:sz w:val="21"/>
    </w:rPr>
  </w:style>
  <w:style w:type="paragraph" w:customStyle="1" w:styleId="591">
    <w:name w:val="作者"/>
    <w:qFormat/>
    <w:uiPriority w:val="0"/>
    <w:pPr>
      <w:tabs>
        <w:tab w:val="left" w:pos="840"/>
        <w:tab w:val="left" w:pos="1320"/>
      </w:tabs>
      <w:spacing w:line="360" w:lineRule="auto"/>
      <w:jc w:val="center"/>
    </w:pPr>
    <w:rPr>
      <w:rFonts w:ascii="仿宋_GB2312" w:hAnsi="Times New Roman" w:eastAsia="仿宋_GB2312" w:cs="Times New Roman"/>
      <w:sz w:val="28"/>
      <w:lang w:val="en-US" w:eastAsia="zh-CN" w:bidi="ar-SA"/>
    </w:rPr>
  </w:style>
  <w:style w:type="paragraph" w:customStyle="1" w:styleId="592">
    <w:name w:val="样式43 Char Char"/>
    <w:basedOn w:val="1"/>
    <w:qFormat/>
    <w:uiPriority w:val="0"/>
    <w:pPr>
      <w:ind w:firstLine="480"/>
    </w:pPr>
    <w:rPr>
      <w:rFonts w:ascii="宋体"/>
      <w:snapToGrid w:val="0"/>
      <w:lang w:val="zh-CN"/>
    </w:rPr>
  </w:style>
  <w:style w:type="paragraph" w:customStyle="1" w:styleId="593">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kern w:val="0"/>
      <w:sz w:val="18"/>
    </w:rPr>
  </w:style>
  <w:style w:type="paragraph" w:customStyle="1" w:styleId="594">
    <w:name w:val="Char Char1 Char Char Char Char Char Char Char Char Char Char Char Char Char Char Char Char Char Char Char Char1 Char"/>
    <w:basedOn w:val="1"/>
    <w:qFormat/>
    <w:uiPriority w:val="0"/>
    <w:rPr>
      <w:rFonts w:ascii="宋体" w:hAnsi="宋体" w:cs="宋体"/>
      <w:szCs w:val="24"/>
    </w:rPr>
  </w:style>
  <w:style w:type="paragraph" w:customStyle="1" w:styleId="595">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000000"/>
      <w:kern w:val="0"/>
      <w:sz w:val="20"/>
    </w:rPr>
  </w:style>
  <w:style w:type="paragraph" w:customStyle="1" w:styleId="596">
    <w:name w:val="样式 样式 标题 2， + Times New Roman2"/>
    <w:basedOn w:val="1"/>
    <w:qFormat/>
    <w:uiPriority w:val="0"/>
    <w:pPr>
      <w:keepNext/>
      <w:keepLines/>
      <w:tabs>
        <w:tab w:val="left" w:pos="840"/>
      </w:tabs>
      <w:spacing w:before="120" w:after="120"/>
      <w:ind w:hanging="420" w:firstLineChars="0"/>
      <w:outlineLvl w:val="1"/>
    </w:pPr>
    <w:rPr>
      <w:rFonts w:eastAsia="黑体" w:cs="宋体"/>
      <w:b/>
      <w:bCs/>
      <w:sz w:val="28"/>
      <w:szCs w:val="28"/>
    </w:rPr>
  </w:style>
  <w:style w:type="paragraph" w:customStyle="1" w:styleId="597">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598">
    <w:name w:val="页脚2"/>
    <w:basedOn w:val="578"/>
    <w:qFormat/>
    <w:uiPriority w:val="0"/>
    <w:pPr>
      <w:tabs>
        <w:tab w:val="center" w:pos="4819"/>
        <w:tab w:val="right" w:pos="9071"/>
      </w:tabs>
      <w:spacing w:line="240" w:lineRule="atLeast"/>
      <w:jc w:val="both"/>
    </w:pPr>
    <w:rPr>
      <w:sz w:val="18"/>
    </w:rPr>
  </w:style>
  <w:style w:type="paragraph" w:customStyle="1" w:styleId="599">
    <w:name w:val="333"/>
    <w:basedOn w:val="600"/>
    <w:qFormat/>
    <w:uiPriority w:val="0"/>
    <w:pPr>
      <w:tabs>
        <w:tab w:val="left" w:pos="1270"/>
        <w:tab w:val="left" w:pos="1740"/>
      </w:tabs>
    </w:pPr>
    <w:rPr>
      <w:lang w:val="zh-CN"/>
    </w:rPr>
  </w:style>
  <w:style w:type="paragraph" w:customStyle="1" w:styleId="600">
    <w:name w:val="样式 自动3 + 自动设置"/>
    <w:basedOn w:val="601"/>
    <w:qFormat/>
    <w:uiPriority w:val="0"/>
    <w:pPr>
      <w:tabs>
        <w:tab w:val="left" w:pos="1270"/>
        <w:tab w:val="left" w:pos="1740"/>
      </w:tabs>
    </w:pPr>
    <w:rPr>
      <w:color w:val="auto"/>
    </w:rPr>
  </w:style>
  <w:style w:type="paragraph" w:customStyle="1" w:styleId="601">
    <w:name w:val="自动3"/>
    <w:basedOn w:val="426"/>
    <w:qFormat/>
    <w:uiPriority w:val="0"/>
    <w:pPr>
      <w:tabs>
        <w:tab w:val="left" w:pos="1270"/>
        <w:tab w:val="left" w:pos="1740"/>
      </w:tabs>
      <w:spacing w:before="0" w:beforeLines="0" w:after="0" w:afterLines="0"/>
      <w:ind w:left="1270" w:hanging="420"/>
    </w:pPr>
    <w:rPr>
      <w:color w:val="000000"/>
    </w:rPr>
  </w:style>
  <w:style w:type="paragraph" w:customStyle="1" w:styleId="602">
    <w:name w:val="报告题目"/>
    <w:basedOn w:val="5"/>
    <w:qFormat/>
    <w:uiPriority w:val="0"/>
    <w:pPr>
      <w:numPr>
        <w:numId w:val="0"/>
      </w:numPr>
      <w:autoSpaceDE w:val="0"/>
      <w:autoSpaceDN w:val="0"/>
      <w:adjustRightInd w:val="0"/>
      <w:spacing w:before="480" w:after="240"/>
      <w:textAlignment w:val="baseline"/>
      <w:outlineLvl w:val="9"/>
    </w:pPr>
    <w:rPr>
      <w:rFonts w:ascii="Arial" w:hAnsi="Arial" w:eastAsia="黑体"/>
      <w:kern w:val="44"/>
    </w:rPr>
  </w:style>
  <w:style w:type="paragraph" w:customStyle="1" w:styleId="603">
    <w:name w:val="标准正文"/>
    <w:basedOn w:val="1"/>
    <w:qFormat/>
    <w:uiPriority w:val="0"/>
    <w:pPr>
      <w:ind w:firstLine="0" w:firstLineChars="0"/>
    </w:pPr>
  </w:style>
  <w:style w:type="paragraph" w:customStyle="1" w:styleId="604">
    <w:name w:val="缩进"/>
    <w:basedOn w:val="1"/>
    <w:qFormat/>
    <w:uiPriority w:val="0"/>
    <w:pPr>
      <w:autoSpaceDE w:val="0"/>
      <w:autoSpaceDN w:val="0"/>
      <w:adjustRightInd w:val="0"/>
      <w:spacing w:line="400" w:lineRule="atLeast"/>
      <w:ind w:firstLine="420" w:firstLineChars="0"/>
      <w:textAlignment w:val="baseline"/>
    </w:pPr>
  </w:style>
  <w:style w:type="paragraph" w:customStyle="1" w:styleId="605">
    <w:name w:val="In Table"/>
    <w:basedOn w:val="1"/>
    <w:qFormat/>
    <w:uiPriority w:val="0"/>
    <w:pPr>
      <w:tabs>
        <w:tab w:val="left" w:pos="3960"/>
        <w:tab w:val="left" w:pos="5280"/>
      </w:tabs>
      <w:adjustRightInd w:val="0"/>
      <w:snapToGrid w:val="0"/>
      <w:spacing w:before="96" w:after="96" w:line="0" w:lineRule="atLeast"/>
      <w:ind w:firstLine="0" w:firstLineChars="0"/>
      <w:jc w:val="center"/>
      <w:textAlignment w:val="baseline"/>
    </w:pPr>
    <w:rPr>
      <w:rFonts w:ascii="Tahoma" w:hAnsi="Tahoma" w:eastAsia="华文中宋"/>
      <w:kern w:val="0"/>
      <w:sz w:val="21"/>
    </w:rPr>
  </w:style>
  <w:style w:type="paragraph" w:customStyle="1" w:styleId="606">
    <w:name w:val="Char Char Char Char Char Char2"/>
    <w:basedOn w:val="1"/>
    <w:qFormat/>
    <w:uiPriority w:val="0"/>
    <w:pPr>
      <w:spacing w:line="240" w:lineRule="auto"/>
      <w:ind w:firstLine="0" w:firstLineChars="0"/>
    </w:pPr>
    <w:rPr>
      <w:szCs w:val="24"/>
    </w:rPr>
  </w:style>
  <w:style w:type="paragraph" w:customStyle="1" w:styleId="607">
    <w:name w:val="Char Char Char Char Char Char3"/>
    <w:basedOn w:val="1"/>
    <w:qFormat/>
    <w:uiPriority w:val="0"/>
    <w:pPr>
      <w:spacing w:line="240" w:lineRule="auto"/>
      <w:ind w:firstLine="0" w:firstLineChars="0"/>
    </w:pPr>
    <w:rPr>
      <w:szCs w:val="24"/>
    </w:rPr>
  </w:style>
  <w:style w:type="paragraph" w:customStyle="1" w:styleId="608">
    <w:name w:val="标题3  Xia"/>
    <w:basedOn w:val="1"/>
    <w:semiHidden/>
    <w:qFormat/>
    <w:uiPriority w:val="0"/>
    <w:pPr>
      <w:spacing w:after="156" w:afterLines="50" w:line="560" w:lineRule="exact"/>
      <w:ind w:firstLine="0" w:firstLineChars="0"/>
    </w:pPr>
    <w:rPr>
      <w:rFonts w:eastAsia="黑体"/>
      <w:szCs w:val="30"/>
    </w:rPr>
  </w:style>
  <w:style w:type="paragraph" w:customStyle="1" w:styleId="609">
    <w:name w:val="xl61"/>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 w:val="22"/>
    </w:rPr>
  </w:style>
  <w:style w:type="paragraph" w:customStyle="1" w:styleId="610">
    <w:name w:val="x2"/>
    <w:basedOn w:val="1"/>
    <w:semiHidden/>
    <w:qFormat/>
    <w:uiPriority w:val="0"/>
    <w:pPr>
      <w:spacing w:line="600" w:lineRule="exact"/>
      <w:ind w:firstLine="560"/>
    </w:pPr>
    <w:rPr>
      <w:rFonts w:eastAsia="黑体"/>
      <w:sz w:val="30"/>
    </w:rPr>
  </w:style>
  <w:style w:type="paragraph" w:customStyle="1" w:styleId="611">
    <w:name w:val="题注2"/>
    <w:basedOn w:val="578"/>
    <w:next w:val="578"/>
    <w:qFormat/>
    <w:uiPriority w:val="0"/>
    <w:pPr>
      <w:spacing w:before="120" w:after="120"/>
      <w:jc w:val="center"/>
    </w:pPr>
    <w:rPr>
      <w:sz w:val="28"/>
    </w:rPr>
  </w:style>
  <w:style w:type="paragraph" w:customStyle="1" w:styleId="612">
    <w:name w:val="样式 文章正文 + 小四"/>
    <w:basedOn w:val="271"/>
    <w:qFormat/>
    <w:uiPriority w:val="0"/>
    <w:pPr>
      <w:spacing w:before="156" w:beforeLines="50" w:after="156" w:afterLines="50" w:line="360" w:lineRule="auto"/>
      <w:ind w:firstLine="480"/>
      <w:jc w:val="both"/>
    </w:pPr>
    <w:rPr>
      <w:szCs w:val="20"/>
    </w:rPr>
  </w:style>
  <w:style w:type="paragraph" w:customStyle="1" w:styleId="613">
    <w:name w:val="xl34"/>
    <w:basedOn w:val="1"/>
    <w:qFormat/>
    <w:uiPriority w:val="0"/>
    <w:pPr>
      <w:widowControl/>
      <w:spacing w:before="100" w:after="100" w:line="240" w:lineRule="auto"/>
      <w:ind w:firstLine="0" w:firstLineChars="0"/>
      <w:jc w:val="center"/>
    </w:pPr>
    <w:rPr>
      <w:rFonts w:ascii="宋体"/>
      <w:kern w:val="0"/>
    </w:rPr>
  </w:style>
  <w:style w:type="paragraph" w:customStyle="1" w:styleId="614">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00"/>
      <w:kern w:val="0"/>
      <w:sz w:val="22"/>
    </w:rPr>
  </w:style>
  <w:style w:type="paragraph" w:customStyle="1" w:styleId="615">
    <w:name w:val="自定义正文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paragraph" w:customStyle="1" w:styleId="616">
    <w:name w:val="表的内容"/>
    <w:basedOn w:val="1"/>
    <w:semiHidden/>
    <w:qFormat/>
    <w:uiPriority w:val="0"/>
    <w:pPr>
      <w:spacing w:line="340" w:lineRule="exact"/>
      <w:ind w:firstLine="0" w:firstLineChars="0"/>
      <w:jc w:val="center"/>
    </w:pPr>
    <w:rPr>
      <w:sz w:val="21"/>
      <w:szCs w:val="24"/>
    </w:rPr>
  </w:style>
  <w:style w:type="paragraph" w:customStyle="1" w:styleId="617">
    <w:name w:val="Char Char Char Char Char Char Char Char Char1 Char Char Char Char Char Char Char Char Char Char4"/>
    <w:basedOn w:val="1"/>
    <w:semiHidden/>
    <w:qFormat/>
    <w:uiPriority w:val="0"/>
    <w:pPr>
      <w:spacing w:line="240" w:lineRule="auto"/>
      <w:ind w:firstLine="0" w:firstLineChars="0"/>
    </w:pPr>
    <w:rPr>
      <w:rFonts w:ascii="宋体" w:hAnsi="宋体" w:cs="Courier New"/>
      <w:sz w:val="32"/>
      <w:szCs w:val="32"/>
    </w:rPr>
  </w:style>
  <w:style w:type="paragraph" w:customStyle="1" w:styleId="618">
    <w:name w:val="表中文字"/>
    <w:basedOn w:val="1"/>
    <w:qFormat/>
    <w:uiPriority w:val="0"/>
    <w:pPr>
      <w:spacing w:before="60" w:after="60"/>
      <w:ind w:firstLine="0" w:firstLineChars="0"/>
    </w:pPr>
  </w:style>
  <w:style w:type="paragraph" w:customStyle="1" w:styleId="619">
    <w:name w:val="样式64"/>
    <w:basedOn w:val="149"/>
    <w:qFormat/>
    <w:uiPriority w:val="0"/>
    <w:pPr>
      <w:tabs>
        <w:tab w:val="left" w:pos="1984"/>
        <w:tab w:val="clear" w:pos="0"/>
        <w:tab w:val="clear" w:pos="720"/>
        <w:tab w:val="clear" w:pos="864"/>
      </w:tabs>
      <w:ind w:left="1984" w:hanging="708"/>
    </w:pPr>
  </w:style>
  <w:style w:type="paragraph" w:customStyle="1" w:styleId="620">
    <w:name w:val="表"/>
    <w:basedOn w:val="1"/>
    <w:qFormat/>
    <w:uiPriority w:val="0"/>
    <w:pPr>
      <w:keepNext/>
      <w:keepLines/>
      <w:autoSpaceDE w:val="0"/>
      <w:autoSpaceDN w:val="0"/>
      <w:adjustRightInd w:val="0"/>
      <w:spacing w:before="40" w:after="40" w:line="240" w:lineRule="exact"/>
      <w:ind w:firstLine="0" w:firstLineChars="0"/>
      <w:jc w:val="center"/>
    </w:pPr>
    <w:rPr>
      <w:kern w:val="21"/>
      <w:sz w:val="21"/>
    </w:rPr>
  </w:style>
  <w:style w:type="paragraph" w:customStyle="1" w:styleId="621">
    <w:name w:val="font10"/>
    <w:basedOn w:val="1"/>
    <w:qFormat/>
    <w:uiPriority w:val="0"/>
    <w:pPr>
      <w:widowControl/>
      <w:spacing w:before="100" w:beforeAutospacing="1" w:after="100" w:afterAutospacing="1" w:line="240" w:lineRule="auto"/>
      <w:ind w:firstLine="0" w:firstLineChars="0"/>
      <w:jc w:val="left"/>
    </w:pPr>
    <w:rPr>
      <w:rFonts w:hint="eastAsia" w:ascii="宋体" w:hAnsi="宋体"/>
      <w:b/>
      <w:kern w:val="0"/>
      <w:sz w:val="20"/>
    </w:rPr>
  </w:style>
  <w:style w:type="paragraph" w:customStyle="1" w:styleId="622">
    <w:name w:val="BBT"/>
    <w:basedOn w:val="1"/>
    <w:qFormat/>
    <w:uiPriority w:val="0"/>
    <w:pPr>
      <w:adjustRightInd w:val="0"/>
      <w:snapToGrid w:val="0"/>
      <w:spacing w:before="156" w:beforeLines="50" w:after="156" w:afterLines="50" w:line="240" w:lineRule="auto"/>
      <w:ind w:firstLine="0" w:firstLineChars="0"/>
      <w:jc w:val="center"/>
    </w:pPr>
    <w:rPr>
      <w:rFonts w:ascii="宋体" w:hAnsi="宋体"/>
      <w:b/>
      <w:spacing w:val="6"/>
    </w:rPr>
  </w:style>
  <w:style w:type="paragraph" w:customStyle="1" w:styleId="623">
    <w:name w:val="样式 表格文字 + 段后: 6 磅 左  2 字符2"/>
    <w:basedOn w:val="387"/>
    <w:next w:val="387"/>
    <w:qFormat/>
    <w:uiPriority w:val="0"/>
    <w:pPr>
      <w:spacing w:after="120"/>
      <w:ind w:left="480" w:leftChars="200"/>
    </w:pPr>
    <w:rPr>
      <w:rFonts w:cs="宋体"/>
    </w:rPr>
  </w:style>
  <w:style w:type="paragraph" w:customStyle="1" w:styleId="624">
    <w:name w:val="自动1"/>
    <w:basedOn w:val="625"/>
    <w:qFormat/>
    <w:uiPriority w:val="0"/>
    <w:pPr>
      <w:keepNext/>
      <w:keepLines/>
      <w:tabs>
        <w:tab w:val="left" w:pos="432"/>
        <w:tab w:val="left" w:pos="870"/>
      </w:tabs>
      <w:spacing w:before="240" w:after="360" w:line="360" w:lineRule="auto"/>
      <w:ind w:left="870" w:hanging="390"/>
    </w:pPr>
    <w:rPr>
      <w:rFonts w:ascii="黑体" w:hAnsi="Arial Unicode MS" w:eastAsia="黑体"/>
      <w:bCs w:val="0"/>
      <w:color w:val="000000"/>
      <w:kern w:val="44"/>
      <w:sz w:val="30"/>
      <w:szCs w:val="20"/>
    </w:rPr>
  </w:style>
  <w:style w:type="paragraph" w:customStyle="1" w:styleId="625">
    <w:name w:val="一级标题"/>
    <w:basedOn w:val="1"/>
    <w:qFormat/>
    <w:uiPriority w:val="0"/>
    <w:pPr>
      <w:spacing w:before="60" w:line="460" w:lineRule="exact"/>
      <w:ind w:firstLine="0" w:firstLineChars="0"/>
      <w:outlineLvl w:val="0"/>
    </w:pPr>
    <w:rPr>
      <w:b/>
      <w:bCs/>
      <w:sz w:val="32"/>
      <w:szCs w:val="24"/>
    </w:rPr>
  </w:style>
  <w:style w:type="paragraph" w:customStyle="1" w:styleId="626">
    <w:name w:val="Char Char Char Char Char Char Char Char1 Char Char Char Char2"/>
    <w:basedOn w:val="1"/>
    <w:qFormat/>
    <w:uiPriority w:val="0"/>
    <w:pPr>
      <w:spacing w:line="240" w:lineRule="auto"/>
      <w:ind w:firstLine="0" w:firstLineChars="0"/>
    </w:pPr>
    <w:rPr>
      <w:sz w:val="21"/>
      <w:szCs w:val="24"/>
    </w:rPr>
  </w:style>
  <w:style w:type="paragraph" w:customStyle="1" w:styleId="627">
    <w:name w:val="三级标题 Char"/>
    <w:basedOn w:val="7"/>
    <w:qFormat/>
    <w:uiPriority w:val="0"/>
    <w:pPr>
      <w:spacing w:before="156" w:beforeLines="50" w:after="156" w:afterLines="50"/>
      <w:jc w:val="both"/>
    </w:pPr>
    <w:rPr>
      <w:rFonts w:ascii="宋体" w:hAnsi="宋体"/>
      <w:kern w:val="2"/>
    </w:rPr>
  </w:style>
  <w:style w:type="paragraph" w:customStyle="1" w:styleId="628">
    <w:name w:val="正文缩进21"/>
    <w:basedOn w:val="564"/>
    <w:qFormat/>
    <w:uiPriority w:val="0"/>
    <w:pPr>
      <w:spacing w:line="315" w:lineRule="atLeast"/>
      <w:ind w:firstLine="420"/>
      <w:jc w:val="both"/>
    </w:pPr>
    <w:rPr>
      <w:sz w:val="21"/>
    </w:rPr>
  </w:style>
  <w:style w:type="paragraph" w:customStyle="1" w:styleId="629">
    <w:name w:val="我的样式3"/>
    <w:basedOn w:val="7"/>
    <w:qFormat/>
    <w:uiPriority w:val="0"/>
    <w:pPr>
      <w:spacing w:before="156" w:beforeLines="50" w:after="156" w:afterLines="50" w:line="240" w:lineRule="auto"/>
      <w:jc w:val="both"/>
    </w:pPr>
    <w:rPr>
      <w:rFonts w:hAnsi="宋体"/>
      <w:bCs/>
      <w:kern w:val="2"/>
      <w:szCs w:val="32"/>
    </w:rPr>
  </w:style>
  <w:style w:type="paragraph" w:customStyle="1" w:styleId="630">
    <w:name w:val="表格正文 Char Char Char Char"/>
    <w:basedOn w:val="1"/>
    <w:qFormat/>
    <w:uiPriority w:val="0"/>
    <w:pPr>
      <w:spacing w:line="240" w:lineRule="auto"/>
      <w:ind w:firstLine="0" w:firstLineChars="0"/>
    </w:pPr>
    <w:rPr>
      <w:sz w:val="21"/>
    </w:rPr>
  </w:style>
  <w:style w:type="paragraph" w:customStyle="1" w:styleId="631">
    <w:name w:val="样进正文（首行缩进两字）"/>
    <w:basedOn w:val="1"/>
    <w:qFormat/>
    <w:uiPriority w:val="0"/>
    <w:pPr>
      <w:ind w:firstLine="482"/>
    </w:pPr>
    <w:rPr>
      <w:b/>
      <w:bCs/>
      <w:kern w:val="0"/>
      <w:szCs w:val="24"/>
    </w:rPr>
  </w:style>
  <w:style w:type="paragraph" w:customStyle="1" w:styleId="632">
    <w:name w:val="xl82"/>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333333"/>
      <w:kern w:val="0"/>
      <w:sz w:val="20"/>
    </w:rPr>
  </w:style>
  <w:style w:type="paragraph" w:customStyle="1" w:styleId="633">
    <w:name w:val="蓝色居中"/>
    <w:basedOn w:val="1"/>
    <w:qFormat/>
    <w:uiPriority w:val="0"/>
    <w:pPr>
      <w:autoSpaceDE w:val="0"/>
      <w:autoSpaceDN w:val="0"/>
      <w:snapToGrid w:val="0"/>
      <w:spacing w:line="240" w:lineRule="atLeast"/>
      <w:ind w:firstLine="567" w:firstLineChars="0"/>
      <w:jc w:val="center"/>
    </w:pPr>
    <w:rPr>
      <w:b/>
      <w:color w:val="000080"/>
      <w:spacing w:val="60"/>
    </w:rPr>
  </w:style>
  <w:style w:type="paragraph" w:customStyle="1" w:styleId="634">
    <w:name w:val="Char Char2"/>
    <w:basedOn w:val="1"/>
    <w:qFormat/>
    <w:uiPriority w:val="0"/>
    <w:pPr>
      <w:tabs>
        <w:tab w:val="left" w:pos="870"/>
        <w:tab w:val="left" w:pos="987"/>
      </w:tabs>
      <w:ind w:left="870" w:hanging="390" w:firstLineChars="0"/>
    </w:pPr>
    <w:rPr>
      <w:rFonts w:ascii="宋体" w:hAnsi="宋体"/>
    </w:rPr>
  </w:style>
  <w:style w:type="paragraph" w:customStyle="1" w:styleId="635">
    <w:name w:val="正文标准样式"/>
    <w:basedOn w:val="1"/>
    <w:qFormat/>
    <w:uiPriority w:val="0"/>
    <w:pPr>
      <w:adjustRightInd w:val="0"/>
      <w:spacing w:line="300" w:lineRule="auto"/>
      <w:ind w:firstLine="482" w:firstLineChars="0"/>
      <w:textAlignment w:val="baseline"/>
    </w:pPr>
    <w:rPr>
      <w:kern w:val="0"/>
    </w:rPr>
  </w:style>
  <w:style w:type="paragraph" w:customStyle="1" w:styleId="636">
    <w:name w:val="样式 标题 1标题 1XW式样bh11st levelSection Headl1章标题 1featurehea..."/>
    <w:basedOn w:val="5"/>
    <w:qFormat/>
    <w:uiPriority w:val="0"/>
    <w:pPr>
      <w:numPr>
        <w:numId w:val="0"/>
      </w:numPr>
      <w:tabs>
        <w:tab w:val="left" w:pos="432"/>
        <w:tab w:val="clear" w:pos="3490"/>
      </w:tabs>
      <w:spacing w:before="312" w:beforeLines="100" w:after="312" w:afterLines="100"/>
      <w:ind w:left="432" w:right="238" w:hanging="432"/>
      <w:jc w:val="left"/>
    </w:pPr>
    <w:rPr>
      <w:rFonts w:ascii="Times New Roman" w:eastAsia="黑体" w:cs="宋体"/>
      <w:b w:val="0"/>
      <w:color w:val="000000"/>
      <w:kern w:val="0"/>
      <w:sz w:val="32"/>
    </w:rPr>
  </w:style>
  <w:style w:type="paragraph" w:customStyle="1" w:styleId="637">
    <w:name w:val="字元 字元 Char Char 字元 字元12"/>
    <w:basedOn w:val="1"/>
    <w:qFormat/>
    <w:uiPriority w:val="0"/>
    <w:pPr>
      <w:spacing w:line="240" w:lineRule="auto"/>
      <w:ind w:firstLine="0" w:firstLineChars="0"/>
    </w:pPr>
    <w:rPr>
      <w:sz w:val="21"/>
      <w:szCs w:val="24"/>
    </w:rPr>
  </w:style>
  <w:style w:type="paragraph" w:customStyle="1" w:styleId="638">
    <w:name w:val="字元 字元 Char Char 字元 字元11"/>
    <w:basedOn w:val="1"/>
    <w:qFormat/>
    <w:uiPriority w:val="0"/>
    <w:pPr>
      <w:spacing w:line="240" w:lineRule="auto"/>
      <w:ind w:firstLine="0" w:firstLineChars="0"/>
    </w:pPr>
    <w:rPr>
      <w:sz w:val="21"/>
      <w:szCs w:val="24"/>
    </w:rPr>
  </w:style>
  <w:style w:type="paragraph" w:customStyle="1" w:styleId="639">
    <w:name w:val="标题 511"/>
    <w:basedOn w:val="564"/>
    <w:next w:val="564"/>
    <w:qFormat/>
    <w:uiPriority w:val="0"/>
    <w:pPr>
      <w:keepNext/>
      <w:keepLines/>
      <w:spacing w:before="280" w:after="290" w:line="376" w:lineRule="atLeast"/>
      <w:jc w:val="both"/>
    </w:pPr>
    <w:rPr>
      <w:b/>
      <w:sz w:val="28"/>
    </w:rPr>
  </w:style>
  <w:style w:type="paragraph" w:customStyle="1" w:styleId="640">
    <w:name w:val="Char Char Char Char Char Char Char Char Char2 Char Char Char"/>
    <w:basedOn w:val="1"/>
    <w:qFormat/>
    <w:uiPriority w:val="0"/>
    <w:pPr>
      <w:spacing w:line="240" w:lineRule="auto"/>
      <w:ind w:firstLine="0" w:firstLineChars="0"/>
    </w:pPr>
    <w:rPr>
      <w:rFonts w:ascii="Tahoma" w:hAnsi="Tahoma"/>
      <w:szCs w:val="24"/>
    </w:rPr>
  </w:style>
  <w:style w:type="paragraph" w:customStyle="1" w:styleId="641">
    <w:name w:val="xl44"/>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line="240" w:lineRule="auto"/>
      <w:ind w:firstLine="0" w:firstLineChars="0"/>
      <w:jc w:val="left"/>
    </w:pPr>
    <w:rPr>
      <w:rFonts w:ascii="Arial Unicode MS" w:hAnsi="Arial Unicode MS" w:eastAsia="Arial Unicode MS"/>
      <w:kern w:val="0"/>
    </w:rPr>
  </w:style>
  <w:style w:type="paragraph" w:customStyle="1" w:styleId="642">
    <w:name w:val="报告表格"/>
    <w:basedOn w:val="1"/>
    <w:next w:val="1"/>
    <w:autoRedefine/>
    <w:qFormat/>
    <w:uiPriority w:val="0"/>
    <w:pPr>
      <w:autoSpaceDE w:val="0"/>
      <w:autoSpaceDN w:val="0"/>
      <w:adjustRightInd w:val="0"/>
      <w:spacing w:line="318" w:lineRule="atLeast"/>
      <w:ind w:firstLine="0" w:firstLineChars="0"/>
      <w:jc w:val="center"/>
      <w:textAlignment w:val="bottom"/>
    </w:pPr>
    <w:rPr>
      <w:kern w:val="0"/>
    </w:rPr>
  </w:style>
  <w:style w:type="paragraph" w:customStyle="1" w:styleId="643">
    <w:name w:val="标题2"/>
    <w:basedOn w:val="6"/>
    <w:qFormat/>
    <w:uiPriority w:val="0"/>
    <w:pPr>
      <w:adjustRightInd w:val="0"/>
      <w:spacing w:before="240" w:after="160" w:line="480" w:lineRule="exact"/>
      <w:textAlignment w:val="baseline"/>
    </w:pPr>
    <w:rPr>
      <w:rFonts w:ascii="宋体" w:eastAsia="黑体"/>
      <w:color w:val="000000"/>
      <w:kern w:val="2"/>
      <w:sz w:val="30"/>
    </w:rPr>
  </w:style>
  <w:style w:type="paragraph" w:customStyle="1" w:styleId="644">
    <w:name w:val="Char Char Char Char Char Char Char Char1 Char Char Char Char11"/>
    <w:basedOn w:val="1"/>
    <w:qFormat/>
    <w:uiPriority w:val="0"/>
    <w:pPr>
      <w:spacing w:line="240" w:lineRule="auto"/>
      <w:ind w:firstLine="0" w:firstLineChars="0"/>
    </w:pPr>
    <w:rPr>
      <w:sz w:val="21"/>
      <w:szCs w:val="24"/>
    </w:rPr>
  </w:style>
  <w:style w:type="paragraph" w:customStyle="1" w:styleId="645">
    <w:name w:val="font7"/>
    <w:basedOn w:val="1"/>
    <w:qFormat/>
    <w:uiPriority w:val="0"/>
    <w:pPr>
      <w:widowControl/>
      <w:spacing w:before="100" w:beforeAutospacing="1" w:after="100" w:afterAutospacing="1" w:line="240" w:lineRule="auto"/>
      <w:ind w:firstLine="0" w:firstLineChars="0"/>
      <w:jc w:val="left"/>
    </w:pPr>
    <w:rPr>
      <w:rFonts w:eastAsia="Arial Unicode MS"/>
      <w:kern w:val="0"/>
      <w:sz w:val="16"/>
    </w:rPr>
  </w:style>
  <w:style w:type="paragraph" w:customStyle="1" w:styleId="646">
    <w:name w:val="页脚1"/>
    <w:basedOn w:val="335"/>
    <w:qFormat/>
    <w:uiPriority w:val="0"/>
    <w:pPr>
      <w:tabs>
        <w:tab w:val="center" w:pos="4819"/>
        <w:tab w:val="right" w:pos="9071"/>
      </w:tabs>
      <w:adjustRightInd w:val="0"/>
      <w:spacing w:line="240" w:lineRule="atLeast"/>
      <w:ind w:firstLine="0" w:firstLineChars="0"/>
      <w:textAlignment w:val="baseline"/>
    </w:pPr>
    <w:rPr>
      <w:rFonts w:ascii="宋体" w:hAnsi="Times New Roman"/>
      <w:kern w:val="0"/>
      <w:sz w:val="18"/>
      <w:szCs w:val="20"/>
    </w:rPr>
  </w:style>
  <w:style w:type="paragraph" w:customStyle="1" w:styleId="647">
    <w:name w:val="样式 正文文本 + 四号 段后: 0 磅 行距: 固定值 24 磅"/>
    <w:basedOn w:val="33"/>
    <w:qFormat/>
    <w:uiPriority w:val="0"/>
    <w:pPr>
      <w:spacing w:after="0" w:line="480" w:lineRule="exact"/>
      <w:ind w:firstLine="630" w:firstLineChars="225"/>
    </w:pPr>
    <w:rPr>
      <w:rFonts w:ascii="Calibri" w:hAnsi="Calibri"/>
      <w:sz w:val="28"/>
    </w:rPr>
  </w:style>
  <w:style w:type="paragraph" w:customStyle="1" w:styleId="648">
    <w:name w:val="普通文字 Char Char Char Char Char Char Char Char Char Char Char Char Char Char Char Char Char"/>
    <w:basedOn w:val="1"/>
    <w:next w:val="44"/>
    <w:qFormat/>
    <w:uiPriority w:val="0"/>
    <w:pPr>
      <w:spacing w:line="240" w:lineRule="auto"/>
      <w:ind w:firstLine="0" w:firstLineChars="0"/>
    </w:pPr>
    <w:rPr>
      <w:rFonts w:ascii="宋体" w:hAnsi="Courier New"/>
      <w:sz w:val="21"/>
    </w:rPr>
  </w:style>
  <w:style w:type="paragraph" w:customStyle="1" w:styleId="649">
    <w:name w:val="样式4"/>
    <w:basedOn w:val="1"/>
    <w:qFormat/>
    <w:uiPriority w:val="0"/>
    <w:pPr>
      <w:spacing w:line="240" w:lineRule="auto"/>
      <w:ind w:right="-120" w:rightChars="-50" w:firstLine="538" w:firstLineChars="192"/>
    </w:pPr>
    <w:rPr>
      <w:rFonts w:ascii="仿宋_GB2312" w:eastAsia="仿宋_GB2312"/>
      <w:snapToGrid w:val="0"/>
      <w:sz w:val="28"/>
      <w:szCs w:val="24"/>
    </w:rPr>
  </w:style>
  <w:style w:type="paragraph" w:customStyle="1" w:styleId="650">
    <w:name w:val="Char Char Char Char Char Char Char Char Char Char Char Char Char Char Char Char Char Char Char Char Char Char Char Char Char"/>
    <w:basedOn w:val="1"/>
    <w:semiHidden/>
    <w:qFormat/>
    <w:uiPriority w:val="0"/>
    <w:pPr>
      <w:spacing w:after="156" w:afterLines="50" w:line="560" w:lineRule="exact"/>
      <w:ind w:firstLine="0" w:firstLineChars="0"/>
    </w:pPr>
    <w:rPr>
      <w:rFonts w:eastAsia="黑体"/>
      <w:sz w:val="30"/>
      <w:szCs w:val="30"/>
    </w:rPr>
  </w:style>
  <w:style w:type="paragraph" w:customStyle="1" w:styleId="651">
    <w:name w:val="p15"/>
    <w:basedOn w:val="1"/>
    <w:qFormat/>
    <w:uiPriority w:val="0"/>
    <w:pPr>
      <w:widowControl/>
      <w:snapToGrid w:val="0"/>
      <w:spacing w:line="240" w:lineRule="auto"/>
      <w:ind w:firstLine="0" w:firstLineChars="0"/>
      <w:jc w:val="center"/>
    </w:pPr>
    <w:rPr>
      <w:rFonts w:ascii="华文楷体" w:hAnsi="华文楷体" w:eastAsia="华文楷体" w:cs="宋体"/>
      <w:kern w:val="0"/>
      <w:sz w:val="21"/>
      <w:szCs w:val="21"/>
    </w:rPr>
  </w:style>
  <w:style w:type="paragraph" w:customStyle="1" w:styleId="652">
    <w:name w:val="样式 首行缩进:  0.85 厘米2"/>
    <w:basedOn w:val="1"/>
    <w:qFormat/>
    <w:uiPriority w:val="0"/>
    <w:pPr>
      <w:ind w:firstLine="567"/>
    </w:pPr>
    <w:rPr>
      <w:rFonts w:cs="PMingLiU"/>
    </w:rPr>
  </w:style>
  <w:style w:type="paragraph" w:customStyle="1" w:styleId="653">
    <w:name w:val="正文文本 32"/>
    <w:basedOn w:val="1"/>
    <w:qFormat/>
    <w:uiPriority w:val="0"/>
    <w:pPr>
      <w:adjustRightInd w:val="0"/>
      <w:spacing w:line="240" w:lineRule="atLeast"/>
      <w:ind w:firstLine="0" w:firstLineChars="0"/>
      <w:jc w:val="center"/>
      <w:textAlignment w:val="baseline"/>
    </w:pPr>
    <w:rPr>
      <w:rFonts w:ascii="宋体"/>
      <w:kern w:val="0"/>
      <w:sz w:val="18"/>
    </w:rPr>
  </w:style>
  <w:style w:type="paragraph" w:customStyle="1" w:styleId="654">
    <w:name w:val="文章正文样式 Char Char Char Char Char1"/>
    <w:basedOn w:val="1"/>
    <w:qFormat/>
    <w:uiPriority w:val="0"/>
    <w:pPr>
      <w:spacing w:line="520" w:lineRule="exact"/>
      <w:ind w:firstLine="480"/>
      <w:jc w:val="left"/>
    </w:pPr>
    <w:rPr>
      <w:rFonts w:ascii="宋体" w:hAnsi="宋体" w:cs="宋体"/>
      <w:szCs w:val="24"/>
    </w:rPr>
  </w:style>
  <w:style w:type="paragraph" w:customStyle="1" w:styleId="655">
    <w:name w:val="4"/>
    <w:basedOn w:val="1"/>
    <w:next w:val="38"/>
    <w:qFormat/>
    <w:uiPriority w:val="0"/>
    <w:pPr>
      <w:spacing w:line="240" w:lineRule="auto"/>
      <w:ind w:left="113" w:right="113" w:firstLine="0" w:firstLineChars="0"/>
    </w:pPr>
    <w:rPr>
      <w:rFonts w:ascii="宋体" w:hAnsi="宋体"/>
      <w:color w:val="0000FF"/>
      <w:sz w:val="21"/>
    </w:rPr>
  </w:style>
  <w:style w:type="paragraph" w:customStyle="1" w:styleId="656">
    <w:name w:val="正文A"/>
    <w:qFormat/>
    <w:uiPriority w:val="0"/>
    <w:pPr>
      <w:widowControl w:val="0"/>
      <w:tabs>
        <w:tab w:val="left" w:pos="0"/>
      </w:tabs>
      <w:adjustRightInd w:val="0"/>
      <w:spacing w:line="360" w:lineRule="auto"/>
      <w:ind w:firstLine="480" w:firstLineChars="200"/>
      <w:jc w:val="both"/>
    </w:pPr>
    <w:rPr>
      <w:rFonts w:ascii="Times New Roman" w:hAnsi="Times New Roman" w:eastAsia="宋体" w:cs="Times New Roman"/>
      <w:snapToGrid w:val="0"/>
      <w:sz w:val="24"/>
      <w:lang w:val="en-US" w:eastAsia="zh-CN" w:bidi="ar-SA"/>
    </w:rPr>
  </w:style>
  <w:style w:type="paragraph" w:customStyle="1" w:styleId="657">
    <w:name w:val="reader-word-layer"/>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658">
    <w:name w:val="样式11"/>
    <w:basedOn w:val="649"/>
    <w:qFormat/>
    <w:uiPriority w:val="0"/>
    <w:pPr>
      <w:keepNext/>
      <w:keepLines/>
      <w:tabs>
        <w:tab w:val="left" w:pos="0"/>
        <w:tab w:val="left" w:pos="720"/>
        <w:tab w:val="left" w:pos="1984"/>
      </w:tabs>
      <w:spacing w:before="156" w:beforeLines="50" w:after="156" w:afterLines="50" w:line="360" w:lineRule="auto"/>
      <w:ind w:left="1984" w:right="0" w:rightChars="0" w:hanging="708" w:firstLineChars="0"/>
      <w:outlineLvl w:val="3"/>
    </w:pPr>
    <w:rPr>
      <w:rFonts w:ascii="宋体" w:hAnsi="宋体" w:eastAsia="宋体"/>
      <w:snapToGrid/>
      <w:sz w:val="24"/>
      <w:szCs w:val="20"/>
    </w:rPr>
  </w:style>
  <w:style w:type="paragraph" w:customStyle="1" w:styleId="659">
    <w:name w:val="样式54"/>
    <w:basedOn w:val="558"/>
    <w:qFormat/>
    <w:uiPriority w:val="0"/>
  </w:style>
  <w:style w:type="paragraph" w:customStyle="1" w:styleId="660">
    <w:name w:val="一级条标题"/>
    <w:basedOn w:val="661"/>
    <w:next w:val="1"/>
    <w:qFormat/>
    <w:uiPriority w:val="0"/>
    <w:pPr>
      <w:tabs>
        <w:tab w:val="left" w:pos="360"/>
        <w:tab w:val="left" w:pos="780"/>
        <w:tab w:val="left" w:pos="903"/>
      </w:tabs>
      <w:spacing w:before="0" w:after="0"/>
      <w:ind w:left="780" w:hanging="360"/>
      <w:outlineLvl w:val="2"/>
    </w:pPr>
  </w:style>
  <w:style w:type="paragraph" w:customStyle="1" w:styleId="661">
    <w:name w:val="章标题"/>
    <w:next w:val="1"/>
    <w:qFormat/>
    <w:uiPriority w:val="0"/>
    <w:pPr>
      <w:tabs>
        <w:tab w:val="left" w:pos="780"/>
        <w:tab w:val="left" w:pos="903"/>
      </w:tabs>
      <w:spacing w:before="50" w:after="50"/>
      <w:ind w:left="903" w:leftChars="200" w:hanging="315" w:hangingChars="200"/>
      <w:jc w:val="both"/>
      <w:outlineLvl w:val="1"/>
    </w:pPr>
    <w:rPr>
      <w:rFonts w:ascii="黑体" w:hAnsi="Times New Roman" w:eastAsia="黑体" w:cs="Times New Roman"/>
      <w:sz w:val="21"/>
      <w:lang w:val="en-US" w:eastAsia="zh-CN" w:bidi="ar-SA"/>
    </w:rPr>
  </w:style>
  <w:style w:type="paragraph" w:customStyle="1" w:styleId="662">
    <w:name w:val="Char Char Char1 Char Char Char Char Char Char Char Char Char Char"/>
    <w:basedOn w:val="1"/>
    <w:qFormat/>
    <w:uiPriority w:val="0"/>
    <w:pPr>
      <w:spacing w:line="240" w:lineRule="auto"/>
      <w:ind w:firstLine="0" w:firstLineChars="0"/>
    </w:pPr>
  </w:style>
  <w:style w:type="paragraph" w:customStyle="1" w:styleId="663">
    <w:name w:val="目录 311"/>
    <w:basedOn w:val="664"/>
    <w:next w:val="564"/>
    <w:qFormat/>
    <w:uiPriority w:val="0"/>
    <w:pPr>
      <w:tabs>
        <w:tab w:val="right" w:leader="dot" w:pos="8306"/>
      </w:tabs>
      <w:spacing w:before="0" w:after="0"/>
      <w:ind w:left="567"/>
    </w:pPr>
  </w:style>
  <w:style w:type="paragraph" w:customStyle="1" w:styleId="664">
    <w:name w:val="目录 211"/>
    <w:basedOn w:val="665"/>
    <w:next w:val="564"/>
    <w:qFormat/>
    <w:uiPriority w:val="0"/>
    <w:pPr>
      <w:tabs>
        <w:tab w:val="right" w:leader="dot" w:pos="8306"/>
      </w:tabs>
      <w:ind w:left="454"/>
    </w:pPr>
    <w:rPr>
      <w:caps w:val="0"/>
      <w:smallCaps/>
      <w:sz w:val="28"/>
    </w:rPr>
  </w:style>
  <w:style w:type="paragraph" w:customStyle="1" w:styleId="665">
    <w:name w:val="目录 111"/>
    <w:basedOn w:val="564"/>
    <w:next w:val="564"/>
    <w:qFormat/>
    <w:uiPriority w:val="0"/>
    <w:pPr>
      <w:tabs>
        <w:tab w:val="right" w:leader="dot" w:pos="8306"/>
      </w:tabs>
      <w:spacing w:before="120" w:after="120"/>
      <w:jc w:val="both"/>
    </w:pPr>
    <w:rPr>
      <w:caps/>
      <w:sz w:val="30"/>
    </w:rPr>
  </w:style>
  <w:style w:type="paragraph" w:customStyle="1" w:styleId="666">
    <w:name w:val="Char Char4 Char Char"/>
    <w:basedOn w:val="1"/>
    <w:qFormat/>
    <w:uiPriority w:val="0"/>
    <w:pPr>
      <w:spacing w:line="240" w:lineRule="auto"/>
      <w:ind w:firstLine="0" w:firstLineChars="0"/>
    </w:pPr>
    <w:rPr>
      <w:szCs w:val="24"/>
    </w:rPr>
  </w:style>
  <w:style w:type="paragraph" w:customStyle="1" w:styleId="667">
    <w:name w:val="标4"/>
    <w:basedOn w:val="144"/>
    <w:qFormat/>
    <w:uiPriority w:val="0"/>
    <w:pPr>
      <w:keepNext w:val="0"/>
      <w:keepLines w:val="0"/>
      <w:tabs>
        <w:tab w:val="left" w:pos="1080"/>
        <w:tab w:val="left" w:pos="3490"/>
        <w:tab w:val="clear" w:pos="322"/>
      </w:tabs>
      <w:spacing w:before="0" w:beforeLines="0" w:after="0" w:afterLines="0" w:line="560" w:lineRule="atLeast"/>
      <w:ind w:left="0" w:leftChars="0" w:firstLine="0" w:firstLineChars="0"/>
      <w:outlineLvl w:val="3"/>
    </w:pPr>
    <w:rPr>
      <w:rFonts w:ascii="宋体" w:hAnsi="宋体" w:eastAsia="宋体"/>
      <w:kern w:val="2"/>
      <w:sz w:val="24"/>
    </w:rPr>
  </w:style>
  <w:style w:type="paragraph" w:customStyle="1" w:styleId="668">
    <w:name w:val="Char Char Char Char Char Char Char Char Char1 Char Char Char Char Char Char Char1 Char Char Char Char Char Char"/>
    <w:basedOn w:val="1"/>
    <w:qFormat/>
    <w:uiPriority w:val="0"/>
    <w:rPr>
      <w:rFonts w:ascii="宋体" w:hAnsi="宋体" w:cs="宋体"/>
      <w:szCs w:val="24"/>
    </w:rPr>
  </w:style>
  <w:style w:type="paragraph" w:customStyle="1" w:styleId="669">
    <w:name w:val="样式 标题 3 + 段前: 0.5 行 段后: 0.5 行1"/>
    <w:basedOn w:val="7"/>
    <w:qFormat/>
    <w:uiPriority w:val="0"/>
    <w:pPr>
      <w:tabs>
        <w:tab w:val="left" w:pos="720"/>
      </w:tabs>
      <w:spacing w:before="156" w:beforeLines="50" w:after="156" w:afterLines="50"/>
      <w:ind w:left="720" w:hanging="720"/>
      <w:jc w:val="both"/>
    </w:pPr>
    <w:rPr>
      <w:rFonts w:ascii="宋体"/>
      <w:b w:val="0"/>
      <w:kern w:val="2"/>
    </w:rPr>
  </w:style>
  <w:style w:type="paragraph" w:customStyle="1" w:styleId="670">
    <w:name w:val="标题 31"/>
    <w:basedOn w:val="335"/>
    <w:next w:val="335"/>
    <w:qFormat/>
    <w:uiPriority w:val="1"/>
    <w:pPr>
      <w:keepNext/>
      <w:keepLines/>
      <w:adjustRightInd w:val="0"/>
      <w:spacing w:before="260" w:after="260" w:line="416" w:lineRule="atLeast"/>
      <w:ind w:firstLine="0" w:firstLineChars="0"/>
      <w:textAlignment w:val="baseline"/>
    </w:pPr>
    <w:rPr>
      <w:rFonts w:ascii="宋体" w:hAnsi="Times New Roman"/>
      <w:b/>
      <w:kern w:val="0"/>
      <w:sz w:val="32"/>
      <w:szCs w:val="20"/>
    </w:rPr>
  </w:style>
  <w:style w:type="paragraph" w:customStyle="1" w:styleId="671">
    <w:name w:val="Char Char Char Char Char Char"/>
    <w:basedOn w:val="1"/>
    <w:semiHidden/>
    <w:qFormat/>
    <w:uiPriority w:val="0"/>
    <w:pPr>
      <w:spacing w:line="240" w:lineRule="auto"/>
      <w:ind w:firstLine="0" w:firstLineChars="0"/>
    </w:pPr>
    <w:rPr>
      <w:szCs w:val="24"/>
    </w:rPr>
  </w:style>
  <w:style w:type="paragraph" w:customStyle="1" w:styleId="672">
    <w:name w:val="Char2"/>
    <w:basedOn w:val="1"/>
    <w:semiHidden/>
    <w:qFormat/>
    <w:uiPriority w:val="0"/>
    <w:pPr>
      <w:spacing w:line="240" w:lineRule="auto"/>
    </w:pPr>
    <w:rPr>
      <w:rFonts w:ascii="宋体" w:hAnsi="宋体" w:cs="宋体"/>
      <w:sz w:val="21"/>
      <w:szCs w:val="24"/>
    </w:rPr>
  </w:style>
  <w:style w:type="paragraph" w:customStyle="1" w:styleId="673">
    <w:name w:val="Char Char Char12"/>
    <w:basedOn w:val="1"/>
    <w:qFormat/>
    <w:uiPriority w:val="0"/>
    <w:pPr>
      <w:spacing w:line="240" w:lineRule="auto"/>
      <w:ind w:firstLine="0" w:firstLineChars="0"/>
    </w:pPr>
    <w:rPr>
      <w:rFonts w:ascii="Tahoma" w:hAnsi="Tahoma"/>
      <w:szCs w:val="24"/>
    </w:rPr>
  </w:style>
  <w:style w:type="paragraph" w:customStyle="1" w:styleId="674">
    <w:name w:val="图表文字"/>
    <w:basedOn w:val="1"/>
    <w:qFormat/>
    <w:uiPriority w:val="0"/>
    <w:pPr>
      <w:spacing w:line="300" w:lineRule="exact"/>
      <w:ind w:firstLine="0" w:firstLineChars="0"/>
      <w:jc w:val="center"/>
    </w:pPr>
    <w:rPr>
      <w:sz w:val="21"/>
    </w:rPr>
  </w:style>
  <w:style w:type="paragraph" w:customStyle="1" w:styleId="675">
    <w:name w:val="环评正文"/>
    <w:basedOn w:val="1"/>
    <w:qFormat/>
    <w:uiPriority w:val="0"/>
    <w:pPr>
      <w:ind w:firstLine="0" w:firstLineChars="0"/>
    </w:pPr>
    <w:rPr>
      <w:rFonts w:ascii="宋体" w:hAnsi="宋体" w:cs="宋体"/>
    </w:rPr>
  </w:style>
  <w:style w:type="paragraph" w:customStyle="1" w:styleId="676">
    <w:name w:val="列出段落1"/>
    <w:basedOn w:val="1"/>
    <w:qFormat/>
    <w:uiPriority w:val="0"/>
    <w:pPr>
      <w:spacing w:line="240" w:lineRule="auto"/>
      <w:ind w:firstLine="420"/>
    </w:pPr>
    <w:rPr>
      <w:rFonts w:ascii="Calibri" w:hAnsi="Calibri"/>
      <w:sz w:val="21"/>
      <w:szCs w:val="22"/>
    </w:rPr>
  </w:style>
  <w:style w:type="paragraph" w:customStyle="1" w:styleId="677">
    <w:name w:val="样式 样式 标题 3 + 段前: 0.5 行 段后: 0.5 行 + 宋体 段前: 0.5 行 段后: 0.5 行"/>
    <w:basedOn w:val="678"/>
    <w:qFormat/>
    <w:uiPriority w:val="0"/>
    <w:pPr>
      <w:tabs>
        <w:tab w:val="left" w:pos="360"/>
        <w:tab w:val="left" w:pos="864"/>
        <w:tab w:val="left" w:pos="1680"/>
        <w:tab w:val="left" w:pos="1830"/>
        <w:tab w:val="left" w:pos="2160"/>
      </w:tabs>
      <w:spacing w:before="0" w:beforeLines="0" w:after="0" w:afterLines="0"/>
      <w:ind w:left="960" w:hanging="405"/>
    </w:pPr>
    <w:rPr>
      <w:rFonts w:ascii="宋体" w:hAnsi="宋体" w:eastAsia="宋体"/>
    </w:rPr>
  </w:style>
  <w:style w:type="paragraph" w:customStyle="1" w:styleId="678">
    <w:name w:val="样式 标题 3 + 段前: 0.5 行 段后: 0.5 行"/>
    <w:basedOn w:val="9"/>
    <w:qFormat/>
    <w:uiPriority w:val="0"/>
    <w:pPr>
      <w:tabs>
        <w:tab w:val="left" w:pos="864"/>
        <w:tab w:val="left" w:pos="1680"/>
        <w:tab w:val="left" w:pos="1830"/>
      </w:tabs>
      <w:spacing w:before="156" w:beforeLines="50" w:after="156" w:afterLines="50"/>
      <w:ind w:left="864" w:hanging="864"/>
    </w:pPr>
    <w:rPr>
      <w:rFonts w:ascii="Arial" w:hAnsi="Arial" w:eastAsia="黑体"/>
      <w:kern w:val="2"/>
    </w:rPr>
  </w:style>
  <w:style w:type="paragraph" w:customStyle="1" w:styleId="679">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333333"/>
      <w:kern w:val="0"/>
      <w:sz w:val="20"/>
    </w:rPr>
  </w:style>
  <w:style w:type="paragraph" w:customStyle="1" w:styleId="680">
    <w:name w:val="正文 + 首行缩进:  2 字符 Char"/>
    <w:basedOn w:val="1"/>
    <w:qFormat/>
    <w:uiPriority w:val="0"/>
    <w:pPr>
      <w:ind w:firstLine="480"/>
    </w:pPr>
    <w:rPr>
      <w:rFonts w:ascii="宋体"/>
    </w:rPr>
  </w:style>
  <w:style w:type="paragraph" w:customStyle="1" w:styleId="681">
    <w:name w:val="xl7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FF"/>
      <w:kern w:val="0"/>
      <w:sz w:val="20"/>
    </w:rPr>
  </w:style>
  <w:style w:type="paragraph" w:customStyle="1" w:styleId="682">
    <w:name w:val="样式"/>
    <w:basedOn w:val="1"/>
    <w:next w:val="8"/>
    <w:qFormat/>
    <w:uiPriority w:val="0"/>
    <w:pPr>
      <w:tabs>
        <w:tab w:val="left" w:pos="2268"/>
      </w:tabs>
      <w:adjustRightInd w:val="0"/>
      <w:spacing w:line="312" w:lineRule="auto"/>
      <w:ind w:left="425" w:firstLine="420" w:firstLineChars="0"/>
    </w:pPr>
    <w:rPr>
      <w:color w:val="000000"/>
      <w:spacing w:val="-4"/>
      <w:kern w:val="0"/>
      <w:sz w:val="28"/>
    </w:rPr>
  </w:style>
  <w:style w:type="paragraph" w:customStyle="1" w:styleId="683">
    <w:name w:val="表格居中"/>
    <w:basedOn w:val="1"/>
    <w:qFormat/>
    <w:uiPriority w:val="0"/>
    <w:pPr>
      <w:spacing w:line="240" w:lineRule="auto"/>
      <w:ind w:firstLine="0" w:firstLineChars="0"/>
      <w:jc w:val="center"/>
    </w:pPr>
    <w:rPr>
      <w:rFonts w:ascii="宋体" w:hAnsi="宋体" w:cs="宋体"/>
      <w:snapToGrid w:val="0"/>
      <w:spacing w:val="-4"/>
      <w:w w:val="90"/>
      <w:kern w:val="0"/>
    </w:rPr>
  </w:style>
  <w:style w:type="paragraph" w:customStyle="1" w:styleId="684">
    <w:name w:val="正文小四"/>
    <w:basedOn w:val="1"/>
    <w:qFormat/>
    <w:uiPriority w:val="0"/>
    <w:pPr>
      <w:spacing w:line="460" w:lineRule="exact"/>
      <w:ind w:firstLine="600"/>
    </w:pPr>
    <w:rPr>
      <w:rFonts w:ascii="宋体" w:hAnsi="宋体"/>
      <w:spacing w:val="30"/>
      <w:kern w:val="24"/>
    </w:rPr>
  </w:style>
  <w:style w:type="paragraph" w:customStyle="1" w:styleId="685">
    <w:name w:val="正文格式 Char"/>
    <w:basedOn w:val="1"/>
    <w:qFormat/>
    <w:uiPriority w:val="0"/>
    <w:pPr>
      <w:ind w:firstLine="482" w:firstLineChars="0"/>
    </w:pPr>
    <w:rPr>
      <w:rFonts w:ascii="宋体" w:cs="宋体"/>
      <w:szCs w:val="24"/>
    </w:rPr>
  </w:style>
  <w:style w:type="paragraph" w:customStyle="1" w:styleId="686">
    <w:name w:val="样式59"/>
    <w:basedOn w:val="558"/>
    <w:qFormat/>
    <w:uiPriority w:val="0"/>
  </w:style>
  <w:style w:type="paragraph" w:customStyle="1" w:styleId="687">
    <w:name w:val="样式 标题 1 + 段前: 0.1 行 段后: 0.1 行"/>
    <w:basedOn w:val="5"/>
    <w:qFormat/>
    <w:uiPriority w:val="0"/>
    <w:pPr>
      <w:widowControl/>
      <w:numPr>
        <w:numId w:val="0"/>
      </w:numPr>
      <w:tabs>
        <w:tab w:val="left" w:pos="432"/>
        <w:tab w:val="clear" w:pos="3490"/>
      </w:tabs>
      <w:spacing w:before="31" w:beforeLines="10" w:after="31" w:afterLines="10"/>
      <w:ind w:left="432" w:hanging="432"/>
      <w:jc w:val="left"/>
    </w:pPr>
    <w:rPr>
      <w:rFonts w:ascii="Times New Roman" w:eastAsia="黑体"/>
      <w:b w:val="0"/>
      <w:kern w:val="44"/>
    </w:rPr>
  </w:style>
  <w:style w:type="paragraph" w:customStyle="1" w:styleId="688">
    <w:name w:val="中文报告书样式2"/>
    <w:basedOn w:val="1"/>
    <w:qFormat/>
    <w:uiPriority w:val="0"/>
    <w:pPr>
      <w:adjustRightInd w:val="0"/>
      <w:spacing w:after="120" w:line="480" w:lineRule="atLeast"/>
      <w:ind w:firstLine="567" w:firstLineChars="0"/>
      <w:jc w:val="left"/>
      <w:textAlignment w:val="baseline"/>
    </w:pPr>
    <w:rPr>
      <w:kern w:val="24"/>
      <w:sz w:val="28"/>
    </w:rPr>
  </w:style>
  <w:style w:type="paragraph" w:customStyle="1" w:styleId="689">
    <w:name w:val="图文1"/>
    <w:basedOn w:val="371"/>
    <w:qFormat/>
    <w:uiPriority w:val="0"/>
    <w:pPr>
      <w:autoSpaceDE/>
      <w:autoSpaceDN/>
      <w:spacing w:before="156" w:beforeLines="50" w:after="156" w:afterLines="50"/>
    </w:pPr>
    <w:rPr>
      <w:rFonts w:ascii="宋体" w:hAnsi="宋体"/>
      <w:sz w:val="28"/>
    </w:rPr>
  </w:style>
  <w:style w:type="paragraph" w:customStyle="1" w:styleId="690">
    <w:name w:val="图名"/>
    <w:basedOn w:val="1"/>
    <w:qFormat/>
    <w:uiPriority w:val="0"/>
    <w:pPr>
      <w:spacing w:line="240" w:lineRule="auto"/>
      <w:ind w:firstLine="480"/>
    </w:pPr>
    <w:rPr>
      <w:rFonts w:ascii="宋体" w:hAnsi="宋体"/>
      <w:kern w:val="0"/>
      <w:szCs w:val="24"/>
    </w:rPr>
  </w:style>
  <w:style w:type="paragraph" w:customStyle="1" w:styleId="691">
    <w:name w:val="首缩"/>
    <w:basedOn w:val="1"/>
    <w:semiHidden/>
    <w:qFormat/>
    <w:uiPriority w:val="0"/>
    <w:pPr>
      <w:adjustRightInd w:val="0"/>
      <w:snapToGrid w:val="0"/>
      <w:spacing w:line="500" w:lineRule="exact"/>
      <w:ind w:firstLine="0" w:firstLineChars="0"/>
    </w:pPr>
    <w:rPr>
      <w:rFonts w:eastAsia="仿宋_GB2312"/>
      <w:snapToGrid w:val="0"/>
      <w:kern w:val="0"/>
      <w:sz w:val="28"/>
    </w:rPr>
  </w:style>
  <w:style w:type="paragraph" w:customStyle="1" w:styleId="692">
    <w:name w:val="a表格"/>
    <w:basedOn w:val="1"/>
    <w:qFormat/>
    <w:uiPriority w:val="0"/>
    <w:pPr>
      <w:snapToGrid w:val="0"/>
      <w:spacing w:line="240" w:lineRule="auto"/>
      <w:ind w:firstLine="0" w:firstLineChars="0"/>
      <w:jc w:val="center"/>
    </w:pPr>
    <w:rPr>
      <w:bCs/>
      <w:color w:val="FF0000"/>
      <w:sz w:val="21"/>
      <w:szCs w:val="24"/>
    </w:rPr>
  </w:style>
  <w:style w:type="paragraph" w:customStyle="1" w:styleId="693">
    <w:name w:val="_Style 691"/>
    <w:unhideWhenUsed/>
    <w:qFormat/>
    <w:uiPriority w:val="99"/>
    <w:rPr>
      <w:rFonts w:ascii="Times New Roman" w:hAnsi="Times New Roman" w:eastAsia="宋体" w:cs="Times New Roman"/>
      <w:kern w:val="2"/>
      <w:sz w:val="24"/>
      <w:lang w:val="en-US" w:eastAsia="zh-CN" w:bidi="ar-SA"/>
    </w:rPr>
  </w:style>
  <w:style w:type="paragraph" w:customStyle="1" w:styleId="694">
    <w:name w:val="Table Paragraph"/>
    <w:basedOn w:val="1"/>
    <w:qFormat/>
    <w:uiPriority w:val="1"/>
    <w:pPr>
      <w:spacing w:line="240" w:lineRule="auto"/>
      <w:ind w:firstLine="0" w:firstLineChars="0"/>
    </w:pPr>
    <w:rPr>
      <w:sz w:val="21"/>
      <w:szCs w:val="24"/>
    </w:rPr>
  </w:style>
  <w:style w:type="paragraph" w:customStyle="1" w:styleId="695">
    <w:name w:val="表头名称"/>
    <w:basedOn w:val="8"/>
    <w:qFormat/>
    <w:uiPriority w:val="0"/>
    <w:pPr>
      <w:autoSpaceDE w:val="0"/>
      <w:autoSpaceDN w:val="0"/>
      <w:adjustRightInd w:val="0"/>
      <w:ind w:firstLine="0" w:firstLineChars="0"/>
      <w:jc w:val="center"/>
    </w:pPr>
    <w:rPr>
      <w:rFonts w:ascii="宋体" w:hAnsi="宋体"/>
      <w:color w:val="000000"/>
      <w:kern w:val="0"/>
      <w:sz w:val="21"/>
    </w:rPr>
  </w:style>
  <w:style w:type="paragraph" w:customStyle="1" w:styleId="696">
    <w:name w:val="13"/>
    <w:basedOn w:val="1"/>
    <w:next w:val="44"/>
    <w:qFormat/>
    <w:uiPriority w:val="0"/>
    <w:pPr>
      <w:spacing w:line="312" w:lineRule="auto"/>
      <w:ind w:firstLine="624" w:firstLineChars="0"/>
    </w:pPr>
    <w:rPr>
      <w:rFonts w:hint="eastAsia" w:ascii="宋体" w:hAnsi="Courier New"/>
      <w:w w:val="110"/>
      <w:kern w:val="0"/>
      <w:sz w:val="21"/>
    </w:rPr>
  </w:style>
  <w:style w:type="paragraph" w:customStyle="1" w:styleId="697">
    <w:name w:val="标题3 Char Char Char Char"/>
    <w:basedOn w:val="1"/>
    <w:semiHidden/>
    <w:qFormat/>
    <w:uiPriority w:val="0"/>
    <w:pPr>
      <w:spacing w:after="156" w:afterLines="50" w:line="560" w:lineRule="exact"/>
      <w:ind w:firstLine="0" w:firstLineChars="0"/>
    </w:pPr>
    <w:rPr>
      <w:rFonts w:eastAsia="黑体"/>
      <w:sz w:val="30"/>
    </w:rPr>
  </w:style>
  <w:style w:type="paragraph" w:customStyle="1" w:styleId="698">
    <w:name w:val="默认段落字体 Para Char Char Char Char Char Char Char"/>
    <w:basedOn w:val="1"/>
    <w:qFormat/>
    <w:uiPriority w:val="0"/>
    <w:pPr>
      <w:ind w:firstLine="0" w:firstLineChars="0"/>
    </w:pPr>
    <w:rPr>
      <w:szCs w:val="24"/>
    </w:rPr>
  </w:style>
  <w:style w:type="paragraph" w:customStyle="1" w:styleId="699">
    <w:name w:val="首行缩进 Char Char"/>
    <w:basedOn w:val="1"/>
    <w:qFormat/>
    <w:uiPriority w:val="0"/>
    <w:pPr>
      <w:snapToGrid w:val="0"/>
      <w:ind w:firstLine="499" w:firstLineChars="0"/>
    </w:pPr>
    <w:rPr>
      <w:rFonts w:ascii="宋体"/>
    </w:rPr>
  </w:style>
  <w:style w:type="paragraph" w:customStyle="1" w:styleId="700">
    <w:name w:val="正"/>
    <w:basedOn w:val="1"/>
    <w:semiHidden/>
    <w:qFormat/>
    <w:uiPriority w:val="0"/>
    <w:pPr>
      <w:spacing w:line="240" w:lineRule="auto"/>
      <w:ind w:firstLine="0" w:firstLineChars="0"/>
    </w:pPr>
  </w:style>
  <w:style w:type="paragraph" w:customStyle="1" w:styleId="701">
    <w:name w:val="日期1"/>
    <w:basedOn w:val="1"/>
    <w:next w:val="1"/>
    <w:qFormat/>
    <w:uiPriority w:val="0"/>
    <w:pPr>
      <w:autoSpaceDE w:val="0"/>
      <w:autoSpaceDN w:val="0"/>
      <w:adjustRightInd w:val="0"/>
      <w:spacing w:line="240" w:lineRule="auto"/>
      <w:ind w:firstLine="0" w:firstLineChars="0"/>
      <w:textAlignment w:val="baseline"/>
    </w:pPr>
    <w:rPr>
      <w:spacing w:val="5"/>
      <w:kern w:val="0"/>
    </w:rPr>
  </w:style>
  <w:style w:type="paragraph" w:customStyle="1" w:styleId="702">
    <w:name w:val="表样式1"/>
    <w:basedOn w:val="1"/>
    <w:qFormat/>
    <w:uiPriority w:val="0"/>
    <w:pPr>
      <w:spacing w:line="380" w:lineRule="exact"/>
      <w:ind w:right="-275" w:rightChars="-131" w:firstLine="0" w:firstLineChars="0"/>
    </w:pPr>
    <w:rPr>
      <w:rFonts w:ascii="宋体" w:hAnsi="宋体"/>
      <w:sz w:val="21"/>
      <w:szCs w:val="21"/>
    </w:rPr>
  </w:style>
  <w:style w:type="paragraph" w:customStyle="1" w:styleId="703">
    <w:name w:val="杠式表格"/>
    <w:basedOn w:val="1"/>
    <w:qFormat/>
    <w:uiPriority w:val="0"/>
    <w:pPr>
      <w:adjustRightInd w:val="0"/>
      <w:snapToGrid w:val="0"/>
      <w:spacing w:after="120"/>
      <w:ind w:firstLine="0" w:firstLineChars="0"/>
      <w:jc w:val="center"/>
      <w:textAlignment w:val="baseline"/>
    </w:pPr>
    <w:rPr>
      <w:kern w:val="0"/>
      <w:sz w:val="21"/>
    </w:rPr>
  </w:style>
  <w:style w:type="paragraph" w:customStyle="1" w:styleId="704">
    <w:name w:val="my table header"/>
    <w:basedOn w:val="1"/>
    <w:qFormat/>
    <w:uiPriority w:val="0"/>
    <w:pPr>
      <w:spacing w:line="360" w:lineRule="exact"/>
      <w:ind w:left="567" w:firstLine="0" w:firstLineChars="0"/>
      <w:jc w:val="center"/>
    </w:pPr>
    <w:rPr>
      <w:rFonts w:ascii="黑体" w:eastAsia="黑体"/>
      <w:color w:val="000000"/>
      <w:sz w:val="21"/>
    </w:rPr>
  </w:style>
  <w:style w:type="paragraph" w:customStyle="1" w:styleId="705">
    <w:name w:val="BG5"/>
    <w:basedOn w:val="1"/>
    <w:qFormat/>
    <w:uiPriority w:val="0"/>
    <w:pPr>
      <w:autoSpaceDE w:val="0"/>
      <w:autoSpaceDN w:val="0"/>
      <w:adjustRightInd w:val="0"/>
      <w:spacing w:line="200" w:lineRule="atLeast"/>
      <w:ind w:firstLine="0" w:firstLineChars="0"/>
      <w:jc w:val="center"/>
    </w:pPr>
    <w:rPr>
      <w:rFonts w:hint="eastAsia" w:ascii="@宋体"/>
      <w:kern w:val="0"/>
      <w:sz w:val="21"/>
    </w:rPr>
  </w:style>
  <w:style w:type="paragraph" w:customStyle="1" w:styleId="706">
    <w:name w:val="表体"/>
    <w:basedOn w:val="1"/>
    <w:qFormat/>
    <w:uiPriority w:val="0"/>
    <w:pPr>
      <w:spacing w:before="40" w:after="40" w:line="240" w:lineRule="auto"/>
      <w:ind w:firstLine="0" w:firstLineChars="0"/>
      <w:jc w:val="center"/>
    </w:pPr>
    <w:rPr>
      <w:sz w:val="21"/>
      <w:szCs w:val="21"/>
    </w:rPr>
  </w:style>
  <w:style w:type="paragraph" w:customStyle="1" w:styleId="707">
    <w:name w:val="表格，内容"/>
    <w:basedOn w:val="1"/>
    <w:qFormat/>
    <w:uiPriority w:val="0"/>
    <w:pPr>
      <w:spacing w:line="240" w:lineRule="auto"/>
      <w:ind w:firstLine="0" w:firstLineChars="0"/>
      <w:jc w:val="center"/>
    </w:pPr>
    <w:rPr>
      <w:spacing w:val="10"/>
      <w:kern w:val="44"/>
      <w:sz w:val="21"/>
    </w:rPr>
  </w:style>
  <w:style w:type="paragraph" w:customStyle="1" w:styleId="708">
    <w:name w:val="Char Char Char Char Char Char Char Char Char1 Char Char Char Char Char Char Char Char Char Char8"/>
    <w:basedOn w:val="1"/>
    <w:semiHidden/>
    <w:qFormat/>
    <w:uiPriority w:val="0"/>
    <w:pPr>
      <w:spacing w:line="240" w:lineRule="auto"/>
      <w:ind w:firstLine="0" w:firstLineChars="0"/>
    </w:pPr>
    <w:rPr>
      <w:rFonts w:ascii="宋体" w:hAnsi="宋体" w:cs="Courier New"/>
      <w:sz w:val="32"/>
      <w:szCs w:val="32"/>
    </w:rPr>
  </w:style>
  <w:style w:type="paragraph" w:customStyle="1" w:styleId="709">
    <w:name w:val="样式 正文文字缩进 + (符号) 宋体 首行缩进:  0.95 厘米"/>
    <w:basedOn w:val="3"/>
    <w:qFormat/>
    <w:uiPriority w:val="0"/>
    <w:pPr>
      <w:spacing w:after="0" w:line="300" w:lineRule="auto"/>
      <w:ind w:left="0" w:leftChars="0" w:firstLine="539" w:firstLineChars="0"/>
    </w:pPr>
    <w:rPr>
      <w:rFonts w:ascii="宋体" w:hAnsi="宋体"/>
    </w:rPr>
  </w:style>
  <w:style w:type="paragraph" w:customStyle="1" w:styleId="710">
    <w:name w:val="3 Char Char Char Char Char Char Char Char Char Char Char Char Char Char Char Char"/>
    <w:basedOn w:val="1"/>
    <w:qFormat/>
    <w:uiPriority w:val="0"/>
    <w:pPr>
      <w:spacing w:line="240" w:lineRule="auto"/>
      <w:ind w:firstLine="0" w:firstLineChars="0"/>
    </w:pPr>
    <w:rPr>
      <w:rFonts w:ascii="Tahoma" w:hAnsi="Tahoma"/>
      <w:szCs w:val="24"/>
    </w:rPr>
  </w:style>
  <w:style w:type="paragraph" w:customStyle="1" w:styleId="711">
    <w:name w:val="样式8 Char Char"/>
    <w:basedOn w:val="1"/>
    <w:qFormat/>
    <w:uiPriority w:val="0"/>
    <w:pPr>
      <w:ind w:firstLine="557" w:firstLineChars="232"/>
    </w:pPr>
    <w:rPr>
      <w:rFonts w:ascii="宋体"/>
    </w:rPr>
  </w:style>
  <w:style w:type="paragraph" w:customStyle="1" w:styleId="712">
    <w:name w:val="样式 表格文字 + 段后: 6 磅 左  2 字符"/>
    <w:basedOn w:val="387"/>
    <w:qFormat/>
    <w:uiPriority w:val="0"/>
    <w:pPr>
      <w:spacing w:after="120"/>
      <w:ind w:left="480" w:leftChars="200"/>
    </w:pPr>
    <w:rPr>
      <w:rFonts w:cs="宋体"/>
    </w:rPr>
  </w:style>
  <w:style w:type="paragraph" w:customStyle="1" w:styleId="713">
    <w:name w:val="xl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00"/>
      <w:kern w:val="0"/>
      <w:sz w:val="22"/>
    </w:rPr>
  </w:style>
  <w:style w:type="paragraph" w:customStyle="1" w:styleId="714">
    <w:name w:val="样式13 Char"/>
    <w:basedOn w:val="1"/>
    <w:qFormat/>
    <w:uiPriority w:val="0"/>
    <w:pPr>
      <w:keepNext/>
      <w:keepLines/>
      <w:tabs>
        <w:tab w:val="left" w:pos="900"/>
        <w:tab w:val="left" w:pos="1418"/>
        <w:tab w:val="left" w:pos="1571"/>
      </w:tabs>
      <w:ind w:left="1418" w:hanging="567" w:firstLineChars="0"/>
      <w:outlineLvl w:val="2"/>
    </w:pPr>
    <w:rPr>
      <w:rFonts w:ascii="宋体" w:eastAsia="黑体"/>
    </w:rPr>
  </w:style>
  <w:style w:type="paragraph" w:customStyle="1" w:styleId="715">
    <w:name w:val="尾注文本11"/>
    <w:basedOn w:val="564"/>
    <w:qFormat/>
    <w:uiPriority w:val="0"/>
    <w:pPr>
      <w:jc w:val="both"/>
    </w:pPr>
    <w:rPr>
      <w:sz w:val="21"/>
    </w:rPr>
  </w:style>
  <w:style w:type="paragraph" w:customStyle="1" w:styleId="716">
    <w:name w:val="修改后 Char"/>
    <w:basedOn w:val="717"/>
    <w:qFormat/>
    <w:uiPriority w:val="0"/>
    <w:pPr>
      <w:spacing w:before="156" w:beforeLines="50" w:after="156" w:afterLines="50"/>
    </w:pPr>
    <w:rPr>
      <w:shd w:val="clear" w:color="auto" w:fill="00FFFF"/>
    </w:rPr>
  </w:style>
  <w:style w:type="paragraph" w:customStyle="1" w:styleId="717">
    <w:name w:val="自动A"/>
    <w:basedOn w:val="1"/>
    <w:qFormat/>
    <w:uiPriority w:val="0"/>
    <w:pPr>
      <w:spacing w:before="120" w:after="120"/>
      <w:ind w:firstLine="480"/>
    </w:pPr>
    <w:rPr>
      <w:rFonts w:ascii="宋体"/>
      <w:color w:val="000000"/>
    </w:rPr>
  </w:style>
  <w:style w:type="paragraph" w:customStyle="1" w:styleId="718">
    <w:name w:val="D表0"/>
    <w:basedOn w:val="1"/>
    <w:qFormat/>
    <w:uiPriority w:val="0"/>
    <w:pPr>
      <w:jc w:val="center"/>
    </w:pPr>
    <w:rPr>
      <w:szCs w:val="21"/>
    </w:rPr>
  </w:style>
  <w:style w:type="paragraph" w:customStyle="1" w:styleId="719">
    <w:name w:val="font1"/>
    <w:basedOn w:val="1"/>
    <w:qFormat/>
    <w:uiPriority w:val="0"/>
    <w:pPr>
      <w:widowControl/>
      <w:spacing w:before="100" w:beforeAutospacing="1" w:after="100" w:afterAutospacing="1" w:line="240" w:lineRule="auto"/>
      <w:ind w:firstLine="0" w:firstLineChars="0"/>
      <w:jc w:val="left"/>
    </w:pPr>
    <w:rPr>
      <w:rFonts w:hint="eastAsia" w:ascii="宋体" w:hAnsi="宋体"/>
      <w:kern w:val="0"/>
    </w:rPr>
  </w:style>
  <w:style w:type="paragraph" w:customStyle="1" w:styleId="720">
    <w:name w:val="样式 五号 居中"/>
    <w:basedOn w:val="1"/>
    <w:qFormat/>
    <w:uiPriority w:val="0"/>
    <w:pPr>
      <w:spacing w:line="240" w:lineRule="auto"/>
      <w:ind w:firstLine="0" w:firstLineChars="0"/>
      <w:jc w:val="center"/>
    </w:pPr>
    <w:rPr>
      <w:rFonts w:cs="宋体"/>
      <w:kern w:val="0"/>
      <w:sz w:val="21"/>
    </w:rPr>
  </w:style>
  <w:style w:type="paragraph" w:customStyle="1" w:styleId="721">
    <w:name w:val="标题 711"/>
    <w:basedOn w:val="564"/>
    <w:next w:val="564"/>
    <w:qFormat/>
    <w:uiPriority w:val="0"/>
    <w:pPr>
      <w:keepNext/>
      <w:keepLines/>
      <w:spacing w:before="240" w:after="64" w:line="320" w:lineRule="atLeast"/>
      <w:jc w:val="both"/>
    </w:pPr>
    <w:rPr>
      <w:b/>
      <w:sz w:val="24"/>
    </w:rPr>
  </w:style>
  <w:style w:type="paragraph" w:customStyle="1" w:styleId="722">
    <w:name w:val="char"/>
    <w:basedOn w:val="1"/>
    <w:qFormat/>
    <w:uiPriority w:val="0"/>
    <w:pPr>
      <w:widowControl/>
      <w:spacing w:after="160" w:line="240" w:lineRule="exact"/>
      <w:ind w:firstLine="0" w:firstLineChars="0"/>
      <w:jc w:val="left"/>
    </w:pPr>
    <w:rPr>
      <w:rFonts w:ascii="Verdana" w:hAnsi="Verdana" w:eastAsia="仿宋_GB2312" w:cs="”“Times New Roman”“"/>
      <w:kern w:val="0"/>
      <w:lang w:eastAsia="en-US"/>
    </w:rPr>
  </w:style>
  <w:style w:type="paragraph" w:customStyle="1" w:styleId="723">
    <w:name w:val="Char Char Char"/>
    <w:basedOn w:val="1"/>
    <w:semiHidden/>
    <w:qFormat/>
    <w:uiPriority w:val="0"/>
    <w:pPr>
      <w:ind w:firstLine="0" w:firstLineChars="0"/>
      <w:jc w:val="left"/>
    </w:pPr>
    <w:rPr>
      <w:rFonts w:ascii="宋体" w:hAnsi="宋体" w:cs="Courier New"/>
      <w:sz w:val="21"/>
      <w:szCs w:val="32"/>
    </w:rPr>
  </w:style>
  <w:style w:type="paragraph" w:customStyle="1" w:styleId="724">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FFFF"/>
      <w:kern w:val="0"/>
      <w:sz w:val="20"/>
    </w:rPr>
  </w:style>
  <w:style w:type="paragraph" w:customStyle="1" w:styleId="725">
    <w:name w:val="样式 左"/>
    <w:basedOn w:val="1"/>
    <w:qFormat/>
    <w:uiPriority w:val="0"/>
    <w:pPr>
      <w:ind w:firstLine="0" w:firstLineChars="0"/>
      <w:jc w:val="left"/>
    </w:pPr>
    <w:rPr>
      <w:rFonts w:eastAsia="新宋体" w:cs="宋体"/>
    </w:rPr>
  </w:style>
  <w:style w:type="paragraph" w:customStyle="1" w:styleId="726">
    <w:name w:val="xl59"/>
    <w:basedOn w:val="1"/>
    <w:qFormat/>
    <w:uiPriority w:val="0"/>
    <w:pPr>
      <w:widowControl/>
      <w:spacing w:before="100" w:beforeAutospacing="1" w:after="100" w:afterAutospacing="1" w:line="240" w:lineRule="auto"/>
      <w:ind w:firstLine="0" w:firstLineChars="0"/>
      <w:jc w:val="center"/>
      <w:textAlignment w:val="center"/>
    </w:pPr>
    <w:rPr>
      <w:rFonts w:eastAsia="Arial Unicode MS"/>
      <w:kern w:val="0"/>
      <w:sz w:val="22"/>
    </w:rPr>
  </w:style>
  <w:style w:type="paragraph" w:customStyle="1" w:styleId="727">
    <w:name w:val="正文-1"/>
    <w:basedOn w:val="1"/>
    <w:semiHidden/>
    <w:qFormat/>
    <w:uiPriority w:val="0"/>
    <w:pPr>
      <w:spacing w:line="440" w:lineRule="atLeast"/>
      <w:ind w:firstLine="480"/>
    </w:pPr>
    <w:rPr>
      <w:szCs w:val="24"/>
    </w:rPr>
  </w:style>
  <w:style w:type="paragraph" w:customStyle="1" w:styleId="728">
    <w:name w:val="环科院标题3"/>
    <w:basedOn w:val="7"/>
    <w:semiHidden/>
    <w:qFormat/>
    <w:uiPriority w:val="0"/>
    <w:pPr>
      <w:jc w:val="both"/>
    </w:pPr>
    <w:rPr>
      <w:rFonts w:hAnsi="华文中宋" w:eastAsia="华文中宋"/>
      <w:bCs/>
      <w:color w:val="000000"/>
      <w:kern w:val="0"/>
      <w:sz w:val="28"/>
      <w:szCs w:val="28"/>
    </w:rPr>
  </w:style>
  <w:style w:type="paragraph" w:customStyle="1" w:styleId="729">
    <w:name w:val="正文01"/>
    <w:basedOn w:val="1"/>
    <w:qFormat/>
    <w:uiPriority w:val="0"/>
    <w:pPr>
      <w:spacing w:before="60" w:line="460" w:lineRule="exact"/>
    </w:pPr>
    <w:rPr>
      <w:bCs/>
      <w:szCs w:val="24"/>
    </w:rPr>
  </w:style>
  <w:style w:type="paragraph" w:customStyle="1" w:styleId="730">
    <w:name w:val="xl63"/>
    <w:basedOn w:val="1"/>
    <w:qFormat/>
    <w:uiPriority w:val="0"/>
    <w:pPr>
      <w:widowControl/>
      <w:spacing w:before="100" w:after="100" w:line="240" w:lineRule="auto"/>
      <w:ind w:firstLine="0" w:firstLineChars="0"/>
      <w:jc w:val="center"/>
      <w:textAlignment w:val="center"/>
    </w:pPr>
    <w:rPr>
      <w:rFonts w:hint="eastAsia" w:ascii="黑体" w:hAnsi="宋体" w:eastAsia="黑体"/>
      <w:kern w:val="0"/>
    </w:rPr>
  </w:style>
  <w:style w:type="paragraph" w:customStyle="1" w:styleId="731">
    <w:name w:val="表格内"/>
    <w:basedOn w:val="1"/>
    <w:qFormat/>
    <w:uiPriority w:val="0"/>
    <w:pPr>
      <w:adjustRightInd w:val="0"/>
      <w:spacing w:line="240" w:lineRule="atLeast"/>
      <w:ind w:firstLine="0" w:firstLineChars="0"/>
      <w:jc w:val="center"/>
      <w:textAlignment w:val="baseline"/>
    </w:pPr>
    <w:rPr>
      <w:rFonts w:ascii="宋体"/>
      <w:kern w:val="0"/>
      <w:sz w:val="21"/>
    </w:rPr>
  </w:style>
  <w:style w:type="paragraph" w:customStyle="1" w:styleId="732">
    <w:name w:val="册除格式 Char"/>
    <w:qFormat/>
    <w:uiPriority w:val="0"/>
    <w:pPr>
      <w:spacing w:line="360" w:lineRule="auto"/>
      <w:ind w:firstLine="482"/>
    </w:pPr>
    <w:rPr>
      <w:rFonts w:ascii="黑体" w:hAnsi="Arial" w:eastAsia="宋体" w:cs="Times New Roman"/>
      <w:snapToGrid w:val="0"/>
      <w:spacing w:val="4"/>
      <w:kern w:val="18"/>
      <w:sz w:val="24"/>
      <w:lang w:val="en-US" w:eastAsia="zh-CN" w:bidi="ar-SA"/>
    </w:rPr>
  </w:style>
  <w:style w:type="paragraph" w:customStyle="1" w:styleId="733">
    <w:name w:val="纯文本普通文字"/>
    <w:basedOn w:val="1"/>
    <w:next w:val="1"/>
    <w:qFormat/>
    <w:uiPriority w:val="99"/>
    <w:pPr>
      <w:spacing w:line="240" w:lineRule="auto"/>
      <w:ind w:firstLine="480"/>
    </w:pPr>
    <w:rPr>
      <w:rFonts w:ascii="宋体" w:hAnsi="宋体" w:cs="宋体"/>
      <w:sz w:val="21"/>
      <w:szCs w:val="21"/>
    </w:rPr>
  </w:style>
  <w:style w:type="paragraph" w:customStyle="1" w:styleId="734">
    <w:name w:val="编制单位、时间"/>
    <w:basedOn w:val="1"/>
    <w:semiHidden/>
    <w:qFormat/>
    <w:uiPriority w:val="0"/>
    <w:pPr>
      <w:spacing w:line="218" w:lineRule="atLeast"/>
      <w:ind w:firstLine="0" w:firstLineChars="0"/>
      <w:jc w:val="left"/>
    </w:pPr>
    <w:rPr>
      <w:rFonts w:eastAsia="仿宋_GB2312"/>
      <w:kern w:val="0"/>
      <w:sz w:val="32"/>
    </w:rPr>
  </w:style>
  <w:style w:type="paragraph" w:customStyle="1" w:styleId="735">
    <w:name w:val="Char Char Char Char"/>
    <w:basedOn w:val="1"/>
    <w:qFormat/>
    <w:uiPriority w:val="0"/>
    <w:pPr>
      <w:widowControl/>
      <w:adjustRightInd w:val="0"/>
      <w:spacing w:after="160" w:line="240" w:lineRule="exact"/>
      <w:ind w:firstLine="0" w:firstLineChars="0"/>
      <w:jc w:val="left"/>
      <w:textAlignment w:val="baseline"/>
    </w:pPr>
    <w:rPr>
      <w:rFonts w:ascii="Arial" w:hAnsi="Arial" w:eastAsia="Times New Roman" w:cs="Verdana"/>
      <w:b/>
      <w:kern w:val="0"/>
      <w:szCs w:val="24"/>
      <w:lang w:eastAsia="en-US"/>
    </w:rPr>
  </w:style>
  <w:style w:type="paragraph" w:customStyle="1" w:styleId="736">
    <w:name w:val="p23"/>
    <w:basedOn w:val="1"/>
    <w:qFormat/>
    <w:uiPriority w:val="0"/>
    <w:pPr>
      <w:widowControl/>
      <w:spacing w:line="300" w:lineRule="auto"/>
      <w:ind w:firstLine="420" w:firstLineChars="0"/>
    </w:pPr>
    <w:rPr>
      <w:rFonts w:ascii="Arial" w:hAnsi="Arial" w:cs="Arial"/>
      <w:kern w:val="0"/>
      <w:sz w:val="28"/>
      <w:szCs w:val="28"/>
    </w:rPr>
  </w:style>
  <w:style w:type="paragraph" w:customStyle="1" w:styleId="737">
    <w:name w:val="xl66"/>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 w:val="21"/>
    </w:rPr>
  </w:style>
  <w:style w:type="paragraph" w:customStyle="1" w:styleId="738">
    <w:name w:val="Char1"/>
    <w:basedOn w:val="1"/>
    <w:semiHidden/>
    <w:qFormat/>
    <w:uiPriority w:val="0"/>
    <w:rPr>
      <w:rFonts w:ascii="宋体" w:hAnsi="宋体" w:cs="宋体"/>
      <w:szCs w:val="24"/>
    </w:rPr>
  </w:style>
  <w:style w:type="paragraph" w:customStyle="1" w:styleId="739">
    <w:name w:val="样式 标题 2标题 21标题 121节H2SeHead wsa2标题 1.1 + 黑体 四号 非加粗 Char"/>
    <w:basedOn w:val="6"/>
    <w:qFormat/>
    <w:uiPriority w:val="0"/>
    <w:pPr>
      <w:tabs>
        <w:tab w:val="left" w:pos="936"/>
      </w:tabs>
      <w:spacing w:before="260" w:after="260" w:line="415" w:lineRule="auto"/>
      <w:ind w:left="945" w:hanging="420"/>
      <w:jc w:val="both"/>
    </w:pPr>
    <w:rPr>
      <w:rFonts w:ascii="黑体" w:hAnsi="黑体" w:eastAsia="黑体"/>
      <w:b w:val="0"/>
      <w:color w:val="000000"/>
      <w:kern w:val="2"/>
    </w:rPr>
  </w:style>
  <w:style w:type="paragraph" w:customStyle="1" w:styleId="740">
    <w:name w:val="样式33"/>
    <w:basedOn w:val="1"/>
    <w:qFormat/>
    <w:uiPriority w:val="0"/>
    <w:pPr>
      <w:spacing w:line="300" w:lineRule="auto"/>
      <w:ind w:firstLine="420"/>
      <w:jc w:val="center"/>
    </w:pPr>
    <w:rPr>
      <w:rFonts w:ascii="黑体" w:eastAsia="黑体"/>
      <w:sz w:val="21"/>
    </w:rPr>
  </w:style>
  <w:style w:type="paragraph" w:customStyle="1" w:styleId="741">
    <w:name w:val="表格文字 Char Char Char Char1"/>
    <w:basedOn w:val="1"/>
    <w:qFormat/>
    <w:uiPriority w:val="0"/>
    <w:pPr>
      <w:spacing w:line="360" w:lineRule="exact"/>
      <w:ind w:firstLine="0" w:firstLineChars="0"/>
      <w:jc w:val="center"/>
    </w:pPr>
    <w:rPr>
      <w:sz w:val="21"/>
    </w:rPr>
  </w:style>
  <w:style w:type="paragraph" w:customStyle="1" w:styleId="742">
    <w:name w:val="p22"/>
    <w:basedOn w:val="1"/>
    <w:qFormat/>
    <w:uiPriority w:val="0"/>
    <w:pPr>
      <w:widowControl/>
      <w:spacing w:before="100" w:after="100" w:line="240" w:lineRule="auto"/>
      <w:ind w:firstLine="0" w:firstLineChars="0"/>
      <w:jc w:val="left"/>
    </w:pPr>
    <w:rPr>
      <w:rFonts w:ascii="Arial Unicode MS" w:hAnsi="Arial Unicode MS" w:cs="宋体"/>
      <w:kern w:val="0"/>
      <w:szCs w:val="24"/>
    </w:rPr>
  </w:style>
  <w:style w:type="paragraph" w:customStyle="1" w:styleId="743">
    <w:name w:val="Char Char Char Char Char Char Char Char Char1 Char Char Char Char Char Char Char Char Char Char1"/>
    <w:basedOn w:val="1"/>
    <w:semiHidden/>
    <w:qFormat/>
    <w:uiPriority w:val="0"/>
    <w:pPr>
      <w:spacing w:line="240" w:lineRule="auto"/>
      <w:ind w:firstLine="0" w:firstLineChars="0"/>
    </w:pPr>
    <w:rPr>
      <w:rFonts w:ascii="宋体" w:hAnsi="宋体" w:cs="Courier New"/>
      <w:sz w:val="32"/>
      <w:szCs w:val="32"/>
    </w:rPr>
  </w:style>
  <w:style w:type="paragraph" w:customStyle="1" w:styleId="744">
    <w:name w:val="图文框"/>
    <w:basedOn w:val="1"/>
    <w:qFormat/>
    <w:uiPriority w:val="0"/>
    <w:pPr>
      <w:tabs>
        <w:tab w:val="left" w:pos="0"/>
      </w:tabs>
      <w:autoSpaceDE w:val="0"/>
      <w:autoSpaceDN w:val="0"/>
      <w:adjustRightInd w:val="0"/>
      <w:snapToGrid w:val="0"/>
      <w:spacing w:line="240" w:lineRule="auto"/>
      <w:jc w:val="center"/>
      <w:textAlignment w:val="baseline"/>
    </w:pPr>
    <w:rPr>
      <w:sz w:val="21"/>
      <w:szCs w:val="21"/>
    </w:rPr>
  </w:style>
  <w:style w:type="paragraph" w:customStyle="1" w:styleId="745">
    <w:name w:val="图形中文字"/>
    <w:basedOn w:val="1"/>
    <w:qFormat/>
    <w:uiPriority w:val="0"/>
    <w:pPr>
      <w:autoSpaceDE w:val="0"/>
      <w:autoSpaceDN w:val="0"/>
      <w:adjustRightInd w:val="0"/>
      <w:spacing w:line="240" w:lineRule="auto"/>
      <w:ind w:firstLine="0" w:firstLineChars="0"/>
      <w:jc w:val="center"/>
    </w:pPr>
    <w:rPr>
      <w:rFonts w:ascii="宋体" w:hAnsi="Tms Rmn"/>
      <w:kern w:val="0"/>
    </w:rPr>
  </w:style>
  <w:style w:type="paragraph" w:customStyle="1" w:styleId="746">
    <w:name w:val="正文22磅"/>
    <w:basedOn w:val="1"/>
    <w:qFormat/>
    <w:uiPriority w:val="0"/>
    <w:pPr>
      <w:spacing w:line="420" w:lineRule="exact"/>
      <w:ind w:firstLine="480"/>
    </w:pPr>
    <w:rPr>
      <w:szCs w:val="24"/>
    </w:rPr>
  </w:style>
  <w:style w:type="paragraph" w:customStyle="1" w:styleId="747">
    <w:name w:val="批注文字2"/>
    <w:basedOn w:val="1"/>
    <w:qFormat/>
    <w:uiPriority w:val="0"/>
    <w:pPr>
      <w:adjustRightInd w:val="0"/>
      <w:spacing w:line="360" w:lineRule="atLeast"/>
      <w:ind w:firstLine="0" w:firstLineChars="0"/>
      <w:textAlignment w:val="baseline"/>
    </w:pPr>
    <w:rPr>
      <w:rFonts w:ascii="宋体"/>
      <w:kern w:val="0"/>
      <w:sz w:val="21"/>
    </w:rPr>
  </w:style>
  <w:style w:type="paragraph" w:customStyle="1" w:styleId="748">
    <w:name w:val="Char Char Char Char Char Char Char Char1 Char Char Char Char"/>
    <w:basedOn w:val="1"/>
    <w:qFormat/>
    <w:uiPriority w:val="0"/>
    <w:pPr>
      <w:spacing w:line="240" w:lineRule="auto"/>
      <w:ind w:firstLine="0" w:firstLineChars="0"/>
    </w:pPr>
    <w:rPr>
      <w:sz w:val="21"/>
      <w:szCs w:val="24"/>
    </w:rPr>
  </w:style>
  <w:style w:type="paragraph" w:customStyle="1" w:styleId="749">
    <w:name w:val="段落"/>
    <w:basedOn w:val="1"/>
    <w:qFormat/>
    <w:uiPriority w:val="0"/>
    <w:pPr>
      <w:widowControl/>
      <w:adjustRightInd w:val="0"/>
      <w:spacing w:line="420" w:lineRule="exact"/>
      <w:ind w:firstLine="520"/>
      <w:textAlignment w:val="baseline"/>
    </w:pPr>
    <w:rPr>
      <w:spacing w:val="10"/>
      <w:kern w:val="0"/>
    </w:rPr>
  </w:style>
  <w:style w:type="paragraph" w:customStyle="1" w:styleId="750">
    <w:name w:val="标题5"/>
    <w:basedOn w:val="292"/>
    <w:qFormat/>
    <w:uiPriority w:val="0"/>
    <w:pPr>
      <w:spacing w:line="480" w:lineRule="exact"/>
      <w:ind w:firstLine="560" w:firstLineChars="200"/>
    </w:pPr>
    <w:rPr>
      <w:rFonts w:ascii="黑体" w:hAnsi="宋体" w:eastAsia="黑体"/>
      <w:sz w:val="28"/>
      <w:szCs w:val="20"/>
    </w:rPr>
  </w:style>
  <w:style w:type="paragraph" w:customStyle="1" w:styleId="751">
    <w:name w:val="样式48"/>
    <w:basedOn w:val="752"/>
    <w:qFormat/>
    <w:uiPriority w:val="0"/>
    <w:pPr>
      <w:tabs>
        <w:tab w:val="left" w:pos="540"/>
        <w:tab w:val="left" w:pos="720"/>
        <w:tab w:val="left" w:pos="900"/>
        <w:tab w:val="left" w:pos="1418"/>
      </w:tabs>
      <w:ind w:left="-3" w:leftChars="-1" w:hanging="567"/>
    </w:pPr>
  </w:style>
  <w:style w:type="paragraph" w:customStyle="1" w:styleId="752">
    <w:name w:val="样式47"/>
    <w:basedOn w:val="1"/>
    <w:qFormat/>
    <w:uiPriority w:val="0"/>
    <w:pPr>
      <w:keepNext/>
      <w:keepLines/>
      <w:tabs>
        <w:tab w:val="left" w:pos="720"/>
        <w:tab w:val="left" w:pos="900"/>
      </w:tabs>
      <w:spacing w:before="156" w:after="156"/>
      <w:ind w:hanging="720" w:firstLineChars="0"/>
      <w:outlineLvl w:val="2"/>
    </w:pPr>
    <w:rPr>
      <w:rFonts w:ascii="宋体" w:eastAsia="黑体"/>
    </w:rPr>
  </w:style>
  <w:style w:type="paragraph" w:customStyle="1" w:styleId="753">
    <w:name w:val="表格字体"/>
    <w:basedOn w:val="1"/>
    <w:next w:val="1"/>
    <w:qFormat/>
    <w:uiPriority w:val="0"/>
    <w:pPr>
      <w:spacing w:line="360" w:lineRule="exact"/>
      <w:ind w:firstLine="0" w:firstLineChars="0"/>
    </w:pPr>
    <w:rPr>
      <w:rFonts w:ascii="宋体" w:hAnsi="宋体" w:cs="宋体"/>
      <w:sz w:val="21"/>
      <w:szCs w:val="21"/>
    </w:rPr>
  </w:style>
  <w:style w:type="paragraph" w:customStyle="1" w:styleId="754">
    <w:name w:val="mtitle"/>
    <w:basedOn w:val="1"/>
    <w:qFormat/>
    <w:uiPriority w:val="0"/>
    <w:pPr>
      <w:widowControl/>
      <w:spacing w:before="30" w:line="240" w:lineRule="auto"/>
      <w:ind w:firstLine="0" w:firstLineChars="0"/>
      <w:jc w:val="center"/>
    </w:pPr>
    <w:rPr>
      <w:rFonts w:ascii="方正小标宋简体" w:hAnsi="宋体" w:eastAsia="方正小标宋简体"/>
      <w:color w:val="000000"/>
      <w:kern w:val="0"/>
      <w:sz w:val="44"/>
      <w:szCs w:val="44"/>
    </w:rPr>
  </w:style>
  <w:style w:type="paragraph" w:customStyle="1" w:styleId="755">
    <w:name w:val="报告书表格"/>
    <w:basedOn w:val="1"/>
    <w:qFormat/>
    <w:uiPriority w:val="0"/>
    <w:pPr>
      <w:adjustRightInd w:val="0"/>
      <w:snapToGrid w:val="0"/>
      <w:spacing w:before="60" w:after="60" w:line="240" w:lineRule="atLeast"/>
      <w:ind w:firstLine="0" w:firstLineChars="0"/>
      <w:jc w:val="center"/>
      <w:textAlignment w:val="baseline"/>
    </w:pPr>
    <w:rPr>
      <w:kern w:val="0"/>
    </w:rPr>
  </w:style>
  <w:style w:type="paragraph" w:customStyle="1" w:styleId="756">
    <w:name w:val="样式 标题 4 + 宋体 小四 非加粗"/>
    <w:basedOn w:val="9"/>
    <w:qFormat/>
    <w:uiPriority w:val="0"/>
    <w:pPr>
      <w:tabs>
        <w:tab w:val="left" w:pos="1680"/>
      </w:tabs>
      <w:spacing w:before="280" w:after="290" w:line="374" w:lineRule="auto"/>
      <w:ind w:left="1680" w:hanging="420"/>
    </w:pPr>
    <w:rPr>
      <w:rFonts w:ascii="宋体" w:hAnsi="宋体" w:eastAsia="宋体"/>
      <w:kern w:val="2"/>
    </w:rPr>
  </w:style>
  <w:style w:type="paragraph" w:customStyle="1" w:styleId="757">
    <w:name w:val="样式8 Char"/>
    <w:basedOn w:val="1"/>
    <w:qFormat/>
    <w:uiPriority w:val="0"/>
    <w:pPr>
      <w:ind w:firstLine="557" w:firstLineChars="232"/>
    </w:pPr>
    <w:rPr>
      <w:rFonts w:ascii="宋体"/>
    </w:rPr>
  </w:style>
  <w:style w:type="paragraph" w:customStyle="1" w:styleId="758">
    <w:name w:val="穿黄报告正文"/>
    <w:basedOn w:val="1"/>
    <w:qFormat/>
    <w:uiPriority w:val="0"/>
    <w:pPr>
      <w:spacing w:line="240" w:lineRule="auto"/>
      <w:ind w:firstLine="0" w:firstLineChars="0"/>
      <w:jc w:val="center"/>
    </w:pPr>
    <w:rPr>
      <w:szCs w:val="24"/>
    </w:rPr>
  </w:style>
  <w:style w:type="paragraph" w:customStyle="1" w:styleId="759">
    <w:name w:val="Char Char Char Char Char Char Char Char Char1 Char Char Char Char Char Char Char Char Char Char2"/>
    <w:basedOn w:val="1"/>
    <w:semiHidden/>
    <w:qFormat/>
    <w:uiPriority w:val="0"/>
    <w:pPr>
      <w:spacing w:line="240" w:lineRule="auto"/>
      <w:ind w:firstLine="0" w:firstLineChars="0"/>
    </w:pPr>
    <w:rPr>
      <w:rFonts w:ascii="宋体" w:hAnsi="宋体" w:cs="Courier New"/>
      <w:sz w:val="32"/>
      <w:szCs w:val="32"/>
    </w:rPr>
  </w:style>
  <w:style w:type="paragraph" w:customStyle="1" w:styleId="760">
    <w:name w:val="表格五号"/>
    <w:basedOn w:val="1"/>
    <w:qFormat/>
    <w:uiPriority w:val="0"/>
    <w:pPr>
      <w:adjustRightInd w:val="0"/>
      <w:snapToGrid w:val="0"/>
      <w:spacing w:line="240" w:lineRule="auto"/>
      <w:ind w:firstLine="0" w:firstLineChars="0"/>
    </w:pPr>
    <w:rPr>
      <w:rFonts w:ascii="宋体" w:hAnsi="宋体"/>
      <w:sz w:val="21"/>
      <w:szCs w:val="21"/>
    </w:rPr>
  </w:style>
  <w:style w:type="paragraph" w:customStyle="1" w:styleId="761">
    <w:name w:val="自定义正文 Char Char Char Char Char Char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paragraph" w:customStyle="1" w:styleId="762">
    <w:name w:val="bodytext1"/>
    <w:basedOn w:val="1"/>
    <w:semiHidden/>
    <w:qFormat/>
    <w:uiPriority w:val="0"/>
    <w:pPr>
      <w:widowControl/>
      <w:spacing w:before="100" w:beforeAutospacing="1" w:after="100" w:afterAutospacing="1"/>
      <w:ind w:firstLine="0" w:firstLineChars="0"/>
    </w:pPr>
    <w:rPr>
      <w:rFonts w:ascii="Arial" w:hAnsi="Arial"/>
      <w:color w:val="4B4B4B"/>
      <w:kern w:val="0"/>
      <w:sz w:val="18"/>
    </w:rPr>
  </w:style>
  <w:style w:type="paragraph" w:customStyle="1" w:styleId="763">
    <w:name w:val="标题 81"/>
    <w:basedOn w:val="335"/>
    <w:next w:val="335"/>
    <w:qFormat/>
    <w:uiPriority w:val="0"/>
    <w:pPr>
      <w:keepNext/>
      <w:keepLines/>
      <w:adjustRightInd w:val="0"/>
      <w:spacing w:before="240" w:after="64" w:line="320" w:lineRule="atLeast"/>
      <w:ind w:firstLine="0" w:firstLineChars="0"/>
      <w:textAlignment w:val="baseline"/>
    </w:pPr>
    <w:rPr>
      <w:rFonts w:ascii="宋体" w:hAnsi="Times New Roman"/>
      <w:kern w:val="0"/>
      <w:szCs w:val="20"/>
    </w:rPr>
  </w:style>
  <w:style w:type="paragraph" w:customStyle="1" w:styleId="764">
    <w:name w:val="表格内容 Char Char Char"/>
    <w:basedOn w:val="1"/>
    <w:qFormat/>
    <w:uiPriority w:val="0"/>
    <w:pPr>
      <w:tabs>
        <w:tab w:val="left" w:pos="1535"/>
        <w:tab w:val="left" w:pos="3105"/>
        <w:tab w:val="left" w:pos="4676"/>
        <w:tab w:val="left" w:pos="6247"/>
        <w:tab w:val="left" w:pos="7740"/>
        <w:tab w:val="left" w:pos="9288"/>
      </w:tabs>
      <w:adjustRightInd w:val="0"/>
      <w:snapToGrid w:val="0"/>
      <w:spacing w:line="240" w:lineRule="exact"/>
      <w:ind w:firstLine="0" w:firstLineChars="0"/>
      <w:jc w:val="center"/>
      <w:textAlignment w:val="baseline"/>
    </w:pPr>
    <w:rPr>
      <w:rFonts w:ascii="宋体" w:hAnsi="宋体"/>
      <w:color w:val="000000"/>
      <w:sz w:val="21"/>
    </w:rPr>
  </w:style>
  <w:style w:type="paragraph" w:customStyle="1" w:styleId="765">
    <w:name w:val="Char Char Char1 Char Char Char Char Char Char Char Char Char Char Char Char1 Char Char Char Char Char Char Char Char Char Char1"/>
    <w:basedOn w:val="1"/>
    <w:qFormat/>
    <w:uiPriority w:val="0"/>
    <w:rPr>
      <w:rFonts w:ascii="宋体" w:hAnsi="宋体" w:eastAsia="黑体" w:cs="宋体"/>
      <w:sz w:val="28"/>
      <w:szCs w:val="24"/>
    </w:rPr>
  </w:style>
  <w:style w:type="paragraph" w:customStyle="1" w:styleId="766">
    <w:name w:val="Char Char Char Char Char Char Char Char Char1 Char1"/>
    <w:basedOn w:val="1"/>
    <w:semiHidden/>
    <w:qFormat/>
    <w:uiPriority w:val="0"/>
    <w:pPr>
      <w:spacing w:line="240" w:lineRule="auto"/>
      <w:ind w:firstLine="0" w:firstLineChars="0"/>
    </w:pPr>
    <w:rPr>
      <w:rFonts w:ascii="宋体" w:hAnsi="宋体" w:cs="Courier New"/>
      <w:sz w:val="32"/>
      <w:szCs w:val="32"/>
    </w:rPr>
  </w:style>
  <w:style w:type="paragraph" w:customStyle="1" w:styleId="767">
    <w:name w:val="表格001"/>
    <w:basedOn w:val="1"/>
    <w:qFormat/>
    <w:uiPriority w:val="0"/>
    <w:pPr>
      <w:spacing w:line="240" w:lineRule="auto"/>
      <w:ind w:firstLine="0" w:firstLineChars="0"/>
      <w:jc w:val="center"/>
    </w:pPr>
  </w:style>
  <w:style w:type="paragraph" w:customStyle="1" w:styleId="768">
    <w:name w:val="自定义正文 Char Char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paragraph" w:customStyle="1" w:styleId="769">
    <w:name w:val="a3"/>
    <w:basedOn w:val="1"/>
    <w:qFormat/>
    <w:uiPriority w:val="0"/>
    <w:pPr>
      <w:widowControl/>
      <w:spacing w:before="100" w:beforeAutospacing="1" w:after="100" w:afterAutospacing="1" w:line="240" w:lineRule="auto"/>
      <w:ind w:firstLine="0" w:firstLineChars="0"/>
      <w:jc w:val="left"/>
    </w:pPr>
    <w:rPr>
      <w:rFonts w:ascii="宋体" w:hAnsi="宋体"/>
      <w:color w:val="000000"/>
      <w:kern w:val="0"/>
      <w:szCs w:val="24"/>
    </w:rPr>
  </w:style>
  <w:style w:type="paragraph" w:customStyle="1" w:styleId="770">
    <w:name w:val="段落1"/>
    <w:basedOn w:val="3"/>
    <w:qFormat/>
    <w:uiPriority w:val="0"/>
    <w:pPr>
      <w:adjustRightInd w:val="0"/>
      <w:spacing w:after="0"/>
      <w:ind w:left="0" w:leftChars="0" w:firstLine="525" w:firstLineChars="0"/>
      <w:textAlignment w:val="baseline"/>
    </w:pPr>
    <w:rPr>
      <w:rFonts w:ascii="宋体"/>
      <w:kern w:val="0"/>
    </w:rPr>
  </w:style>
  <w:style w:type="paragraph" w:customStyle="1" w:styleId="771">
    <w:name w:val="Char Char Char1 Char Char Char Char Char Char Char1"/>
    <w:basedOn w:val="1"/>
    <w:qFormat/>
    <w:uiPriority w:val="0"/>
    <w:pPr>
      <w:spacing w:line="240" w:lineRule="auto"/>
      <w:ind w:firstLine="0" w:firstLineChars="0"/>
    </w:pPr>
    <w:rPr>
      <w:szCs w:val="24"/>
    </w:rPr>
  </w:style>
  <w:style w:type="paragraph" w:customStyle="1" w:styleId="772">
    <w:name w:val="文章正文样式 Char2"/>
    <w:basedOn w:val="1"/>
    <w:qFormat/>
    <w:uiPriority w:val="0"/>
    <w:pPr>
      <w:spacing w:line="520" w:lineRule="exact"/>
      <w:ind w:firstLine="480"/>
      <w:jc w:val="left"/>
    </w:pPr>
    <w:rPr>
      <w:rFonts w:ascii="宋体" w:hAnsi="宋体" w:cs="宋体"/>
    </w:rPr>
  </w:style>
  <w:style w:type="paragraph" w:customStyle="1" w:styleId="773">
    <w:name w:val="环科院页眉"/>
    <w:basedOn w:val="55"/>
    <w:semiHidden/>
    <w:qFormat/>
    <w:uiPriority w:val="0"/>
    <w:pPr>
      <w:pBdr>
        <w:bottom w:val="thickThinSmallGap" w:color="auto" w:sz="24" w:space="1"/>
      </w:pBdr>
      <w:tabs>
        <w:tab w:val="clear" w:pos="4110"/>
        <w:tab w:val="clear" w:pos="4535"/>
      </w:tabs>
      <w:spacing w:line="360" w:lineRule="auto"/>
      <w:jc w:val="distribute"/>
    </w:pPr>
    <w:rPr>
      <w:sz w:val="15"/>
      <w:szCs w:val="15"/>
    </w:rPr>
  </w:style>
  <w:style w:type="paragraph" w:customStyle="1" w:styleId="774">
    <w:name w:val="目录 31"/>
    <w:basedOn w:val="775"/>
    <w:next w:val="335"/>
    <w:qFormat/>
    <w:uiPriority w:val="0"/>
    <w:pPr>
      <w:tabs>
        <w:tab w:val="right" w:leader="dot" w:pos="8306"/>
      </w:tabs>
      <w:spacing w:before="0" w:after="0"/>
      <w:ind w:left="567"/>
    </w:pPr>
  </w:style>
  <w:style w:type="paragraph" w:customStyle="1" w:styleId="775">
    <w:name w:val="目录 21"/>
    <w:basedOn w:val="552"/>
    <w:next w:val="335"/>
    <w:qFormat/>
    <w:uiPriority w:val="0"/>
    <w:pPr>
      <w:ind w:left="454"/>
    </w:pPr>
    <w:rPr>
      <w:caps w:val="0"/>
      <w:smallCaps/>
      <w:sz w:val="28"/>
    </w:rPr>
  </w:style>
  <w:style w:type="paragraph" w:customStyle="1" w:styleId="776">
    <w:name w:val="样式8"/>
    <w:basedOn w:val="1"/>
    <w:qFormat/>
    <w:uiPriority w:val="0"/>
    <w:pPr>
      <w:ind w:firstLine="557" w:firstLineChars="232"/>
    </w:pPr>
    <w:rPr>
      <w:rFonts w:ascii="宋体"/>
    </w:rPr>
  </w:style>
  <w:style w:type="paragraph" w:customStyle="1" w:styleId="777">
    <w:name w:val="T表格"/>
    <w:qFormat/>
    <w:uiPriority w:val="0"/>
    <w:pPr>
      <w:jc w:val="center"/>
    </w:pPr>
    <w:rPr>
      <w:rFonts w:ascii="Times New Roman" w:hAnsi="Times New Roman" w:eastAsia="宋体" w:cs="Times New Roman"/>
      <w:sz w:val="21"/>
      <w:lang w:val="en-US" w:eastAsia="zh-CN" w:bidi="ar-SA"/>
    </w:rPr>
  </w:style>
  <w:style w:type="paragraph" w:customStyle="1" w:styleId="778">
    <w:name w:val="样式20"/>
    <w:basedOn w:val="779"/>
    <w:qFormat/>
    <w:uiPriority w:val="0"/>
    <w:pPr>
      <w:tabs>
        <w:tab w:val="left" w:pos="0"/>
        <w:tab w:val="left" w:pos="780"/>
        <w:tab w:val="left" w:pos="1080"/>
        <w:tab w:val="left" w:pos="3490"/>
      </w:tabs>
    </w:pPr>
  </w:style>
  <w:style w:type="paragraph" w:customStyle="1" w:styleId="779">
    <w:name w:val="样式17"/>
    <w:basedOn w:val="145"/>
    <w:qFormat/>
    <w:uiPriority w:val="0"/>
    <w:pPr>
      <w:tabs>
        <w:tab w:val="left" w:pos="0"/>
        <w:tab w:val="left" w:pos="780"/>
        <w:tab w:val="clear" w:pos="425"/>
      </w:tabs>
      <w:spacing w:before="156" w:beforeLines="50" w:after="156" w:afterLines="50" w:line="360" w:lineRule="auto"/>
      <w:ind w:left="780" w:leftChars="200" w:hanging="360" w:hangingChars="200"/>
    </w:pPr>
    <w:rPr>
      <w:rFonts w:ascii="Times New Roman" w:hAnsi="Times New Roman"/>
    </w:rPr>
  </w:style>
  <w:style w:type="paragraph" w:customStyle="1" w:styleId="780">
    <w:name w:val="蓝色居中6"/>
    <w:basedOn w:val="1"/>
    <w:qFormat/>
    <w:uiPriority w:val="0"/>
    <w:pPr>
      <w:autoSpaceDE w:val="0"/>
      <w:autoSpaceDN w:val="0"/>
      <w:snapToGrid w:val="0"/>
      <w:spacing w:line="240" w:lineRule="atLeast"/>
      <w:ind w:firstLine="567" w:firstLineChars="0"/>
      <w:jc w:val="center"/>
    </w:pPr>
    <w:rPr>
      <w:b/>
      <w:color w:val="000080"/>
      <w:spacing w:val="60"/>
    </w:rPr>
  </w:style>
  <w:style w:type="paragraph" w:customStyle="1" w:styleId="781">
    <w:name w:val="!表格(alt+t)"/>
    <w:next w:val="1"/>
    <w:qFormat/>
    <w:uiPriority w:val="0"/>
    <w:pPr>
      <w:adjustRightInd w:val="0"/>
      <w:spacing w:line="360" w:lineRule="exact"/>
      <w:jc w:val="center"/>
      <w:textAlignment w:val="center"/>
    </w:pPr>
    <w:rPr>
      <w:rFonts w:ascii="Times New Roman" w:hAnsi="Times New Roman" w:eastAsia="宋体" w:cs="Times New Roman"/>
      <w:sz w:val="21"/>
      <w:lang w:val="en-US" w:eastAsia="zh-CN" w:bidi="ar-SA"/>
    </w:rPr>
  </w:style>
  <w:style w:type="paragraph" w:customStyle="1" w:styleId="782">
    <w:name w:val="表号"/>
    <w:basedOn w:val="1"/>
    <w:qFormat/>
    <w:uiPriority w:val="0"/>
    <w:pPr>
      <w:adjustRightInd w:val="0"/>
      <w:snapToGrid w:val="0"/>
      <w:spacing w:before="60" w:after="60"/>
      <w:ind w:firstLine="567" w:firstLineChars="0"/>
      <w:textAlignment w:val="baseline"/>
    </w:pPr>
    <w:rPr>
      <w:kern w:val="0"/>
    </w:rPr>
  </w:style>
  <w:style w:type="paragraph" w:customStyle="1" w:styleId="783">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eastAsia="楷体_GB2312"/>
      <w:kern w:val="0"/>
      <w:szCs w:val="24"/>
    </w:rPr>
  </w:style>
  <w:style w:type="paragraph" w:customStyle="1" w:styleId="784">
    <w:name w:val="表格文本：5+两端对齐+单倍行距"/>
    <w:basedOn w:val="1"/>
    <w:semiHidden/>
    <w:qFormat/>
    <w:uiPriority w:val="0"/>
    <w:pPr>
      <w:adjustRightInd w:val="0"/>
      <w:snapToGrid w:val="0"/>
      <w:spacing w:before="156" w:beforeLines="50" w:line="240" w:lineRule="auto"/>
      <w:ind w:firstLine="0" w:firstLineChars="0"/>
      <w:textAlignment w:val="center"/>
    </w:pPr>
    <w:rPr>
      <w:rFonts w:eastAsia="仿宋_GB2312"/>
      <w:sz w:val="21"/>
      <w:szCs w:val="21"/>
    </w:rPr>
  </w:style>
  <w:style w:type="paragraph" w:customStyle="1" w:styleId="785">
    <w:name w:val="文章 Char"/>
    <w:basedOn w:val="3"/>
    <w:qFormat/>
    <w:uiPriority w:val="0"/>
    <w:pPr>
      <w:spacing w:before="156" w:beforeLines="50" w:after="156" w:afterLines="50"/>
      <w:ind w:left="0" w:leftChars="0" w:firstLine="480"/>
    </w:pPr>
    <w:rPr>
      <w:rFonts w:ascii="宋体" w:hAnsi="宋体"/>
    </w:rPr>
  </w:style>
  <w:style w:type="paragraph" w:customStyle="1" w:styleId="786">
    <w:name w:val="Char Char Char Char Char Char Char Char Char1 Char Char Char Char Char Char Char Char Char Char6"/>
    <w:basedOn w:val="1"/>
    <w:semiHidden/>
    <w:qFormat/>
    <w:uiPriority w:val="0"/>
    <w:pPr>
      <w:spacing w:line="240" w:lineRule="auto"/>
      <w:ind w:firstLine="0" w:firstLineChars="0"/>
    </w:pPr>
    <w:rPr>
      <w:rFonts w:ascii="宋体" w:hAnsi="宋体" w:cs="Courier New"/>
      <w:sz w:val="32"/>
      <w:szCs w:val="32"/>
    </w:rPr>
  </w:style>
  <w:style w:type="paragraph" w:customStyle="1" w:styleId="787">
    <w:name w:val="xl51"/>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eastAsia="Arial Unicode MS"/>
      <w:kern w:val="0"/>
      <w:sz w:val="22"/>
    </w:rPr>
  </w:style>
  <w:style w:type="paragraph" w:customStyle="1" w:styleId="788">
    <w:name w:val="Char Char Char Char Char Char1 Char"/>
    <w:basedOn w:val="1"/>
    <w:semiHidden/>
    <w:qFormat/>
    <w:uiPriority w:val="0"/>
    <w:pPr>
      <w:spacing w:line="240" w:lineRule="auto"/>
      <w:ind w:firstLine="0" w:firstLineChars="0"/>
    </w:pPr>
    <w:rPr>
      <w:sz w:val="21"/>
    </w:rPr>
  </w:style>
  <w:style w:type="paragraph" w:customStyle="1" w:styleId="789">
    <w:name w:val="Char Char1 Char Char Char Char Char Char"/>
    <w:basedOn w:val="1"/>
    <w:semiHidden/>
    <w:qFormat/>
    <w:uiPriority w:val="0"/>
    <w:pPr>
      <w:spacing w:line="240" w:lineRule="auto"/>
      <w:ind w:firstLine="0" w:firstLineChars="0"/>
    </w:pPr>
    <w:rPr>
      <w:rFonts w:eastAsia="仿宋_GB2312"/>
      <w:b/>
      <w:szCs w:val="24"/>
    </w:rPr>
  </w:style>
  <w:style w:type="paragraph" w:customStyle="1" w:styleId="790">
    <w:name w:val="正文-G Char Char"/>
    <w:basedOn w:val="1"/>
    <w:qFormat/>
    <w:uiPriority w:val="0"/>
    <w:pPr>
      <w:spacing w:line="400" w:lineRule="exact"/>
      <w:ind w:firstLine="480"/>
    </w:pPr>
    <w:rPr>
      <w:rFonts w:eastAsia="仿宋_GB2312"/>
      <w:kern w:val="0"/>
      <w:szCs w:val="24"/>
    </w:rPr>
  </w:style>
  <w:style w:type="paragraph" w:customStyle="1" w:styleId="791">
    <w:name w:val="xl70"/>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 w:val="20"/>
    </w:rPr>
  </w:style>
  <w:style w:type="paragraph" w:customStyle="1" w:styleId="792">
    <w:name w:val="表图标题"/>
    <w:basedOn w:val="154"/>
    <w:qFormat/>
    <w:uiPriority w:val="0"/>
    <w:pPr>
      <w:tabs>
        <w:tab w:val="left" w:pos="3960"/>
      </w:tabs>
      <w:autoSpaceDE/>
      <w:autoSpaceDN/>
      <w:adjustRightInd/>
      <w:spacing w:line="240" w:lineRule="auto"/>
      <w:ind w:firstLine="0" w:firstLineChars="0"/>
    </w:pPr>
    <w:rPr>
      <w:rFonts w:eastAsia="宋体"/>
      <w:b/>
    </w:rPr>
  </w:style>
  <w:style w:type="paragraph" w:customStyle="1" w:styleId="793">
    <w:name w:val="样式 正文首行缩进 + 首行缩进:  2 字符1"/>
    <w:basedOn w:val="81"/>
    <w:qFormat/>
    <w:uiPriority w:val="0"/>
  </w:style>
  <w:style w:type="paragraph" w:customStyle="1" w:styleId="794">
    <w:name w:val="样式 样式 样式 首行缩进:  2 字符 + 首行缩进:  2 字符 + 居中 行距: 单倍行距"/>
    <w:basedOn w:val="1"/>
    <w:qFormat/>
    <w:uiPriority w:val="0"/>
    <w:pPr>
      <w:snapToGrid w:val="0"/>
      <w:spacing w:line="240" w:lineRule="auto"/>
      <w:ind w:firstLine="0" w:firstLineChars="0"/>
      <w:jc w:val="center"/>
    </w:pPr>
    <w:rPr>
      <w:rFonts w:ascii="宋体" w:hAnsi="宋体" w:cs="宋体"/>
      <w:szCs w:val="24"/>
    </w:rPr>
  </w:style>
  <w:style w:type="paragraph" w:customStyle="1" w:styleId="795">
    <w:name w:val="样式 样式 标题 1标题 11一、My title1 + +"/>
    <w:basedOn w:val="1"/>
    <w:next w:val="1"/>
    <w:qFormat/>
    <w:uiPriority w:val="0"/>
    <w:pPr>
      <w:spacing w:line="240" w:lineRule="auto"/>
      <w:ind w:firstLine="0" w:firstLineChars="0"/>
    </w:pPr>
    <w:rPr>
      <w:rFonts w:eastAsia="黑体"/>
      <w:sz w:val="30"/>
    </w:rPr>
  </w:style>
  <w:style w:type="paragraph" w:customStyle="1" w:styleId="796">
    <w:name w:val="表注"/>
    <w:basedOn w:val="1"/>
    <w:semiHidden/>
    <w:qFormat/>
    <w:uiPriority w:val="0"/>
    <w:pPr>
      <w:widowControl/>
      <w:tabs>
        <w:tab w:val="left" w:pos="780"/>
      </w:tabs>
      <w:spacing w:line="240" w:lineRule="atLeast"/>
      <w:ind w:left="780" w:leftChars="200" w:right="420" w:rightChars="200" w:firstLine="0" w:firstLineChars="0"/>
      <w:textAlignment w:val="baseline"/>
    </w:pPr>
    <w:rPr>
      <w:kern w:val="0"/>
      <w:sz w:val="15"/>
      <w:szCs w:val="15"/>
      <w:u w:color="000000"/>
    </w:rPr>
  </w:style>
  <w:style w:type="paragraph" w:customStyle="1" w:styleId="797">
    <w:name w:val="Char Char Char Char Char Char4"/>
    <w:basedOn w:val="1"/>
    <w:qFormat/>
    <w:uiPriority w:val="0"/>
    <w:pPr>
      <w:tabs>
        <w:tab w:val="left" w:pos="360"/>
      </w:tabs>
      <w:spacing w:line="240" w:lineRule="auto"/>
      <w:ind w:firstLine="0" w:firstLineChars="0"/>
    </w:pPr>
    <w:rPr>
      <w:sz w:val="21"/>
      <w:szCs w:val="24"/>
    </w:rPr>
  </w:style>
  <w:style w:type="paragraph" w:customStyle="1" w:styleId="798">
    <w:name w:val="font5"/>
    <w:basedOn w:val="1"/>
    <w:qFormat/>
    <w:uiPriority w:val="0"/>
    <w:pPr>
      <w:widowControl/>
      <w:spacing w:before="100" w:beforeAutospacing="1" w:after="100" w:afterAutospacing="1" w:line="240" w:lineRule="auto"/>
      <w:ind w:firstLine="0" w:firstLineChars="0"/>
      <w:jc w:val="left"/>
    </w:pPr>
    <w:rPr>
      <w:rFonts w:hint="eastAsia" w:ascii="宋体" w:hAnsi="宋体"/>
      <w:kern w:val="0"/>
      <w:sz w:val="18"/>
    </w:rPr>
  </w:style>
  <w:style w:type="paragraph" w:customStyle="1" w:styleId="799">
    <w:name w:val="lei07-正文"/>
    <w:basedOn w:val="1"/>
    <w:qFormat/>
    <w:uiPriority w:val="0"/>
    <w:rPr>
      <w:szCs w:val="24"/>
    </w:rPr>
  </w:style>
  <w:style w:type="paragraph" w:customStyle="1" w:styleId="800">
    <w:name w:val="标题 911"/>
    <w:basedOn w:val="564"/>
    <w:next w:val="628"/>
    <w:qFormat/>
    <w:uiPriority w:val="0"/>
    <w:pPr>
      <w:spacing w:before="200" w:after="200"/>
      <w:jc w:val="both"/>
    </w:pPr>
    <w:rPr>
      <w:sz w:val="28"/>
    </w:rPr>
  </w:style>
  <w:style w:type="paragraph" w:customStyle="1" w:styleId="801">
    <w:name w:val="三级条标题"/>
    <w:basedOn w:val="802"/>
    <w:next w:val="1"/>
    <w:qFormat/>
    <w:uiPriority w:val="0"/>
    <w:pPr>
      <w:tabs>
        <w:tab w:val="left" w:pos="360"/>
        <w:tab w:val="left" w:pos="780"/>
        <w:tab w:val="left" w:pos="903"/>
      </w:tabs>
      <w:outlineLvl w:val="4"/>
    </w:pPr>
  </w:style>
  <w:style w:type="paragraph" w:customStyle="1" w:styleId="802">
    <w:name w:val="二级条标题"/>
    <w:basedOn w:val="660"/>
    <w:next w:val="1"/>
    <w:qFormat/>
    <w:uiPriority w:val="0"/>
    <w:pPr>
      <w:tabs>
        <w:tab w:val="clear" w:pos="360"/>
      </w:tabs>
      <w:outlineLvl w:val="3"/>
    </w:pPr>
  </w:style>
  <w:style w:type="paragraph" w:customStyle="1" w:styleId="803">
    <w:name w:val="样式10 Char Char"/>
    <w:basedOn w:val="804"/>
    <w:qFormat/>
    <w:uiPriority w:val="0"/>
    <w:pPr>
      <w:tabs>
        <w:tab w:val="left" w:pos="0"/>
        <w:tab w:val="left" w:pos="360"/>
        <w:tab w:val="left" w:pos="936"/>
        <w:tab w:val="left" w:pos="992"/>
      </w:tabs>
      <w:spacing w:before="156" w:beforeLines="50" w:after="156" w:afterLines="50" w:line="360" w:lineRule="auto"/>
      <w:ind w:left="992" w:hanging="567"/>
    </w:pPr>
  </w:style>
  <w:style w:type="paragraph" w:customStyle="1" w:styleId="804">
    <w:name w:val="样式 标题 2标题 21标题 121节H2SeHead wsa2标题 1.1 + 黑体 四号 非加粗 Char Char"/>
    <w:basedOn w:val="6"/>
    <w:qFormat/>
    <w:uiPriority w:val="0"/>
    <w:pPr>
      <w:tabs>
        <w:tab w:val="left" w:pos="936"/>
      </w:tabs>
      <w:spacing w:before="260" w:after="260" w:line="415" w:lineRule="auto"/>
      <w:ind w:left="945" w:hanging="420"/>
      <w:jc w:val="both"/>
    </w:pPr>
    <w:rPr>
      <w:rFonts w:ascii="黑体" w:hAnsi="黑体" w:eastAsia="黑体"/>
      <w:b w:val="0"/>
      <w:color w:val="000000"/>
      <w:kern w:val="2"/>
    </w:rPr>
  </w:style>
  <w:style w:type="paragraph" w:customStyle="1" w:styleId="805">
    <w:name w:val="脚注文本2"/>
    <w:basedOn w:val="578"/>
    <w:qFormat/>
    <w:uiPriority w:val="0"/>
    <w:pPr>
      <w:jc w:val="both"/>
    </w:pPr>
    <w:rPr>
      <w:sz w:val="18"/>
    </w:rPr>
  </w:style>
  <w:style w:type="paragraph" w:customStyle="1" w:styleId="806">
    <w:name w:val="样式 自动A +"/>
    <w:basedOn w:val="151"/>
    <w:qFormat/>
    <w:uiPriority w:val="0"/>
    <w:pPr>
      <w:spacing w:before="156" w:beforeLines="50" w:after="156" w:afterLines="50"/>
    </w:pPr>
  </w:style>
  <w:style w:type="paragraph" w:customStyle="1" w:styleId="807">
    <w:name w:val="Char Char Char Char Char Char Char Char Char Char Char Char Char Char Char Char Char Char Char Char Char Char Char Char Char Char Char Char Char Char Char Char Char Char Char Char Char"/>
    <w:basedOn w:val="1"/>
    <w:semiHidden/>
    <w:qFormat/>
    <w:uiPriority w:val="0"/>
    <w:pPr>
      <w:spacing w:after="156" w:afterLines="50" w:line="560" w:lineRule="exact"/>
      <w:ind w:firstLine="0" w:firstLineChars="0"/>
    </w:pPr>
    <w:rPr>
      <w:rFonts w:eastAsia="黑体"/>
      <w:sz w:val="30"/>
      <w:szCs w:val="30"/>
    </w:rPr>
  </w:style>
  <w:style w:type="paragraph" w:customStyle="1" w:styleId="808">
    <w:name w:val="样式 正文首行缩进:  2 字符 + 首行缩进:  2 字符"/>
    <w:basedOn w:val="1"/>
    <w:semiHidden/>
    <w:qFormat/>
    <w:uiPriority w:val="0"/>
    <w:pPr>
      <w:ind w:firstLine="480"/>
    </w:pPr>
    <w:rPr>
      <w:rFonts w:cs="宋体"/>
    </w:rPr>
  </w:style>
  <w:style w:type="paragraph" w:customStyle="1" w:styleId="809">
    <w:name w:val="样式 标题 3 + 段前: 10 磅 段后: 10 磅"/>
    <w:basedOn w:val="7"/>
    <w:qFormat/>
    <w:uiPriority w:val="0"/>
    <w:pPr>
      <w:adjustRightInd w:val="0"/>
      <w:jc w:val="both"/>
      <w:textAlignment w:val="baseline"/>
    </w:pPr>
    <w:rPr>
      <w:rFonts w:ascii="宋体"/>
      <w:kern w:val="2"/>
    </w:rPr>
  </w:style>
  <w:style w:type="paragraph" w:customStyle="1" w:styleId="810">
    <w:name w:val="正文（首行缩近两字）"/>
    <w:basedOn w:val="1"/>
    <w:next w:val="1"/>
    <w:qFormat/>
    <w:uiPriority w:val="0"/>
    <w:pPr>
      <w:spacing w:line="240" w:lineRule="auto"/>
      <w:ind w:firstLine="420"/>
    </w:pPr>
    <w:rPr>
      <w:sz w:val="21"/>
    </w:rPr>
  </w:style>
  <w:style w:type="paragraph" w:customStyle="1" w:styleId="811">
    <w:name w:val="样式26"/>
    <w:basedOn w:val="812"/>
    <w:qFormat/>
    <w:uiPriority w:val="0"/>
    <w:pPr>
      <w:keepNext w:val="0"/>
      <w:keepLines w:val="0"/>
      <w:widowControl/>
      <w:tabs>
        <w:tab w:val="left" w:pos="900"/>
        <w:tab w:val="left" w:pos="1418"/>
        <w:tab w:val="left" w:pos="1571"/>
      </w:tabs>
      <w:overflowPunct w:val="0"/>
      <w:autoSpaceDE w:val="0"/>
      <w:autoSpaceDN w:val="0"/>
      <w:snapToGrid w:val="0"/>
      <w:spacing w:line="240" w:lineRule="atLeast"/>
      <w:ind w:left="0" w:firstLine="567"/>
      <w:jc w:val="center"/>
      <w:outlineLvl w:val="9"/>
    </w:pPr>
    <w:rPr>
      <w:rFonts w:ascii="黑体"/>
      <w:sz w:val="21"/>
      <w:lang w:val="en-US"/>
    </w:rPr>
  </w:style>
  <w:style w:type="paragraph" w:customStyle="1" w:styleId="812">
    <w:name w:val="样式24"/>
    <w:basedOn w:val="813"/>
    <w:qFormat/>
    <w:uiPriority w:val="0"/>
    <w:pPr>
      <w:tabs>
        <w:tab w:val="left" w:pos="900"/>
        <w:tab w:val="left" w:pos="1418"/>
        <w:tab w:val="left" w:pos="1571"/>
      </w:tabs>
    </w:pPr>
    <w:rPr>
      <w:lang w:val="zh-CN"/>
    </w:rPr>
  </w:style>
  <w:style w:type="paragraph" w:customStyle="1" w:styleId="813">
    <w:name w:val="样式9"/>
    <w:basedOn w:val="256"/>
    <w:qFormat/>
    <w:uiPriority w:val="0"/>
    <w:pPr>
      <w:tabs>
        <w:tab w:val="left" w:pos="1571"/>
        <w:tab w:val="clear" w:pos="900"/>
        <w:tab w:val="clear" w:pos="1418"/>
      </w:tabs>
    </w:pPr>
  </w:style>
  <w:style w:type="paragraph" w:customStyle="1" w:styleId="814">
    <w:name w:val="样式 标题 3 + 黑色 段前: 6 磅 段后:"/>
    <w:basedOn w:val="7"/>
    <w:qFormat/>
    <w:uiPriority w:val="0"/>
    <w:pPr>
      <w:tabs>
        <w:tab w:val="left" w:pos="720"/>
      </w:tabs>
      <w:spacing w:before="120" w:after="120"/>
      <w:ind w:left="720" w:hanging="720"/>
      <w:jc w:val="both"/>
    </w:pPr>
    <w:rPr>
      <w:rFonts w:eastAsia="黑体" w:cs="宋体"/>
      <w:bCs/>
      <w:color w:val="000000"/>
      <w:kern w:val="2"/>
    </w:rPr>
  </w:style>
  <w:style w:type="paragraph" w:customStyle="1" w:styleId="815">
    <w:name w:val="标题 92"/>
    <w:basedOn w:val="578"/>
    <w:next w:val="816"/>
    <w:qFormat/>
    <w:uiPriority w:val="0"/>
    <w:pPr>
      <w:spacing w:before="200" w:after="200"/>
      <w:jc w:val="both"/>
    </w:pPr>
    <w:rPr>
      <w:sz w:val="28"/>
    </w:rPr>
  </w:style>
  <w:style w:type="paragraph" w:customStyle="1" w:styleId="816">
    <w:name w:val="正文缩进3"/>
    <w:basedOn w:val="578"/>
    <w:qFormat/>
    <w:uiPriority w:val="0"/>
    <w:pPr>
      <w:spacing w:line="315" w:lineRule="atLeast"/>
      <w:ind w:firstLine="420"/>
      <w:jc w:val="both"/>
    </w:pPr>
    <w:rPr>
      <w:sz w:val="21"/>
    </w:rPr>
  </w:style>
  <w:style w:type="paragraph" w:customStyle="1" w:styleId="817">
    <w:name w:val="Char Char Char Char Char Char Char Char Char1 Char Char Char Char Char Char Char Char Char Char5"/>
    <w:basedOn w:val="1"/>
    <w:semiHidden/>
    <w:qFormat/>
    <w:uiPriority w:val="0"/>
    <w:pPr>
      <w:spacing w:line="240" w:lineRule="auto"/>
      <w:ind w:firstLine="0" w:firstLineChars="0"/>
    </w:pPr>
    <w:rPr>
      <w:rFonts w:ascii="宋体" w:hAnsi="宋体" w:cs="Courier New"/>
      <w:sz w:val="32"/>
      <w:szCs w:val="32"/>
    </w:rPr>
  </w:style>
  <w:style w:type="paragraph" w:customStyle="1" w:styleId="818">
    <w:name w:val="报告书表格2"/>
    <w:basedOn w:val="1"/>
    <w:qFormat/>
    <w:uiPriority w:val="0"/>
    <w:pPr>
      <w:adjustRightInd w:val="0"/>
      <w:snapToGrid w:val="0"/>
      <w:spacing w:before="60" w:after="120" w:line="240" w:lineRule="atLeast"/>
      <w:ind w:firstLine="567" w:firstLineChars="0"/>
      <w:jc w:val="center"/>
      <w:textAlignment w:val="baseline"/>
    </w:pPr>
    <w:rPr>
      <w:kern w:val="0"/>
      <w:sz w:val="28"/>
    </w:rPr>
  </w:style>
  <w:style w:type="paragraph" w:customStyle="1" w:styleId="819">
    <w:name w:val="Char Char Char Char Char Char Char Char Char1 Char"/>
    <w:basedOn w:val="1"/>
    <w:qFormat/>
    <w:uiPriority w:val="0"/>
    <w:pPr>
      <w:ind w:firstLine="0" w:firstLineChars="0"/>
      <w:jc w:val="left"/>
    </w:pPr>
    <w:rPr>
      <w:rFonts w:ascii="宋体" w:hAnsi="宋体" w:cs="Courier New"/>
      <w:sz w:val="21"/>
      <w:szCs w:val="32"/>
    </w:rPr>
  </w:style>
  <w:style w:type="paragraph" w:customStyle="1" w:styleId="820">
    <w:name w:val="表1"/>
    <w:basedOn w:val="1"/>
    <w:qFormat/>
    <w:uiPriority w:val="0"/>
    <w:pPr>
      <w:tabs>
        <w:tab w:val="left" w:pos="360"/>
      </w:tabs>
      <w:overflowPunct w:val="0"/>
      <w:autoSpaceDE w:val="0"/>
      <w:autoSpaceDN w:val="0"/>
      <w:adjustRightInd w:val="0"/>
      <w:spacing w:before="200" w:line="320" w:lineRule="atLeast"/>
      <w:ind w:hanging="200" w:hangingChars="200"/>
      <w:textAlignment w:val="baseline"/>
    </w:pPr>
    <w:rPr>
      <w:kern w:val="0"/>
    </w:rPr>
  </w:style>
  <w:style w:type="paragraph" w:customStyle="1" w:styleId="821">
    <w:name w:val="正文 + 首行缩进:  2 字符"/>
    <w:basedOn w:val="1"/>
    <w:qFormat/>
    <w:uiPriority w:val="0"/>
    <w:pPr>
      <w:ind w:firstLine="480"/>
    </w:pPr>
    <w:rPr>
      <w:rFonts w:ascii="宋体"/>
    </w:rPr>
  </w:style>
  <w:style w:type="paragraph" w:customStyle="1" w:styleId="822">
    <w:name w:val="页脚11"/>
    <w:basedOn w:val="564"/>
    <w:qFormat/>
    <w:uiPriority w:val="0"/>
    <w:pPr>
      <w:tabs>
        <w:tab w:val="center" w:pos="4819"/>
        <w:tab w:val="right" w:pos="9071"/>
      </w:tabs>
      <w:spacing w:line="240" w:lineRule="atLeast"/>
      <w:jc w:val="both"/>
    </w:pPr>
    <w:rPr>
      <w:sz w:val="18"/>
    </w:rPr>
  </w:style>
  <w:style w:type="paragraph" w:customStyle="1" w:styleId="823">
    <w:name w:val="居中正文"/>
    <w:basedOn w:val="81"/>
    <w:qFormat/>
    <w:uiPriority w:val="0"/>
    <w:pPr>
      <w:adjustRightInd w:val="0"/>
      <w:spacing w:before="120" w:after="0"/>
      <w:ind w:firstLine="0" w:firstLineChars="0"/>
      <w:jc w:val="center"/>
      <w:textAlignment w:val="baseline"/>
    </w:pPr>
    <w:rPr>
      <w:rFonts w:ascii="宋体"/>
      <w:kern w:val="28"/>
    </w:rPr>
  </w:style>
  <w:style w:type="paragraph" w:customStyle="1" w:styleId="824">
    <w:name w:val="表表"/>
    <w:basedOn w:val="370"/>
    <w:qFormat/>
    <w:uiPriority w:val="0"/>
  </w:style>
  <w:style w:type="paragraph" w:customStyle="1" w:styleId="825">
    <w:name w:val="Char Char Char Char Char Char Char Char Char2 Char Char Char2"/>
    <w:basedOn w:val="1"/>
    <w:qFormat/>
    <w:uiPriority w:val="0"/>
    <w:pPr>
      <w:spacing w:line="240" w:lineRule="auto"/>
      <w:ind w:firstLine="0" w:firstLineChars="0"/>
    </w:pPr>
    <w:rPr>
      <w:rFonts w:ascii="Tahoma" w:hAnsi="Tahoma"/>
      <w:szCs w:val="24"/>
    </w:rPr>
  </w:style>
  <w:style w:type="paragraph" w:customStyle="1" w:styleId="826">
    <w:name w:val="样式 标题 2 + 四号 蓝色"/>
    <w:basedOn w:val="6"/>
    <w:qFormat/>
    <w:uiPriority w:val="0"/>
    <w:pPr>
      <w:adjustRightInd w:val="0"/>
      <w:jc w:val="both"/>
      <w:textAlignment w:val="baseline"/>
    </w:pPr>
    <w:rPr>
      <w:rFonts w:eastAsia="黑体" w:cs="宋体"/>
      <w:bCs/>
      <w:color w:val="0000FF"/>
      <w:kern w:val="2"/>
      <w:sz w:val="30"/>
      <w:szCs w:val="30"/>
    </w:rPr>
  </w:style>
  <w:style w:type="paragraph" w:customStyle="1" w:styleId="827">
    <w:name w:val="样式44 Char"/>
    <w:basedOn w:val="714"/>
    <w:qFormat/>
    <w:uiPriority w:val="0"/>
  </w:style>
  <w:style w:type="paragraph" w:customStyle="1" w:styleId="828">
    <w:name w:val="样式41"/>
    <w:basedOn w:val="829"/>
    <w:qFormat/>
    <w:uiPriority w:val="0"/>
    <w:pPr>
      <w:ind w:firstLine="420"/>
    </w:pPr>
    <w:rPr>
      <w:b w:val="0"/>
    </w:rPr>
  </w:style>
  <w:style w:type="paragraph" w:customStyle="1" w:styleId="829">
    <w:name w:val="样式36"/>
    <w:basedOn w:val="830"/>
    <w:qFormat/>
    <w:uiPriority w:val="0"/>
  </w:style>
  <w:style w:type="paragraph" w:customStyle="1" w:styleId="830">
    <w:name w:val="样式29"/>
    <w:basedOn w:val="1"/>
    <w:qFormat/>
    <w:uiPriority w:val="0"/>
    <w:pPr>
      <w:spacing w:line="300" w:lineRule="auto"/>
      <w:ind w:firstLine="422"/>
      <w:jc w:val="center"/>
    </w:pPr>
    <w:rPr>
      <w:rFonts w:ascii="黑体" w:eastAsia="黑体"/>
      <w:b/>
      <w:sz w:val="21"/>
    </w:rPr>
  </w:style>
  <w:style w:type="paragraph" w:customStyle="1" w:styleId="831">
    <w:name w:val="样式1 Char Char Char Char"/>
    <w:basedOn w:val="73"/>
    <w:qFormat/>
    <w:uiPriority w:val="0"/>
    <w:pPr>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jc w:val="both"/>
      <w:textAlignment w:val="baseline"/>
    </w:pPr>
    <w:rPr>
      <w:rFonts w:ascii="宋体" w:hAnsi="宋体"/>
      <w:kern w:val="2"/>
      <w:sz w:val="24"/>
      <w:szCs w:val="20"/>
    </w:rPr>
  </w:style>
  <w:style w:type="paragraph" w:customStyle="1" w:styleId="832">
    <w:name w:val="样式5 Char"/>
    <w:basedOn w:val="1"/>
    <w:qFormat/>
    <w:uiPriority w:val="0"/>
    <w:pPr>
      <w:ind w:firstLine="480"/>
    </w:pPr>
    <w:rPr>
      <w:rFonts w:ascii="宋体"/>
    </w:rPr>
  </w:style>
  <w:style w:type="paragraph" w:customStyle="1" w:styleId="833">
    <w:name w:val="xl79"/>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333333"/>
      <w:kern w:val="0"/>
      <w:sz w:val="20"/>
    </w:rPr>
  </w:style>
  <w:style w:type="paragraph" w:customStyle="1" w:styleId="834">
    <w:name w:val="大田正文"/>
    <w:basedOn w:val="1"/>
    <w:semiHidden/>
    <w:qFormat/>
    <w:uiPriority w:val="0"/>
    <w:pPr>
      <w:spacing w:line="520" w:lineRule="exact"/>
      <w:ind w:firstLine="567" w:firstLineChars="0"/>
    </w:pPr>
    <w:rPr>
      <w:sz w:val="28"/>
    </w:rPr>
  </w:style>
  <w:style w:type="paragraph" w:customStyle="1" w:styleId="835">
    <w:name w:val="三级标题"/>
    <w:basedOn w:val="1"/>
    <w:qFormat/>
    <w:uiPriority w:val="0"/>
    <w:pPr>
      <w:spacing w:before="300" w:line="460" w:lineRule="exact"/>
      <w:ind w:firstLine="0" w:firstLineChars="0"/>
      <w:outlineLvl w:val="2"/>
    </w:pPr>
    <w:rPr>
      <w:b/>
      <w:bCs/>
      <w:szCs w:val="24"/>
    </w:rPr>
  </w:style>
  <w:style w:type="paragraph" w:customStyle="1" w:styleId="836">
    <w:name w:val="Char Char Char Char Char Char Char Char Char1 Char Char Char Char Char Char Char Char Char Char7"/>
    <w:basedOn w:val="1"/>
    <w:semiHidden/>
    <w:qFormat/>
    <w:uiPriority w:val="0"/>
    <w:pPr>
      <w:spacing w:line="240" w:lineRule="auto"/>
      <w:ind w:firstLine="0" w:firstLineChars="0"/>
    </w:pPr>
    <w:rPr>
      <w:rFonts w:ascii="宋体" w:hAnsi="宋体" w:cs="Courier New"/>
      <w:sz w:val="32"/>
      <w:szCs w:val="32"/>
    </w:rPr>
  </w:style>
  <w:style w:type="paragraph" w:customStyle="1" w:styleId="837">
    <w:name w:val="样式 环科院正文 + 首行缩进:  2 字符"/>
    <w:basedOn w:val="415"/>
    <w:semiHidden/>
    <w:qFormat/>
    <w:uiPriority w:val="0"/>
    <w:pPr>
      <w:spacing w:line="300" w:lineRule="auto"/>
    </w:pPr>
    <w:rPr>
      <w:rFonts w:cs="宋体"/>
      <w:szCs w:val="20"/>
    </w:rPr>
  </w:style>
  <w:style w:type="paragraph" w:customStyle="1" w:styleId="838">
    <w:name w:val="Char Char1 Char Char Char Char"/>
    <w:basedOn w:val="1"/>
    <w:semiHidden/>
    <w:qFormat/>
    <w:uiPriority w:val="0"/>
    <w:pPr>
      <w:spacing w:after="156" w:afterLines="50" w:line="560" w:lineRule="exact"/>
      <w:ind w:firstLine="0" w:firstLineChars="0"/>
    </w:pPr>
    <w:rPr>
      <w:rFonts w:eastAsia="黑体"/>
      <w:sz w:val="30"/>
      <w:szCs w:val="30"/>
    </w:rPr>
  </w:style>
  <w:style w:type="paragraph" w:customStyle="1" w:styleId="839">
    <w:name w:val="图表正文加粗"/>
    <w:basedOn w:val="1"/>
    <w:next w:val="590"/>
    <w:qFormat/>
    <w:uiPriority w:val="0"/>
    <w:pPr>
      <w:tabs>
        <w:tab w:val="left" w:pos="840"/>
        <w:tab w:val="left" w:pos="990"/>
      </w:tabs>
      <w:spacing w:line="240" w:lineRule="auto"/>
      <w:ind w:firstLine="0" w:firstLineChars="0"/>
    </w:pPr>
    <w:rPr>
      <w:b/>
      <w:color w:val="000000"/>
      <w:sz w:val="21"/>
    </w:rPr>
  </w:style>
  <w:style w:type="paragraph" w:customStyle="1" w:styleId="840">
    <w:name w:val="报告书正文 Char Char Char Char Char Char Char Char"/>
    <w:basedOn w:val="1"/>
    <w:qFormat/>
    <w:uiPriority w:val="0"/>
    <w:pPr>
      <w:spacing w:line="300" w:lineRule="auto"/>
      <w:ind w:firstLine="480"/>
    </w:pPr>
    <w:rPr>
      <w:color w:val="000000"/>
    </w:rPr>
  </w:style>
  <w:style w:type="paragraph" w:customStyle="1" w:styleId="841">
    <w:name w:val="样式 题注 + 居中 Char Char Char Char"/>
    <w:basedOn w:val="24"/>
    <w:next w:val="1"/>
    <w:qFormat/>
    <w:uiPriority w:val="0"/>
    <w:pPr>
      <w:keepNext w:val="0"/>
      <w:spacing w:before="120"/>
    </w:pPr>
    <w:rPr>
      <w:rFonts w:ascii="Arial" w:hAnsi="Arial" w:eastAsia="黑体" w:cs="宋体"/>
      <w:b w:val="0"/>
      <w:bCs w:val="0"/>
      <w:sz w:val="24"/>
      <w:szCs w:val="24"/>
    </w:rPr>
  </w:style>
  <w:style w:type="paragraph" w:customStyle="1" w:styleId="842">
    <w:name w:val="样式 首行缩进:  1.01 厘米"/>
    <w:basedOn w:val="1"/>
    <w:qFormat/>
    <w:uiPriority w:val="0"/>
    <w:pPr>
      <w:spacing w:before="156" w:beforeLines="50" w:after="156" w:afterLines="50"/>
      <w:ind w:firstLine="360" w:firstLineChars="150"/>
    </w:pPr>
  </w:style>
  <w:style w:type="paragraph" w:customStyle="1" w:styleId="843">
    <w:name w:val="wxm-正文"/>
    <w:basedOn w:val="1"/>
    <w:semiHidden/>
    <w:qFormat/>
    <w:uiPriority w:val="0"/>
    <w:pPr>
      <w:ind w:firstLine="480"/>
    </w:pPr>
    <w:rPr>
      <w:rFonts w:cs="宋体"/>
    </w:rPr>
  </w:style>
  <w:style w:type="paragraph" w:customStyle="1" w:styleId="844">
    <w:name w:val="样式57"/>
    <w:basedOn w:val="845"/>
    <w:qFormat/>
    <w:uiPriority w:val="0"/>
  </w:style>
  <w:style w:type="paragraph" w:customStyle="1" w:styleId="845">
    <w:name w:val="样式50"/>
    <w:basedOn w:val="549"/>
    <w:qFormat/>
    <w:uiPriority w:val="0"/>
    <w:pPr>
      <w:ind w:firstLine="1365" w:firstLineChars="650"/>
    </w:pPr>
    <w:rPr>
      <w:rFonts w:ascii="黑体" w:eastAsia="黑体"/>
      <w:sz w:val="21"/>
    </w:rPr>
  </w:style>
  <w:style w:type="paragraph" w:customStyle="1" w:styleId="846">
    <w:name w:val="样式 正文最后采用 + 首行缩进:  2 字符7"/>
    <w:basedOn w:val="1"/>
    <w:qFormat/>
    <w:uiPriority w:val="0"/>
    <w:pPr>
      <w:spacing w:line="240" w:lineRule="auto"/>
      <w:ind w:firstLine="560"/>
    </w:pPr>
    <w:rPr>
      <w:rFonts w:eastAsia="仿宋_GB2312"/>
      <w:sz w:val="28"/>
    </w:rPr>
  </w:style>
  <w:style w:type="paragraph" w:customStyle="1" w:styleId="847">
    <w:name w:val="caption1"/>
    <w:basedOn w:val="1"/>
    <w:next w:val="1"/>
    <w:qFormat/>
    <w:uiPriority w:val="0"/>
    <w:pPr>
      <w:adjustRightInd w:val="0"/>
      <w:snapToGrid w:val="0"/>
      <w:spacing w:after="120" w:line="360" w:lineRule="atLeast"/>
      <w:ind w:firstLine="0" w:firstLineChars="0"/>
      <w:jc w:val="center"/>
      <w:textAlignment w:val="baseline"/>
    </w:pPr>
    <w:rPr>
      <w:rFonts w:ascii="宋体"/>
      <w:kern w:val="0"/>
    </w:rPr>
  </w:style>
  <w:style w:type="paragraph" w:customStyle="1" w:styleId="848">
    <w:name w:val="Char Char Char2"/>
    <w:basedOn w:val="1"/>
    <w:qFormat/>
    <w:uiPriority w:val="0"/>
    <w:pPr>
      <w:spacing w:line="240" w:lineRule="auto"/>
      <w:ind w:firstLine="0" w:firstLineChars="0"/>
    </w:pPr>
    <w:rPr>
      <w:szCs w:val="24"/>
    </w:rPr>
  </w:style>
  <w:style w:type="paragraph" w:customStyle="1" w:styleId="849">
    <w:name w:val="表后文字"/>
    <w:next w:val="1"/>
    <w:semiHidden/>
    <w:qFormat/>
    <w:uiPriority w:val="0"/>
    <w:pPr>
      <w:ind w:firstLine="493"/>
    </w:pPr>
    <w:rPr>
      <w:rFonts w:ascii="宋体" w:hAnsi="Times New Roman" w:eastAsia="宋体" w:cs="Times New Roman"/>
      <w:spacing w:val="4"/>
      <w:w w:val="80"/>
      <w:kern w:val="18"/>
      <w:sz w:val="24"/>
      <w:szCs w:val="24"/>
      <w:lang w:val="en-US" w:eastAsia="zh-CN" w:bidi="ar-SA"/>
    </w:rPr>
  </w:style>
  <w:style w:type="paragraph" w:customStyle="1" w:styleId="850">
    <w:name w:val="表格/图片"/>
    <w:basedOn w:val="1"/>
    <w:qFormat/>
    <w:uiPriority w:val="0"/>
    <w:pPr>
      <w:snapToGrid w:val="0"/>
      <w:spacing w:line="240" w:lineRule="auto"/>
      <w:ind w:firstLine="0" w:firstLineChars="0"/>
      <w:jc w:val="center"/>
    </w:pPr>
    <w:rPr>
      <w:color w:val="000000"/>
      <w:sz w:val="21"/>
      <w:szCs w:val="24"/>
    </w:rPr>
  </w:style>
  <w:style w:type="paragraph" w:customStyle="1" w:styleId="851">
    <w:name w:val="样式 左侧:  -0.1 厘米 首行缩进:  0.99 厘米"/>
    <w:basedOn w:val="1"/>
    <w:semiHidden/>
    <w:qFormat/>
    <w:uiPriority w:val="0"/>
    <w:pPr>
      <w:suppressAutoHyphens/>
      <w:ind w:left="-59" w:firstLine="560" w:firstLineChars="0"/>
    </w:pPr>
    <w:rPr>
      <w:rFonts w:ascii="宋体" w:hAnsi="宋体" w:cs="宋体"/>
      <w:kern w:val="1"/>
      <w:lang w:eastAsia="ar-SA"/>
    </w:rPr>
  </w:style>
  <w:style w:type="paragraph" w:customStyle="1" w:styleId="852">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pPr>
    <w:rPr>
      <w:rFonts w:ascii="宋体" w:hAnsi="宋体" w:cs="宋体"/>
      <w:szCs w:val="24"/>
    </w:rPr>
  </w:style>
  <w:style w:type="paragraph" w:customStyle="1" w:styleId="853">
    <w:name w:val="列出段落2"/>
    <w:basedOn w:val="1"/>
    <w:qFormat/>
    <w:uiPriority w:val="0"/>
    <w:pPr>
      <w:spacing w:line="240" w:lineRule="auto"/>
      <w:ind w:firstLine="420"/>
    </w:pPr>
    <w:rPr>
      <w:sz w:val="21"/>
      <w:szCs w:val="24"/>
    </w:rPr>
  </w:style>
  <w:style w:type="paragraph" w:customStyle="1" w:styleId="854">
    <w:name w:val="样式55"/>
    <w:basedOn w:val="845"/>
    <w:qFormat/>
    <w:uiPriority w:val="0"/>
  </w:style>
  <w:style w:type="paragraph" w:customStyle="1" w:styleId="855">
    <w:name w:val="az"/>
    <w:basedOn w:val="1"/>
    <w:qFormat/>
    <w:uiPriority w:val="0"/>
    <w:pPr>
      <w:spacing w:line="240" w:lineRule="auto"/>
      <w:jc w:val="left"/>
    </w:pPr>
    <w:rPr>
      <w:szCs w:val="24"/>
    </w:rPr>
  </w:style>
  <w:style w:type="paragraph" w:customStyle="1" w:styleId="856">
    <w:name w:val="正文文本 212"/>
    <w:basedOn w:val="1"/>
    <w:qFormat/>
    <w:uiPriority w:val="0"/>
    <w:pPr>
      <w:adjustRightInd w:val="0"/>
      <w:snapToGrid w:val="0"/>
      <w:spacing w:before="60" w:after="60"/>
      <w:ind w:firstLine="570" w:firstLineChars="0"/>
      <w:jc w:val="left"/>
      <w:textAlignment w:val="baseline"/>
    </w:pPr>
    <w:rPr>
      <w:kern w:val="0"/>
      <w:sz w:val="28"/>
    </w:rPr>
  </w:style>
  <w:style w:type="paragraph" w:customStyle="1" w:styleId="857">
    <w:name w:val="T表头"/>
    <w:next w:val="1"/>
    <w:qFormat/>
    <w:uiPriority w:val="0"/>
    <w:pPr>
      <w:keepLines/>
      <w:jc w:val="center"/>
    </w:pPr>
    <w:rPr>
      <w:rFonts w:ascii="Arial" w:hAnsi="Arial" w:eastAsia="宋体" w:cs="Times New Roman"/>
      <w:b/>
      <w:sz w:val="24"/>
      <w:lang w:val="en-US" w:eastAsia="zh-CN" w:bidi="ar-SA"/>
    </w:rPr>
  </w:style>
  <w:style w:type="paragraph" w:customStyle="1" w:styleId="858">
    <w:name w:val="Char Char12"/>
    <w:basedOn w:val="1"/>
    <w:qFormat/>
    <w:uiPriority w:val="0"/>
    <w:rPr>
      <w:rFonts w:ascii="宋体" w:hAnsi="宋体"/>
    </w:rPr>
  </w:style>
  <w:style w:type="paragraph" w:customStyle="1" w:styleId="859">
    <w:name w:val="自制表格1"/>
    <w:basedOn w:val="1"/>
    <w:next w:val="1"/>
    <w:qFormat/>
    <w:uiPriority w:val="0"/>
    <w:pPr>
      <w:adjustRightInd w:val="0"/>
      <w:snapToGrid w:val="0"/>
      <w:spacing w:line="240" w:lineRule="auto"/>
      <w:ind w:firstLine="0" w:firstLineChars="0"/>
      <w:jc w:val="center"/>
    </w:pPr>
    <w:rPr>
      <w:szCs w:val="24"/>
    </w:rPr>
  </w:style>
  <w:style w:type="paragraph" w:customStyle="1" w:styleId="860">
    <w:name w:val="正文文本 31"/>
    <w:basedOn w:val="1"/>
    <w:qFormat/>
    <w:uiPriority w:val="0"/>
    <w:pPr>
      <w:adjustRightInd w:val="0"/>
      <w:spacing w:line="240" w:lineRule="atLeast"/>
      <w:ind w:firstLine="0" w:firstLineChars="0"/>
      <w:jc w:val="center"/>
      <w:textAlignment w:val="baseline"/>
    </w:pPr>
    <w:rPr>
      <w:rFonts w:ascii="宋体"/>
      <w:kern w:val="0"/>
      <w:sz w:val="18"/>
    </w:rPr>
  </w:style>
  <w:style w:type="paragraph" w:customStyle="1" w:styleId="861">
    <w:name w:val="Char Char Char Char6"/>
    <w:basedOn w:val="1"/>
    <w:qFormat/>
    <w:uiPriority w:val="0"/>
    <w:pPr>
      <w:spacing w:line="240" w:lineRule="auto"/>
      <w:ind w:firstLine="0" w:firstLineChars="0"/>
    </w:pPr>
    <w:rPr>
      <w:sz w:val="21"/>
    </w:rPr>
  </w:style>
  <w:style w:type="paragraph" w:customStyle="1" w:styleId="862">
    <w:name w:val="样式5"/>
    <w:basedOn w:val="1"/>
    <w:qFormat/>
    <w:uiPriority w:val="0"/>
    <w:pPr>
      <w:adjustRightInd w:val="0"/>
      <w:spacing w:before="120" w:after="120" w:line="500" w:lineRule="exact"/>
      <w:ind w:firstLine="0" w:firstLineChars="0"/>
      <w:outlineLvl w:val="1"/>
    </w:pPr>
    <w:rPr>
      <w:rFonts w:eastAsia="黑体"/>
      <w:kern w:val="0"/>
      <w:sz w:val="28"/>
    </w:rPr>
  </w:style>
  <w:style w:type="paragraph" w:customStyle="1" w:styleId="863">
    <w:name w:val="图文"/>
    <w:basedOn w:val="1"/>
    <w:qFormat/>
    <w:uiPriority w:val="0"/>
    <w:pPr>
      <w:adjustRightInd w:val="0"/>
      <w:snapToGrid w:val="0"/>
      <w:spacing w:line="240" w:lineRule="auto"/>
      <w:ind w:firstLine="0" w:firstLineChars="0"/>
    </w:pPr>
    <w:rPr>
      <w:rFonts w:ascii="楷体_GB2312" w:eastAsia="楷体_GB2312"/>
      <w:sz w:val="30"/>
    </w:rPr>
  </w:style>
  <w:style w:type="paragraph" w:customStyle="1" w:styleId="864">
    <w:name w:val="3 Char Char Char Char Char Char Char Char Char Char Char Char Char Char Char Char Char Char Char"/>
    <w:basedOn w:val="1"/>
    <w:qFormat/>
    <w:uiPriority w:val="0"/>
    <w:pPr>
      <w:spacing w:line="240" w:lineRule="auto"/>
      <w:ind w:firstLine="0" w:firstLineChars="0"/>
    </w:pPr>
    <w:rPr>
      <w:rFonts w:ascii="Tahoma" w:hAnsi="Tahoma"/>
      <w:szCs w:val="24"/>
    </w:rPr>
  </w:style>
  <w:style w:type="paragraph" w:customStyle="1" w:styleId="865">
    <w:name w:val="表格内容1"/>
    <w:basedOn w:val="1"/>
    <w:qFormat/>
    <w:uiPriority w:val="0"/>
    <w:pPr>
      <w:tabs>
        <w:tab w:val="left" w:pos="1535"/>
        <w:tab w:val="left" w:pos="3105"/>
        <w:tab w:val="left" w:pos="4676"/>
        <w:tab w:val="left" w:pos="6247"/>
        <w:tab w:val="left" w:pos="7740"/>
        <w:tab w:val="left" w:pos="9288"/>
      </w:tabs>
      <w:snapToGrid w:val="0"/>
      <w:spacing w:line="240" w:lineRule="exact"/>
      <w:ind w:firstLine="0" w:firstLineChars="0"/>
      <w:jc w:val="center"/>
      <w:textAlignment w:val="baseline"/>
    </w:pPr>
    <w:rPr>
      <w:rFonts w:ascii="宋体" w:hAnsi="宋体"/>
      <w:color w:val="000000"/>
      <w:kern w:val="0"/>
      <w:sz w:val="21"/>
    </w:rPr>
  </w:style>
  <w:style w:type="paragraph" w:customStyle="1" w:styleId="866">
    <w:name w:val="六表内容"/>
    <w:basedOn w:val="1"/>
    <w:qFormat/>
    <w:uiPriority w:val="0"/>
    <w:pPr>
      <w:spacing w:line="340" w:lineRule="exact"/>
      <w:ind w:firstLine="0" w:firstLineChars="0"/>
      <w:jc w:val="center"/>
    </w:pPr>
    <w:rPr>
      <w:rFonts w:ascii="Calibri" w:hAnsi="Calibri"/>
      <w:sz w:val="21"/>
      <w:szCs w:val="21"/>
    </w:rPr>
  </w:style>
  <w:style w:type="paragraph" w:customStyle="1" w:styleId="867">
    <w:name w:val="xl33"/>
    <w:basedOn w:val="1"/>
    <w:qFormat/>
    <w:uiPriority w:val="0"/>
    <w:pPr>
      <w:widowControl/>
      <w:spacing w:before="100" w:beforeAutospacing="1" w:after="100" w:afterAutospacing="1" w:line="240" w:lineRule="auto"/>
      <w:ind w:firstLine="0" w:firstLineChars="0"/>
      <w:jc w:val="center"/>
    </w:pPr>
    <w:rPr>
      <w:rFonts w:eastAsia="Arial Unicode MS"/>
      <w:b/>
      <w:kern w:val="0"/>
    </w:rPr>
  </w:style>
  <w:style w:type="paragraph" w:customStyle="1" w:styleId="868">
    <w:name w:val="样式 左侧:  1.5 厘米 首行缩进:  0 厘米"/>
    <w:basedOn w:val="1"/>
    <w:semiHidden/>
    <w:qFormat/>
    <w:uiPriority w:val="0"/>
    <w:pPr>
      <w:spacing w:after="120" w:line="440" w:lineRule="exact"/>
      <w:ind w:left="851" w:firstLine="0" w:firstLineChars="0"/>
    </w:pPr>
    <w:rPr>
      <w:rFonts w:ascii="Arial" w:hAnsi="Arial"/>
      <w:kern w:val="0"/>
    </w:rPr>
  </w:style>
  <w:style w:type="paragraph" w:customStyle="1" w:styleId="869">
    <w:name w:val="Char Char Char Char1"/>
    <w:basedOn w:val="1"/>
    <w:semiHidden/>
    <w:qFormat/>
    <w:uiPriority w:val="0"/>
    <w:pPr>
      <w:spacing w:line="240" w:lineRule="auto"/>
      <w:ind w:firstLine="0" w:firstLineChars="0"/>
    </w:pPr>
    <w:rPr>
      <w:sz w:val="21"/>
      <w:szCs w:val="21"/>
    </w:rPr>
  </w:style>
  <w:style w:type="paragraph" w:customStyle="1" w:styleId="870">
    <w:name w:val="样式23"/>
    <w:basedOn w:val="1"/>
    <w:qFormat/>
    <w:uiPriority w:val="0"/>
    <w:pPr>
      <w:spacing w:line="300" w:lineRule="auto"/>
      <w:ind w:firstLine="567" w:firstLineChars="0"/>
      <w:jc w:val="center"/>
    </w:pPr>
    <w:rPr>
      <w:rFonts w:ascii="黑体" w:eastAsia="黑体"/>
      <w:b/>
      <w:sz w:val="21"/>
    </w:rPr>
  </w:style>
  <w:style w:type="paragraph" w:customStyle="1" w:styleId="871">
    <w:name w:val="表格标题（右对齐）"/>
    <w:basedOn w:val="1"/>
    <w:qFormat/>
    <w:uiPriority w:val="0"/>
    <w:pPr>
      <w:spacing w:before="156" w:beforeLines="50" w:after="156" w:afterLines="50" w:line="240" w:lineRule="auto"/>
      <w:ind w:firstLine="0" w:firstLineChars="0"/>
      <w:jc w:val="right"/>
      <w:outlineLvl w:val="3"/>
    </w:pPr>
    <w:rPr>
      <w:rFonts w:eastAsia="黑体"/>
      <w:color w:val="000000"/>
    </w:rPr>
  </w:style>
  <w:style w:type="paragraph" w:customStyle="1" w:styleId="872">
    <w:name w:val="Char Char Char Char Char Char Char1"/>
    <w:basedOn w:val="1"/>
    <w:qFormat/>
    <w:uiPriority w:val="0"/>
    <w:pPr>
      <w:widowControl/>
      <w:spacing w:after="160" w:line="240" w:lineRule="exact"/>
      <w:ind w:firstLine="0" w:firstLineChars="0"/>
      <w:jc w:val="left"/>
    </w:pPr>
    <w:rPr>
      <w:rFonts w:ascii="Arial" w:hAnsi="Arial" w:eastAsia="Times New Roman" w:cs="Verdana"/>
      <w:b/>
      <w:kern w:val="0"/>
      <w:szCs w:val="24"/>
      <w:lang w:eastAsia="en-US"/>
    </w:rPr>
  </w:style>
  <w:style w:type="paragraph" w:customStyle="1" w:styleId="873">
    <w:name w:val="样式 宋体 小四 首行缩进:  0.95 厘米 行距: 1.5 倍行距"/>
    <w:basedOn w:val="1"/>
    <w:qFormat/>
    <w:uiPriority w:val="0"/>
    <w:pPr>
      <w:spacing w:line="300" w:lineRule="auto"/>
      <w:ind w:firstLine="539" w:firstLineChars="0"/>
    </w:pPr>
    <w:rPr>
      <w:rFonts w:ascii="宋体" w:hAnsi="宋体"/>
    </w:rPr>
  </w:style>
  <w:style w:type="paragraph" w:customStyle="1" w:styleId="874">
    <w:name w:val="环科院插图标题"/>
    <w:basedOn w:val="1"/>
    <w:semiHidden/>
    <w:qFormat/>
    <w:uiPriority w:val="0"/>
    <w:pPr>
      <w:spacing w:after="156" w:afterLines="50"/>
      <w:ind w:firstLine="0" w:firstLineChars="0"/>
      <w:jc w:val="center"/>
    </w:pPr>
    <w:rPr>
      <w:rFonts w:hAnsi="宋体"/>
      <w:b/>
      <w:color w:val="000000"/>
      <w:szCs w:val="24"/>
    </w:rPr>
  </w:style>
  <w:style w:type="paragraph" w:customStyle="1" w:styleId="875">
    <w:name w:val="自动表头"/>
    <w:basedOn w:val="1"/>
    <w:qFormat/>
    <w:uiPriority w:val="0"/>
    <w:pPr>
      <w:autoSpaceDE w:val="0"/>
      <w:autoSpaceDN w:val="0"/>
      <w:adjustRightInd w:val="0"/>
      <w:spacing w:before="156" w:beforeLines="50" w:after="156" w:afterLines="50" w:line="240" w:lineRule="auto"/>
      <w:ind w:firstLine="422"/>
    </w:pPr>
    <w:rPr>
      <w:rFonts w:ascii="黑体"/>
      <w:b/>
      <w:color w:val="000000"/>
      <w:sz w:val="21"/>
    </w:rPr>
  </w:style>
  <w:style w:type="paragraph" w:customStyle="1" w:styleId="876">
    <w:name w:val="日期2"/>
    <w:basedOn w:val="1"/>
    <w:next w:val="1"/>
    <w:qFormat/>
    <w:uiPriority w:val="0"/>
    <w:pPr>
      <w:autoSpaceDE w:val="0"/>
      <w:autoSpaceDN w:val="0"/>
      <w:adjustRightInd w:val="0"/>
      <w:spacing w:line="240" w:lineRule="auto"/>
      <w:ind w:firstLine="0" w:firstLineChars="0"/>
      <w:textAlignment w:val="baseline"/>
    </w:pPr>
    <w:rPr>
      <w:spacing w:val="5"/>
      <w:kern w:val="0"/>
    </w:rPr>
  </w:style>
  <w:style w:type="paragraph" w:customStyle="1" w:styleId="877">
    <w:name w:val="样式 标题 4 + 黑色 段前: 6 磅 段后: 6 磅"/>
    <w:basedOn w:val="9"/>
    <w:qFormat/>
    <w:uiPriority w:val="0"/>
    <w:pPr>
      <w:tabs>
        <w:tab w:val="left" w:pos="864"/>
        <w:tab w:val="left" w:pos="984"/>
      </w:tabs>
      <w:spacing w:before="120" w:after="120"/>
      <w:ind w:left="984" w:hanging="864"/>
    </w:pPr>
    <w:rPr>
      <w:rFonts w:eastAsia="黑体" w:cs="宋体"/>
      <w:b/>
      <w:bCs/>
      <w:color w:val="000000"/>
      <w:kern w:val="2"/>
    </w:rPr>
  </w:style>
  <w:style w:type="paragraph" w:customStyle="1" w:styleId="878">
    <w:name w:val="Char Char1 Char"/>
    <w:basedOn w:val="1"/>
    <w:semiHidden/>
    <w:qFormat/>
    <w:uiPriority w:val="0"/>
    <w:pPr>
      <w:spacing w:line="240" w:lineRule="auto"/>
      <w:ind w:firstLine="0" w:firstLineChars="0"/>
    </w:pPr>
    <w:rPr>
      <w:sz w:val="21"/>
      <w:szCs w:val="24"/>
    </w:rPr>
  </w:style>
  <w:style w:type="paragraph" w:customStyle="1" w:styleId="879">
    <w:name w:val="3级标题"/>
    <w:basedOn w:val="1"/>
    <w:qFormat/>
    <w:uiPriority w:val="0"/>
    <w:pPr>
      <w:spacing w:before="300" w:line="460" w:lineRule="exact"/>
      <w:ind w:firstLine="0" w:firstLineChars="0"/>
      <w:outlineLvl w:val="2"/>
    </w:pPr>
    <w:rPr>
      <w:b/>
    </w:rPr>
  </w:style>
  <w:style w:type="paragraph" w:customStyle="1" w:styleId="880">
    <w:name w:val="文章正文样式 Char1"/>
    <w:basedOn w:val="1"/>
    <w:qFormat/>
    <w:uiPriority w:val="0"/>
    <w:pPr>
      <w:spacing w:line="520" w:lineRule="exact"/>
      <w:jc w:val="left"/>
    </w:pPr>
    <w:rPr>
      <w:rFonts w:ascii="宋体" w:hAnsi="宋体"/>
    </w:rPr>
  </w:style>
  <w:style w:type="paragraph" w:customStyle="1" w:styleId="881">
    <w:name w:val="p18"/>
    <w:basedOn w:val="1"/>
    <w:qFormat/>
    <w:uiPriority w:val="0"/>
    <w:pPr>
      <w:widowControl/>
      <w:snapToGrid w:val="0"/>
      <w:spacing w:line="240" w:lineRule="auto"/>
      <w:ind w:firstLine="0" w:firstLineChars="0"/>
    </w:pPr>
    <w:rPr>
      <w:rFonts w:ascii="宋体" w:hAnsi="宋体" w:cs="宋体"/>
      <w:color w:val="FF0000"/>
      <w:kern w:val="0"/>
      <w:szCs w:val="24"/>
    </w:rPr>
  </w:style>
  <w:style w:type="paragraph" w:customStyle="1" w:styleId="882">
    <w:name w:val="样式 标题 4 + 黑色 段前: 7.8 磅 段后: 7.8 磅"/>
    <w:basedOn w:val="9"/>
    <w:qFormat/>
    <w:uiPriority w:val="0"/>
    <w:pPr>
      <w:tabs>
        <w:tab w:val="left" w:pos="864"/>
        <w:tab w:val="left" w:pos="984"/>
      </w:tabs>
      <w:spacing w:before="156" w:after="156"/>
      <w:ind w:left="984" w:hanging="864"/>
    </w:pPr>
    <w:rPr>
      <w:rFonts w:eastAsia="黑体" w:cs="宋体"/>
      <w:b/>
      <w:bCs/>
      <w:color w:val="000000"/>
      <w:kern w:val="2"/>
    </w:rPr>
  </w:style>
  <w:style w:type="paragraph" w:customStyle="1" w:styleId="883">
    <w:name w:val="列出段落3"/>
    <w:basedOn w:val="1"/>
    <w:qFormat/>
    <w:uiPriority w:val="0"/>
    <w:pPr>
      <w:spacing w:line="240" w:lineRule="auto"/>
      <w:ind w:firstLine="420"/>
    </w:pPr>
    <w:rPr>
      <w:sz w:val="21"/>
      <w:szCs w:val="24"/>
    </w:rPr>
  </w:style>
  <w:style w:type="paragraph" w:customStyle="1" w:styleId="884">
    <w:name w:val="岳阳用"/>
    <w:basedOn w:val="1"/>
    <w:qFormat/>
    <w:uiPriority w:val="0"/>
    <w:pPr>
      <w:spacing w:line="400" w:lineRule="atLeast"/>
      <w:ind w:firstLine="644" w:firstLineChars="0"/>
      <w:jc w:val="left"/>
    </w:pPr>
    <w:rPr>
      <w:rFonts w:ascii="仿宋_GB2312" w:hAnsi="宋体"/>
      <w:spacing w:val="21"/>
      <w:kern w:val="0"/>
      <w:sz w:val="28"/>
    </w:rPr>
  </w:style>
  <w:style w:type="paragraph" w:customStyle="1" w:styleId="885">
    <w:name w:val="_Style 883"/>
    <w:basedOn w:val="5"/>
    <w:next w:val="1"/>
    <w:qFormat/>
    <w:uiPriority w:val="39"/>
    <w:pPr>
      <w:widowControl/>
      <w:numPr>
        <w:numId w:val="0"/>
      </w:numPr>
      <w:spacing w:before="480" w:after="0" w:line="276" w:lineRule="auto"/>
      <w:jc w:val="left"/>
      <w:outlineLvl w:val="9"/>
    </w:pPr>
    <w:rPr>
      <w:rFonts w:ascii="Cambria" w:hAnsi="Cambria"/>
      <w:bCs/>
      <w:color w:val="365F91"/>
      <w:kern w:val="0"/>
      <w:sz w:val="28"/>
      <w:szCs w:val="28"/>
    </w:rPr>
  </w:style>
  <w:style w:type="paragraph" w:customStyle="1" w:styleId="886">
    <w:name w:val="图形标题"/>
    <w:basedOn w:val="24"/>
    <w:qFormat/>
    <w:uiPriority w:val="0"/>
    <w:pPr>
      <w:keepNext w:val="0"/>
      <w:snapToGrid w:val="0"/>
      <w:spacing w:before="0" w:after="0"/>
      <w:jc w:val="both"/>
    </w:pPr>
    <w:rPr>
      <w:b w:val="0"/>
      <w:bCs w:val="0"/>
      <w:sz w:val="21"/>
      <w:szCs w:val="21"/>
    </w:rPr>
  </w:style>
  <w:style w:type="paragraph" w:customStyle="1" w:styleId="887">
    <w:name w:val="标题 12"/>
    <w:basedOn w:val="578"/>
    <w:next w:val="578"/>
    <w:qFormat/>
    <w:uiPriority w:val="0"/>
    <w:pPr>
      <w:keepNext/>
      <w:keepLines/>
      <w:spacing w:before="340" w:after="330" w:line="578" w:lineRule="atLeast"/>
      <w:jc w:val="both"/>
    </w:pPr>
    <w:rPr>
      <w:b/>
      <w:sz w:val="44"/>
    </w:rPr>
  </w:style>
  <w:style w:type="paragraph" w:customStyle="1" w:styleId="888">
    <w:name w:val="Body Text 21"/>
    <w:basedOn w:val="1"/>
    <w:semiHidden/>
    <w:qFormat/>
    <w:uiPriority w:val="0"/>
    <w:pPr>
      <w:adjustRightInd w:val="0"/>
      <w:spacing w:line="240" w:lineRule="auto"/>
      <w:ind w:firstLine="0" w:firstLineChars="0"/>
      <w:textAlignment w:val="baseline"/>
    </w:pPr>
    <w:rPr>
      <w:rFonts w:eastAsia="仿宋体"/>
    </w:rPr>
  </w:style>
  <w:style w:type="paragraph" w:customStyle="1" w:styleId="889">
    <w:name w:val="字元 字元 Char Char 字元 字元14"/>
    <w:basedOn w:val="1"/>
    <w:qFormat/>
    <w:uiPriority w:val="0"/>
    <w:pPr>
      <w:spacing w:line="240" w:lineRule="auto"/>
      <w:ind w:firstLine="0" w:firstLineChars="0"/>
    </w:pPr>
    <w:rPr>
      <w:sz w:val="21"/>
      <w:szCs w:val="24"/>
    </w:rPr>
  </w:style>
  <w:style w:type="paragraph" w:customStyle="1" w:styleId="890">
    <w:name w:val="标准"/>
    <w:basedOn w:val="1"/>
    <w:qFormat/>
    <w:uiPriority w:val="0"/>
    <w:pPr>
      <w:adjustRightInd w:val="0"/>
      <w:snapToGrid w:val="0"/>
      <w:ind w:firstLine="480"/>
    </w:pPr>
    <w:rPr>
      <w:rFonts w:cs="宋体"/>
    </w:rPr>
  </w:style>
  <w:style w:type="paragraph" w:customStyle="1" w:styleId="891">
    <w:name w:val="表头文字 Char"/>
    <w:basedOn w:val="1"/>
    <w:qFormat/>
    <w:uiPriority w:val="0"/>
    <w:pPr>
      <w:spacing w:before="312" w:beforeLines="100" w:line="400" w:lineRule="exact"/>
      <w:ind w:firstLine="0" w:firstLineChars="0"/>
      <w:jc w:val="center"/>
    </w:pPr>
    <w:rPr>
      <w:rFonts w:ascii="黑体" w:hAnsi="宋体" w:eastAsia="黑体"/>
    </w:rPr>
  </w:style>
  <w:style w:type="paragraph" w:customStyle="1" w:styleId="892">
    <w:name w:val="z正文"/>
    <w:basedOn w:val="1"/>
    <w:semiHidden/>
    <w:qFormat/>
    <w:uiPriority w:val="0"/>
    <w:pPr>
      <w:autoSpaceDE w:val="0"/>
      <w:autoSpaceDN w:val="0"/>
      <w:adjustRightInd w:val="0"/>
      <w:snapToGrid w:val="0"/>
      <w:textAlignment w:val="baseline"/>
    </w:pPr>
    <w:rPr>
      <w:kern w:val="0"/>
      <w:szCs w:val="24"/>
    </w:rPr>
  </w:style>
  <w:style w:type="paragraph" w:customStyle="1" w:styleId="893">
    <w:name w:val="样式 样式 样式 首行缩进:  2 字符 + 首行缩进:  2 字符 + 首行缩进:  2 字符"/>
    <w:basedOn w:val="1"/>
    <w:qFormat/>
    <w:uiPriority w:val="0"/>
    <w:pPr>
      <w:snapToGrid w:val="0"/>
      <w:spacing w:line="240" w:lineRule="auto"/>
      <w:ind w:firstLine="480" w:firstLineChars="0"/>
      <w:jc w:val="center"/>
    </w:pPr>
    <w:rPr>
      <w:rFonts w:ascii="宋体" w:hAnsi="宋体" w:cs="宋体"/>
    </w:rPr>
  </w:style>
  <w:style w:type="paragraph" w:customStyle="1" w:styleId="894">
    <w:name w:val="文章正文样式 Char Char Char1"/>
    <w:basedOn w:val="1"/>
    <w:qFormat/>
    <w:uiPriority w:val="0"/>
    <w:pPr>
      <w:spacing w:line="520" w:lineRule="exact"/>
      <w:ind w:firstLine="480"/>
      <w:jc w:val="left"/>
    </w:pPr>
    <w:rPr>
      <w:rFonts w:ascii="宋体" w:hAnsi="宋体" w:cs="宋体"/>
    </w:rPr>
  </w:style>
  <w:style w:type="paragraph" w:customStyle="1" w:styleId="895">
    <w:name w:val="8"/>
    <w:basedOn w:val="1"/>
    <w:next w:val="44"/>
    <w:qFormat/>
    <w:uiPriority w:val="0"/>
    <w:pPr>
      <w:tabs>
        <w:tab w:val="left" w:pos="0"/>
        <w:tab w:val="left" w:pos="420"/>
        <w:tab w:val="left" w:pos="567"/>
        <w:tab w:val="left" w:pos="840"/>
        <w:tab w:val="left" w:pos="3596"/>
        <w:tab w:val="left" w:pos="9225"/>
      </w:tabs>
      <w:topLinePunct/>
      <w:ind w:left="481" w:leftChars="229" w:firstLine="480"/>
    </w:pPr>
    <w:rPr>
      <w:rFonts w:ascii="宋体" w:hAnsi="宋体"/>
    </w:rPr>
  </w:style>
  <w:style w:type="paragraph" w:customStyle="1" w:styleId="896">
    <w:name w:val="样式 标题 1标题 11一、My title1 +"/>
    <w:basedOn w:val="1"/>
    <w:next w:val="1"/>
    <w:qFormat/>
    <w:uiPriority w:val="0"/>
    <w:pPr>
      <w:spacing w:before="156" w:beforeLines="50" w:after="156" w:afterLines="50"/>
      <w:ind w:firstLine="0" w:firstLineChars="0"/>
      <w:jc w:val="left"/>
      <w:outlineLvl w:val="0"/>
    </w:pPr>
    <w:rPr>
      <w:rFonts w:eastAsia="黑体"/>
      <w:sz w:val="30"/>
    </w:rPr>
  </w:style>
  <w:style w:type="paragraph" w:customStyle="1" w:styleId="897">
    <w:name w:val="xl42"/>
    <w:basedOn w:val="1"/>
    <w:qFormat/>
    <w:uiPriority w:val="0"/>
    <w:pPr>
      <w:widowControl/>
      <w:pBdr>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spacing w:val="-4"/>
      <w:kern w:val="0"/>
      <w:sz w:val="20"/>
    </w:rPr>
  </w:style>
  <w:style w:type="paragraph" w:customStyle="1" w:styleId="898">
    <w:name w:val="Char Char Char Char5"/>
    <w:basedOn w:val="1"/>
    <w:qFormat/>
    <w:uiPriority w:val="0"/>
    <w:rPr>
      <w:rFonts w:ascii="宋体" w:hAnsi="宋体"/>
    </w:rPr>
  </w:style>
  <w:style w:type="paragraph" w:customStyle="1" w:styleId="899">
    <w:name w:val="二号标题样式 Char1"/>
    <w:basedOn w:val="488"/>
    <w:qFormat/>
    <w:uiPriority w:val="0"/>
    <w:pPr>
      <w:spacing w:before="156" w:beforeLines="50" w:after="156" w:afterLines="50"/>
    </w:pPr>
    <w:rPr>
      <w:bCs w:val="0"/>
      <w:szCs w:val="20"/>
    </w:rPr>
  </w:style>
  <w:style w:type="paragraph" w:customStyle="1" w:styleId="900">
    <w:name w:val="样式13"/>
    <w:basedOn w:val="194"/>
    <w:qFormat/>
    <w:uiPriority w:val="0"/>
    <w:pPr>
      <w:keepNext/>
      <w:keepLines/>
      <w:tabs>
        <w:tab w:val="left" w:pos="900"/>
        <w:tab w:val="left" w:pos="1418"/>
        <w:tab w:val="left" w:pos="1571"/>
      </w:tabs>
      <w:adjustRightInd/>
      <w:spacing w:before="0" w:line="360" w:lineRule="auto"/>
      <w:ind w:left="1418" w:hanging="567" w:firstLineChars="0"/>
      <w:jc w:val="both"/>
      <w:textAlignment w:val="auto"/>
      <w:outlineLvl w:val="2"/>
    </w:pPr>
    <w:rPr>
      <w:rFonts w:ascii="宋体"/>
      <w:sz w:val="24"/>
    </w:rPr>
  </w:style>
  <w:style w:type="paragraph" w:customStyle="1" w:styleId="901">
    <w:name w:val="脚注文本11"/>
    <w:basedOn w:val="564"/>
    <w:qFormat/>
    <w:uiPriority w:val="0"/>
    <w:pPr>
      <w:jc w:val="both"/>
    </w:pPr>
    <w:rPr>
      <w:sz w:val="18"/>
    </w:rPr>
  </w:style>
  <w:style w:type="paragraph" w:customStyle="1" w:styleId="902">
    <w:name w:val="xl23"/>
    <w:basedOn w:val="1"/>
    <w:qFormat/>
    <w:uiPriority w:val="0"/>
    <w:pPr>
      <w:widowControl/>
      <w:spacing w:before="100" w:beforeAutospacing="1" w:after="100" w:afterAutospacing="1" w:line="240" w:lineRule="auto"/>
      <w:ind w:firstLine="0" w:firstLineChars="0"/>
      <w:jc w:val="center"/>
    </w:pPr>
    <w:rPr>
      <w:rFonts w:ascii="Arial Unicode MS" w:hAnsi="Arial Unicode MS" w:eastAsia="Arial Unicode MS"/>
      <w:kern w:val="0"/>
    </w:rPr>
  </w:style>
  <w:style w:type="paragraph" w:customStyle="1" w:styleId="903">
    <w:name w:val="五级条标题"/>
    <w:basedOn w:val="904"/>
    <w:next w:val="1"/>
    <w:qFormat/>
    <w:uiPriority w:val="0"/>
    <w:pPr>
      <w:tabs>
        <w:tab w:val="left" w:pos="360"/>
        <w:tab w:val="left" w:pos="780"/>
        <w:tab w:val="left" w:pos="903"/>
      </w:tabs>
      <w:outlineLvl w:val="6"/>
    </w:pPr>
  </w:style>
  <w:style w:type="paragraph" w:customStyle="1" w:styleId="904">
    <w:name w:val="四级条标题"/>
    <w:basedOn w:val="801"/>
    <w:next w:val="1"/>
    <w:qFormat/>
    <w:uiPriority w:val="0"/>
    <w:pPr>
      <w:tabs>
        <w:tab w:val="clear" w:pos="360"/>
      </w:tabs>
      <w:outlineLvl w:val="5"/>
    </w:pPr>
  </w:style>
  <w:style w:type="paragraph" w:customStyle="1" w:styleId="905">
    <w:name w:val="Char11"/>
    <w:basedOn w:val="1"/>
    <w:qFormat/>
    <w:uiPriority w:val="0"/>
    <w:rPr>
      <w:rFonts w:ascii="宋体" w:hAnsi="宋体" w:cs="宋体"/>
      <w:szCs w:val="24"/>
    </w:rPr>
  </w:style>
  <w:style w:type="paragraph" w:customStyle="1" w:styleId="906">
    <w:name w:val="根据地"/>
    <w:basedOn w:val="1"/>
    <w:qFormat/>
    <w:uiPriority w:val="0"/>
    <w:pPr>
      <w:spacing w:line="240" w:lineRule="auto"/>
      <w:ind w:firstLine="0" w:firstLineChars="0"/>
    </w:pPr>
    <w:rPr>
      <w:rFonts w:eastAsia="楷体_GB2312"/>
      <w:szCs w:val="24"/>
    </w:rPr>
  </w:style>
  <w:style w:type="paragraph" w:customStyle="1" w:styleId="907">
    <w:name w:val="表内容"/>
    <w:basedOn w:val="1"/>
    <w:qFormat/>
    <w:uiPriority w:val="0"/>
    <w:pPr>
      <w:adjustRightInd w:val="0"/>
      <w:snapToGrid w:val="0"/>
      <w:spacing w:before="60" w:after="120"/>
      <w:ind w:firstLine="0" w:firstLineChars="0"/>
      <w:jc w:val="center"/>
      <w:textAlignment w:val="baseline"/>
    </w:pPr>
    <w:rPr>
      <w:kern w:val="0"/>
      <w:sz w:val="21"/>
    </w:rPr>
  </w:style>
  <w:style w:type="paragraph" w:customStyle="1" w:styleId="908">
    <w:name w:val="自定义正文 Char Char Char Char Char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paragraph" w:customStyle="1" w:styleId="909">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00"/>
      <w:kern w:val="0"/>
      <w:sz w:val="20"/>
    </w:rPr>
  </w:style>
  <w:style w:type="paragraph" w:customStyle="1" w:styleId="910">
    <w:name w:val="样式6"/>
    <w:basedOn w:val="1"/>
    <w:qFormat/>
    <w:uiPriority w:val="0"/>
    <w:pPr>
      <w:adjustRightInd w:val="0"/>
      <w:spacing w:line="500" w:lineRule="exact"/>
      <w:ind w:firstLine="0" w:firstLineChars="0"/>
    </w:pPr>
    <w:rPr>
      <w:rFonts w:eastAsia="仿宋_GB2312"/>
      <w:color w:val="000000"/>
      <w:kern w:val="0"/>
      <w:sz w:val="28"/>
    </w:rPr>
  </w:style>
  <w:style w:type="paragraph" w:customStyle="1" w:styleId="911">
    <w:name w:val="报告表正文"/>
    <w:basedOn w:val="1"/>
    <w:qFormat/>
    <w:uiPriority w:val="0"/>
    <w:pPr>
      <w:adjustRightInd w:val="0"/>
      <w:spacing w:line="300" w:lineRule="auto"/>
      <w:ind w:left="113" w:right="113" w:firstLine="0" w:firstLineChars="0"/>
      <w:textAlignment w:val="baseline"/>
    </w:pPr>
    <w:rPr>
      <w:kern w:val="0"/>
    </w:rPr>
  </w:style>
  <w:style w:type="paragraph" w:customStyle="1" w:styleId="912">
    <w:name w:val="(1)小标题-wd"/>
    <w:basedOn w:val="1"/>
    <w:qFormat/>
    <w:uiPriority w:val="0"/>
    <w:pPr>
      <w:spacing w:before="156" w:beforeLines="50" w:after="156" w:afterLines="50" w:line="240" w:lineRule="auto"/>
      <w:ind w:left="482" w:firstLine="480"/>
    </w:pPr>
    <w:rPr>
      <w:rFonts w:hAnsi="宋体"/>
      <w:bCs/>
      <w:color w:val="000000"/>
      <w:szCs w:val="24"/>
    </w:rPr>
  </w:style>
  <w:style w:type="paragraph" w:customStyle="1" w:styleId="913">
    <w:name w:val="Char Char Char Char Char Char Char Char Char2 Char Char Char Char Char Char Char Char Char Char Char Char"/>
    <w:basedOn w:val="1"/>
    <w:qFormat/>
    <w:uiPriority w:val="0"/>
    <w:pPr>
      <w:spacing w:line="240" w:lineRule="auto"/>
      <w:ind w:firstLine="0" w:firstLineChars="0"/>
    </w:pPr>
    <w:rPr>
      <w:rFonts w:ascii="Tahoma" w:hAnsi="Tahoma"/>
      <w:szCs w:val="24"/>
    </w:rPr>
  </w:style>
  <w:style w:type="paragraph" w:customStyle="1" w:styleId="914">
    <w:name w:val="1文章"/>
    <w:basedOn w:val="1"/>
    <w:qFormat/>
    <w:uiPriority w:val="0"/>
    <w:pPr>
      <w:snapToGrid w:val="0"/>
      <w:spacing w:line="420" w:lineRule="auto"/>
      <w:ind w:firstLine="454" w:firstLineChars="0"/>
      <w:outlineLvl w:val="4"/>
    </w:pPr>
    <w:rPr>
      <w:spacing w:val="4"/>
      <w:szCs w:val="24"/>
    </w:rPr>
  </w:style>
  <w:style w:type="paragraph" w:customStyle="1" w:styleId="915">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pPr>
    <w:rPr>
      <w:rFonts w:ascii="Arial Unicode MS" w:hAnsi="Arial Unicode MS" w:eastAsia="Arial Unicode MS"/>
      <w:kern w:val="0"/>
    </w:rPr>
  </w:style>
  <w:style w:type="paragraph" w:customStyle="1" w:styleId="916">
    <w:name w:val="报告书正文 Char Char Char Char"/>
    <w:basedOn w:val="1"/>
    <w:qFormat/>
    <w:uiPriority w:val="0"/>
    <w:pPr>
      <w:spacing w:line="300" w:lineRule="auto"/>
      <w:ind w:firstLine="480"/>
    </w:pPr>
    <w:rPr>
      <w:color w:val="000000"/>
    </w:rPr>
  </w:style>
  <w:style w:type="paragraph" w:customStyle="1" w:styleId="917">
    <w:name w:val="标4 Char Char Char Char"/>
    <w:basedOn w:val="1"/>
    <w:qFormat/>
    <w:uiPriority w:val="0"/>
    <w:pPr>
      <w:tabs>
        <w:tab w:val="left" w:pos="322"/>
      </w:tabs>
      <w:spacing w:line="560" w:lineRule="atLeast"/>
      <w:ind w:firstLine="0" w:firstLineChars="0"/>
      <w:outlineLvl w:val="3"/>
    </w:pPr>
    <w:rPr>
      <w:rFonts w:ascii="宋体" w:hAnsi="宋体"/>
    </w:rPr>
  </w:style>
  <w:style w:type="paragraph" w:customStyle="1" w:styleId="918">
    <w:name w:val="xl46"/>
    <w:basedOn w:val="1"/>
    <w:qFormat/>
    <w:uiPriority w:val="0"/>
    <w:pPr>
      <w:widowControl/>
      <w:pBdr>
        <w:top w:val="double" w:color="auto" w:sz="6" w:space="0"/>
        <w:left w:val="single" w:color="auto" w:sz="4" w:space="0"/>
        <w:bottom w:val="single" w:color="auto" w:sz="4" w:space="0"/>
        <w:right w:val="double" w:color="auto" w:sz="6"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rPr>
  </w:style>
  <w:style w:type="paragraph" w:customStyle="1" w:styleId="919">
    <w:name w:val="节2-wd"/>
    <w:basedOn w:val="7"/>
    <w:next w:val="449"/>
    <w:qFormat/>
    <w:uiPriority w:val="0"/>
    <w:pPr>
      <w:tabs>
        <w:tab w:val="left" w:pos="0"/>
      </w:tabs>
      <w:spacing w:before="156" w:beforeLines="50" w:after="156" w:afterLines="50" w:line="240" w:lineRule="auto"/>
      <w:ind w:left="1418" w:hanging="1418"/>
      <w:jc w:val="both"/>
    </w:pPr>
    <w:rPr>
      <w:rFonts w:ascii="Arial" w:hAnsi="Arial"/>
      <w:bCs/>
      <w:color w:val="333300"/>
      <w:kern w:val="2"/>
      <w:sz w:val="28"/>
      <w:szCs w:val="28"/>
    </w:rPr>
  </w:style>
  <w:style w:type="paragraph" w:customStyle="1" w:styleId="920">
    <w:name w:val="样式27"/>
    <w:basedOn w:val="921"/>
    <w:qFormat/>
    <w:uiPriority w:val="0"/>
    <w:pPr>
      <w:tabs>
        <w:tab w:val="left" w:pos="0"/>
        <w:tab w:val="left" w:pos="720"/>
        <w:tab w:val="left" w:pos="1984"/>
      </w:tabs>
    </w:pPr>
  </w:style>
  <w:style w:type="paragraph" w:customStyle="1" w:styleId="921">
    <w:name w:val="样式25"/>
    <w:basedOn w:val="658"/>
    <w:qFormat/>
    <w:uiPriority w:val="0"/>
    <w:rPr>
      <w:lang w:val="zh-CN"/>
    </w:rPr>
  </w:style>
  <w:style w:type="paragraph" w:customStyle="1" w:styleId="922">
    <w:name w:val="Char Char Char Char Char Char Char Char Char2 Char Char Char Char Char Char Char Char Char Char Char Char2"/>
    <w:basedOn w:val="1"/>
    <w:qFormat/>
    <w:uiPriority w:val="0"/>
    <w:pPr>
      <w:spacing w:line="240" w:lineRule="auto"/>
      <w:ind w:firstLine="0" w:firstLineChars="0"/>
    </w:pPr>
    <w:rPr>
      <w:rFonts w:ascii="Tahoma" w:hAnsi="Tahoma"/>
      <w:szCs w:val="24"/>
    </w:rPr>
  </w:style>
  <w:style w:type="paragraph" w:customStyle="1" w:styleId="923">
    <w:name w:val="样式35"/>
    <w:basedOn w:val="920"/>
    <w:qFormat/>
    <w:uiPriority w:val="0"/>
  </w:style>
  <w:style w:type="paragraph" w:customStyle="1" w:styleId="924">
    <w:name w:val="样式19"/>
    <w:basedOn w:val="925"/>
    <w:qFormat/>
    <w:uiPriority w:val="0"/>
    <w:pPr>
      <w:ind w:firstLine="1155" w:firstLineChars="550"/>
      <w:jc w:val="both"/>
    </w:pPr>
    <w:rPr>
      <w:rFonts w:ascii="黑体" w:eastAsia="黑体"/>
    </w:rPr>
  </w:style>
  <w:style w:type="paragraph" w:customStyle="1" w:styleId="925">
    <w:name w:val="样式7"/>
    <w:basedOn w:val="818"/>
    <w:qFormat/>
    <w:uiPriority w:val="0"/>
    <w:pPr>
      <w:spacing w:after="60" w:line="240" w:lineRule="auto"/>
      <w:ind w:firstLine="0"/>
    </w:pPr>
    <w:rPr>
      <w:sz w:val="21"/>
    </w:rPr>
  </w:style>
  <w:style w:type="paragraph" w:customStyle="1" w:styleId="926">
    <w:name w:val="本文正文"/>
    <w:basedOn w:val="1"/>
    <w:qFormat/>
    <w:uiPriority w:val="0"/>
    <w:pPr>
      <w:autoSpaceDE w:val="0"/>
      <w:autoSpaceDN w:val="0"/>
      <w:adjustRightInd w:val="0"/>
      <w:spacing w:line="300" w:lineRule="auto"/>
      <w:ind w:firstLine="560"/>
      <w:textAlignment w:val="baseline"/>
    </w:pPr>
    <w:rPr>
      <w:sz w:val="28"/>
    </w:rPr>
  </w:style>
  <w:style w:type="paragraph" w:customStyle="1" w:styleId="927">
    <w:name w:val="字元 字元 Char Char 字元 字元16"/>
    <w:basedOn w:val="1"/>
    <w:qFormat/>
    <w:uiPriority w:val="0"/>
    <w:pPr>
      <w:spacing w:line="240" w:lineRule="auto"/>
      <w:ind w:firstLine="0" w:firstLineChars="0"/>
    </w:pPr>
    <w:rPr>
      <w:sz w:val="21"/>
      <w:szCs w:val="24"/>
    </w:rPr>
  </w:style>
  <w:style w:type="paragraph" w:customStyle="1" w:styleId="928">
    <w:name w:val="表格内容空行"/>
    <w:basedOn w:val="203"/>
    <w:qFormat/>
    <w:uiPriority w:val="0"/>
    <w:pPr>
      <w:spacing w:before="46" w:beforeLines="15" w:after="46" w:afterLines="15"/>
    </w:pPr>
    <w:rPr>
      <w:kern w:val="0"/>
    </w:rPr>
  </w:style>
  <w:style w:type="paragraph" w:customStyle="1" w:styleId="929">
    <w:name w:val="样式 标题 1 + 首行缩进:  2 字符"/>
    <w:basedOn w:val="5"/>
    <w:qFormat/>
    <w:uiPriority w:val="0"/>
    <w:pPr>
      <w:numPr>
        <w:numId w:val="0"/>
      </w:numPr>
      <w:adjustRightInd w:val="0"/>
      <w:snapToGrid w:val="0"/>
      <w:spacing w:before="312" w:after="312" w:afterLines="100"/>
    </w:pPr>
    <w:rPr>
      <w:rFonts w:ascii="Times New Roman"/>
      <w:kern w:val="2"/>
      <w:sz w:val="44"/>
    </w:rPr>
  </w:style>
  <w:style w:type="paragraph" w:customStyle="1" w:styleId="930">
    <w:name w:val="ourfont3"/>
    <w:basedOn w:val="1"/>
    <w:qFormat/>
    <w:uiPriority w:val="0"/>
    <w:pPr>
      <w:widowControl/>
      <w:spacing w:before="100" w:beforeAutospacing="1" w:after="100" w:afterAutospacing="1" w:line="340" w:lineRule="atLeast"/>
      <w:ind w:firstLine="0" w:firstLineChars="0"/>
      <w:jc w:val="left"/>
    </w:pPr>
    <w:rPr>
      <w:rFonts w:ascii="宋体" w:hAnsi="宋体"/>
      <w:spacing w:val="20"/>
      <w:kern w:val="0"/>
      <w:sz w:val="21"/>
    </w:rPr>
  </w:style>
  <w:style w:type="paragraph" w:customStyle="1" w:styleId="931">
    <w:name w:val="Char Char Char Char3"/>
    <w:basedOn w:val="7"/>
    <w:qFormat/>
    <w:uiPriority w:val="0"/>
    <w:pPr>
      <w:tabs>
        <w:tab w:val="left" w:pos="360"/>
        <w:tab w:val="left" w:pos="900"/>
      </w:tabs>
      <w:snapToGrid w:val="0"/>
      <w:spacing w:before="120" w:after="120"/>
      <w:ind w:left="542" w:leftChars="-12" w:firstLine="200" w:firstLineChars="200"/>
    </w:pPr>
    <w:rPr>
      <w:rFonts w:eastAsia="黑体"/>
      <w:b w:val="0"/>
      <w:snapToGrid w:val="0"/>
      <w:kern w:val="2"/>
      <w:szCs w:val="24"/>
    </w:rPr>
  </w:style>
  <w:style w:type="paragraph" w:customStyle="1" w:styleId="932">
    <w:name w:val="无悬挂正文5号"/>
    <w:basedOn w:val="1"/>
    <w:qFormat/>
    <w:uiPriority w:val="0"/>
    <w:pPr>
      <w:spacing w:line="240" w:lineRule="auto"/>
      <w:ind w:firstLine="0" w:firstLineChars="0"/>
      <w:jc w:val="center"/>
    </w:pPr>
    <w:rPr>
      <w:sz w:val="21"/>
      <w:szCs w:val="24"/>
    </w:rPr>
  </w:style>
  <w:style w:type="paragraph" w:customStyle="1" w:styleId="933">
    <w:name w:val="列表1"/>
    <w:basedOn w:val="1"/>
    <w:next w:val="23"/>
    <w:qFormat/>
    <w:uiPriority w:val="0"/>
    <w:pPr>
      <w:spacing w:before="60" w:line="240" w:lineRule="exact"/>
      <w:ind w:firstLine="0" w:firstLineChars="0"/>
      <w:jc w:val="center"/>
    </w:pPr>
  </w:style>
  <w:style w:type="paragraph" w:customStyle="1" w:styleId="934">
    <w:name w:val="Char Char Char Char Char Char1 Char Char Char Char Char Char Char Char Char1 Char Char Char Char1"/>
    <w:basedOn w:val="1"/>
    <w:qFormat/>
    <w:uiPriority w:val="0"/>
    <w:pPr>
      <w:spacing w:line="240" w:lineRule="auto"/>
      <w:ind w:firstLine="0" w:firstLineChars="0"/>
    </w:pPr>
    <w:rPr>
      <w:szCs w:val="24"/>
    </w:rPr>
  </w:style>
  <w:style w:type="paragraph" w:customStyle="1" w:styleId="935">
    <w:name w:val="样式 目录 2 + 首行缩进:  1 字符"/>
    <w:basedOn w:val="67"/>
    <w:qFormat/>
    <w:uiPriority w:val="0"/>
    <w:pPr>
      <w:tabs>
        <w:tab w:val="right" w:leader="dot" w:pos="8494"/>
      </w:tabs>
      <w:spacing w:before="240" w:line="240" w:lineRule="auto"/>
      <w:ind w:left="0"/>
    </w:pPr>
    <w:rPr>
      <w:rFonts w:ascii="宋体" w:hAnsi="宋体"/>
      <w:b/>
      <w:smallCaps w:val="0"/>
      <w:sz w:val="24"/>
    </w:rPr>
  </w:style>
  <w:style w:type="paragraph" w:customStyle="1" w:styleId="936">
    <w:name w:val="表序号"/>
    <w:basedOn w:val="1"/>
    <w:next w:val="1"/>
    <w:qFormat/>
    <w:uiPriority w:val="0"/>
    <w:pPr>
      <w:spacing w:line="220" w:lineRule="exact"/>
      <w:ind w:firstLine="0" w:firstLineChars="0"/>
      <w:jc w:val="center"/>
    </w:pPr>
    <w:rPr>
      <w:sz w:val="21"/>
      <w:szCs w:val="24"/>
    </w:rPr>
  </w:style>
  <w:style w:type="paragraph" w:customStyle="1" w:styleId="937">
    <w:name w:val="表格_dg"/>
    <w:basedOn w:val="1"/>
    <w:qFormat/>
    <w:uiPriority w:val="0"/>
    <w:pPr>
      <w:adjustRightInd w:val="0"/>
      <w:spacing w:line="360" w:lineRule="exact"/>
      <w:ind w:firstLine="0" w:firstLineChars="0"/>
      <w:jc w:val="center"/>
      <w:textAlignment w:val="center"/>
    </w:pPr>
    <w:rPr>
      <w:rFonts w:ascii="宋体" w:hAnsi="宋体"/>
      <w:kern w:val="0"/>
      <w:sz w:val="21"/>
    </w:rPr>
  </w:style>
  <w:style w:type="paragraph" w:customStyle="1" w:styleId="938">
    <w:name w:val="默认段落字体 Para Char Char Char Char Char Char Char Char Char Char Char"/>
    <w:basedOn w:val="7"/>
    <w:semiHidden/>
    <w:qFormat/>
    <w:uiPriority w:val="0"/>
    <w:pPr>
      <w:keepNext w:val="0"/>
      <w:keepLines w:val="0"/>
      <w:tabs>
        <w:tab w:val="left" w:pos="360"/>
        <w:tab w:val="left" w:pos="720"/>
        <w:tab w:val="left" w:pos="900"/>
      </w:tabs>
      <w:snapToGrid w:val="0"/>
      <w:spacing w:before="120" w:after="120"/>
      <w:ind w:left="542" w:leftChars="-12" w:firstLine="200" w:firstLineChars="200"/>
      <w:jc w:val="both"/>
    </w:pPr>
    <w:rPr>
      <w:rFonts w:ascii="楷体_GB2312" w:hAnsi="宋体" w:eastAsia="黑体"/>
      <w:b w:val="0"/>
      <w:snapToGrid w:val="0"/>
      <w:color w:val="000000"/>
      <w:kern w:val="2"/>
    </w:rPr>
  </w:style>
  <w:style w:type="paragraph" w:customStyle="1" w:styleId="939">
    <w:name w:val="ni正文"/>
    <w:basedOn w:val="1"/>
    <w:qFormat/>
    <w:uiPriority w:val="0"/>
    <w:pPr>
      <w:autoSpaceDE w:val="0"/>
      <w:autoSpaceDN w:val="0"/>
      <w:adjustRightInd w:val="0"/>
      <w:snapToGrid w:val="0"/>
      <w:ind w:firstLine="560"/>
      <w:textAlignment w:val="baseline"/>
    </w:pPr>
    <w:rPr>
      <w:rFonts w:eastAsia="仿宋_GB2312"/>
      <w:kern w:val="0"/>
      <w:sz w:val="28"/>
      <w:lang w:bidi="he-IL"/>
    </w:rPr>
  </w:style>
  <w:style w:type="paragraph" w:customStyle="1" w:styleId="940">
    <w:name w:val="样式 文字 + 首行缩进:  2 字符"/>
    <w:basedOn w:val="1"/>
    <w:qFormat/>
    <w:uiPriority w:val="0"/>
    <w:rPr>
      <w:rFonts w:ascii="宋体" w:hAnsi="宋体" w:cs="宋体"/>
      <w:sz w:val="28"/>
    </w:rPr>
  </w:style>
  <w:style w:type="paragraph" w:customStyle="1" w:styleId="941">
    <w:name w:val="Char Char Char Char Char Char Char Char1 Char Char Char Char1"/>
    <w:basedOn w:val="1"/>
    <w:qFormat/>
    <w:uiPriority w:val="0"/>
    <w:pPr>
      <w:spacing w:line="240" w:lineRule="auto"/>
      <w:ind w:firstLine="0" w:firstLineChars="0"/>
    </w:pPr>
    <w:rPr>
      <w:sz w:val="21"/>
      <w:szCs w:val="24"/>
    </w:rPr>
  </w:style>
  <w:style w:type="paragraph" w:customStyle="1" w:styleId="942">
    <w:name w:val="页眉3"/>
    <w:basedOn w:val="335"/>
    <w:qFormat/>
    <w:uiPriority w:val="0"/>
    <w:pPr>
      <w:pBdr>
        <w:bottom w:val="single" w:color="auto" w:sz="6" w:space="1"/>
      </w:pBdr>
      <w:tabs>
        <w:tab w:val="center" w:pos="4819"/>
        <w:tab w:val="right" w:pos="9071"/>
      </w:tabs>
      <w:adjustRightInd w:val="0"/>
      <w:spacing w:line="240" w:lineRule="atLeast"/>
      <w:ind w:firstLine="0" w:firstLineChars="0"/>
      <w:jc w:val="center"/>
      <w:textAlignment w:val="baseline"/>
    </w:pPr>
    <w:rPr>
      <w:rFonts w:ascii="宋体" w:hAnsi="Times New Roman"/>
      <w:kern w:val="0"/>
      <w:sz w:val="18"/>
      <w:szCs w:val="20"/>
    </w:rPr>
  </w:style>
  <w:style w:type="paragraph" w:customStyle="1" w:styleId="943">
    <w:name w:val="Char Char Char Char Char Char Char Char Char Char Char Char Char Char Char Char Char Char Char Char Char Char Char Char Char Char Char Char Char Char Char Char Char Char Char Char Char Char Char Char Char Char Char"/>
    <w:basedOn w:val="1"/>
    <w:semiHidden/>
    <w:qFormat/>
    <w:uiPriority w:val="0"/>
    <w:pPr>
      <w:spacing w:after="156" w:afterLines="50" w:line="560" w:lineRule="exact"/>
      <w:ind w:firstLine="0" w:firstLineChars="0"/>
    </w:pPr>
    <w:rPr>
      <w:rFonts w:eastAsia="黑体"/>
      <w:sz w:val="30"/>
      <w:szCs w:val="30"/>
    </w:rPr>
  </w:style>
  <w:style w:type="paragraph" w:customStyle="1" w:styleId="944">
    <w:name w:val="宏福4"/>
    <w:basedOn w:val="1"/>
    <w:semiHidden/>
    <w:qFormat/>
    <w:uiPriority w:val="0"/>
    <w:pPr>
      <w:adjustRightInd w:val="0"/>
      <w:spacing w:line="400" w:lineRule="atLeast"/>
      <w:ind w:firstLine="567" w:firstLineChars="0"/>
      <w:jc w:val="left"/>
      <w:textAlignment w:val="baseline"/>
    </w:pPr>
    <w:rPr>
      <w:sz w:val="28"/>
    </w:rPr>
  </w:style>
  <w:style w:type="paragraph" w:customStyle="1" w:styleId="945">
    <w:name w:val="题注11"/>
    <w:basedOn w:val="564"/>
    <w:next w:val="564"/>
    <w:qFormat/>
    <w:uiPriority w:val="0"/>
    <w:pPr>
      <w:spacing w:before="120" w:after="120"/>
      <w:jc w:val="center"/>
    </w:pPr>
    <w:rPr>
      <w:sz w:val="28"/>
    </w:rPr>
  </w:style>
  <w:style w:type="paragraph" w:customStyle="1" w:styleId="946">
    <w:name w:val="数字表格"/>
    <w:basedOn w:val="154"/>
    <w:qFormat/>
    <w:uiPriority w:val="0"/>
    <w:pPr>
      <w:autoSpaceDE/>
      <w:autoSpaceDN/>
      <w:snapToGrid w:val="0"/>
      <w:spacing w:line="240" w:lineRule="auto"/>
      <w:ind w:firstLine="0" w:firstLineChars="0"/>
    </w:pPr>
    <w:rPr>
      <w:rFonts w:ascii="楷体_GB2312"/>
      <w:kern w:val="2"/>
      <w:sz w:val="21"/>
    </w:rPr>
  </w:style>
  <w:style w:type="paragraph" w:customStyle="1" w:styleId="947">
    <w:name w:val="标题 91"/>
    <w:basedOn w:val="335"/>
    <w:next w:val="948"/>
    <w:qFormat/>
    <w:uiPriority w:val="0"/>
    <w:pPr>
      <w:adjustRightInd w:val="0"/>
      <w:spacing w:before="200" w:after="200" w:line="360" w:lineRule="atLeast"/>
      <w:ind w:firstLine="0" w:firstLineChars="0"/>
      <w:textAlignment w:val="baseline"/>
    </w:pPr>
    <w:rPr>
      <w:rFonts w:ascii="宋体" w:hAnsi="Times New Roman"/>
      <w:kern w:val="0"/>
      <w:sz w:val="28"/>
      <w:szCs w:val="20"/>
    </w:rPr>
  </w:style>
  <w:style w:type="paragraph" w:customStyle="1" w:styleId="948">
    <w:name w:val="正文缩进2"/>
    <w:basedOn w:val="1"/>
    <w:qFormat/>
    <w:uiPriority w:val="0"/>
    <w:pPr>
      <w:ind w:firstLine="420" w:firstLineChars="0"/>
    </w:pPr>
    <w:rPr>
      <w:szCs w:val="24"/>
    </w:rPr>
  </w:style>
  <w:style w:type="paragraph" w:customStyle="1" w:styleId="949">
    <w:name w:val="a4"/>
    <w:basedOn w:val="1"/>
    <w:semiHidden/>
    <w:qFormat/>
    <w:uiPriority w:val="0"/>
    <w:pPr>
      <w:suppressAutoHyphens/>
      <w:spacing w:before="156" w:beforeLines="50" w:after="156" w:afterLines="50" w:line="240" w:lineRule="auto"/>
      <w:ind w:firstLine="0" w:firstLineChars="0"/>
      <w:jc w:val="left"/>
      <w:outlineLvl w:val="3"/>
    </w:pPr>
    <w:rPr>
      <w:b/>
      <w:kern w:val="24"/>
      <w:sz w:val="28"/>
      <w:szCs w:val="24"/>
    </w:rPr>
  </w:style>
  <w:style w:type="paragraph" w:customStyle="1" w:styleId="950">
    <w:name w:val="3 Char Char Char Char"/>
    <w:basedOn w:val="1"/>
    <w:qFormat/>
    <w:uiPriority w:val="0"/>
    <w:pPr>
      <w:spacing w:line="240" w:lineRule="auto"/>
      <w:ind w:firstLine="0" w:firstLineChars="0"/>
    </w:pPr>
    <w:rPr>
      <w:rFonts w:ascii="Tahoma" w:hAnsi="Tahoma"/>
      <w:szCs w:val="24"/>
    </w:rPr>
  </w:style>
  <w:style w:type="paragraph" w:customStyle="1" w:styleId="951">
    <w:name w:val="xl38"/>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spacing w:val="-4"/>
      <w:kern w:val="0"/>
      <w:sz w:val="20"/>
    </w:rPr>
  </w:style>
  <w:style w:type="paragraph" w:customStyle="1" w:styleId="952">
    <w:name w:val="表格居中 Char"/>
    <w:basedOn w:val="1"/>
    <w:semiHidden/>
    <w:qFormat/>
    <w:uiPriority w:val="0"/>
    <w:pPr>
      <w:spacing w:line="240" w:lineRule="auto"/>
      <w:ind w:firstLine="0" w:firstLineChars="0"/>
      <w:jc w:val="center"/>
    </w:pPr>
    <w:rPr>
      <w:rFonts w:ascii="宋体" w:hAnsi="宋体"/>
      <w:w w:val="90"/>
      <w:kern w:val="0"/>
      <w:szCs w:val="24"/>
    </w:rPr>
  </w:style>
  <w:style w:type="paragraph" w:customStyle="1" w:styleId="953">
    <w:name w:val="样式 正文001 + 首行缩进:  2 字符"/>
    <w:basedOn w:val="1"/>
    <w:qFormat/>
    <w:uiPriority w:val="0"/>
    <w:pPr>
      <w:spacing w:before="60" w:line="460" w:lineRule="atLeast"/>
      <w:ind w:firstLine="480"/>
    </w:pPr>
  </w:style>
  <w:style w:type="paragraph" w:customStyle="1" w:styleId="954">
    <w:name w:val="小节2"/>
    <w:next w:val="1"/>
    <w:qFormat/>
    <w:uiPriority w:val="0"/>
    <w:pPr>
      <w:adjustRightInd w:val="0"/>
      <w:snapToGrid w:val="0"/>
      <w:spacing w:line="360" w:lineRule="auto"/>
    </w:pPr>
    <w:rPr>
      <w:rFonts w:ascii="Times New Roman" w:hAnsi="Times New Roman" w:eastAsia="宋体" w:cs="Times New Roman"/>
      <w:b/>
      <w:kern w:val="2"/>
      <w:position w:val="-28"/>
      <w:sz w:val="28"/>
      <w:lang w:val="en-US" w:eastAsia="zh-CN" w:bidi="ar-SA"/>
    </w:rPr>
  </w:style>
  <w:style w:type="paragraph" w:customStyle="1" w:styleId="955">
    <w:name w:val="正文文本 21"/>
    <w:basedOn w:val="1"/>
    <w:semiHidden/>
    <w:qFormat/>
    <w:uiPriority w:val="0"/>
    <w:pPr>
      <w:adjustRightInd w:val="0"/>
      <w:spacing w:line="240" w:lineRule="auto"/>
      <w:ind w:firstLine="560" w:firstLineChars="0"/>
      <w:textAlignment w:val="baseline"/>
    </w:pPr>
    <w:rPr>
      <w:rFonts w:ascii="宋体" w:hAnsi="宋体" w:eastAsia="仿宋_GB2312"/>
      <w:sz w:val="28"/>
    </w:rPr>
  </w:style>
  <w:style w:type="paragraph" w:customStyle="1" w:styleId="956">
    <w:name w:val="样式 样式 标题 1 + 非加粗 + 段前: 0.3 行 段后: 0.3 行"/>
    <w:basedOn w:val="1"/>
    <w:qFormat/>
    <w:uiPriority w:val="0"/>
    <w:pPr>
      <w:keepNext/>
      <w:keepLines/>
      <w:tabs>
        <w:tab w:val="left" w:pos="780"/>
      </w:tabs>
      <w:spacing w:before="93" w:beforeLines="30" w:after="93" w:afterLines="30"/>
      <w:ind w:left="797" w:hanging="360"/>
      <w:jc w:val="left"/>
      <w:outlineLvl w:val="0"/>
    </w:pPr>
    <w:rPr>
      <w:rFonts w:eastAsia="黑体"/>
      <w:kern w:val="44"/>
      <w:sz w:val="30"/>
    </w:rPr>
  </w:style>
  <w:style w:type="paragraph" w:customStyle="1" w:styleId="957">
    <w:name w:val="xl32"/>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kern w:val="0"/>
      <w:sz w:val="16"/>
    </w:rPr>
  </w:style>
  <w:style w:type="paragraph" w:customStyle="1" w:styleId="958">
    <w:name w:val="批注文字1"/>
    <w:basedOn w:val="1"/>
    <w:qFormat/>
    <w:uiPriority w:val="0"/>
    <w:pPr>
      <w:adjustRightInd w:val="0"/>
      <w:spacing w:line="360" w:lineRule="atLeast"/>
      <w:ind w:firstLine="0" w:firstLineChars="0"/>
      <w:textAlignment w:val="baseline"/>
    </w:pPr>
    <w:rPr>
      <w:rFonts w:ascii="宋体"/>
      <w:kern w:val="0"/>
      <w:sz w:val="21"/>
    </w:rPr>
  </w:style>
  <w:style w:type="paragraph" w:customStyle="1" w:styleId="959">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color w:val="333333"/>
      <w:kern w:val="0"/>
      <w:sz w:val="20"/>
    </w:rPr>
  </w:style>
  <w:style w:type="paragraph" w:customStyle="1" w:styleId="960">
    <w:name w:val="表格内文字"/>
    <w:basedOn w:val="1"/>
    <w:qFormat/>
    <w:uiPriority w:val="0"/>
    <w:pPr>
      <w:adjustRightInd w:val="0"/>
      <w:snapToGrid w:val="0"/>
      <w:spacing w:line="240" w:lineRule="auto"/>
      <w:ind w:firstLine="0" w:firstLineChars="0"/>
      <w:jc w:val="left"/>
    </w:pPr>
    <w:rPr>
      <w:spacing w:val="6"/>
      <w:kern w:val="0"/>
      <w:sz w:val="21"/>
      <w:szCs w:val="24"/>
    </w:rPr>
  </w:style>
  <w:style w:type="paragraph" w:customStyle="1" w:styleId="961">
    <w:name w:val="纯文本1"/>
    <w:basedOn w:val="1"/>
    <w:semiHidden/>
    <w:qFormat/>
    <w:uiPriority w:val="0"/>
    <w:pPr>
      <w:spacing w:line="600" w:lineRule="exact"/>
      <w:ind w:firstLine="560"/>
    </w:pPr>
    <w:rPr>
      <w:rFonts w:ascii="宋体" w:hAnsi="Courier New"/>
      <w:sz w:val="28"/>
    </w:rPr>
  </w:style>
  <w:style w:type="paragraph" w:customStyle="1" w:styleId="962">
    <w:name w:val="君邦正文"/>
    <w:qFormat/>
    <w:uiPriority w:val="0"/>
    <w:pPr>
      <w:spacing w:line="360" w:lineRule="auto"/>
      <w:ind w:left="-4" w:leftChars="-2" w:firstLine="480" w:firstLineChars="200"/>
      <w:jc w:val="both"/>
    </w:pPr>
    <w:rPr>
      <w:rFonts w:ascii="宋体" w:hAnsi="宋体" w:eastAsia="宋体" w:cs="Times New Roman"/>
      <w:kern w:val="2"/>
      <w:sz w:val="24"/>
      <w:lang w:val="en-US" w:eastAsia="zh-CN" w:bidi="ar-SA"/>
    </w:rPr>
  </w:style>
  <w:style w:type="paragraph" w:customStyle="1" w:styleId="963">
    <w:name w:val="!正文(alt+c)"/>
    <w:qFormat/>
    <w:uiPriority w:val="0"/>
    <w:pPr>
      <w:spacing w:line="420" w:lineRule="exact"/>
      <w:ind w:firstLine="480" w:firstLineChars="200"/>
    </w:pPr>
    <w:rPr>
      <w:rFonts w:ascii="宋体" w:hAnsi="宋体" w:eastAsia="宋体" w:cs="Times New Roman"/>
      <w:sz w:val="24"/>
      <w:lang w:val="en-US" w:eastAsia="zh-CN" w:bidi="ar-SA"/>
    </w:rPr>
  </w:style>
  <w:style w:type="paragraph" w:customStyle="1" w:styleId="964">
    <w:name w:val="标题 62"/>
    <w:basedOn w:val="578"/>
    <w:next w:val="578"/>
    <w:qFormat/>
    <w:uiPriority w:val="0"/>
    <w:pPr>
      <w:keepNext/>
      <w:keepLines/>
      <w:spacing w:before="240" w:after="64" w:line="320" w:lineRule="atLeast"/>
      <w:jc w:val="both"/>
    </w:pPr>
    <w:rPr>
      <w:b/>
      <w:sz w:val="24"/>
    </w:rPr>
  </w:style>
  <w:style w:type="paragraph" w:customStyle="1" w:styleId="965">
    <w:name w:val="p16"/>
    <w:basedOn w:val="1"/>
    <w:qFormat/>
    <w:uiPriority w:val="0"/>
    <w:pPr>
      <w:widowControl/>
      <w:snapToGrid w:val="0"/>
      <w:spacing w:line="240" w:lineRule="auto"/>
      <w:ind w:left="181" w:right="210" w:firstLine="0" w:firstLineChars="0"/>
      <w:jc w:val="left"/>
    </w:pPr>
    <w:rPr>
      <w:rFonts w:ascii="宋体" w:hAnsi="宋体" w:cs="宋体"/>
      <w:kern w:val="0"/>
      <w:szCs w:val="24"/>
    </w:rPr>
  </w:style>
  <w:style w:type="paragraph" w:customStyle="1" w:styleId="966">
    <w:name w:val="WPS Plain"/>
    <w:semiHidden/>
    <w:qFormat/>
    <w:uiPriority w:val="0"/>
    <w:rPr>
      <w:rFonts w:ascii="Times New Roman" w:hAnsi="Times New Roman" w:eastAsia="宋体" w:cs="Times New Roman"/>
      <w:lang w:val="en-US" w:eastAsia="zh-CN" w:bidi="ar-SA"/>
    </w:rPr>
  </w:style>
  <w:style w:type="paragraph" w:customStyle="1" w:styleId="967">
    <w:name w:val="样式 标题 3 + 小四 非加粗3"/>
    <w:basedOn w:val="9"/>
    <w:qFormat/>
    <w:uiPriority w:val="0"/>
    <w:pPr>
      <w:spacing w:before="280" w:after="290" w:line="374" w:lineRule="auto"/>
    </w:pPr>
    <w:rPr>
      <w:rFonts w:ascii="宋体" w:eastAsia="宋体"/>
      <w:kern w:val="2"/>
    </w:rPr>
  </w:style>
  <w:style w:type="paragraph" w:customStyle="1" w:styleId="968">
    <w:name w:val="样式 标题 3 + 非加粗"/>
    <w:basedOn w:val="7"/>
    <w:qFormat/>
    <w:uiPriority w:val="0"/>
    <w:pPr>
      <w:spacing w:before="31" w:beforeLines="10" w:after="31" w:afterLines="10"/>
      <w:jc w:val="both"/>
    </w:pPr>
    <w:rPr>
      <w:rFonts w:ascii="宋体"/>
      <w:b w:val="0"/>
      <w:kern w:val="2"/>
    </w:rPr>
  </w:style>
  <w:style w:type="paragraph" w:customStyle="1" w:styleId="969">
    <w:name w:val="论文正文"/>
    <w:basedOn w:val="8"/>
    <w:qFormat/>
    <w:uiPriority w:val="0"/>
    <w:pPr>
      <w:spacing w:line="240" w:lineRule="auto"/>
      <w:ind w:firstLine="480"/>
    </w:pPr>
    <w:rPr>
      <w:rFonts w:ascii="宋体" w:hAnsi="宋体"/>
      <w:sz w:val="28"/>
      <w:szCs w:val="24"/>
    </w:rPr>
  </w:style>
  <w:style w:type="paragraph" w:customStyle="1" w:styleId="970">
    <w:name w:val="标题 611"/>
    <w:basedOn w:val="564"/>
    <w:next w:val="564"/>
    <w:qFormat/>
    <w:uiPriority w:val="0"/>
    <w:pPr>
      <w:keepNext/>
      <w:keepLines/>
      <w:spacing w:before="240" w:after="64" w:line="320" w:lineRule="atLeast"/>
      <w:jc w:val="both"/>
    </w:pPr>
    <w:rPr>
      <w:b/>
      <w:sz w:val="24"/>
    </w:rPr>
  </w:style>
  <w:style w:type="paragraph" w:customStyle="1" w:styleId="971">
    <w:name w:val="样式 小四 黑色 首行缩进:  0.85 厘米 行距: 固定值 26 磅"/>
    <w:basedOn w:val="1"/>
    <w:qFormat/>
    <w:uiPriority w:val="0"/>
    <w:pPr>
      <w:spacing w:line="520" w:lineRule="exact"/>
      <w:ind w:firstLine="482" w:firstLineChars="0"/>
    </w:pPr>
    <w:rPr>
      <w:rFonts w:cs="宋体"/>
      <w:color w:val="000000"/>
      <w:sz w:val="28"/>
    </w:rPr>
  </w:style>
  <w:style w:type="paragraph" w:customStyle="1" w:styleId="972">
    <w:name w:val="注释"/>
    <w:basedOn w:val="154"/>
    <w:qFormat/>
    <w:uiPriority w:val="0"/>
    <w:pPr>
      <w:autoSpaceDE/>
      <w:autoSpaceDN/>
      <w:snapToGrid w:val="0"/>
      <w:spacing w:before="31" w:beforeLines="10" w:after="31" w:afterLines="10" w:line="240" w:lineRule="auto"/>
      <w:ind w:firstLine="0" w:firstLineChars="0"/>
      <w:jc w:val="left"/>
    </w:pPr>
    <w:rPr>
      <w:rFonts w:ascii="宋体" w:eastAsia="宋体"/>
      <w:sz w:val="18"/>
      <w:lang w:val="en-GB"/>
    </w:rPr>
  </w:style>
  <w:style w:type="paragraph" w:customStyle="1" w:styleId="973">
    <w:name w:val="Char Char Char Char Char Char1 Char Char Char Char Char Char Char Char Char1 Char Char Char Char2"/>
    <w:basedOn w:val="1"/>
    <w:qFormat/>
    <w:uiPriority w:val="0"/>
    <w:pPr>
      <w:spacing w:line="240" w:lineRule="auto"/>
      <w:ind w:firstLine="0" w:firstLineChars="0"/>
    </w:pPr>
    <w:rPr>
      <w:szCs w:val="24"/>
    </w:rPr>
  </w:style>
  <w:style w:type="paragraph" w:customStyle="1" w:styleId="974">
    <w:name w:val="日期11"/>
    <w:basedOn w:val="1"/>
    <w:next w:val="1"/>
    <w:qFormat/>
    <w:uiPriority w:val="0"/>
    <w:pPr>
      <w:autoSpaceDE w:val="0"/>
      <w:autoSpaceDN w:val="0"/>
      <w:adjustRightInd w:val="0"/>
      <w:spacing w:line="240" w:lineRule="auto"/>
      <w:ind w:firstLine="0" w:firstLineChars="0"/>
      <w:textAlignment w:val="baseline"/>
    </w:pPr>
    <w:rPr>
      <w:spacing w:val="5"/>
      <w:kern w:val="0"/>
    </w:rPr>
  </w:style>
  <w:style w:type="paragraph" w:customStyle="1" w:styleId="975">
    <w:name w:val="表格体"/>
    <w:basedOn w:val="1"/>
    <w:qFormat/>
    <w:uiPriority w:val="0"/>
    <w:pPr>
      <w:adjustRightInd w:val="0"/>
      <w:snapToGrid w:val="0"/>
      <w:spacing w:line="240" w:lineRule="auto"/>
      <w:ind w:firstLine="0" w:firstLineChars="0"/>
      <w:jc w:val="center"/>
    </w:pPr>
    <w:rPr>
      <w:sz w:val="18"/>
    </w:rPr>
  </w:style>
  <w:style w:type="paragraph" w:customStyle="1" w:styleId="976">
    <w:name w:val="文章表头文字"/>
    <w:basedOn w:val="1"/>
    <w:qFormat/>
    <w:uiPriority w:val="0"/>
    <w:pPr>
      <w:spacing w:before="156" w:beforeLines="50" w:line="520" w:lineRule="exact"/>
      <w:ind w:firstLine="0" w:firstLineChars="0"/>
      <w:jc w:val="center"/>
    </w:pPr>
    <w:rPr>
      <w:rFonts w:ascii="Arial" w:hAnsi="Arial" w:eastAsia="黑体"/>
      <w:szCs w:val="24"/>
    </w:rPr>
  </w:style>
  <w:style w:type="paragraph" w:customStyle="1" w:styleId="977">
    <w:name w:val="p19"/>
    <w:basedOn w:val="1"/>
    <w:qFormat/>
    <w:uiPriority w:val="0"/>
    <w:pPr>
      <w:widowControl/>
      <w:ind w:firstLine="480" w:firstLineChars="0"/>
    </w:pPr>
    <w:rPr>
      <w:rFonts w:ascii="宋体" w:hAnsi="宋体" w:cs="宋体"/>
      <w:kern w:val="0"/>
      <w:szCs w:val="24"/>
    </w:rPr>
  </w:style>
  <w:style w:type="paragraph" w:customStyle="1" w:styleId="978">
    <w:name w:val="样式15"/>
    <w:basedOn w:val="1"/>
    <w:qFormat/>
    <w:uiPriority w:val="0"/>
    <w:pPr>
      <w:ind w:firstLine="600" w:firstLineChars="250"/>
    </w:pPr>
    <w:rPr>
      <w:rFonts w:ascii="宋体"/>
    </w:rPr>
  </w:style>
  <w:style w:type="paragraph" w:customStyle="1" w:styleId="979">
    <w:name w:val="xl31"/>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kern w:val="0"/>
      <w:sz w:val="16"/>
    </w:rPr>
  </w:style>
  <w:style w:type="paragraph" w:customStyle="1" w:styleId="980">
    <w:name w:val="Char Char Char Char Char Char Char Char1 Char Char Char Char3"/>
    <w:basedOn w:val="1"/>
    <w:qFormat/>
    <w:uiPriority w:val="0"/>
    <w:pPr>
      <w:spacing w:line="240" w:lineRule="auto"/>
      <w:ind w:firstLine="0" w:firstLineChars="0"/>
    </w:pPr>
    <w:rPr>
      <w:sz w:val="21"/>
      <w:szCs w:val="24"/>
    </w:rPr>
  </w:style>
  <w:style w:type="paragraph" w:customStyle="1" w:styleId="981">
    <w:name w:val="永通二级标题"/>
    <w:basedOn w:val="6"/>
    <w:qFormat/>
    <w:uiPriority w:val="0"/>
    <w:pPr>
      <w:spacing w:before="156" w:beforeLines="50" w:after="156" w:afterLines="50" w:line="324" w:lineRule="auto"/>
      <w:outlineLvl w:val="0"/>
    </w:pPr>
    <w:rPr>
      <w:rFonts w:ascii="黑体" w:hAnsi="Arial" w:eastAsia="黑体"/>
      <w:kern w:val="2"/>
      <w:sz w:val="24"/>
      <w:szCs w:val="24"/>
    </w:rPr>
  </w:style>
  <w:style w:type="paragraph" w:customStyle="1" w:styleId="982">
    <w:name w:val="表中文字5"/>
    <w:basedOn w:val="1"/>
    <w:qFormat/>
    <w:uiPriority w:val="0"/>
    <w:pPr>
      <w:spacing w:before="100" w:after="100" w:line="240" w:lineRule="auto"/>
      <w:ind w:right="-32" w:firstLine="0" w:firstLineChars="0"/>
      <w:jc w:val="center"/>
    </w:pPr>
    <w:rPr>
      <w:rFonts w:ascii="宋体"/>
      <w:color w:val="000000"/>
      <w:sz w:val="21"/>
    </w:rPr>
  </w:style>
  <w:style w:type="paragraph" w:customStyle="1" w:styleId="983">
    <w:name w:val="批注文字11"/>
    <w:basedOn w:val="1"/>
    <w:qFormat/>
    <w:uiPriority w:val="0"/>
    <w:pPr>
      <w:adjustRightInd w:val="0"/>
      <w:spacing w:line="360" w:lineRule="atLeast"/>
      <w:ind w:firstLine="0" w:firstLineChars="0"/>
      <w:textAlignment w:val="baseline"/>
    </w:pPr>
    <w:rPr>
      <w:rFonts w:ascii="宋体"/>
      <w:kern w:val="0"/>
      <w:sz w:val="21"/>
    </w:rPr>
  </w:style>
  <w:style w:type="paragraph" w:customStyle="1" w:styleId="984">
    <w:name w:val="正文文本缩进 21"/>
    <w:basedOn w:val="1"/>
    <w:qFormat/>
    <w:uiPriority w:val="0"/>
    <w:pPr>
      <w:adjustRightInd w:val="0"/>
      <w:ind w:firstLine="480" w:firstLineChars="0"/>
      <w:textAlignment w:val="baseline"/>
    </w:pPr>
    <w:rPr>
      <w:rFonts w:ascii="宋体"/>
      <w:kern w:val="0"/>
    </w:rPr>
  </w:style>
  <w:style w:type="paragraph" w:customStyle="1" w:styleId="985">
    <w:name w:val="右边"/>
    <w:basedOn w:val="3"/>
    <w:qFormat/>
    <w:uiPriority w:val="0"/>
  </w:style>
  <w:style w:type="paragraph" w:customStyle="1" w:styleId="986">
    <w:name w:val="xl3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spacing w:val="-4"/>
      <w:kern w:val="0"/>
      <w:sz w:val="20"/>
    </w:rPr>
  </w:style>
  <w:style w:type="paragraph" w:customStyle="1" w:styleId="987">
    <w:name w:val="插图"/>
    <w:basedOn w:val="1"/>
    <w:qFormat/>
    <w:uiPriority w:val="0"/>
    <w:pPr>
      <w:overflowPunct w:val="0"/>
      <w:topLinePunct/>
      <w:adjustRightInd w:val="0"/>
      <w:snapToGrid w:val="0"/>
      <w:spacing w:line="240" w:lineRule="auto"/>
      <w:ind w:firstLine="0" w:firstLineChars="0"/>
      <w:jc w:val="center"/>
    </w:pPr>
    <w:rPr>
      <w:rFonts w:ascii="宋体" w:hAnsi="宋体" w:eastAsia="幼圆"/>
      <w:snapToGrid w:val="0"/>
      <w:kern w:val="0"/>
    </w:rPr>
  </w:style>
  <w:style w:type="paragraph" w:customStyle="1" w:styleId="988">
    <w:name w:val="1表格"/>
    <w:basedOn w:val="1"/>
    <w:qFormat/>
    <w:uiPriority w:val="0"/>
    <w:pPr>
      <w:spacing w:line="160" w:lineRule="atLeast"/>
      <w:ind w:firstLine="0" w:firstLineChars="0"/>
      <w:jc w:val="center"/>
    </w:pPr>
    <w:rPr>
      <w:rFonts w:eastAsia="仿宋_GB2312"/>
      <w:sz w:val="21"/>
    </w:rPr>
  </w:style>
  <w:style w:type="paragraph" w:customStyle="1" w:styleId="989">
    <w:name w:val="Char Char Char Char Char Char Char Char Char Char Char Char Char"/>
    <w:basedOn w:val="1"/>
    <w:qFormat/>
    <w:uiPriority w:val="0"/>
    <w:pPr>
      <w:spacing w:line="240" w:lineRule="auto"/>
      <w:ind w:firstLine="0" w:firstLineChars="0"/>
    </w:pPr>
    <w:rPr>
      <w:sz w:val="21"/>
      <w:szCs w:val="24"/>
    </w:rPr>
  </w:style>
  <w:style w:type="paragraph" w:customStyle="1" w:styleId="990">
    <w:name w:val="文章正文文字 Char"/>
    <w:basedOn w:val="1"/>
    <w:semiHidden/>
    <w:qFormat/>
    <w:uiPriority w:val="0"/>
    <w:pPr>
      <w:spacing w:line="520" w:lineRule="exact"/>
      <w:ind w:firstLine="0" w:firstLineChars="0"/>
      <w:jc w:val="left"/>
    </w:pPr>
    <w:rPr>
      <w:szCs w:val="24"/>
    </w:rPr>
  </w:style>
  <w:style w:type="paragraph" w:customStyle="1" w:styleId="991">
    <w:name w:val="样式 正文首行缩进 +"/>
    <w:basedOn w:val="81"/>
    <w:qFormat/>
    <w:uiPriority w:val="0"/>
    <w:pPr>
      <w:spacing w:after="0" w:line="400" w:lineRule="exact"/>
      <w:ind w:firstLine="600" w:firstLineChars="200"/>
    </w:pPr>
    <w:rPr>
      <w:rFonts w:ascii="黑体"/>
      <w:bCs/>
      <w:sz w:val="28"/>
      <w:szCs w:val="28"/>
    </w:rPr>
  </w:style>
  <w:style w:type="paragraph" w:customStyle="1" w:styleId="992">
    <w:name w:val="xl7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FF"/>
      <w:kern w:val="0"/>
      <w:sz w:val="20"/>
    </w:rPr>
  </w:style>
  <w:style w:type="paragraph" w:customStyle="1" w:styleId="993">
    <w:name w:val="Char Char Char1 Char Char Char Char Char Char Char Char Char Char Char Char1 Char Char Char Char Char Char Char Char Char Char2"/>
    <w:basedOn w:val="1"/>
    <w:qFormat/>
    <w:uiPriority w:val="0"/>
    <w:rPr>
      <w:rFonts w:ascii="宋体" w:hAnsi="宋体" w:eastAsia="黑体" w:cs="宋体"/>
      <w:sz w:val="28"/>
      <w:szCs w:val="24"/>
    </w:rPr>
  </w:style>
  <w:style w:type="paragraph" w:customStyle="1" w:styleId="994">
    <w:name w:val="样式30"/>
    <w:basedOn w:val="812"/>
    <w:qFormat/>
    <w:uiPriority w:val="0"/>
    <w:pPr>
      <w:tabs>
        <w:tab w:val="clear" w:pos="900"/>
        <w:tab w:val="clear" w:pos="1418"/>
      </w:tabs>
    </w:pPr>
  </w:style>
  <w:style w:type="paragraph" w:customStyle="1" w:styleId="995">
    <w:name w:val="15"/>
    <w:basedOn w:val="1"/>
    <w:qFormat/>
    <w:uiPriority w:val="0"/>
    <w:pPr>
      <w:widowControl/>
      <w:spacing w:before="100" w:beforeAutospacing="1" w:after="100" w:afterAutospacing="1" w:line="240" w:lineRule="auto"/>
      <w:ind w:firstLine="0" w:firstLineChars="0"/>
    </w:pPr>
    <w:rPr>
      <w:rFonts w:ascii="宋体" w:hAnsi="宋体" w:cs="宋体"/>
      <w:kern w:val="0"/>
      <w:sz w:val="28"/>
      <w:szCs w:val="28"/>
    </w:rPr>
  </w:style>
  <w:style w:type="paragraph" w:customStyle="1" w:styleId="996">
    <w:name w:val="符号矩形"/>
    <w:basedOn w:val="1"/>
    <w:next w:val="1"/>
    <w:qFormat/>
    <w:uiPriority w:val="0"/>
    <w:pPr>
      <w:tabs>
        <w:tab w:val="left" w:pos="420"/>
        <w:tab w:val="left" w:pos="780"/>
      </w:tabs>
      <w:snapToGrid w:val="0"/>
      <w:ind w:left="780" w:leftChars="200" w:hanging="200" w:hangingChars="200"/>
      <w:jc w:val="left"/>
      <w:textAlignment w:val="center"/>
    </w:pPr>
    <w:rPr>
      <w:rFonts w:eastAsia="黑体"/>
      <w:szCs w:val="24"/>
    </w:rPr>
  </w:style>
  <w:style w:type="paragraph" w:customStyle="1" w:styleId="997">
    <w:name w:val="样式 样式 样式 样式 标题 2 + 首行缩进:  2 字符 + 段前: 0.5 行 段后: 0.5 行 + 段前: 0.5 行..."/>
    <w:basedOn w:val="1"/>
    <w:semiHidden/>
    <w:qFormat/>
    <w:uiPriority w:val="0"/>
    <w:pPr>
      <w:adjustRightInd w:val="0"/>
      <w:snapToGrid w:val="0"/>
      <w:spacing w:before="156" w:beforeLines="50" w:after="156" w:afterLines="50"/>
      <w:ind w:firstLine="0" w:firstLineChars="0"/>
      <w:outlineLvl w:val="1"/>
    </w:pPr>
    <w:rPr>
      <w:rFonts w:cs="宋体"/>
      <w:b/>
      <w:bCs/>
      <w:sz w:val="28"/>
    </w:rPr>
  </w:style>
  <w:style w:type="paragraph" w:customStyle="1" w:styleId="998">
    <w:name w:val="自动2"/>
    <w:basedOn w:val="1"/>
    <w:qFormat/>
    <w:uiPriority w:val="0"/>
    <w:pPr>
      <w:keepNext/>
      <w:keepLines/>
      <w:tabs>
        <w:tab w:val="left" w:pos="850"/>
        <w:tab w:val="left" w:pos="1320"/>
      </w:tabs>
      <w:spacing w:before="50" w:after="50"/>
      <w:ind w:left="850" w:hanging="420" w:firstLineChars="0"/>
      <w:outlineLvl w:val="1"/>
    </w:pPr>
    <w:rPr>
      <w:rFonts w:ascii="黑体" w:hAnsi="Arial" w:eastAsia="黑体"/>
      <w:b/>
      <w:color w:val="000000"/>
      <w:sz w:val="28"/>
    </w:rPr>
  </w:style>
  <w:style w:type="paragraph" w:customStyle="1" w:styleId="999">
    <w:name w:val="XCHG论文正文"/>
    <w:basedOn w:val="1"/>
    <w:qFormat/>
    <w:uiPriority w:val="0"/>
    <w:pPr>
      <w:spacing w:line="300" w:lineRule="auto"/>
      <w:ind w:firstLine="480"/>
    </w:pPr>
    <w:rPr>
      <w:color w:val="000000"/>
    </w:rPr>
  </w:style>
  <w:style w:type="paragraph" w:customStyle="1" w:styleId="1000">
    <w:name w:val="样式 缩进1.4 字行"/>
    <w:basedOn w:val="1"/>
    <w:qFormat/>
    <w:uiPriority w:val="0"/>
    <w:pPr>
      <w:snapToGrid w:val="0"/>
      <w:spacing w:line="400" w:lineRule="exact"/>
      <w:ind w:firstLine="0" w:firstLineChars="0"/>
      <w:jc w:val="center"/>
    </w:pPr>
    <w:rPr>
      <w:rFonts w:ascii="宋体" w:hAnsi="宋体"/>
      <w:szCs w:val="24"/>
    </w:rPr>
  </w:style>
  <w:style w:type="paragraph" w:customStyle="1" w:styleId="1001">
    <w:name w:val="Char"/>
    <w:basedOn w:val="1"/>
    <w:qFormat/>
    <w:uiPriority w:val="0"/>
    <w:rPr>
      <w:rFonts w:ascii="宋体" w:hAnsi="宋体" w:cs="宋体"/>
      <w:szCs w:val="24"/>
    </w:rPr>
  </w:style>
  <w:style w:type="paragraph" w:customStyle="1" w:styleId="1002">
    <w:name w:val="样式40"/>
    <w:basedOn w:val="829"/>
    <w:qFormat/>
    <w:uiPriority w:val="0"/>
    <w:pPr>
      <w:ind w:firstLine="420"/>
    </w:pPr>
    <w:rPr>
      <w:b w:val="0"/>
    </w:rPr>
  </w:style>
  <w:style w:type="paragraph" w:customStyle="1" w:styleId="1003">
    <w:name w:val="Char Char Char Char Char Char Char4"/>
    <w:basedOn w:val="1"/>
    <w:qFormat/>
    <w:uiPriority w:val="0"/>
    <w:pPr>
      <w:widowControl/>
      <w:spacing w:line="240" w:lineRule="auto"/>
      <w:ind w:firstLine="0" w:firstLineChars="0"/>
      <w:jc w:val="left"/>
    </w:pPr>
    <w:rPr>
      <w:rFonts w:ascii="宋体" w:hAnsi="宋体" w:cs="宋体"/>
      <w:kern w:val="0"/>
      <w:szCs w:val="24"/>
    </w:rPr>
  </w:style>
  <w:style w:type="paragraph" w:customStyle="1" w:styleId="1004">
    <w:name w:val="我的样式2"/>
    <w:basedOn w:val="6"/>
    <w:qFormat/>
    <w:uiPriority w:val="0"/>
    <w:pPr>
      <w:spacing w:before="156" w:beforeLines="50" w:after="156" w:afterLines="50" w:line="240" w:lineRule="auto"/>
    </w:pPr>
    <w:rPr>
      <w:rFonts w:ascii="Arial" w:hAnsi="Arial" w:eastAsia="黑体"/>
      <w:bCs/>
      <w:kern w:val="2"/>
      <w:sz w:val="24"/>
      <w:szCs w:val="32"/>
    </w:rPr>
  </w:style>
  <w:style w:type="paragraph" w:customStyle="1" w:styleId="1005">
    <w:name w:val="文本框文字"/>
    <w:basedOn w:val="1"/>
    <w:qFormat/>
    <w:uiPriority w:val="0"/>
    <w:pPr>
      <w:framePr w:hSpace="181" w:vSpace="181" w:wrap="around" w:vAnchor="page" w:hAnchor="page" w:xAlign="center" w:yAlign="center"/>
      <w:adjustRightInd w:val="0"/>
      <w:snapToGrid w:val="0"/>
      <w:spacing w:line="240" w:lineRule="exact"/>
      <w:ind w:firstLine="0" w:firstLineChars="0"/>
      <w:jc w:val="center"/>
      <w:textAlignment w:val="center"/>
    </w:pPr>
    <w:rPr>
      <w:rFonts w:ascii="宋体"/>
      <w:snapToGrid w:val="0"/>
      <w:kern w:val="0"/>
      <w:szCs w:val="24"/>
    </w:rPr>
  </w:style>
  <w:style w:type="paragraph" w:customStyle="1" w:styleId="1006">
    <w:name w:val="Char1 Char Char Char Char Char Char1"/>
    <w:basedOn w:val="27"/>
    <w:qFormat/>
    <w:uiPriority w:val="0"/>
    <w:pPr>
      <w:adjustRightInd w:val="0"/>
      <w:spacing w:line="436" w:lineRule="exact"/>
      <w:ind w:left="357" w:firstLine="0" w:firstLineChars="0"/>
      <w:jc w:val="left"/>
      <w:outlineLvl w:val="3"/>
    </w:pPr>
    <w:rPr>
      <w:rFonts w:ascii="Tahoma" w:hAnsi="Tahoma"/>
      <w:b/>
      <w:spacing w:val="0"/>
      <w:kern w:val="2"/>
      <w:sz w:val="24"/>
      <w:szCs w:val="24"/>
    </w:rPr>
  </w:style>
  <w:style w:type="paragraph" w:customStyle="1" w:styleId="1007">
    <w:name w:val="表头样式"/>
    <w:basedOn w:val="1"/>
    <w:semiHidden/>
    <w:qFormat/>
    <w:uiPriority w:val="0"/>
    <w:pPr>
      <w:widowControl/>
      <w:ind w:firstLine="0" w:firstLineChars="0"/>
      <w:jc w:val="center"/>
      <w:textAlignment w:val="baseline"/>
    </w:pPr>
    <w:rPr>
      <w:color w:val="000000"/>
      <w:kern w:val="0"/>
      <w:szCs w:val="28"/>
      <w:u w:color="000000"/>
    </w:rPr>
  </w:style>
  <w:style w:type="paragraph" w:customStyle="1" w:styleId="1008">
    <w:name w:val="無間距"/>
    <w:semiHidden/>
    <w:qFormat/>
    <w:uiPriority w:val="0"/>
    <w:pPr>
      <w:widowControl w:val="0"/>
    </w:pPr>
    <w:rPr>
      <w:rFonts w:ascii="Calibri" w:hAnsi="Calibri" w:eastAsia="PMingLiU" w:cs="Times New Roman"/>
      <w:kern w:val="2"/>
      <w:sz w:val="24"/>
      <w:szCs w:val="22"/>
      <w:lang w:val="en-US" w:eastAsia="zh-TW" w:bidi="ar-SA"/>
    </w:rPr>
  </w:style>
  <w:style w:type="paragraph" w:customStyle="1" w:styleId="1009">
    <w:name w:val="Char Char Char2 Char"/>
    <w:basedOn w:val="1"/>
    <w:qFormat/>
    <w:uiPriority w:val="0"/>
    <w:pPr>
      <w:spacing w:line="240" w:lineRule="auto"/>
      <w:ind w:firstLine="0" w:firstLineChars="0"/>
    </w:pPr>
    <w:rPr>
      <w:sz w:val="21"/>
      <w:szCs w:val="24"/>
    </w:rPr>
  </w:style>
  <w:style w:type="paragraph" w:customStyle="1" w:styleId="1010">
    <w:name w:val="样式 标题 2"/>
    <w:basedOn w:val="6"/>
    <w:qFormat/>
    <w:uiPriority w:val="0"/>
    <w:pPr>
      <w:tabs>
        <w:tab w:val="left" w:pos="840"/>
      </w:tabs>
      <w:ind w:left="840" w:hanging="420"/>
    </w:pPr>
    <w:rPr>
      <w:rFonts w:ascii="黑体" w:hAnsi="Arial" w:eastAsia="黑体" w:cs="宋体"/>
      <w:color w:val="0000FF"/>
      <w:kern w:val="2"/>
    </w:rPr>
  </w:style>
  <w:style w:type="paragraph" w:customStyle="1" w:styleId="1011">
    <w:name w:val="p0"/>
    <w:basedOn w:val="1"/>
    <w:qFormat/>
    <w:uiPriority w:val="0"/>
    <w:pPr>
      <w:widowControl/>
      <w:spacing w:line="240" w:lineRule="auto"/>
      <w:ind w:firstLine="0" w:firstLineChars="0"/>
    </w:pPr>
    <w:rPr>
      <w:kern w:val="0"/>
      <w:sz w:val="21"/>
      <w:szCs w:val="21"/>
    </w:rPr>
  </w:style>
  <w:style w:type="paragraph" w:customStyle="1" w:styleId="1012">
    <w:name w:val="样式16"/>
    <w:basedOn w:val="1"/>
    <w:qFormat/>
    <w:uiPriority w:val="0"/>
    <w:pPr>
      <w:spacing w:before="156" w:beforeLines="50"/>
      <w:ind w:firstLine="1365" w:firstLineChars="650"/>
    </w:pPr>
    <w:rPr>
      <w:rFonts w:ascii="宋体" w:eastAsia="黑体"/>
      <w:sz w:val="21"/>
    </w:rPr>
  </w:style>
  <w:style w:type="paragraph" w:customStyle="1" w:styleId="1013">
    <w:name w:val="样式 我的样式2 + 加粗"/>
    <w:basedOn w:val="1004"/>
    <w:qFormat/>
    <w:uiPriority w:val="0"/>
    <w:rPr>
      <w:b w:val="0"/>
    </w:rPr>
  </w:style>
  <w:style w:type="paragraph" w:customStyle="1" w:styleId="1014">
    <w:name w:val="7"/>
    <w:basedOn w:val="1"/>
    <w:next w:val="69"/>
    <w:qFormat/>
    <w:uiPriority w:val="0"/>
    <w:pPr>
      <w:spacing w:after="120" w:line="480" w:lineRule="auto"/>
      <w:ind w:firstLine="0" w:firstLineChars="0"/>
    </w:pPr>
    <w:rPr>
      <w:sz w:val="21"/>
      <w:szCs w:val="24"/>
    </w:rPr>
  </w:style>
  <w:style w:type="paragraph" w:customStyle="1" w:styleId="1015">
    <w:name w:val="样式 标题 2标题 2XWh2l22nd levelTitre2Header 2节标题 1.1BSH-2标题 ..."/>
    <w:basedOn w:val="6"/>
    <w:qFormat/>
    <w:uiPriority w:val="0"/>
    <w:pPr>
      <w:tabs>
        <w:tab w:val="left" w:pos="567"/>
        <w:tab w:val="left" w:pos="780"/>
      </w:tabs>
      <w:spacing w:before="218" w:beforeLines="70" w:after="218" w:afterLines="70"/>
      <w:ind w:left="780" w:leftChars="200" w:right="238" w:hanging="200" w:hangingChars="200"/>
    </w:pPr>
    <w:rPr>
      <w:rFonts w:eastAsia="黑体" w:cs="宋体"/>
      <w:b w:val="0"/>
      <w:color w:val="000000"/>
      <w:kern w:val="0"/>
      <w:sz w:val="30"/>
    </w:rPr>
  </w:style>
  <w:style w:type="paragraph" w:customStyle="1" w:styleId="1016">
    <w:name w:val="Char1 Char Char Char Char Char Char"/>
    <w:basedOn w:val="1"/>
    <w:qFormat/>
    <w:uiPriority w:val="0"/>
    <w:pPr>
      <w:spacing w:line="240" w:lineRule="auto"/>
      <w:ind w:firstLine="0" w:firstLineChars="0"/>
    </w:pPr>
    <w:rPr>
      <w:sz w:val="21"/>
      <w:szCs w:val="24"/>
    </w:rPr>
  </w:style>
  <w:style w:type="paragraph" w:customStyle="1" w:styleId="1017">
    <w:name w:val="表文LA"/>
    <w:qFormat/>
    <w:uiPriority w:val="0"/>
    <w:pPr>
      <w:tabs>
        <w:tab w:val="left" w:pos="0"/>
      </w:tabs>
      <w:adjustRightInd w:val="0"/>
      <w:snapToGrid w:val="0"/>
      <w:spacing w:before="31" w:after="31"/>
      <w:jc w:val="center"/>
    </w:pPr>
    <w:rPr>
      <w:rFonts w:ascii="宋体" w:hAnsi="Times New Roman" w:eastAsia="宋体" w:cs="Times New Roman"/>
      <w:sz w:val="21"/>
      <w:lang w:val="en-US" w:eastAsia="zh-CN" w:bidi="ar-SA"/>
    </w:rPr>
  </w:style>
  <w:style w:type="paragraph" w:customStyle="1" w:styleId="1018">
    <w:name w:val="Plain Text1"/>
    <w:basedOn w:val="1"/>
    <w:qFormat/>
    <w:uiPriority w:val="0"/>
    <w:pPr>
      <w:adjustRightInd w:val="0"/>
      <w:spacing w:line="240" w:lineRule="auto"/>
      <w:ind w:firstLine="0" w:firstLineChars="0"/>
      <w:textAlignment w:val="baseline"/>
    </w:pPr>
    <w:rPr>
      <w:rFonts w:ascii="宋体" w:hAnsi="Courier New"/>
      <w:sz w:val="21"/>
    </w:rPr>
  </w:style>
  <w:style w:type="paragraph" w:customStyle="1" w:styleId="1019">
    <w:name w:val="正文(正式)-wd"/>
    <w:basedOn w:val="1"/>
    <w:qFormat/>
    <w:uiPriority w:val="0"/>
    <w:pPr>
      <w:spacing w:line="340" w:lineRule="exact"/>
      <w:ind w:firstLine="0" w:firstLineChars="0"/>
      <w:jc w:val="center"/>
      <w:textAlignment w:val="baseline"/>
    </w:pPr>
    <w:rPr>
      <w:bCs/>
      <w:sz w:val="21"/>
      <w:szCs w:val="21"/>
      <w:lang w:val="en-GB"/>
    </w:rPr>
  </w:style>
  <w:style w:type="paragraph" w:customStyle="1" w:styleId="1020">
    <w:name w:val="小表"/>
    <w:basedOn w:val="1"/>
    <w:qFormat/>
    <w:uiPriority w:val="0"/>
    <w:pPr>
      <w:overflowPunct w:val="0"/>
      <w:autoSpaceDE w:val="0"/>
      <w:autoSpaceDN w:val="0"/>
      <w:adjustRightInd w:val="0"/>
      <w:spacing w:line="240" w:lineRule="auto"/>
      <w:ind w:firstLine="0" w:firstLineChars="0"/>
      <w:jc w:val="center"/>
      <w:textAlignment w:val="bottom"/>
    </w:pPr>
    <w:rPr>
      <w:kern w:val="0"/>
      <w:sz w:val="21"/>
    </w:rPr>
  </w:style>
  <w:style w:type="paragraph" w:customStyle="1" w:styleId="1021">
    <w:name w:val="表格文字 Char2"/>
    <w:basedOn w:val="1"/>
    <w:qFormat/>
    <w:uiPriority w:val="0"/>
    <w:pPr>
      <w:spacing w:line="360" w:lineRule="exact"/>
      <w:ind w:firstLine="0" w:firstLineChars="0"/>
      <w:jc w:val="center"/>
    </w:pPr>
    <w:rPr>
      <w:sz w:val="21"/>
    </w:rPr>
  </w:style>
  <w:style w:type="paragraph" w:customStyle="1" w:styleId="1022">
    <w:name w:val="T正文"/>
    <w:qFormat/>
    <w:uiPriority w:val="0"/>
    <w:pPr>
      <w:widowControl w:val="0"/>
      <w:adjustRightInd w:val="0"/>
      <w:snapToGrid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1023">
    <w:name w:val="Char4"/>
    <w:basedOn w:val="1"/>
    <w:semiHidden/>
    <w:qFormat/>
    <w:uiPriority w:val="0"/>
    <w:rPr>
      <w:rFonts w:ascii="宋体" w:hAnsi="宋体" w:cs="宋体"/>
      <w:szCs w:val="24"/>
    </w:rPr>
  </w:style>
  <w:style w:type="paragraph" w:customStyle="1" w:styleId="1024">
    <w:name w:val="标题二"/>
    <w:basedOn w:val="1"/>
    <w:qFormat/>
    <w:uiPriority w:val="0"/>
    <w:pPr>
      <w:spacing w:line="240" w:lineRule="auto"/>
      <w:ind w:firstLine="0" w:firstLineChars="0"/>
    </w:pPr>
  </w:style>
  <w:style w:type="paragraph" w:customStyle="1" w:styleId="1025">
    <w:name w:val="样式5 Char Char"/>
    <w:basedOn w:val="1"/>
    <w:qFormat/>
    <w:uiPriority w:val="0"/>
    <w:pPr>
      <w:ind w:firstLine="480"/>
    </w:pPr>
    <w:rPr>
      <w:rFonts w:ascii="宋体"/>
    </w:rPr>
  </w:style>
  <w:style w:type="paragraph" w:customStyle="1" w:styleId="1026">
    <w:name w:val="表标题"/>
    <w:basedOn w:val="1"/>
    <w:next w:val="1"/>
    <w:qFormat/>
    <w:uiPriority w:val="0"/>
    <w:pPr>
      <w:widowControl/>
      <w:ind w:firstLine="1440" w:firstLineChars="600"/>
    </w:pPr>
    <w:rPr>
      <w:rFonts w:ascii="黑体" w:hAnsi="宋体" w:eastAsia="黑体"/>
      <w:bCs/>
      <w:color w:val="000000"/>
      <w:kern w:val="0"/>
      <w:szCs w:val="24"/>
    </w:rPr>
  </w:style>
  <w:style w:type="paragraph" w:customStyle="1" w:styleId="1027">
    <w:name w:val="样式65"/>
    <w:basedOn w:val="845"/>
    <w:qFormat/>
    <w:uiPriority w:val="0"/>
  </w:style>
  <w:style w:type="paragraph" w:customStyle="1" w:styleId="1028">
    <w:name w:val="样式52"/>
    <w:basedOn w:val="509"/>
    <w:qFormat/>
    <w:uiPriority w:val="0"/>
    <w:pPr>
      <w:ind w:firstLine="360" w:firstLineChars="150"/>
    </w:pPr>
    <w:rPr>
      <w:rFonts w:ascii="Times New Roman"/>
    </w:rPr>
  </w:style>
  <w:style w:type="paragraph" w:customStyle="1" w:styleId="1029">
    <w:name w:val="表头编号"/>
    <w:basedOn w:val="1"/>
    <w:qFormat/>
    <w:uiPriority w:val="0"/>
    <w:pPr>
      <w:adjustRightInd w:val="0"/>
      <w:snapToGrid w:val="0"/>
      <w:spacing w:line="240" w:lineRule="auto"/>
      <w:ind w:firstLine="0" w:firstLineChars="0"/>
      <w:jc w:val="center"/>
    </w:pPr>
    <w:rPr>
      <w:color w:val="000000"/>
      <w:sz w:val="21"/>
    </w:rPr>
  </w:style>
  <w:style w:type="paragraph" w:customStyle="1" w:styleId="1030">
    <w:name w:val="自动4"/>
    <w:basedOn w:val="482"/>
    <w:qFormat/>
    <w:uiPriority w:val="0"/>
    <w:pPr>
      <w:tabs>
        <w:tab w:val="left" w:pos="1690"/>
        <w:tab w:val="left" w:pos="2160"/>
      </w:tabs>
      <w:spacing w:before="0" w:beforeLines="0" w:after="0" w:afterLines="0"/>
      <w:ind w:left="1690" w:hanging="420"/>
    </w:pPr>
    <w:rPr>
      <w:color w:val="000000"/>
    </w:rPr>
  </w:style>
  <w:style w:type="paragraph" w:customStyle="1" w:styleId="1031">
    <w:name w:val="样式 表头 + (中文) 黑体"/>
    <w:basedOn w:val="1"/>
    <w:qFormat/>
    <w:uiPriority w:val="0"/>
    <w:pPr>
      <w:adjustRightInd w:val="0"/>
      <w:snapToGrid w:val="0"/>
      <w:spacing w:line="240" w:lineRule="auto"/>
      <w:ind w:firstLine="0" w:firstLineChars="0"/>
      <w:jc w:val="center"/>
    </w:pPr>
    <w:rPr>
      <w:rFonts w:eastAsia="黑体"/>
      <w:bCs/>
      <w:spacing w:val="6"/>
      <w:position w:val="10"/>
      <w:szCs w:val="24"/>
    </w:rPr>
  </w:style>
  <w:style w:type="paragraph" w:customStyle="1" w:styleId="1032">
    <w:name w:val="永通一级标题"/>
    <w:basedOn w:val="5"/>
    <w:qFormat/>
    <w:uiPriority w:val="0"/>
    <w:pPr>
      <w:numPr>
        <w:numId w:val="0"/>
      </w:numPr>
      <w:spacing w:before="156" w:beforeLines="50" w:after="156" w:afterLines="50" w:line="324" w:lineRule="auto"/>
    </w:pPr>
    <w:rPr>
      <w:rFonts w:ascii="Times New Roman"/>
      <w:kern w:val="44"/>
      <w:sz w:val="32"/>
      <w:szCs w:val="32"/>
    </w:rPr>
  </w:style>
  <w:style w:type="paragraph" w:customStyle="1" w:styleId="1033">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00"/>
      <w:kern w:val="0"/>
      <w:sz w:val="22"/>
    </w:rPr>
  </w:style>
  <w:style w:type="paragraph" w:customStyle="1" w:styleId="1034">
    <w:name w:val="Char Char22"/>
    <w:basedOn w:val="1"/>
    <w:qFormat/>
    <w:uiPriority w:val="0"/>
    <w:pPr>
      <w:tabs>
        <w:tab w:val="left" w:pos="870"/>
        <w:tab w:val="left" w:pos="987"/>
      </w:tabs>
      <w:ind w:left="870" w:hanging="390" w:firstLineChars="0"/>
    </w:pPr>
    <w:rPr>
      <w:rFonts w:ascii="宋体" w:hAnsi="宋体"/>
    </w:rPr>
  </w:style>
  <w:style w:type="paragraph" w:customStyle="1" w:styleId="1035">
    <w:name w:val="文章"/>
    <w:basedOn w:val="3"/>
    <w:qFormat/>
    <w:uiPriority w:val="0"/>
    <w:pPr>
      <w:spacing w:before="156" w:beforeLines="50" w:after="156" w:afterLines="50"/>
      <w:ind w:left="0" w:leftChars="0" w:firstLine="480"/>
    </w:pPr>
    <w:rPr>
      <w:rFonts w:ascii="宋体" w:hAnsi="宋体"/>
    </w:rPr>
  </w:style>
  <w:style w:type="paragraph" w:customStyle="1" w:styleId="1036">
    <w:name w:val="dandan6-13正文 Char Char Char"/>
    <w:basedOn w:val="1"/>
    <w:next w:val="1"/>
    <w:qFormat/>
    <w:uiPriority w:val="0"/>
    <w:pPr>
      <w:keepNext/>
      <w:keepLines/>
      <w:widowControl/>
      <w:adjustRightInd w:val="0"/>
      <w:spacing w:before="40" w:after="40"/>
      <w:textAlignment w:val="baseline"/>
    </w:pPr>
    <w:rPr>
      <w:rFonts w:cs="宋体"/>
      <w:kern w:val="0"/>
      <w:szCs w:val="28"/>
    </w:rPr>
  </w:style>
  <w:style w:type="paragraph" w:customStyle="1" w:styleId="1037">
    <w:name w:val="Char Char"/>
    <w:basedOn w:val="1"/>
    <w:qFormat/>
    <w:uiPriority w:val="0"/>
    <w:rPr>
      <w:rFonts w:ascii="宋体" w:hAnsi="宋体" w:cs="宋体"/>
      <w:szCs w:val="24"/>
    </w:rPr>
  </w:style>
  <w:style w:type="paragraph" w:customStyle="1" w:styleId="1038">
    <w:name w:val="正文格式"/>
    <w:basedOn w:val="1"/>
    <w:qFormat/>
    <w:uiPriority w:val="0"/>
    <w:pPr>
      <w:ind w:firstLine="482" w:firstLineChars="0"/>
    </w:pPr>
    <w:rPr>
      <w:rFonts w:ascii="宋体" w:cs="宋体"/>
      <w:szCs w:val="24"/>
    </w:rPr>
  </w:style>
  <w:style w:type="paragraph" w:customStyle="1" w:styleId="1039">
    <w:name w:val="正文文本缩进 211"/>
    <w:basedOn w:val="1"/>
    <w:qFormat/>
    <w:uiPriority w:val="0"/>
    <w:pPr>
      <w:adjustRightInd w:val="0"/>
      <w:ind w:firstLine="480" w:firstLineChars="0"/>
      <w:textAlignment w:val="baseline"/>
    </w:pPr>
    <w:rPr>
      <w:rFonts w:ascii="宋体"/>
      <w:kern w:val="0"/>
    </w:rPr>
  </w:style>
  <w:style w:type="paragraph" w:customStyle="1" w:styleId="1040">
    <w:name w:val="正文文本缩进11"/>
    <w:basedOn w:val="1"/>
    <w:qFormat/>
    <w:uiPriority w:val="0"/>
    <w:pPr>
      <w:ind w:firstLine="480" w:firstLineChars="204"/>
    </w:pPr>
  </w:style>
  <w:style w:type="paragraph" w:customStyle="1" w:styleId="1041">
    <w:name w:val="Char Char Char Char Char Char Char Char Char1 Char Char Char Char Char Char Char Char Char Char3"/>
    <w:basedOn w:val="1"/>
    <w:semiHidden/>
    <w:qFormat/>
    <w:uiPriority w:val="0"/>
    <w:pPr>
      <w:spacing w:line="240" w:lineRule="auto"/>
      <w:ind w:firstLine="0" w:firstLineChars="0"/>
    </w:pPr>
    <w:rPr>
      <w:rFonts w:ascii="宋体" w:hAnsi="宋体" w:cs="Courier New"/>
      <w:sz w:val="32"/>
      <w:szCs w:val="32"/>
    </w:rPr>
  </w:style>
  <w:style w:type="paragraph" w:customStyle="1" w:styleId="1042">
    <w:name w:val="Char Char Char Char2"/>
    <w:basedOn w:val="7"/>
    <w:qFormat/>
    <w:uiPriority w:val="0"/>
    <w:pPr>
      <w:tabs>
        <w:tab w:val="left" w:pos="360"/>
        <w:tab w:val="left" w:pos="900"/>
      </w:tabs>
      <w:snapToGrid w:val="0"/>
      <w:spacing w:before="120" w:after="120"/>
      <w:ind w:left="542" w:leftChars="-12" w:firstLine="200" w:firstLineChars="200"/>
    </w:pPr>
    <w:rPr>
      <w:rFonts w:eastAsia="黑体"/>
      <w:b w:val="0"/>
      <w:snapToGrid w:val="0"/>
      <w:kern w:val="2"/>
      <w:szCs w:val="24"/>
    </w:rPr>
  </w:style>
  <w:style w:type="paragraph" w:customStyle="1" w:styleId="1043">
    <w:name w:val="引言"/>
    <w:basedOn w:val="1"/>
    <w:next w:val="1"/>
    <w:qFormat/>
    <w:uiPriority w:val="0"/>
    <w:pPr>
      <w:autoSpaceDE w:val="0"/>
      <w:autoSpaceDN w:val="0"/>
      <w:adjustRightInd w:val="0"/>
      <w:spacing w:line="480" w:lineRule="exact"/>
      <w:ind w:firstLine="0" w:firstLineChars="0"/>
      <w:jc w:val="center"/>
    </w:pPr>
    <w:rPr>
      <w:sz w:val="21"/>
      <w:szCs w:val="21"/>
    </w:rPr>
  </w:style>
  <w:style w:type="paragraph" w:customStyle="1" w:styleId="1044">
    <w:name w:val="三级"/>
    <w:basedOn w:val="7"/>
    <w:qFormat/>
    <w:uiPriority w:val="0"/>
    <w:pPr>
      <w:spacing w:before="156" w:beforeLines="50" w:after="156" w:afterLines="50"/>
      <w:jc w:val="both"/>
    </w:pPr>
    <w:rPr>
      <w:rFonts w:ascii="宋体" w:hAnsi="宋体"/>
      <w:kern w:val="2"/>
    </w:rPr>
  </w:style>
  <w:style w:type="paragraph" w:customStyle="1" w:styleId="1045">
    <w:name w:val="xl77"/>
    <w:basedOn w:val="1"/>
    <w:qFormat/>
    <w:uiPriority w:val="0"/>
    <w:pPr>
      <w:widowControl/>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FF"/>
      <w:kern w:val="0"/>
      <w:sz w:val="20"/>
    </w:rPr>
  </w:style>
  <w:style w:type="paragraph" w:customStyle="1" w:styleId="1046">
    <w:name w:val="四级标题"/>
    <w:basedOn w:val="9"/>
    <w:qFormat/>
    <w:uiPriority w:val="0"/>
    <w:pPr>
      <w:spacing w:before="156" w:beforeLines="50" w:after="156" w:afterLines="50"/>
    </w:pPr>
    <w:rPr>
      <w:rFonts w:ascii="宋体" w:hAnsi="宋体" w:eastAsia="宋体"/>
      <w:kern w:val="2"/>
    </w:rPr>
  </w:style>
  <w:style w:type="paragraph" w:customStyle="1" w:styleId="1047">
    <w:name w:val="1-1-1    表标题"/>
    <w:basedOn w:val="23"/>
    <w:qFormat/>
    <w:uiPriority w:val="0"/>
  </w:style>
  <w:style w:type="paragraph" w:customStyle="1" w:styleId="1048">
    <w:name w:val="表头+times new roma"/>
    <w:basedOn w:val="1"/>
    <w:qFormat/>
    <w:uiPriority w:val="0"/>
    <w:rPr>
      <w:rFonts w:cs="宋体"/>
      <w:szCs w:val="24"/>
    </w:rPr>
  </w:style>
  <w:style w:type="paragraph" w:customStyle="1" w:styleId="1049">
    <w:name w:val="报告书正文 Char Char Char Char Char Char Char Char Char Char Char Char Char"/>
    <w:basedOn w:val="1"/>
    <w:qFormat/>
    <w:uiPriority w:val="0"/>
    <w:pPr>
      <w:spacing w:line="300" w:lineRule="auto"/>
      <w:ind w:firstLine="480"/>
    </w:pPr>
    <w:rPr>
      <w:rFonts w:ascii="宋体"/>
      <w:color w:val="000000"/>
    </w:rPr>
  </w:style>
  <w:style w:type="paragraph" w:customStyle="1" w:styleId="1050">
    <w:name w:val="样式63"/>
    <w:basedOn w:val="255"/>
    <w:qFormat/>
    <w:uiPriority w:val="0"/>
    <w:pPr>
      <w:tabs>
        <w:tab w:val="clear" w:pos="1571"/>
      </w:tabs>
      <w:ind w:left="-2" w:leftChars="-1" w:hanging="1"/>
    </w:pPr>
  </w:style>
  <w:style w:type="paragraph" w:customStyle="1" w:styleId="1051">
    <w:name w:val="环科院标题4"/>
    <w:basedOn w:val="1"/>
    <w:semiHidden/>
    <w:qFormat/>
    <w:uiPriority w:val="0"/>
    <w:pPr>
      <w:ind w:firstLine="0" w:firstLineChars="0"/>
    </w:pPr>
    <w:rPr>
      <w:rFonts w:hAnsi="宋体"/>
      <w:color w:val="000000"/>
      <w:szCs w:val="24"/>
    </w:rPr>
  </w:style>
  <w:style w:type="paragraph" w:customStyle="1" w:styleId="1052">
    <w:name w:val="Char Char Char Char Char Char Char Char Char1 Char Char Char Char Char Char Char Char Char Char"/>
    <w:basedOn w:val="1"/>
    <w:semiHidden/>
    <w:qFormat/>
    <w:uiPriority w:val="0"/>
    <w:pPr>
      <w:spacing w:line="240" w:lineRule="auto"/>
      <w:ind w:firstLine="0" w:firstLineChars="0"/>
    </w:pPr>
    <w:rPr>
      <w:rFonts w:ascii="宋体" w:hAnsi="宋体" w:cs="Courier New"/>
      <w:sz w:val="32"/>
      <w:szCs w:val="32"/>
    </w:rPr>
  </w:style>
  <w:style w:type="paragraph" w:customStyle="1" w:styleId="1053">
    <w:name w:val="影响评价正文"/>
    <w:basedOn w:val="1"/>
    <w:qFormat/>
    <w:uiPriority w:val="0"/>
    <w:pPr>
      <w:spacing w:line="400" w:lineRule="exact"/>
      <w:ind w:firstLine="567" w:firstLineChars="0"/>
    </w:pPr>
    <w:rPr>
      <w:snapToGrid w:val="0"/>
      <w:spacing w:val="4"/>
      <w:kern w:val="0"/>
    </w:rPr>
  </w:style>
  <w:style w:type="paragraph" w:customStyle="1" w:styleId="1054">
    <w:name w:val="乙炔样式"/>
    <w:basedOn w:val="5"/>
    <w:next w:val="38"/>
    <w:qFormat/>
    <w:uiPriority w:val="0"/>
    <w:pPr>
      <w:numPr>
        <w:numId w:val="0"/>
      </w:numPr>
      <w:spacing w:before="0" w:after="0" w:line="324" w:lineRule="auto"/>
    </w:pPr>
    <w:rPr>
      <w:rFonts w:ascii="Times New Roman"/>
      <w:bCs/>
      <w:kern w:val="44"/>
      <w:sz w:val="32"/>
      <w:szCs w:val="32"/>
    </w:rPr>
  </w:style>
  <w:style w:type="paragraph" w:customStyle="1" w:styleId="1055">
    <w:name w:val="目录 12"/>
    <w:basedOn w:val="578"/>
    <w:next w:val="578"/>
    <w:qFormat/>
    <w:uiPriority w:val="0"/>
    <w:pPr>
      <w:tabs>
        <w:tab w:val="right" w:leader="dot" w:pos="8306"/>
      </w:tabs>
      <w:spacing w:before="120" w:after="120"/>
      <w:jc w:val="both"/>
    </w:pPr>
    <w:rPr>
      <w:caps/>
      <w:sz w:val="30"/>
    </w:rPr>
  </w:style>
  <w:style w:type="paragraph" w:customStyle="1" w:styleId="1056">
    <w:name w:val="目录 22"/>
    <w:basedOn w:val="1055"/>
    <w:next w:val="578"/>
    <w:qFormat/>
    <w:uiPriority w:val="0"/>
    <w:pPr>
      <w:ind w:left="454"/>
    </w:pPr>
    <w:rPr>
      <w:caps w:val="0"/>
      <w:smallCaps/>
      <w:sz w:val="28"/>
    </w:rPr>
  </w:style>
  <w:style w:type="paragraph" w:customStyle="1" w:styleId="1057">
    <w:name w:val="xl57"/>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1058">
    <w:name w:val="样式 标题 3"/>
    <w:basedOn w:val="7"/>
    <w:qFormat/>
    <w:uiPriority w:val="0"/>
    <w:pPr>
      <w:tabs>
        <w:tab w:val="left" w:pos="1260"/>
      </w:tabs>
      <w:spacing w:before="80" w:after="80"/>
      <w:ind w:left="1260" w:hanging="420"/>
      <w:jc w:val="both"/>
    </w:pPr>
    <w:rPr>
      <w:rFonts w:ascii="黑体" w:eastAsia="黑体" w:cs="宋体"/>
      <w:bCs/>
      <w:color w:val="0000FF"/>
      <w:kern w:val="2"/>
    </w:rPr>
  </w:style>
  <w:style w:type="paragraph" w:customStyle="1" w:styleId="1059">
    <w:name w:val="字元 字元 Char Char 字元 字元1"/>
    <w:basedOn w:val="1"/>
    <w:qFormat/>
    <w:uiPriority w:val="0"/>
    <w:pPr>
      <w:spacing w:line="240" w:lineRule="auto"/>
      <w:ind w:firstLine="0" w:firstLineChars="0"/>
    </w:pPr>
    <w:rPr>
      <w:sz w:val="21"/>
      <w:szCs w:val="24"/>
    </w:rPr>
  </w:style>
  <w:style w:type="paragraph" w:customStyle="1" w:styleId="1060">
    <w:name w:val="样式 文本正文 + 首行缩进:  2 字符3"/>
    <w:basedOn w:val="1"/>
    <w:qFormat/>
    <w:uiPriority w:val="0"/>
    <w:pPr>
      <w:autoSpaceDE w:val="0"/>
      <w:autoSpaceDN w:val="0"/>
      <w:adjustRightInd w:val="0"/>
      <w:ind w:firstLine="496"/>
      <w:textAlignment w:val="baseline"/>
    </w:pPr>
    <w:rPr>
      <w:rFonts w:ascii="宋体" w:hAnsi="宋体" w:cs="宋体"/>
      <w:snapToGrid w:val="0"/>
      <w:color w:val="000000"/>
      <w:kern w:val="21"/>
      <w:szCs w:val="22"/>
    </w:rPr>
  </w:style>
  <w:style w:type="paragraph" w:customStyle="1" w:styleId="1061">
    <w:name w:val="样式 乙炔样式2 + 加粗"/>
    <w:basedOn w:val="1"/>
    <w:qFormat/>
    <w:uiPriority w:val="0"/>
    <w:pPr>
      <w:keepNext/>
      <w:keepLines/>
      <w:spacing w:before="156" w:beforeLines="50" w:after="156" w:afterLines="50" w:line="324" w:lineRule="auto"/>
      <w:ind w:firstLine="0" w:firstLineChars="0"/>
      <w:outlineLvl w:val="1"/>
    </w:pPr>
    <w:rPr>
      <w:rFonts w:ascii="Arial" w:hAnsi="Arial" w:eastAsia="黑体"/>
      <w:b/>
      <w:bCs/>
      <w:szCs w:val="32"/>
    </w:rPr>
  </w:style>
  <w:style w:type="paragraph" w:customStyle="1" w:styleId="1062">
    <w:name w:val="样式 文章正文 + 小四 Char"/>
    <w:basedOn w:val="271"/>
    <w:qFormat/>
    <w:uiPriority w:val="0"/>
    <w:pPr>
      <w:spacing w:before="156" w:beforeLines="50" w:after="156" w:afterLines="50" w:line="360" w:lineRule="auto"/>
      <w:ind w:firstLine="480"/>
      <w:jc w:val="both"/>
    </w:pPr>
    <w:rPr>
      <w:szCs w:val="20"/>
    </w:rPr>
  </w:style>
  <w:style w:type="paragraph" w:customStyle="1" w:styleId="1063">
    <w:name w:val="样式38"/>
    <w:basedOn w:val="920"/>
    <w:qFormat/>
    <w:uiPriority w:val="0"/>
  </w:style>
  <w:style w:type="paragraph" w:customStyle="1" w:styleId="1064">
    <w:name w:val="文章大标题"/>
    <w:basedOn w:val="1"/>
    <w:qFormat/>
    <w:uiPriority w:val="0"/>
    <w:pPr>
      <w:spacing w:before="312" w:beforeLines="100" w:after="312" w:afterLines="100" w:line="520" w:lineRule="exact"/>
      <w:ind w:firstLine="0" w:firstLineChars="0"/>
      <w:jc w:val="center"/>
      <w:outlineLvl w:val="0"/>
    </w:pPr>
    <w:rPr>
      <w:rFonts w:eastAsia="黑体" w:cs="宋体"/>
      <w:sz w:val="36"/>
    </w:rPr>
  </w:style>
  <w:style w:type="paragraph" w:customStyle="1" w:styleId="1065">
    <w:name w:val="我的样式1"/>
    <w:basedOn w:val="5"/>
    <w:qFormat/>
    <w:uiPriority w:val="0"/>
    <w:pPr>
      <w:numPr>
        <w:numId w:val="0"/>
      </w:numPr>
      <w:spacing w:before="0" w:after="0" w:line="240" w:lineRule="auto"/>
    </w:pPr>
    <w:rPr>
      <w:rFonts w:ascii="Times New Roman"/>
      <w:bCs/>
      <w:kern w:val="44"/>
      <w:sz w:val="32"/>
      <w:szCs w:val="32"/>
    </w:rPr>
  </w:style>
  <w:style w:type="paragraph" w:customStyle="1" w:styleId="1066">
    <w:name w:val="标题 52"/>
    <w:basedOn w:val="578"/>
    <w:next w:val="578"/>
    <w:qFormat/>
    <w:uiPriority w:val="0"/>
    <w:pPr>
      <w:keepNext/>
      <w:keepLines/>
      <w:spacing w:before="280" w:after="290" w:line="376" w:lineRule="atLeast"/>
      <w:jc w:val="both"/>
    </w:pPr>
    <w:rPr>
      <w:b/>
      <w:sz w:val="28"/>
    </w:rPr>
  </w:style>
  <w:style w:type="paragraph" w:customStyle="1" w:styleId="1067">
    <w:name w:val="样式 标题 2 + 首行缩进:  2 字符"/>
    <w:basedOn w:val="6"/>
    <w:qFormat/>
    <w:uiPriority w:val="0"/>
    <w:pPr>
      <w:tabs>
        <w:tab w:val="left" w:pos="860"/>
      </w:tabs>
      <w:spacing w:before="0" w:after="0" w:line="300" w:lineRule="auto"/>
      <w:ind w:left="860" w:hanging="680"/>
      <w:jc w:val="both"/>
    </w:pPr>
    <w:rPr>
      <w:rFonts w:ascii="Arial" w:hAnsi="Arial" w:eastAsia="黑体"/>
      <w:b w:val="0"/>
      <w:kern w:val="2"/>
      <w:sz w:val="30"/>
    </w:rPr>
  </w:style>
  <w:style w:type="paragraph" w:customStyle="1" w:styleId="1068">
    <w:name w:val="Char Char Char Char Char Char Char Char1 Char Char Char Char8"/>
    <w:basedOn w:val="1"/>
    <w:qFormat/>
    <w:uiPriority w:val="0"/>
    <w:pPr>
      <w:spacing w:line="240" w:lineRule="auto"/>
      <w:ind w:firstLine="0" w:firstLineChars="0"/>
    </w:pPr>
    <w:rPr>
      <w:sz w:val="21"/>
      <w:szCs w:val="24"/>
    </w:rPr>
  </w:style>
  <w:style w:type="paragraph" w:customStyle="1" w:styleId="1069">
    <w:name w:val="Char Char Char3"/>
    <w:basedOn w:val="1"/>
    <w:qFormat/>
    <w:uiPriority w:val="0"/>
    <w:pPr>
      <w:spacing w:line="240" w:lineRule="auto"/>
      <w:ind w:firstLine="0" w:firstLineChars="0"/>
    </w:pPr>
    <w:rPr>
      <w:rFonts w:ascii="Tahoma" w:hAnsi="Tahoma"/>
      <w:szCs w:val="24"/>
    </w:rPr>
  </w:style>
  <w:style w:type="paragraph" w:customStyle="1" w:styleId="1070">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kern w:val="0"/>
      <w:sz w:val="20"/>
    </w:rPr>
  </w:style>
  <w:style w:type="paragraph" w:customStyle="1" w:styleId="1071">
    <w:name w:val="正文格式 Char Char"/>
    <w:basedOn w:val="1"/>
    <w:qFormat/>
    <w:uiPriority w:val="0"/>
    <w:pPr>
      <w:ind w:firstLine="482" w:firstLineChars="0"/>
    </w:pPr>
    <w:rPr>
      <w:rFonts w:ascii="宋体" w:cs="宋体"/>
      <w:szCs w:val="24"/>
    </w:rPr>
  </w:style>
  <w:style w:type="paragraph" w:customStyle="1" w:styleId="1072">
    <w:name w:val="样式 正文首行缩进 1 字符"/>
    <w:basedOn w:val="81"/>
    <w:qFormat/>
    <w:uiPriority w:val="0"/>
    <w:pPr>
      <w:spacing w:after="0" w:line="400" w:lineRule="exact"/>
      <w:ind w:firstLine="480" w:firstLineChars="200"/>
    </w:pPr>
    <w:rPr>
      <w:rFonts w:ascii="宋体"/>
      <w:szCs w:val="24"/>
    </w:rPr>
  </w:style>
  <w:style w:type="paragraph" w:customStyle="1" w:styleId="1073">
    <w:name w:val="a表头"/>
    <w:basedOn w:val="1"/>
    <w:semiHidden/>
    <w:qFormat/>
    <w:uiPriority w:val="0"/>
    <w:pPr>
      <w:snapToGrid w:val="0"/>
      <w:spacing w:line="240" w:lineRule="auto"/>
      <w:ind w:firstLine="0" w:firstLineChars="0"/>
      <w:jc w:val="center"/>
    </w:pPr>
    <w:rPr>
      <w:rFonts w:eastAsia="黑体"/>
      <w:szCs w:val="24"/>
    </w:rPr>
  </w:style>
  <w:style w:type="paragraph" w:customStyle="1" w:styleId="1074">
    <w:name w:val="样式 正文文本缩进 3正文文字缩进 3 + 首行缩进:  1.18 厘米"/>
    <w:basedOn w:val="1"/>
    <w:qFormat/>
    <w:uiPriority w:val="0"/>
    <w:pPr>
      <w:tabs>
        <w:tab w:val="left" w:pos="1620"/>
      </w:tabs>
      <w:adjustRightInd w:val="0"/>
      <w:snapToGrid w:val="0"/>
      <w:spacing w:before="40" w:after="40" w:line="276" w:lineRule="auto"/>
      <w:ind w:left="-37" w:firstLine="667" w:firstLineChars="0"/>
    </w:pPr>
    <w:rPr>
      <w:rFonts w:ascii="Arial" w:hAnsi="Arial" w:cs="宋体"/>
      <w:snapToGrid w:val="0"/>
      <w:color w:val="000000"/>
      <w:spacing w:val="6"/>
      <w:kern w:val="28"/>
    </w:rPr>
  </w:style>
  <w:style w:type="paragraph" w:customStyle="1" w:styleId="1075">
    <w:name w:val="Char Char Char13"/>
    <w:basedOn w:val="1"/>
    <w:qFormat/>
    <w:uiPriority w:val="0"/>
    <w:pPr>
      <w:spacing w:line="240" w:lineRule="auto"/>
      <w:ind w:firstLine="0" w:firstLineChars="0"/>
    </w:pPr>
    <w:rPr>
      <w:szCs w:val="24"/>
    </w:rPr>
  </w:style>
  <w:style w:type="paragraph" w:customStyle="1" w:styleId="1076">
    <w:name w:val="样式 样式 小四 段前: 7.8 磅 段后: 7.8 磅 行距: 1.5 倍行距 + 首行缩进:  2 字符"/>
    <w:basedOn w:val="1"/>
    <w:qFormat/>
    <w:uiPriority w:val="0"/>
    <w:pPr>
      <w:adjustRightInd w:val="0"/>
      <w:snapToGrid w:val="0"/>
      <w:ind w:firstLine="480"/>
    </w:pPr>
    <w:rPr>
      <w:snapToGrid w:val="0"/>
      <w:color w:val="008080"/>
      <w:kern w:val="0"/>
      <w:szCs w:val="24"/>
    </w:rPr>
  </w:style>
  <w:style w:type="paragraph" w:customStyle="1" w:styleId="1077">
    <w:name w:val="表内字体"/>
    <w:basedOn w:val="1"/>
    <w:semiHidden/>
    <w:qFormat/>
    <w:uiPriority w:val="0"/>
    <w:pPr>
      <w:tabs>
        <w:tab w:val="left" w:pos="0"/>
      </w:tabs>
      <w:snapToGrid w:val="0"/>
      <w:spacing w:line="240" w:lineRule="auto"/>
      <w:ind w:firstLine="0" w:firstLineChars="0"/>
      <w:jc w:val="center"/>
    </w:pPr>
    <w:rPr>
      <w:sz w:val="18"/>
    </w:rPr>
  </w:style>
  <w:style w:type="paragraph" w:customStyle="1" w:styleId="1078">
    <w:name w:val="表头文字"/>
    <w:basedOn w:val="1"/>
    <w:qFormat/>
    <w:uiPriority w:val="0"/>
    <w:pPr>
      <w:spacing w:before="312" w:beforeLines="100" w:line="400" w:lineRule="exact"/>
      <w:ind w:firstLine="0" w:firstLineChars="0"/>
      <w:jc w:val="center"/>
    </w:pPr>
    <w:rPr>
      <w:rFonts w:ascii="黑体" w:hAnsi="宋体" w:eastAsia="黑体"/>
    </w:rPr>
  </w:style>
  <w:style w:type="paragraph" w:customStyle="1" w:styleId="1079">
    <w:name w:val="黑宋体"/>
    <w:basedOn w:val="9"/>
    <w:qFormat/>
    <w:uiPriority w:val="0"/>
    <w:pPr>
      <w:adjustRightInd w:val="0"/>
      <w:snapToGrid w:val="0"/>
      <w:ind w:firstLine="482" w:firstLineChars="200"/>
      <w:textAlignment w:val="baseline"/>
      <w:outlineLvl w:val="9"/>
    </w:pPr>
    <w:rPr>
      <w:rFonts w:ascii="宋体" w:eastAsia="宋体"/>
      <w:b/>
      <w:color w:val="000000"/>
      <w:kern w:val="2"/>
    </w:rPr>
  </w:style>
  <w:style w:type="paragraph" w:customStyle="1" w:styleId="1080">
    <w:name w:val="font14"/>
    <w:basedOn w:val="1"/>
    <w:qFormat/>
    <w:uiPriority w:val="0"/>
    <w:pPr>
      <w:widowControl/>
      <w:spacing w:before="100" w:beforeAutospacing="1" w:after="100" w:afterAutospacing="1" w:line="240" w:lineRule="auto"/>
      <w:ind w:firstLine="0" w:firstLineChars="0"/>
      <w:jc w:val="left"/>
    </w:pPr>
    <w:rPr>
      <w:rFonts w:eastAsia="Arial Unicode MS"/>
      <w:color w:val="0000FF"/>
      <w:kern w:val="0"/>
      <w:sz w:val="20"/>
    </w:rPr>
  </w:style>
  <w:style w:type="paragraph" w:customStyle="1" w:styleId="1081">
    <w:name w:val="文档结构图1"/>
    <w:basedOn w:val="1"/>
    <w:qFormat/>
    <w:uiPriority w:val="0"/>
    <w:pPr>
      <w:shd w:val="clear" w:color="auto" w:fill="000080"/>
      <w:adjustRightInd w:val="0"/>
      <w:spacing w:line="240" w:lineRule="auto"/>
      <w:ind w:firstLine="0" w:firstLineChars="0"/>
      <w:textAlignment w:val="baseline"/>
    </w:pPr>
    <w:rPr>
      <w:sz w:val="21"/>
    </w:rPr>
  </w:style>
  <w:style w:type="paragraph" w:customStyle="1" w:styleId="1082">
    <w:name w:val="中文报告书"/>
    <w:basedOn w:val="1"/>
    <w:qFormat/>
    <w:uiPriority w:val="0"/>
    <w:pPr>
      <w:adjustRightInd w:val="0"/>
      <w:snapToGrid w:val="0"/>
      <w:spacing w:before="60" w:after="80" w:line="420" w:lineRule="atLeast"/>
      <w:ind w:firstLine="567" w:firstLineChars="0"/>
      <w:textAlignment w:val="baseline"/>
    </w:pPr>
    <w:rPr>
      <w:kern w:val="0"/>
    </w:rPr>
  </w:style>
  <w:style w:type="paragraph" w:customStyle="1" w:styleId="1083">
    <w:name w:val="样式 正文文本 + 首行缩进:  2 字符"/>
    <w:basedOn w:val="33"/>
    <w:qFormat/>
    <w:uiPriority w:val="0"/>
    <w:pPr>
      <w:autoSpaceDE w:val="0"/>
      <w:autoSpaceDN w:val="0"/>
      <w:adjustRightInd w:val="0"/>
      <w:snapToGrid w:val="0"/>
      <w:spacing w:after="0" w:line="490" w:lineRule="exact"/>
      <w:ind w:firstLine="566"/>
      <w:textAlignment w:val="bottom"/>
    </w:pPr>
    <w:rPr>
      <w:rFonts w:eastAsia="仿宋_GB2312"/>
      <w:spacing w:val="-4"/>
      <w:sz w:val="28"/>
      <w:szCs w:val="28"/>
    </w:rPr>
  </w:style>
  <w:style w:type="paragraph" w:customStyle="1" w:styleId="1084">
    <w:name w:val="xl62"/>
    <w:basedOn w:val="1"/>
    <w:qFormat/>
    <w:uiPriority w:val="0"/>
    <w:pPr>
      <w:widowControl/>
      <w:pBdr>
        <w:bottom w:val="single" w:color="auto" w:sz="4" w:space="0"/>
      </w:pBdr>
      <w:adjustRightInd w:val="0"/>
      <w:snapToGrid w:val="0"/>
      <w:spacing w:before="100" w:after="100" w:line="500" w:lineRule="exact"/>
      <w:ind w:firstLine="0" w:firstLineChars="0"/>
      <w:jc w:val="center"/>
    </w:pPr>
    <w:rPr>
      <w:rFonts w:hint="eastAsia" w:ascii="宋体" w:hAnsi="宋体"/>
      <w:kern w:val="0"/>
    </w:rPr>
  </w:style>
  <w:style w:type="paragraph" w:customStyle="1" w:styleId="1085">
    <w:name w:val="无缩进正文"/>
    <w:basedOn w:val="1"/>
    <w:qFormat/>
    <w:uiPriority w:val="0"/>
    <w:pPr>
      <w:adjustRightInd w:val="0"/>
      <w:snapToGrid w:val="0"/>
      <w:spacing w:line="288" w:lineRule="auto"/>
      <w:ind w:firstLine="0" w:firstLineChars="0"/>
      <w:jc w:val="center"/>
    </w:pPr>
    <w:rPr>
      <w:kern w:val="0"/>
      <w:sz w:val="21"/>
    </w:rPr>
  </w:style>
  <w:style w:type="paragraph" w:customStyle="1" w:styleId="1086">
    <w:name w:val="报告书表格标题"/>
    <w:basedOn w:val="1"/>
    <w:qFormat/>
    <w:uiPriority w:val="0"/>
    <w:pPr>
      <w:spacing w:line="324" w:lineRule="auto"/>
      <w:ind w:firstLine="480"/>
      <w:textAlignment w:val="center"/>
    </w:pPr>
    <w:rPr>
      <w:szCs w:val="24"/>
    </w:rPr>
  </w:style>
  <w:style w:type="paragraph" w:customStyle="1" w:styleId="1087">
    <w:name w:val="图头"/>
    <w:next w:val="1"/>
    <w:qFormat/>
    <w:uiPriority w:val="0"/>
    <w:pPr>
      <w:tabs>
        <w:tab w:val="left" w:pos="360"/>
        <w:tab w:val="left" w:pos="1470"/>
      </w:tabs>
      <w:adjustRightInd w:val="0"/>
      <w:spacing w:before="156" w:beforeLines="50" w:after="156" w:afterLines="50"/>
      <w:ind w:left="360" w:hanging="360"/>
      <w:jc w:val="center"/>
    </w:pPr>
    <w:rPr>
      <w:rFonts w:ascii="Times New Roman" w:hAnsi="Times New Roman" w:eastAsia="宋体" w:cs="Times New Roman"/>
      <w:spacing w:val="10"/>
      <w:sz w:val="24"/>
      <w:lang w:val="en-US" w:eastAsia="zh-CN" w:bidi="ar-SA"/>
    </w:rPr>
  </w:style>
  <w:style w:type="paragraph" w:customStyle="1" w:styleId="1088">
    <w:name w:val="表格左对齐"/>
    <w:basedOn w:val="3"/>
    <w:qFormat/>
    <w:uiPriority w:val="0"/>
    <w:pPr>
      <w:adjustRightInd w:val="0"/>
      <w:snapToGrid w:val="0"/>
      <w:spacing w:after="0" w:line="240" w:lineRule="auto"/>
      <w:ind w:left="0" w:leftChars="0" w:firstLine="0" w:firstLineChars="0"/>
    </w:pPr>
    <w:rPr>
      <w:sz w:val="28"/>
    </w:rPr>
  </w:style>
  <w:style w:type="paragraph" w:customStyle="1" w:styleId="1089">
    <w:name w:val="样式 (西文) 仿宋_GB2312 首行缩进:  0.99 厘米"/>
    <w:basedOn w:val="1"/>
    <w:semiHidden/>
    <w:qFormat/>
    <w:uiPriority w:val="0"/>
    <w:pPr>
      <w:suppressAutoHyphens/>
      <w:ind w:firstLine="560" w:firstLineChars="0"/>
    </w:pPr>
    <w:rPr>
      <w:rFonts w:ascii="仿宋_GB2312" w:hAnsi="仿宋_GB2312" w:cs="宋体"/>
      <w:kern w:val="1"/>
      <w:lang w:eastAsia="ar-SA"/>
    </w:rPr>
  </w:style>
  <w:style w:type="paragraph" w:customStyle="1" w:styleId="1090">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1091">
    <w:name w:val="样式 标题 3标题 3XW3h33rd levelH3l3CT标题 3 Char标题 3XW Char标题 ..."/>
    <w:basedOn w:val="7"/>
    <w:qFormat/>
    <w:uiPriority w:val="0"/>
    <w:pPr>
      <w:tabs>
        <w:tab w:val="left" w:pos="709"/>
        <w:tab w:val="left" w:pos="780"/>
      </w:tabs>
      <w:spacing w:before="124" w:beforeLines="40" w:after="124" w:afterLines="40"/>
      <w:ind w:left="780" w:leftChars="200" w:right="238" w:hanging="360" w:hangingChars="200"/>
    </w:pPr>
    <w:rPr>
      <w:rFonts w:ascii="黑体" w:eastAsia="黑体" w:cs="宋体"/>
      <w:color w:val="000000"/>
      <w:kern w:val="0"/>
      <w:sz w:val="30"/>
      <w:szCs w:val="30"/>
    </w:rPr>
  </w:style>
  <w:style w:type="paragraph" w:customStyle="1" w:styleId="1092">
    <w:name w:val="表框2"/>
    <w:basedOn w:val="1"/>
    <w:qFormat/>
    <w:uiPriority w:val="0"/>
    <w:pPr>
      <w:pBdr>
        <w:top w:val="single" w:color="auto" w:sz="4" w:space="1"/>
        <w:left w:val="single" w:color="auto" w:sz="4" w:space="4"/>
        <w:bottom w:val="single" w:color="auto" w:sz="4" w:space="1"/>
        <w:right w:val="single" w:color="auto" w:sz="4" w:space="4"/>
      </w:pBdr>
      <w:adjustRightInd w:val="0"/>
      <w:snapToGrid w:val="0"/>
      <w:ind w:firstLine="0" w:firstLineChars="0"/>
    </w:pPr>
  </w:style>
  <w:style w:type="paragraph" w:customStyle="1" w:styleId="1093">
    <w:name w:val="font8"/>
    <w:basedOn w:val="1"/>
    <w:qFormat/>
    <w:uiPriority w:val="0"/>
    <w:pPr>
      <w:widowControl/>
      <w:spacing w:before="100" w:beforeAutospacing="1" w:after="100" w:afterAutospacing="1" w:line="240" w:lineRule="auto"/>
      <w:ind w:firstLine="0" w:firstLineChars="0"/>
      <w:jc w:val="left"/>
    </w:pPr>
    <w:rPr>
      <w:rFonts w:hint="eastAsia" w:ascii="楷体_GB2312" w:hAnsi="Arial Unicode MS" w:eastAsia="楷体_GB2312"/>
      <w:kern w:val="0"/>
      <w:sz w:val="16"/>
    </w:rPr>
  </w:style>
  <w:style w:type="paragraph" w:customStyle="1" w:styleId="1094">
    <w:name w:val="222"/>
    <w:basedOn w:val="910"/>
    <w:qFormat/>
    <w:uiPriority w:val="0"/>
    <w:pPr>
      <w:keepNext/>
      <w:keepLines/>
      <w:tabs>
        <w:tab w:val="left" w:pos="850"/>
      </w:tabs>
      <w:adjustRightInd/>
      <w:spacing w:before="50" w:after="50" w:line="360" w:lineRule="auto"/>
      <w:ind w:left="850" w:hanging="420"/>
      <w:outlineLvl w:val="1"/>
    </w:pPr>
    <w:rPr>
      <w:rFonts w:ascii="黑体" w:hAnsi="Arial" w:eastAsia="黑体"/>
      <w:b/>
      <w:color w:val="auto"/>
      <w:kern w:val="2"/>
    </w:rPr>
  </w:style>
  <w:style w:type="paragraph" w:customStyle="1" w:styleId="1095">
    <w:name w:val="Char Char21"/>
    <w:basedOn w:val="1"/>
    <w:qFormat/>
    <w:uiPriority w:val="0"/>
    <w:pPr>
      <w:tabs>
        <w:tab w:val="left" w:pos="870"/>
        <w:tab w:val="left" w:pos="987"/>
      </w:tabs>
      <w:ind w:left="870" w:hanging="390" w:firstLineChars="0"/>
    </w:pPr>
    <w:rPr>
      <w:rFonts w:ascii="宋体" w:hAnsi="宋体"/>
    </w:rPr>
  </w:style>
  <w:style w:type="paragraph" w:customStyle="1" w:styleId="1096">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kern w:val="0"/>
      <w:sz w:val="20"/>
    </w:rPr>
  </w:style>
  <w:style w:type="paragraph" w:customStyle="1" w:styleId="1097">
    <w:name w:val="k正文"/>
    <w:basedOn w:val="1"/>
    <w:semiHidden/>
    <w:qFormat/>
    <w:uiPriority w:val="0"/>
    <w:pPr>
      <w:adjustRightInd w:val="0"/>
      <w:snapToGrid w:val="0"/>
      <w:ind w:firstLine="539" w:firstLineChars="0"/>
    </w:pPr>
    <w:rPr>
      <w:rFonts w:eastAsia="仿宋_GB2312"/>
      <w:sz w:val="28"/>
    </w:rPr>
  </w:style>
  <w:style w:type="paragraph" w:customStyle="1" w:styleId="1098">
    <w:name w:val="表格3"/>
    <w:basedOn w:val="39"/>
    <w:qFormat/>
    <w:uiPriority w:val="0"/>
  </w:style>
  <w:style w:type="paragraph" w:customStyle="1" w:styleId="1099">
    <w:name w:val="font11"/>
    <w:basedOn w:val="1"/>
    <w:qFormat/>
    <w:uiPriority w:val="0"/>
    <w:pPr>
      <w:widowControl/>
      <w:spacing w:before="100" w:beforeAutospacing="1" w:after="100" w:afterAutospacing="1" w:line="240" w:lineRule="auto"/>
      <w:ind w:firstLine="0" w:firstLineChars="0"/>
      <w:jc w:val="left"/>
    </w:pPr>
    <w:rPr>
      <w:rFonts w:hint="eastAsia" w:ascii="宋体" w:hAnsi="宋体"/>
      <w:kern w:val="0"/>
      <w:sz w:val="12"/>
    </w:rPr>
  </w:style>
  <w:style w:type="paragraph" w:customStyle="1" w:styleId="1100">
    <w:name w:val="7表格(治)"/>
    <w:semiHidden/>
    <w:qFormat/>
    <w:uiPriority w:val="0"/>
    <w:pPr>
      <w:jc w:val="center"/>
    </w:pPr>
    <w:rPr>
      <w:rFonts w:ascii="Times New Roman" w:hAnsi="Times New Roman" w:eastAsia="楷体_GB2312" w:cs="Times New Roman"/>
      <w:sz w:val="21"/>
      <w:lang w:val="en-US" w:eastAsia="zh-CN" w:bidi="ar-SA"/>
    </w:rPr>
  </w:style>
  <w:style w:type="paragraph" w:customStyle="1" w:styleId="1101">
    <w:name w:val="修改后"/>
    <w:basedOn w:val="151"/>
    <w:qFormat/>
    <w:uiPriority w:val="0"/>
    <w:pPr>
      <w:spacing w:before="156" w:beforeLines="50" w:after="156" w:afterLines="50"/>
    </w:pPr>
    <w:rPr>
      <w:shd w:val="clear" w:color="auto" w:fill="00FFFF"/>
    </w:rPr>
  </w:style>
  <w:style w:type="paragraph" w:customStyle="1" w:styleId="1102">
    <w:name w:val="P"/>
    <w:basedOn w:val="1"/>
    <w:qFormat/>
    <w:uiPriority w:val="0"/>
    <w:pPr>
      <w:adjustRightInd w:val="0"/>
      <w:spacing w:line="420" w:lineRule="atLeast"/>
      <w:ind w:firstLine="567" w:firstLineChars="0"/>
      <w:textAlignment w:val="baseline"/>
    </w:pPr>
    <w:rPr>
      <w:rFonts w:ascii="宋体"/>
      <w:spacing w:val="30"/>
      <w:kern w:val="0"/>
    </w:rPr>
  </w:style>
  <w:style w:type="paragraph" w:customStyle="1" w:styleId="1103">
    <w:name w:val="正文(1)"/>
    <w:basedOn w:val="1"/>
    <w:qFormat/>
    <w:uiPriority w:val="0"/>
    <w:pPr>
      <w:tabs>
        <w:tab w:val="left" w:pos="0"/>
      </w:tabs>
      <w:adjustRightInd w:val="0"/>
      <w:snapToGrid w:val="0"/>
      <w:spacing w:before="31" w:beforeLines="10" w:line="240" w:lineRule="auto"/>
      <w:ind w:firstLine="0" w:firstLineChars="0"/>
      <w:jc w:val="center"/>
    </w:pPr>
    <w:rPr>
      <w:rFonts w:eastAsia="仿宋_GB2312"/>
      <w:snapToGrid w:val="0"/>
      <w:spacing w:val="-20"/>
      <w:sz w:val="18"/>
      <w:szCs w:val="21"/>
    </w:rPr>
  </w:style>
  <w:style w:type="paragraph" w:customStyle="1" w:styleId="1104">
    <w:name w:val="样式 标题 4款标题1.1.1.1标题 4XW Char标题 4XW Char Char标题 4 Char标题 4XW..."/>
    <w:basedOn w:val="9"/>
    <w:qFormat/>
    <w:uiPriority w:val="0"/>
    <w:pPr>
      <w:tabs>
        <w:tab w:val="left" w:pos="425"/>
        <w:tab w:val="left" w:pos="864"/>
      </w:tabs>
      <w:spacing w:before="31" w:beforeLines="10" w:after="31" w:afterLines="10"/>
      <w:ind w:left="425" w:right="238" w:hanging="425"/>
      <w:jc w:val="left"/>
    </w:pPr>
    <w:rPr>
      <w:rFonts w:eastAsia="宋体" w:cs="宋体"/>
      <w:b/>
      <w:bCs/>
      <w:kern w:val="0"/>
      <w:szCs w:val="24"/>
    </w:rPr>
  </w:style>
  <w:style w:type="paragraph" w:customStyle="1" w:styleId="1105">
    <w:name w:val="样式 标题 2标题 21标题 121节H2SeHead wsa2标题 1.1 + 黑体 四号 非加粗"/>
    <w:basedOn w:val="6"/>
    <w:qFormat/>
    <w:uiPriority w:val="0"/>
    <w:pPr>
      <w:tabs>
        <w:tab w:val="left" w:pos="936"/>
      </w:tabs>
      <w:spacing w:before="260" w:after="260" w:line="415" w:lineRule="auto"/>
      <w:ind w:left="945" w:hanging="420"/>
      <w:jc w:val="both"/>
    </w:pPr>
    <w:rPr>
      <w:rFonts w:ascii="黑体" w:hAnsi="黑体" w:eastAsia="黑体"/>
      <w:b w:val="0"/>
      <w:color w:val="000000"/>
      <w:kern w:val="2"/>
    </w:rPr>
  </w:style>
  <w:style w:type="paragraph" w:customStyle="1" w:styleId="1106">
    <w:name w:val="正文文本 22"/>
    <w:basedOn w:val="1"/>
    <w:qFormat/>
    <w:uiPriority w:val="0"/>
    <w:pPr>
      <w:adjustRightInd w:val="0"/>
      <w:snapToGrid w:val="0"/>
      <w:spacing w:before="60" w:after="60"/>
      <w:ind w:firstLine="570" w:firstLineChars="0"/>
      <w:jc w:val="left"/>
      <w:textAlignment w:val="baseline"/>
    </w:pPr>
    <w:rPr>
      <w:kern w:val="0"/>
      <w:sz w:val="28"/>
    </w:rPr>
  </w:style>
  <w:style w:type="paragraph" w:customStyle="1" w:styleId="1107">
    <w:name w:val="T表格1"/>
    <w:basedOn w:val="33"/>
    <w:qFormat/>
    <w:uiPriority w:val="0"/>
  </w:style>
  <w:style w:type="paragraph" w:customStyle="1" w:styleId="1108">
    <w:name w:val="图表头2"/>
    <w:basedOn w:val="1"/>
    <w:qFormat/>
    <w:uiPriority w:val="0"/>
    <w:pPr>
      <w:tabs>
        <w:tab w:val="left" w:pos="870"/>
      </w:tabs>
      <w:adjustRightInd w:val="0"/>
      <w:spacing w:line="240" w:lineRule="auto"/>
      <w:ind w:right="20" w:rightChars="20" w:firstLine="0" w:firstLineChars="0"/>
      <w:jc w:val="right"/>
      <w:textAlignment w:val="baseline"/>
    </w:pPr>
    <w:rPr>
      <w:rFonts w:ascii="黑体" w:eastAsia="黑体"/>
      <w:spacing w:val="5"/>
      <w:sz w:val="21"/>
    </w:rPr>
  </w:style>
  <w:style w:type="paragraph" w:customStyle="1" w:styleId="1109">
    <w:name w:val="表格编号"/>
    <w:basedOn w:val="1"/>
    <w:qFormat/>
    <w:uiPriority w:val="0"/>
    <w:pPr>
      <w:adjustRightInd w:val="0"/>
      <w:snapToGrid w:val="0"/>
      <w:spacing w:line="240" w:lineRule="auto"/>
      <w:ind w:firstLine="0" w:firstLineChars="0"/>
      <w:jc w:val="right"/>
    </w:pPr>
  </w:style>
  <w:style w:type="paragraph" w:customStyle="1" w:styleId="1110">
    <w:name w:val="font6"/>
    <w:basedOn w:val="1"/>
    <w:qFormat/>
    <w:uiPriority w:val="0"/>
    <w:pPr>
      <w:widowControl/>
      <w:spacing w:before="100" w:beforeAutospacing="1" w:after="100" w:afterAutospacing="1" w:line="240" w:lineRule="auto"/>
      <w:ind w:firstLine="0" w:firstLineChars="0"/>
      <w:jc w:val="left"/>
    </w:pPr>
    <w:rPr>
      <w:rFonts w:eastAsia="Arial Unicode MS"/>
      <w:kern w:val="0"/>
      <w:sz w:val="20"/>
    </w:rPr>
  </w:style>
  <w:style w:type="paragraph" w:customStyle="1" w:styleId="1111">
    <w:name w:val="字元 字元 Char Char 字元 字元15"/>
    <w:basedOn w:val="1"/>
    <w:qFormat/>
    <w:uiPriority w:val="0"/>
    <w:pPr>
      <w:spacing w:line="240" w:lineRule="auto"/>
      <w:ind w:firstLine="0" w:firstLineChars="0"/>
    </w:pPr>
    <w:rPr>
      <w:sz w:val="21"/>
      <w:szCs w:val="24"/>
    </w:rPr>
  </w:style>
  <w:style w:type="paragraph" w:customStyle="1" w:styleId="1112">
    <w:name w:val="环科所标题1"/>
    <w:basedOn w:val="1113"/>
    <w:semiHidden/>
    <w:qFormat/>
    <w:uiPriority w:val="0"/>
    <w:pPr>
      <w:tabs>
        <w:tab w:val="left" w:pos="425"/>
        <w:tab w:val="left" w:pos="3490"/>
      </w:tabs>
    </w:pPr>
    <w:rPr>
      <w:color w:val="auto"/>
    </w:rPr>
  </w:style>
  <w:style w:type="paragraph" w:customStyle="1" w:styleId="1113">
    <w:name w:val="环科院标题1"/>
    <w:basedOn w:val="5"/>
    <w:semiHidden/>
    <w:qFormat/>
    <w:uiPriority w:val="0"/>
    <w:pPr>
      <w:numPr>
        <w:numId w:val="0"/>
      </w:numPr>
      <w:spacing w:before="0" w:after="0"/>
      <w:jc w:val="both"/>
    </w:pPr>
    <w:rPr>
      <w:rFonts w:ascii="Times New Roman" w:eastAsia="华文中宋"/>
      <w:bCs/>
      <w:color w:val="000000"/>
      <w:kern w:val="44"/>
      <w:sz w:val="44"/>
      <w:szCs w:val="44"/>
    </w:rPr>
  </w:style>
  <w:style w:type="paragraph" w:customStyle="1" w:styleId="1114">
    <w:name w:val="9"/>
    <w:basedOn w:val="1"/>
    <w:next w:val="44"/>
    <w:qFormat/>
    <w:uiPriority w:val="0"/>
    <w:pPr>
      <w:spacing w:line="240" w:lineRule="auto"/>
      <w:ind w:firstLine="0" w:firstLineChars="0"/>
    </w:pPr>
    <w:rPr>
      <w:rFonts w:ascii="宋体" w:hAnsi="Courier New"/>
    </w:rPr>
  </w:style>
  <w:style w:type="paragraph" w:customStyle="1" w:styleId="1115">
    <w:name w:val="Char Char Char Char Char Char Char2"/>
    <w:basedOn w:val="1"/>
    <w:qFormat/>
    <w:uiPriority w:val="0"/>
    <w:pPr>
      <w:widowControl/>
      <w:spacing w:after="160" w:line="240" w:lineRule="exact"/>
      <w:ind w:firstLine="0" w:firstLineChars="0"/>
      <w:jc w:val="left"/>
    </w:pPr>
    <w:rPr>
      <w:rFonts w:ascii="Arial" w:hAnsi="Arial" w:eastAsia="Times New Roman" w:cs="Verdana"/>
      <w:b/>
      <w:kern w:val="0"/>
      <w:szCs w:val="24"/>
      <w:lang w:eastAsia="en-US"/>
    </w:rPr>
  </w:style>
  <w:style w:type="paragraph" w:customStyle="1" w:styleId="1116">
    <w:name w:val="Char Char Char Char Char Char Char Char1 Char Char Char Char6"/>
    <w:basedOn w:val="1"/>
    <w:qFormat/>
    <w:uiPriority w:val="0"/>
    <w:pPr>
      <w:spacing w:line="240" w:lineRule="auto"/>
      <w:ind w:firstLine="0" w:firstLineChars="0"/>
    </w:pPr>
    <w:rPr>
      <w:sz w:val="21"/>
      <w:szCs w:val="24"/>
    </w:rPr>
  </w:style>
  <w:style w:type="paragraph" w:customStyle="1" w:styleId="1117">
    <w:name w:val="样式44"/>
    <w:basedOn w:val="900"/>
    <w:qFormat/>
    <w:uiPriority w:val="0"/>
  </w:style>
  <w:style w:type="paragraph" w:customStyle="1" w:styleId="1118">
    <w:name w:val="album-div"/>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119">
    <w:name w:val="!标题3"/>
    <w:basedOn w:val="7"/>
    <w:next w:val="217"/>
    <w:qFormat/>
    <w:uiPriority w:val="0"/>
    <w:pPr>
      <w:keepNext w:val="0"/>
      <w:keepLines w:val="0"/>
      <w:spacing w:before="120" w:line="600" w:lineRule="exact"/>
      <w:ind w:firstLine="200" w:firstLineChars="200"/>
      <w:jc w:val="both"/>
    </w:pPr>
    <w:rPr>
      <w:rFonts w:eastAsia="仿宋_GB2312"/>
      <w:bCs/>
      <w:kern w:val="2"/>
      <w:sz w:val="28"/>
      <w:szCs w:val="32"/>
    </w:rPr>
  </w:style>
  <w:style w:type="paragraph" w:customStyle="1" w:styleId="1120">
    <w:name w:val="样式22"/>
    <w:basedOn w:val="1"/>
    <w:qFormat/>
    <w:uiPriority w:val="0"/>
    <w:pPr>
      <w:ind w:firstLine="480"/>
    </w:pPr>
    <w:rPr>
      <w:rFonts w:ascii="宋体"/>
    </w:rPr>
  </w:style>
  <w:style w:type="paragraph" w:customStyle="1" w:styleId="1121">
    <w:name w:val="表格文字 Char Char1"/>
    <w:basedOn w:val="1"/>
    <w:qFormat/>
    <w:uiPriority w:val="0"/>
    <w:pPr>
      <w:spacing w:line="360" w:lineRule="exact"/>
      <w:ind w:firstLine="0" w:firstLineChars="0"/>
      <w:jc w:val="center"/>
    </w:pPr>
    <w:rPr>
      <w:sz w:val="21"/>
    </w:rPr>
  </w:style>
  <w:style w:type="paragraph" w:customStyle="1" w:styleId="1122">
    <w:name w:val="样式4 Char"/>
    <w:basedOn w:val="1"/>
    <w:qFormat/>
    <w:uiPriority w:val="0"/>
    <w:pPr>
      <w:spacing w:line="520" w:lineRule="exact"/>
      <w:ind w:firstLine="536"/>
    </w:pPr>
    <w:rPr>
      <w:rFonts w:ascii="仿宋_GB2312" w:hAnsi="宋体" w:eastAsia="仿宋_GB2312" w:cs="宋体"/>
      <w:color w:val="000000"/>
      <w:sz w:val="28"/>
      <w:szCs w:val="28"/>
    </w:rPr>
  </w:style>
  <w:style w:type="paragraph" w:customStyle="1" w:styleId="1123">
    <w:name w:val="表格 Char Char"/>
    <w:basedOn w:val="1"/>
    <w:qFormat/>
    <w:uiPriority w:val="0"/>
    <w:pPr>
      <w:adjustRightInd w:val="0"/>
      <w:snapToGrid w:val="0"/>
      <w:spacing w:line="240" w:lineRule="auto"/>
      <w:ind w:firstLine="0" w:firstLineChars="0"/>
      <w:jc w:val="center"/>
    </w:pPr>
    <w:rPr>
      <w:rFonts w:ascii="宋体"/>
      <w:snapToGrid w:val="0"/>
      <w:spacing w:val="4"/>
      <w:w w:val="90"/>
      <w:kern w:val="0"/>
      <w:szCs w:val="24"/>
    </w:rPr>
  </w:style>
  <w:style w:type="paragraph" w:customStyle="1" w:styleId="1124">
    <w:name w:val="图"/>
    <w:basedOn w:val="1"/>
    <w:next w:val="1"/>
    <w:qFormat/>
    <w:uiPriority w:val="0"/>
    <w:pPr>
      <w:spacing w:line="240" w:lineRule="auto"/>
      <w:ind w:firstLine="0" w:firstLineChars="0"/>
      <w:jc w:val="center"/>
    </w:pPr>
    <w:rPr>
      <w:sz w:val="21"/>
      <w:szCs w:val="21"/>
    </w:rPr>
  </w:style>
  <w:style w:type="paragraph" w:customStyle="1" w:styleId="1125">
    <w:name w:val="标题 51"/>
    <w:basedOn w:val="335"/>
    <w:next w:val="335"/>
    <w:qFormat/>
    <w:uiPriority w:val="0"/>
    <w:pPr>
      <w:keepNext/>
      <w:keepLines/>
      <w:adjustRightInd w:val="0"/>
      <w:spacing w:before="280" w:after="290" w:line="376" w:lineRule="atLeast"/>
      <w:ind w:firstLine="0" w:firstLineChars="0"/>
      <w:textAlignment w:val="baseline"/>
    </w:pPr>
    <w:rPr>
      <w:rFonts w:ascii="宋体" w:hAnsi="Times New Roman"/>
      <w:b/>
      <w:kern w:val="0"/>
      <w:sz w:val="28"/>
      <w:szCs w:val="20"/>
    </w:rPr>
  </w:style>
  <w:style w:type="paragraph" w:customStyle="1" w:styleId="1126">
    <w:name w:val="样式10"/>
    <w:basedOn w:val="1105"/>
    <w:qFormat/>
    <w:uiPriority w:val="0"/>
    <w:pPr>
      <w:tabs>
        <w:tab w:val="left" w:pos="0"/>
        <w:tab w:val="left" w:pos="360"/>
        <w:tab w:val="left" w:pos="992"/>
        <w:tab w:val="clear" w:pos="936"/>
      </w:tabs>
      <w:spacing w:before="156" w:beforeLines="50" w:after="156" w:afterLines="50" w:line="360" w:lineRule="auto"/>
      <w:ind w:left="992" w:hanging="567"/>
    </w:pPr>
  </w:style>
  <w:style w:type="paragraph" w:customStyle="1" w:styleId="1127">
    <w:name w:val="p20"/>
    <w:basedOn w:val="1"/>
    <w:qFormat/>
    <w:uiPriority w:val="0"/>
    <w:pPr>
      <w:widowControl/>
      <w:spacing w:line="240" w:lineRule="auto"/>
      <w:ind w:firstLine="420" w:firstLineChars="0"/>
      <w:jc w:val="left"/>
    </w:pPr>
    <w:rPr>
      <w:kern w:val="0"/>
      <w:sz w:val="20"/>
    </w:rPr>
  </w:style>
  <w:style w:type="paragraph" w:customStyle="1" w:styleId="1128">
    <w:name w:val="+列表1"/>
    <w:basedOn w:val="1"/>
    <w:semiHidden/>
    <w:qFormat/>
    <w:uiPriority w:val="0"/>
    <w:pPr>
      <w:spacing w:line="240" w:lineRule="auto"/>
      <w:ind w:firstLine="0" w:firstLineChars="0"/>
      <w:jc w:val="center"/>
    </w:pPr>
    <w:rPr>
      <w:szCs w:val="24"/>
    </w:rPr>
  </w:style>
  <w:style w:type="paragraph" w:customStyle="1" w:styleId="1129">
    <w:name w:val="质报书正文"/>
    <w:basedOn w:val="1"/>
    <w:semiHidden/>
    <w:qFormat/>
    <w:uiPriority w:val="0"/>
    <w:pPr>
      <w:ind w:firstLine="480"/>
    </w:pPr>
    <w:rPr>
      <w:kern w:val="0"/>
    </w:rPr>
  </w:style>
  <w:style w:type="paragraph" w:customStyle="1" w:styleId="1130">
    <w:name w:val="页眉4"/>
    <w:basedOn w:val="578"/>
    <w:qFormat/>
    <w:uiPriority w:val="0"/>
    <w:pPr>
      <w:pBdr>
        <w:bottom w:val="single" w:color="auto" w:sz="6" w:space="1"/>
      </w:pBdr>
      <w:tabs>
        <w:tab w:val="center" w:pos="4819"/>
        <w:tab w:val="right" w:pos="9071"/>
      </w:tabs>
      <w:spacing w:line="240" w:lineRule="atLeast"/>
      <w:jc w:val="center"/>
    </w:pPr>
    <w:rPr>
      <w:sz w:val="18"/>
    </w:rPr>
  </w:style>
  <w:style w:type="paragraph" w:customStyle="1" w:styleId="1131">
    <w:name w:val="表格内容6"/>
    <w:basedOn w:val="865"/>
    <w:qFormat/>
    <w:uiPriority w:val="0"/>
    <w:pPr>
      <w:adjustRightInd w:val="0"/>
      <w:snapToGrid/>
      <w:spacing w:line="180" w:lineRule="atLeast"/>
    </w:pPr>
    <w:rPr>
      <w:rFonts w:ascii="Times New Roman" w:hAnsi="Times New Roman"/>
      <w:spacing w:val="-12"/>
      <w:sz w:val="15"/>
    </w:rPr>
  </w:style>
  <w:style w:type="paragraph" w:customStyle="1" w:styleId="1132">
    <w:name w:val="xl80"/>
    <w:basedOn w:val="1"/>
    <w:qFormat/>
    <w:uiPriority w:val="0"/>
    <w:pPr>
      <w:widowControl/>
      <w:pBdr>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333333"/>
      <w:kern w:val="0"/>
      <w:sz w:val="20"/>
    </w:rPr>
  </w:style>
  <w:style w:type="paragraph" w:customStyle="1" w:styleId="1133">
    <w:name w:val="样式 标题 4 + 段后"/>
    <w:basedOn w:val="9"/>
    <w:qFormat/>
    <w:uiPriority w:val="0"/>
    <w:pPr>
      <w:tabs>
        <w:tab w:val="left" w:pos="864"/>
        <w:tab w:val="left" w:pos="984"/>
      </w:tabs>
      <w:spacing w:before="120" w:after="120"/>
      <w:ind w:left="984" w:hanging="864"/>
    </w:pPr>
    <w:rPr>
      <w:rFonts w:eastAsia="黑体" w:cs="宋体"/>
      <w:b/>
      <w:bCs/>
      <w:kern w:val="2"/>
      <w:szCs w:val="24"/>
    </w:rPr>
  </w:style>
  <w:style w:type="paragraph" w:customStyle="1" w:styleId="1134">
    <w:name w:val="样式21"/>
    <w:basedOn w:val="658"/>
    <w:qFormat/>
    <w:uiPriority w:val="0"/>
  </w:style>
  <w:style w:type="paragraph" w:customStyle="1" w:styleId="1135">
    <w:name w:val="自动标题3"/>
    <w:basedOn w:val="1"/>
    <w:qFormat/>
    <w:uiPriority w:val="0"/>
    <w:pPr>
      <w:tabs>
        <w:tab w:val="left" w:pos="1260"/>
        <w:tab w:val="left" w:pos="1410"/>
      </w:tabs>
      <w:spacing w:line="240" w:lineRule="auto"/>
      <w:ind w:left="1410" w:hanging="420" w:firstLineChars="0"/>
    </w:pPr>
    <w:rPr>
      <w:sz w:val="21"/>
    </w:rPr>
  </w:style>
  <w:style w:type="paragraph" w:customStyle="1" w:styleId="1136">
    <w:name w:val="xl40"/>
    <w:basedOn w:val="1"/>
    <w:qFormat/>
    <w:uiPriority w:val="0"/>
    <w:pPr>
      <w:widowControl/>
      <w:pBdr>
        <w:top w:val="single" w:color="auto" w:sz="8" w:space="0"/>
        <w:left w:val="single" w:color="auto" w:sz="8" w:space="0"/>
        <w:bottom w:val="single" w:color="auto" w:sz="4" w:space="0"/>
        <w:right w:val="single" w:color="auto" w:sz="4" w:space="0"/>
      </w:pBdr>
      <w:tabs>
        <w:tab w:val="left" w:pos="987"/>
        <w:tab w:val="left" w:pos="1230"/>
      </w:tabs>
      <w:spacing w:before="100" w:beforeAutospacing="1" w:after="100" w:afterAutospacing="1" w:line="240" w:lineRule="auto"/>
      <w:ind w:firstLine="0" w:firstLineChars="0"/>
      <w:jc w:val="center"/>
      <w:textAlignment w:val="center"/>
    </w:pPr>
    <w:rPr>
      <w:rFonts w:ascii="宋体" w:hAnsi="宋体"/>
      <w:spacing w:val="-4"/>
      <w:kern w:val="0"/>
      <w:sz w:val="20"/>
    </w:rPr>
  </w:style>
  <w:style w:type="paragraph" w:customStyle="1" w:styleId="1137">
    <w:name w:val="列出段落11"/>
    <w:basedOn w:val="1"/>
    <w:qFormat/>
    <w:uiPriority w:val="0"/>
    <w:pPr>
      <w:spacing w:line="240" w:lineRule="auto"/>
      <w:ind w:firstLine="420"/>
    </w:pPr>
    <w:rPr>
      <w:sz w:val="21"/>
      <w:szCs w:val="24"/>
    </w:rPr>
  </w:style>
  <w:style w:type="paragraph" w:customStyle="1" w:styleId="1138">
    <w:name w:val="表题"/>
    <w:basedOn w:val="1"/>
    <w:qFormat/>
    <w:uiPriority w:val="0"/>
    <w:pPr>
      <w:snapToGrid w:val="0"/>
      <w:spacing w:line="240" w:lineRule="auto"/>
      <w:ind w:firstLine="0" w:firstLineChars="0"/>
      <w:jc w:val="center"/>
    </w:pPr>
    <w:rPr>
      <w:rFonts w:eastAsia="黑体"/>
      <w:szCs w:val="24"/>
    </w:rPr>
  </w:style>
  <w:style w:type="paragraph" w:customStyle="1" w:styleId="1139">
    <w:name w:val="自定义正文"/>
    <w:basedOn w:val="1"/>
    <w:qFormat/>
    <w:uiPriority w:val="0"/>
    <w:pPr>
      <w:adjustRightInd w:val="0"/>
      <w:snapToGrid w:val="0"/>
      <w:ind w:firstLine="480"/>
      <w:jc w:val="left"/>
    </w:pPr>
    <w:rPr>
      <w:rFonts w:eastAsia="仿宋_GB2312"/>
      <w:szCs w:val="24"/>
    </w:rPr>
  </w:style>
  <w:style w:type="paragraph" w:customStyle="1" w:styleId="1140">
    <w:name w:val="文章正文文字"/>
    <w:basedOn w:val="1"/>
    <w:semiHidden/>
    <w:qFormat/>
    <w:uiPriority w:val="0"/>
    <w:pPr>
      <w:spacing w:line="520" w:lineRule="exact"/>
      <w:jc w:val="left"/>
    </w:pPr>
    <w:rPr>
      <w:szCs w:val="24"/>
    </w:rPr>
  </w:style>
  <w:style w:type="paragraph" w:customStyle="1" w:styleId="1141">
    <w:name w:val="样式 标题 2 + 段前: 0.5 行 段后: 0.5 行"/>
    <w:basedOn w:val="6"/>
    <w:qFormat/>
    <w:uiPriority w:val="0"/>
    <w:pPr>
      <w:tabs>
        <w:tab w:val="left" w:pos="840"/>
        <w:tab w:val="left" w:pos="990"/>
      </w:tabs>
      <w:spacing w:before="156" w:beforeLines="50" w:after="156" w:afterLines="50"/>
      <w:ind w:left="990" w:hanging="420"/>
      <w:jc w:val="both"/>
    </w:pPr>
    <w:rPr>
      <w:rFonts w:ascii="Arial" w:hAnsi="Arial" w:eastAsia="黑体"/>
      <w:b w:val="0"/>
      <w:kern w:val="2"/>
    </w:rPr>
  </w:style>
  <w:style w:type="paragraph" w:customStyle="1" w:styleId="1142">
    <w:name w:val="尾注文本1"/>
    <w:basedOn w:val="335"/>
    <w:qFormat/>
    <w:uiPriority w:val="0"/>
    <w:pPr>
      <w:adjustRightInd w:val="0"/>
      <w:spacing w:line="360" w:lineRule="atLeast"/>
      <w:ind w:firstLine="0" w:firstLineChars="0"/>
      <w:textAlignment w:val="baseline"/>
    </w:pPr>
    <w:rPr>
      <w:rFonts w:ascii="宋体" w:hAnsi="Times New Roman"/>
      <w:kern w:val="0"/>
      <w:sz w:val="21"/>
      <w:szCs w:val="20"/>
    </w:rPr>
  </w:style>
  <w:style w:type="paragraph" w:customStyle="1" w:styleId="1143">
    <w:name w:val="样式37"/>
    <w:basedOn w:val="572"/>
    <w:qFormat/>
    <w:uiPriority w:val="0"/>
  </w:style>
  <w:style w:type="paragraph" w:customStyle="1" w:styleId="1144">
    <w:name w:val="样式1 Char Char Char Char Char"/>
    <w:basedOn w:val="73"/>
    <w:qFormat/>
    <w:uiPriority w:val="0"/>
    <w:pPr>
      <w:widowControl w:val="0"/>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jc w:val="both"/>
      <w:textAlignment w:val="baseline"/>
    </w:pPr>
    <w:rPr>
      <w:rFonts w:ascii="宋体" w:hAnsi="宋体"/>
      <w:kern w:val="2"/>
      <w:sz w:val="24"/>
      <w:szCs w:val="20"/>
    </w:rPr>
  </w:style>
  <w:style w:type="paragraph" w:customStyle="1" w:styleId="1145">
    <w:name w:val="正文段落"/>
    <w:basedOn w:val="1"/>
    <w:qFormat/>
    <w:uiPriority w:val="0"/>
    <w:pPr>
      <w:spacing w:before="156" w:beforeLines="50"/>
      <w:ind w:firstLine="480"/>
    </w:pPr>
    <w:rPr>
      <w:kern w:val="0"/>
      <w:szCs w:val="21"/>
    </w:rPr>
  </w:style>
  <w:style w:type="paragraph" w:customStyle="1" w:styleId="1146">
    <w:name w:val="11"/>
    <w:basedOn w:val="1"/>
    <w:next w:val="65"/>
    <w:qFormat/>
    <w:uiPriority w:val="0"/>
    <w:pPr>
      <w:ind w:firstLine="480"/>
    </w:pPr>
    <w:rPr>
      <w:rFonts w:ascii="黑体" w:eastAsia="黑体"/>
    </w:rPr>
  </w:style>
  <w:style w:type="paragraph" w:customStyle="1" w:styleId="1147">
    <w:name w:val="报告书正文 Char Char Char Char Char Char Char Char Char Char"/>
    <w:basedOn w:val="1"/>
    <w:qFormat/>
    <w:uiPriority w:val="0"/>
    <w:pPr>
      <w:spacing w:line="300" w:lineRule="auto"/>
      <w:ind w:firstLine="480"/>
    </w:pPr>
    <w:rPr>
      <w:color w:val="000000"/>
    </w:rPr>
  </w:style>
  <w:style w:type="paragraph" w:customStyle="1" w:styleId="1148">
    <w:name w:val="新正文样式"/>
    <w:basedOn w:val="1"/>
    <w:semiHidden/>
    <w:qFormat/>
    <w:uiPriority w:val="0"/>
    <w:pPr>
      <w:tabs>
        <w:tab w:val="left" w:pos="567"/>
      </w:tabs>
      <w:ind w:firstLine="567" w:firstLineChars="0"/>
    </w:pPr>
    <w:rPr>
      <w:spacing w:val="20"/>
    </w:rPr>
  </w:style>
  <w:style w:type="paragraph" w:customStyle="1" w:styleId="1149">
    <w:name w:val="样式 首行缩进:  0.99 厘米"/>
    <w:basedOn w:val="1"/>
    <w:semiHidden/>
    <w:qFormat/>
    <w:uiPriority w:val="0"/>
    <w:pPr>
      <w:suppressAutoHyphens/>
      <w:ind w:firstLine="560" w:firstLineChars="0"/>
    </w:pPr>
    <w:rPr>
      <w:rFonts w:ascii="宋体" w:hAnsi="宋体" w:cs="宋体"/>
      <w:kern w:val="1"/>
      <w:lang w:eastAsia="ar-SA"/>
    </w:rPr>
  </w:style>
  <w:style w:type="paragraph" w:customStyle="1" w:styleId="1150">
    <w:name w:val="Char Char Char1 Char Char Char Char Char Char Char2"/>
    <w:basedOn w:val="1"/>
    <w:qFormat/>
    <w:uiPriority w:val="0"/>
    <w:pPr>
      <w:spacing w:line="240" w:lineRule="auto"/>
      <w:ind w:firstLine="0" w:firstLineChars="0"/>
    </w:pPr>
    <w:rPr>
      <w:szCs w:val="24"/>
    </w:rPr>
  </w:style>
  <w:style w:type="paragraph" w:customStyle="1" w:styleId="1151">
    <w:name w:val="默认段落字体 Para Char"/>
    <w:basedOn w:val="1"/>
    <w:next w:val="1"/>
    <w:qFormat/>
    <w:uiPriority w:val="0"/>
    <w:rPr>
      <w:rFonts w:ascii="宋体" w:hAnsi="宋体" w:cs="宋体"/>
      <w:szCs w:val="24"/>
    </w:rPr>
  </w:style>
  <w:style w:type="paragraph" w:customStyle="1" w:styleId="1152">
    <w:name w:val="5"/>
    <w:basedOn w:val="1"/>
    <w:next w:val="8"/>
    <w:qFormat/>
    <w:uiPriority w:val="0"/>
    <w:pPr>
      <w:spacing w:line="240" w:lineRule="auto"/>
      <w:ind w:firstLine="420" w:firstLineChars="0"/>
    </w:pPr>
    <w:rPr>
      <w:sz w:val="17"/>
    </w:rPr>
  </w:style>
  <w:style w:type="paragraph" w:customStyle="1" w:styleId="1153">
    <w:name w:val="样式51"/>
    <w:basedOn w:val="845"/>
    <w:qFormat/>
    <w:uiPriority w:val="0"/>
    <w:pPr>
      <w:ind w:firstLine="1890" w:firstLineChars="900"/>
    </w:pPr>
  </w:style>
  <w:style w:type="paragraph" w:customStyle="1" w:styleId="1154">
    <w:name w:val="10"/>
    <w:basedOn w:val="1"/>
    <w:next w:val="44"/>
    <w:qFormat/>
    <w:uiPriority w:val="0"/>
    <w:pPr>
      <w:spacing w:line="312" w:lineRule="auto"/>
      <w:ind w:firstLine="624" w:firstLineChars="0"/>
    </w:pPr>
    <w:rPr>
      <w:rFonts w:hint="eastAsia" w:ascii="宋体" w:hAnsi="Courier New"/>
      <w:w w:val="110"/>
      <w:kern w:val="0"/>
      <w:sz w:val="21"/>
    </w:rPr>
  </w:style>
  <w:style w:type="paragraph" w:customStyle="1" w:styleId="1155">
    <w:name w:val="xl30"/>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kern w:val="0"/>
      <w:sz w:val="16"/>
    </w:rPr>
  </w:style>
  <w:style w:type="paragraph" w:customStyle="1" w:styleId="1156">
    <w:name w:val="正文文字一"/>
    <w:basedOn w:val="1"/>
    <w:semiHidden/>
    <w:qFormat/>
    <w:uiPriority w:val="0"/>
    <w:pPr>
      <w:widowControl/>
      <w:spacing w:line="520" w:lineRule="exact"/>
      <w:ind w:firstLine="567" w:firstLineChars="0"/>
      <w:jc w:val="left"/>
    </w:pPr>
    <w:rPr>
      <w:rFonts w:ascii="宋体" w:hAnsi="宋体" w:cs="宋体"/>
      <w:kern w:val="0"/>
      <w:sz w:val="28"/>
      <w:szCs w:val="24"/>
    </w:rPr>
  </w:style>
  <w:style w:type="paragraph" w:customStyle="1" w:styleId="1157">
    <w:name w:val="样式 首行缩进:  2 字符"/>
    <w:basedOn w:val="1"/>
    <w:qFormat/>
    <w:uiPriority w:val="0"/>
    <w:pPr>
      <w:snapToGrid w:val="0"/>
      <w:spacing w:line="300" w:lineRule="auto"/>
    </w:pPr>
    <w:rPr>
      <w:rFonts w:ascii="宋体"/>
      <w:sz w:val="28"/>
    </w:rPr>
  </w:style>
  <w:style w:type="paragraph" w:customStyle="1" w:styleId="1158">
    <w:name w:val="正文文本 311"/>
    <w:basedOn w:val="1"/>
    <w:qFormat/>
    <w:uiPriority w:val="0"/>
    <w:pPr>
      <w:adjustRightInd w:val="0"/>
      <w:spacing w:line="240" w:lineRule="atLeast"/>
      <w:ind w:firstLine="0" w:firstLineChars="0"/>
      <w:jc w:val="center"/>
      <w:textAlignment w:val="baseline"/>
    </w:pPr>
    <w:rPr>
      <w:rFonts w:ascii="宋体"/>
      <w:kern w:val="0"/>
      <w:sz w:val="18"/>
    </w:rPr>
  </w:style>
  <w:style w:type="paragraph" w:customStyle="1" w:styleId="1159">
    <w:name w:val="样式10 Char"/>
    <w:basedOn w:val="739"/>
    <w:qFormat/>
    <w:uiPriority w:val="0"/>
    <w:pPr>
      <w:tabs>
        <w:tab w:val="left" w:pos="0"/>
        <w:tab w:val="left" w:pos="360"/>
        <w:tab w:val="left" w:pos="992"/>
        <w:tab w:val="clear" w:pos="936"/>
      </w:tabs>
      <w:spacing w:before="156" w:beforeLines="50" w:after="156" w:afterLines="50" w:line="360" w:lineRule="auto"/>
      <w:ind w:left="992" w:hanging="567"/>
    </w:pPr>
  </w:style>
  <w:style w:type="paragraph" w:customStyle="1" w:styleId="1160">
    <w:name w:val="样式 正文文本缩进 3 + 12 磅 左侧:  2 字符"/>
    <w:basedOn w:val="65"/>
    <w:qFormat/>
    <w:uiPriority w:val="0"/>
    <w:pPr>
      <w:widowControl/>
      <w:ind w:left="0" w:leftChars="0"/>
      <w:jc w:val="left"/>
    </w:pPr>
    <w:rPr>
      <w:rFonts w:cs="PMingLiU"/>
      <w:kern w:val="0"/>
      <w:sz w:val="24"/>
      <w:szCs w:val="20"/>
    </w:rPr>
  </w:style>
  <w:style w:type="paragraph" w:customStyle="1" w:styleId="1161">
    <w:name w:val="图名/表名"/>
    <w:basedOn w:val="850"/>
    <w:qFormat/>
    <w:uiPriority w:val="0"/>
    <w:rPr>
      <w:b/>
      <w:sz w:val="24"/>
    </w:rPr>
  </w:style>
  <w:style w:type="paragraph" w:customStyle="1" w:styleId="1162">
    <w:name w:val="尾注文本2"/>
    <w:basedOn w:val="578"/>
    <w:qFormat/>
    <w:uiPriority w:val="0"/>
    <w:pPr>
      <w:jc w:val="both"/>
    </w:pPr>
    <w:rPr>
      <w:sz w:val="21"/>
    </w:rPr>
  </w:style>
  <w:style w:type="paragraph" w:customStyle="1" w:styleId="1163">
    <w:name w:val="样式 首行缩进:  0.85 厘米1"/>
    <w:basedOn w:val="1"/>
    <w:qFormat/>
    <w:uiPriority w:val="0"/>
    <w:pPr>
      <w:ind w:firstLine="567"/>
    </w:pPr>
    <w:rPr>
      <w:rFonts w:cs="PMingLiU"/>
    </w:rPr>
  </w:style>
  <w:style w:type="paragraph" w:customStyle="1" w:styleId="1164">
    <w:name w:val="封面"/>
    <w:basedOn w:val="1"/>
    <w:qFormat/>
    <w:uiPriority w:val="0"/>
    <w:pPr>
      <w:ind w:firstLine="0" w:firstLineChars="0"/>
      <w:jc w:val="center"/>
    </w:pPr>
    <w:rPr>
      <w:sz w:val="28"/>
      <w:szCs w:val="24"/>
    </w:rPr>
  </w:style>
  <w:style w:type="paragraph" w:customStyle="1" w:styleId="1165">
    <w:name w:val="表格（小）"/>
    <w:basedOn w:val="1"/>
    <w:qFormat/>
    <w:uiPriority w:val="0"/>
    <w:pPr>
      <w:adjustRightInd w:val="0"/>
      <w:snapToGrid w:val="0"/>
      <w:spacing w:line="240" w:lineRule="auto"/>
      <w:ind w:firstLine="0" w:firstLineChars="0"/>
    </w:pPr>
    <w:rPr>
      <w:snapToGrid w:val="0"/>
      <w:kern w:val="0"/>
      <w:sz w:val="21"/>
    </w:rPr>
  </w:style>
  <w:style w:type="paragraph" w:customStyle="1" w:styleId="1166">
    <w:name w:val="样式43 Char"/>
    <w:basedOn w:val="1"/>
    <w:qFormat/>
    <w:uiPriority w:val="0"/>
    <w:pPr>
      <w:ind w:firstLine="480"/>
    </w:pPr>
    <w:rPr>
      <w:rFonts w:ascii="宋体"/>
      <w:snapToGrid w:val="0"/>
      <w:lang w:val="zh-CN"/>
    </w:rPr>
  </w:style>
  <w:style w:type="paragraph" w:customStyle="1" w:styleId="1167">
    <w:name w:val="表格1"/>
    <w:basedOn w:val="44"/>
    <w:qFormat/>
    <w:uiPriority w:val="0"/>
    <w:pPr>
      <w:spacing w:line="340" w:lineRule="exact"/>
      <w:ind w:firstLine="0"/>
      <w:jc w:val="center"/>
    </w:pPr>
    <w:rPr>
      <w:rFonts w:hAnsi="Times New Roman"/>
      <w:sz w:val="18"/>
    </w:rPr>
  </w:style>
  <w:style w:type="paragraph" w:customStyle="1" w:styleId="1168">
    <w:name w:val="new Char Char Char Char Char Char Char Char Char Char Char Char Char Char Char Char Char Char"/>
    <w:basedOn w:val="1"/>
    <w:next w:val="1"/>
    <w:semiHidden/>
    <w:qFormat/>
    <w:uiPriority w:val="0"/>
    <w:rPr>
      <w:rFonts w:ascii="宋体" w:hAnsi="宋体" w:cs="宋体"/>
      <w:szCs w:val="24"/>
    </w:rPr>
  </w:style>
  <w:style w:type="paragraph" w:customStyle="1" w:styleId="1169">
    <w:name w:val="正文2002"/>
    <w:basedOn w:val="1"/>
    <w:qFormat/>
    <w:uiPriority w:val="0"/>
    <w:pPr>
      <w:spacing w:line="340" w:lineRule="exact"/>
      <w:ind w:firstLine="0" w:firstLineChars="0"/>
      <w:jc w:val="center"/>
    </w:pPr>
    <w:rPr>
      <w:rFonts w:ascii="宋体" w:hAnsi="宋体"/>
      <w:color w:val="FF0000"/>
      <w:sz w:val="21"/>
      <w:szCs w:val="21"/>
    </w:rPr>
  </w:style>
  <w:style w:type="paragraph" w:customStyle="1" w:styleId="1170">
    <w:name w:val="5文章(治)"/>
    <w:basedOn w:val="1"/>
    <w:qFormat/>
    <w:uiPriority w:val="0"/>
    <w:pPr>
      <w:ind w:firstLine="605"/>
    </w:pPr>
    <w:rPr>
      <w:rFonts w:eastAsia="楷体_GB2312"/>
      <w:sz w:val="28"/>
      <w:szCs w:val="24"/>
    </w:rPr>
  </w:style>
  <w:style w:type="paragraph" w:customStyle="1" w:styleId="1171">
    <w:name w:val="样式46"/>
    <w:basedOn w:val="254"/>
    <w:qFormat/>
    <w:uiPriority w:val="0"/>
    <w:pPr>
      <w:tabs>
        <w:tab w:val="clear" w:pos="900"/>
        <w:tab w:val="clear" w:pos="1418"/>
      </w:tabs>
    </w:pPr>
  </w:style>
  <w:style w:type="paragraph" w:customStyle="1" w:styleId="1172">
    <w:name w:val="题注1"/>
    <w:basedOn w:val="335"/>
    <w:next w:val="335"/>
    <w:qFormat/>
    <w:uiPriority w:val="0"/>
    <w:pPr>
      <w:adjustRightInd w:val="0"/>
      <w:spacing w:before="120" w:after="120" w:line="360" w:lineRule="atLeast"/>
      <w:ind w:firstLine="0" w:firstLineChars="0"/>
      <w:jc w:val="center"/>
      <w:textAlignment w:val="baseline"/>
    </w:pPr>
    <w:rPr>
      <w:rFonts w:ascii="宋体" w:hAnsi="Times New Roman"/>
      <w:kern w:val="0"/>
      <w:sz w:val="28"/>
      <w:szCs w:val="20"/>
    </w:rPr>
  </w:style>
  <w:style w:type="paragraph" w:customStyle="1" w:styleId="1173">
    <w:name w:val="xl41"/>
    <w:basedOn w:val="1"/>
    <w:qFormat/>
    <w:uiPriority w:val="0"/>
    <w:pPr>
      <w:widowControl/>
      <w:pBdr>
        <w:top w:val="single" w:color="auto" w:sz="4" w:space="0"/>
        <w:left w:val="single" w:color="auto" w:sz="8" w:space="0"/>
        <w:bottom w:val="single" w:color="auto" w:sz="4" w:space="0"/>
        <w:right w:val="single" w:color="auto" w:sz="4" w:space="0"/>
      </w:pBdr>
      <w:tabs>
        <w:tab w:val="left" w:pos="987"/>
        <w:tab w:val="left" w:pos="1230"/>
      </w:tabs>
      <w:spacing w:before="100" w:beforeAutospacing="1" w:after="100" w:afterAutospacing="1" w:line="240" w:lineRule="auto"/>
      <w:ind w:firstLine="0" w:firstLineChars="0"/>
      <w:jc w:val="center"/>
      <w:textAlignment w:val="center"/>
    </w:pPr>
    <w:rPr>
      <w:rFonts w:ascii="宋体" w:hAnsi="宋体"/>
      <w:spacing w:val="-4"/>
      <w:kern w:val="0"/>
      <w:sz w:val="20"/>
    </w:rPr>
  </w:style>
  <w:style w:type="paragraph" w:customStyle="1" w:styleId="1174">
    <w:name w:val="样式 正文文本缩进 2 + 红色"/>
    <w:basedOn w:val="49"/>
    <w:qFormat/>
    <w:uiPriority w:val="0"/>
    <w:pPr>
      <w:spacing w:after="0" w:line="300" w:lineRule="auto"/>
      <w:ind w:left="0" w:leftChars="0" w:firstLine="539" w:firstLineChars="0"/>
    </w:pPr>
    <w:rPr>
      <w:rFonts w:hAnsi="宋体"/>
      <w:color w:val="FF0000"/>
    </w:rPr>
  </w:style>
  <w:style w:type="paragraph" w:customStyle="1" w:styleId="1175">
    <w:name w:val="5H-MC"/>
    <w:basedOn w:val="1"/>
    <w:semiHidden/>
    <w:qFormat/>
    <w:uiPriority w:val="0"/>
    <w:pPr>
      <w:ind w:firstLine="21"/>
      <w:jc w:val="left"/>
    </w:pPr>
    <w:rPr>
      <w:kern w:val="0"/>
    </w:rPr>
  </w:style>
  <w:style w:type="paragraph" w:customStyle="1" w:styleId="1176">
    <w:name w:val="标题 41"/>
    <w:basedOn w:val="335"/>
    <w:next w:val="335"/>
    <w:qFormat/>
    <w:uiPriority w:val="0"/>
    <w:pPr>
      <w:keepNext/>
      <w:keepLines/>
      <w:adjustRightInd w:val="0"/>
      <w:spacing w:before="280" w:after="290" w:line="376" w:lineRule="atLeast"/>
      <w:ind w:firstLine="0" w:firstLineChars="0"/>
      <w:textAlignment w:val="baseline"/>
    </w:pPr>
    <w:rPr>
      <w:rFonts w:ascii="宋体" w:hAnsi="Times New Roman"/>
      <w:b/>
      <w:kern w:val="0"/>
      <w:sz w:val="28"/>
      <w:szCs w:val="20"/>
    </w:rPr>
  </w:style>
  <w:style w:type="paragraph" w:customStyle="1" w:styleId="1177">
    <w:name w:val="标题 82"/>
    <w:basedOn w:val="578"/>
    <w:next w:val="578"/>
    <w:qFormat/>
    <w:uiPriority w:val="0"/>
    <w:pPr>
      <w:keepNext/>
      <w:keepLines/>
      <w:spacing w:before="240" w:after="64" w:line="320" w:lineRule="atLeast"/>
      <w:jc w:val="both"/>
    </w:pPr>
    <w:rPr>
      <w:sz w:val="24"/>
    </w:rPr>
  </w:style>
  <w:style w:type="paragraph" w:customStyle="1" w:styleId="1178">
    <w:name w:val="简单回函地址"/>
    <w:basedOn w:val="1"/>
    <w:qFormat/>
    <w:uiPriority w:val="0"/>
    <w:pPr>
      <w:adjustRightInd w:val="0"/>
      <w:spacing w:line="312" w:lineRule="atLeast"/>
      <w:ind w:firstLine="0" w:firstLineChars="0"/>
      <w:textAlignment w:val="baseline"/>
    </w:pPr>
    <w:rPr>
      <w:kern w:val="0"/>
      <w:sz w:val="21"/>
    </w:rPr>
  </w:style>
  <w:style w:type="paragraph" w:customStyle="1" w:styleId="1179">
    <w:name w:val="报告标题"/>
    <w:basedOn w:val="1"/>
    <w:qFormat/>
    <w:uiPriority w:val="0"/>
    <w:pPr>
      <w:adjustRightInd w:val="0"/>
      <w:snapToGrid w:val="0"/>
      <w:ind w:firstLine="0" w:firstLineChars="0"/>
      <w:jc w:val="center"/>
    </w:pPr>
    <w:rPr>
      <w:rFonts w:eastAsia="楷体_GB2312"/>
      <w:sz w:val="36"/>
    </w:rPr>
  </w:style>
  <w:style w:type="paragraph" w:customStyle="1" w:styleId="1180">
    <w:name w:val="3 Char Char Char Char Char Char Char"/>
    <w:basedOn w:val="1"/>
    <w:qFormat/>
    <w:uiPriority w:val="0"/>
    <w:pPr>
      <w:spacing w:line="240" w:lineRule="auto"/>
      <w:ind w:firstLine="0" w:firstLineChars="0"/>
    </w:pPr>
    <w:rPr>
      <w:rFonts w:ascii="Tahoma" w:hAnsi="Tahoma"/>
      <w:szCs w:val="24"/>
    </w:rPr>
  </w:style>
  <w:style w:type="paragraph" w:customStyle="1" w:styleId="1181">
    <w:name w:val="字元 字元 Char Char 字元 字元131"/>
    <w:basedOn w:val="1"/>
    <w:qFormat/>
    <w:uiPriority w:val="0"/>
    <w:pPr>
      <w:spacing w:line="240" w:lineRule="auto"/>
      <w:ind w:firstLine="0" w:firstLineChars="0"/>
    </w:pPr>
    <w:rPr>
      <w:sz w:val="21"/>
      <w:szCs w:val="24"/>
    </w:rPr>
  </w:style>
  <w:style w:type="paragraph" w:customStyle="1" w:styleId="1182">
    <w:name w:val="xl27"/>
    <w:basedOn w:val="1"/>
    <w:qFormat/>
    <w:uiPriority w:val="0"/>
    <w:pPr>
      <w:widowControl/>
      <w:pBdr>
        <w:bottom w:val="single" w:color="auto" w:sz="12" w:space="0"/>
      </w:pBdr>
      <w:spacing w:before="100" w:after="100" w:line="240" w:lineRule="auto"/>
      <w:ind w:firstLine="0" w:firstLineChars="0"/>
      <w:jc w:val="center"/>
    </w:pPr>
    <w:rPr>
      <w:rFonts w:ascii="宋体" w:hAnsi="宋体" w:eastAsia="仿宋_GB2312"/>
      <w:kern w:val="0"/>
      <w:sz w:val="21"/>
    </w:rPr>
  </w:style>
  <w:style w:type="paragraph" w:customStyle="1" w:styleId="1183">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kern w:val="0"/>
      <w:sz w:val="22"/>
    </w:rPr>
  </w:style>
  <w:style w:type="paragraph" w:customStyle="1" w:styleId="1184">
    <w:name w:val="样式 首行缩进:  0.77 厘米 行距: 固定值 20 磅41"/>
    <w:basedOn w:val="1"/>
    <w:qFormat/>
    <w:uiPriority w:val="0"/>
    <w:pPr>
      <w:ind w:firstLine="480"/>
      <w:jc w:val="left"/>
    </w:pPr>
    <w:rPr>
      <w:rFonts w:ascii="宋体" w:hAnsi="宋体" w:cs="宋体"/>
      <w:color w:val="000000"/>
    </w:rPr>
  </w:style>
  <w:style w:type="paragraph" w:customStyle="1" w:styleId="1185">
    <w:name w:val="Char Char Char Char11"/>
    <w:basedOn w:val="1"/>
    <w:qFormat/>
    <w:uiPriority w:val="0"/>
    <w:pPr>
      <w:widowControl/>
      <w:spacing w:after="160" w:line="240" w:lineRule="exact"/>
      <w:ind w:firstLine="0" w:firstLineChars="0"/>
      <w:jc w:val="left"/>
    </w:pPr>
    <w:rPr>
      <w:rFonts w:ascii="Arial" w:hAnsi="Arial" w:eastAsia="Times New Roman" w:cs="Verdana"/>
      <w:b/>
      <w:kern w:val="0"/>
      <w:lang w:eastAsia="en-US"/>
    </w:rPr>
  </w:style>
  <w:style w:type="paragraph" w:customStyle="1" w:styleId="1186">
    <w:name w:val="xl4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1187">
    <w:name w:val="p24"/>
    <w:basedOn w:val="1"/>
    <w:qFormat/>
    <w:uiPriority w:val="0"/>
    <w:pPr>
      <w:widowControl/>
      <w:spacing w:line="240" w:lineRule="auto"/>
      <w:ind w:firstLine="0" w:firstLineChars="0"/>
    </w:pPr>
    <w:rPr>
      <w:rFonts w:ascii="宋体" w:hAnsi="宋体" w:cs="宋体"/>
      <w:kern w:val="0"/>
      <w:sz w:val="21"/>
      <w:szCs w:val="21"/>
    </w:rPr>
  </w:style>
  <w:style w:type="paragraph" w:customStyle="1" w:styleId="1188">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1189">
    <w:name w:val="样式 标题 1 + 小三 居中"/>
    <w:basedOn w:val="5"/>
    <w:qFormat/>
    <w:uiPriority w:val="0"/>
    <w:pPr>
      <w:numPr>
        <w:numId w:val="0"/>
      </w:numPr>
      <w:spacing w:before="340" w:after="330" w:line="578" w:lineRule="auto"/>
    </w:pPr>
    <w:rPr>
      <w:rFonts w:ascii="Times New Roman" w:cs="宋体"/>
      <w:bCs/>
      <w:kern w:val="44"/>
    </w:rPr>
  </w:style>
  <w:style w:type="paragraph" w:customStyle="1" w:styleId="1190">
    <w:name w:val="样式18"/>
    <w:basedOn w:val="1"/>
    <w:qFormat/>
    <w:uiPriority w:val="0"/>
    <w:pPr>
      <w:ind w:firstLine="480"/>
    </w:pPr>
    <w:rPr>
      <w:rFonts w:ascii="宋体"/>
      <w:lang w:val="zh-CN"/>
    </w:rPr>
  </w:style>
  <w:style w:type="paragraph" w:customStyle="1" w:styleId="1191">
    <w:name w:val="Char Char Char Char4"/>
    <w:basedOn w:val="7"/>
    <w:qFormat/>
    <w:uiPriority w:val="0"/>
    <w:pPr>
      <w:tabs>
        <w:tab w:val="left" w:pos="360"/>
        <w:tab w:val="left" w:pos="900"/>
      </w:tabs>
      <w:snapToGrid w:val="0"/>
      <w:spacing w:before="120" w:after="120"/>
      <w:ind w:left="542" w:leftChars="-12" w:firstLine="200" w:firstLineChars="200"/>
    </w:pPr>
    <w:rPr>
      <w:rFonts w:eastAsia="黑体"/>
      <w:b w:val="0"/>
      <w:snapToGrid w:val="0"/>
      <w:kern w:val="2"/>
      <w:szCs w:val="24"/>
    </w:rPr>
  </w:style>
  <w:style w:type="paragraph" w:customStyle="1" w:styleId="1192">
    <w:name w:val="正文2000"/>
    <w:basedOn w:val="1"/>
    <w:qFormat/>
    <w:uiPriority w:val="0"/>
    <w:pPr>
      <w:tabs>
        <w:tab w:val="left" w:pos="720"/>
      </w:tabs>
      <w:ind w:firstLine="560" w:firstLineChars="0"/>
    </w:pPr>
    <w:rPr>
      <w:rFonts w:ascii="楷体_GB2312" w:eastAsia="楷体_GB2312"/>
    </w:rPr>
  </w:style>
  <w:style w:type="paragraph" w:customStyle="1" w:styleId="1193">
    <w:name w:val="Char Char Char Char Char Char Char Char1 Char Char Char Char7"/>
    <w:basedOn w:val="1"/>
    <w:qFormat/>
    <w:uiPriority w:val="0"/>
    <w:pPr>
      <w:spacing w:line="240" w:lineRule="auto"/>
      <w:ind w:firstLine="0" w:firstLineChars="0"/>
    </w:pPr>
    <w:rPr>
      <w:sz w:val="21"/>
      <w:szCs w:val="24"/>
    </w:rPr>
  </w:style>
  <w:style w:type="paragraph" w:customStyle="1" w:styleId="1194">
    <w:name w:val="Char Char Char Char Char Char Char Char Char Char"/>
    <w:basedOn w:val="1"/>
    <w:qFormat/>
    <w:uiPriority w:val="0"/>
    <w:rPr>
      <w:rFonts w:ascii="宋体" w:hAnsi="宋体" w:cs="宋体"/>
      <w:szCs w:val="24"/>
    </w:rPr>
  </w:style>
  <w:style w:type="paragraph" w:customStyle="1" w:styleId="1195">
    <w:name w:val="样式 样式 (1)小标题-wd + 首行缩进:  2 字符 + 首行缩进:  2 字符 段后: 0.5 行"/>
    <w:basedOn w:val="1"/>
    <w:qFormat/>
    <w:uiPriority w:val="0"/>
    <w:pPr>
      <w:ind w:firstLine="480"/>
    </w:pPr>
    <w:rPr>
      <w:rFonts w:hAnsi="宋体"/>
      <w:bCs/>
      <w:color w:val="000000"/>
      <w:szCs w:val="24"/>
    </w:rPr>
  </w:style>
  <w:style w:type="paragraph" w:customStyle="1" w:styleId="1196">
    <w:name w:val="样式62"/>
    <w:basedOn w:val="581"/>
    <w:qFormat/>
    <w:uiPriority w:val="0"/>
    <w:pPr>
      <w:tabs>
        <w:tab w:val="left" w:pos="992"/>
        <w:tab w:val="clear" w:pos="0"/>
        <w:tab w:val="clear" w:pos="360"/>
        <w:tab w:val="clear" w:pos="576"/>
      </w:tabs>
      <w:ind w:left="992" w:hanging="567"/>
    </w:pPr>
  </w:style>
  <w:style w:type="paragraph" w:customStyle="1" w:styleId="1197">
    <w:name w:val="标题 71"/>
    <w:basedOn w:val="335"/>
    <w:next w:val="335"/>
    <w:qFormat/>
    <w:uiPriority w:val="0"/>
    <w:pPr>
      <w:keepNext/>
      <w:keepLines/>
      <w:adjustRightInd w:val="0"/>
      <w:spacing w:before="240" w:after="64" w:line="320" w:lineRule="atLeast"/>
      <w:ind w:firstLine="0" w:firstLineChars="0"/>
      <w:textAlignment w:val="baseline"/>
    </w:pPr>
    <w:rPr>
      <w:rFonts w:ascii="宋体" w:hAnsi="Times New Roman"/>
      <w:b/>
      <w:kern w:val="0"/>
      <w:szCs w:val="20"/>
    </w:rPr>
  </w:style>
  <w:style w:type="paragraph" w:customStyle="1" w:styleId="1198">
    <w:name w:val="xl37"/>
    <w:basedOn w:val="1"/>
    <w:qFormat/>
    <w:uiPriority w:val="0"/>
    <w:pPr>
      <w:widowControl/>
      <w:spacing w:before="100" w:beforeAutospacing="1" w:after="100" w:afterAutospacing="1" w:line="240" w:lineRule="auto"/>
      <w:ind w:firstLine="0" w:firstLineChars="0"/>
      <w:jc w:val="center"/>
    </w:pPr>
    <w:rPr>
      <w:rFonts w:ascii="宋体" w:hAnsi="宋体"/>
      <w:kern w:val="0"/>
      <w:szCs w:val="24"/>
    </w:rPr>
  </w:style>
  <w:style w:type="paragraph" w:customStyle="1" w:styleId="1199">
    <w:name w:val="样式 自动A + Char"/>
    <w:basedOn w:val="717"/>
    <w:qFormat/>
    <w:uiPriority w:val="0"/>
    <w:pPr>
      <w:spacing w:before="156" w:beforeLines="50" w:after="156" w:afterLines="50"/>
    </w:pPr>
  </w:style>
  <w:style w:type="paragraph" w:customStyle="1" w:styleId="1200">
    <w:name w:val="报告书正文 Char Char Char Char Char Char Char Char Char Char Char Char Char Char"/>
    <w:basedOn w:val="1"/>
    <w:qFormat/>
    <w:uiPriority w:val="0"/>
    <w:pPr>
      <w:spacing w:line="300" w:lineRule="auto"/>
      <w:ind w:firstLine="480"/>
    </w:pPr>
    <w:rPr>
      <w:rFonts w:ascii="宋体"/>
      <w:color w:val="000000"/>
    </w:rPr>
  </w:style>
  <w:style w:type="paragraph" w:customStyle="1" w:styleId="1201">
    <w:name w:val="表号1"/>
    <w:basedOn w:val="1"/>
    <w:qFormat/>
    <w:uiPriority w:val="0"/>
    <w:pPr>
      <w:adjustRightInd w:val="0"/>
      <w:snapToGrid w:val="0"/>
      <w:spacing w:line="240" w:lineRule="auto"/>
      <w:ind w:firstLine="0" w:firstLineChars="0"/>
      <w:jc w:val="left"/>
    </w:pPr>
    <w:rPr>
      <w:color w:val="000000"/>
      <w:sz w:val="21"/>
    </w:rPr>
  </w:style>
  <w:style w:type="paragraph" w:customStyle="1" w:styleId="1202">
    <w:name w:val="xl26"/>
    <w:basedOn w:val="1"/>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eastAsia="Arial Unicode MS"/>
      <w:kern w:val="0"/>
      <w:sz w:val="21"/>
      <w:szCs w:val="21"/>
    </w:rPr>
  </w:style>
  <w:style w:type="paragraph" w:customStyle="1" w:styleId="1203">
    <w:name w:val="Char Char Char11"/>
    <w:basedOn w:val="1"/>
    <w:qFormat/>
    <w:uiPriority w:val="0"/>
    <w:pPr>
      <w:spacing w:line="240" w:lineRule="auto"/>
      <w:ind w:firstLine="0" w:firstLineChars="0"/>
    </w:pPr>
    <w:rPr>
      <w:rFonts w:ascii="Tahoma" w:hAnsi="Tahoma"/>
      <w:szCs w:val="24"/>
    </w:rPr>
  </w:style>
  <w:style w:type="paragraph" w:customStyle="1" w:styleId="1204">
    <w:name w:val="样式58"/>
    <w:basedOn w:val="558"/>
    <w:qFormat/>
    <w:uiPriority w:val="0"/>
    <w:rPr>
      <w:rFonts w:hAnsi="宋体"/>
    </w:rPr>
  </w:style>
  <w:style w:type="paragraph" w:customStyle="1" w:styleId="1205">
    <w:name w:val="样式 标题 2 + 宋体 四号 段前: 6 磅 段后: 6 磅 行距: 1.5 倍行距"/>
    <w:basedOn w:val="6"/>
    <w:next w:val="1"/>
    <w:qFormat/>
    <w:uiPriority w:val="0"/>
    <w:pPr>
      <w:jc w:val="both"/>
    </w:pPr>
    <w:rPr>
      <w:rFonts w:ascii="宋体" w:hAnsi="宋体" w:cs="宋体"/>
      <w:bCs/>
      <w:kern w:val="2"/>
    </w:rPr>
  </w:style>
  <w:style w:type="paragraph" w:customStyle="1" w:styleId="1206">
    <w:name w:val="1.1.1.1"/>
    <w:basedOn w:val="1"/>
    <w:next w:val="1"/>
    <w:qFormat/>
    <w:uiPriority w:val="0"/>
    <w:pPr>
      <w:adjustRightInd w:val="0"/>
      <w:snapToGrid w:val="0"/>
      <w:spacing w:before="156" w:beforeLines="50" w:after="156" w:afterLines="50" w:line="300" w:lineRule="auto"/>
      <w:ind w:firstLine="0" w:firstLineChars="0"/>
    </w:pPr>
    <w:rPr>
      <w:rFonts w:ascii="宋体"/>
      <w:b/>
      <w:spacing w:val="10"/>
      <w:kern w:val="0"/>
    </w:rPr>
  </w:style>
  <w:style w:type="paragraph" w:customStyle="1" w:styleId="1207">
    <w:name w:val="3 Char Char Char Char Char Char Char Char Char Char Char Char Char"/>
    <w:basedOn w:val="1"/>
    <w:qFormat/>
    <w:uiPriority w:val="0"/>
    <w:pPr>
      <w:spacing w:line="240" w:lineRule="auto"/>
      <w:ind w:firstLine="0" w:firstLineChars="0"/>
    </w:pPr>
    <w:rPr>
      <w:rFonts w:ascii="Tahoma" w:hAnsi="Tahoma"/>
      <w:szCs w:val="24"/>
    </w:rPr>
  </w:style>
  <w:style w:type="paragraph" w:customStyle="1" w:styleId="1208">
    <w:name w:val="样式49"/>
    <w:basedOn w:val="558"/>
    <w:qFormat/>
    <w:uiPriority w:val="0"/>
  </w:style>
  <w:style w:type="paragraph" w:customStyle="1" w:styleId="1209">
    <w:name w:val="Char Char1"/>
    <w:basedOn w:val="1"/>
    <w:qFormat/>
    <w:uiPriority w:val="0"/>
    <w:pPr>
      <w:tabs>
        <w:tab w:val="left" w:pos="632"/>
      </w:tabs>
      <w:ind w:left="632" w:hanging="432" w:firstLineChars="0"/>
    </w:pPr>
    <w:rPr>
      <w:rFonts w:ascii="宋体" w:hAnsi="宋体"/>
    </w:rPr>
  </w:style>
  <w:style w:type="paragraph" w:customStyle="1" w:styleId="1210">
    <w:name w:val="bodytext2"/>
    <w:basedOn w:val="1"/>
    <w:semiHidden/>
    <w:qFormat/>
    <w:uiPriority w:val="0"/>
    <w:pPr>
      <w:widowControl/>
      <w:spacing w:before="100" w:beforeAutospacing="1" w:after="100" w:afterAutospacing="1"/>
      <w:ind w:firstLine="0" w:firstLineChars="0"/>
      <w:jc w:val="left"/>
    </w:pPr>
    <w:rPr>
      <w:rFonts w:ascii="Arial" w:hAnsi="Arial"/>
      <w:color w:val="4B4B4B"/>
      <w:kern w:val="0"/>
      <w:sz w:val="18"/>
    </w:rPr>
  </w:style>
  <w:style w:type="paragraph" w:customStyle="1" w:styleId="1211">
    <w:name w:val="表格文字"/>
    <w:basedOn w:val="1"/>
    <w:qFormat/>
    <w:uiPriority w:val="0"/>
    <w:pPr>
      <w:adjustRightInd w:val="0"/>
      <w:snapToGrid w:val="0"/>
      <w:spacing w:line="500" w:lineRule="exact"/>
      <w:jc w:val="center"/>
    </w:pPr>
    <w:rPr>
      <w:rFonts w:ascii="宋体"/>
    </w:rPr>
  </w:style>
  <w:style w:type="paragraph" w:customStyle="1" w:styleId="1212">
    <w:name w:val="正文文字"/>
    <w:basedOn w:val="8"/>
    <w:qFormat/>
    <w:uiPriority w:val="99"/>
    <w:pPr>
      <w:spacing w:line="240" w:lineRule="auto"/>
      <w:ind w:firstLine="0" w:firstLineChars="0"/>
    </w:pPr>
    <w:rPr>
      <w:sz w:val="18"/>
      <w:szCs w:val="18"/>
    </w:rPr>
  </w:style>
  <w:style w:type="paragraph" w:customStyle="1" w:styleId="1213">
    <w:name w:val="xl81"/>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333333"/>
      <w:kern w:val="0"/>
      <w:sz w:val="20"/>
    </w:rPr>
  </w:style>
  <w:style w:type="paragraph" w:customStyle="1" w:styleId="1214">
    <w:name w:val="默认段落字体 Para Char Char Char Char"/>
    <w:basedOn w:val="1"/>
    <w:qFormat/>
    <w:uiPriority w:val="0"/>
    <w:pPr>
      <w:spacing w:line="240" w:lineRule="auto"/>
      <w:ind w:firstLine="0" w:firstLineChars="0"/>
    </w:pPr>
    <w:rPr>
      <w:szCs w:val="24"/>
    </w:rPr>
  </w:style>
  <w:style w:type="paragraph" w:customStyle="1" w:styleId="1215">
    <w:name w:val="正文文本 211"/>
    <w:basedOn w:val="1"/>
    <w:qFormat/>
    <w:uiPriority w:val="0"/>
    <w:pPr>
      <w:adjustRightInd w:val="0"/>
      <w:snapToGrid w:val="0"/>
      <w:spacing w:before="60" w:after="60"/>
      <w:ind w:firstLine="570" w:firstLineChars="0"/>
      <w:jc w:val="left"/>
      <w:textAlignment w:val="baseline"/>
    </w:pPr>
    <w:rPr>
      <w:kern w:val="0"/>
      <w:sz w:val="28"/>
    </w:rPr>
  </w:style>
  <w:style w:type="paragraph" w:customStyle="1" w:styleId="1216">
    <w:name w:val="二级标题"/>
    <w:basedOn w:val="6"/>
    <w:qFormat/>
    <w:uiPriority w:val="0"/>
    <w:pPr>
      <w:spacing w:before="156" w:beforeLines="50" w:after="156" w:afterLines="50" w:line="520" w:lineRule="exact"/>
      <w:jc w:val="both"/>
      <w:outlineLvl w:val="2"/>
    </w:pPr>
    <w:rPr>
      <w:rFonts w:ascii="Arial" w:hAnsi="Arial" w:eastAsia="黑体"/>
      <w:b w:val="0"/>
      <w:bCs/>
      <w:kern w:val="2"/>
      <w:szCs w:val="32"/>
    </w:rPr>
  </w:style>
  <w:style w:type="paragraph" w:customStyle="1" w:styleId="1217">
    <w:name w:val="目录 32"/>
    <w:basedOn w:val="1056"/>
    <w:next w:val="578"/>
    <w:qFormat/>
    <w:uiPriority w:val="0"/>
    <w:pPr>
      <w:spacing w:before="0" w:after="0"/>
      <w:ind w:left="567"/>
    </w:pPr>
  </w:style>
  <w:style w:type="paragraph" w:customStyle="1" w:styleId="1218">
    <w:name w:val="公式"/>
    <w:basedOn w:val="1"/>
    <w:qFormat/>
    <w:uiPriority w:val="0"/>
    <w:pPr>
      <w:overflowPunct w:val="0"/>
      <w:topLinePunct/>
      <w:adjustRightInd w:val="0"/>
      <w:snapToGrid w:val="0"/>
      <w:spacing w:line="240" w:lineRule="exact"/>
      <w:ind w:left="420" w:leftChars="200" w:firstLine="0" w:firstLineChars="0"/>
    </w:pPr>
    <w:rPr>
      <w:snapToGrid w:val="0"/>
      <w:kern w:val="0"/>
    </w:rPr>
  </w:style>
  <w:style w:type="paragraph" w:customStyle="1" w:styleId="1219">
    <w:name w:val="二号标题样式 Char Char"/>
    <w:basedOn w:val="488"/>
    <w:qFormat/>
    <w:uiPriority w:val="0"/>
    <w:pPr>
      <w:spacing w:before="156" w:beforeLines="50" w:after="156" w:afterLines="50"/>
    </w:pPr>
    <w:rPr>
      <w:bCs w:val="0"/>
      <w:szCs w:val="20"/>
    </w:rPr>
  </w:style>
  <w:style w:type="paragraph" w:customStyle="1" w:styleId="1220">
    <w:name w:val="表格文字居中"/>
    <w:qFormat/>
    <w:uiPriority w:val="0"/>
    <w:pPr>
      <w:adjustRightInd w:val="0"/>
      <w:snapToGrid w:val="0"/>
      <w:spacing w:before="31" w:beforeLines="10" w:after="31" w:afterLines="10"/>
      <w:jc w:val="center"/>
    </w:pPr>
    <w:rPr>
      <w:rFonts w:ascii="宋体" w:hAnsi="宋体" w:eastAsia="宋体" w:cs="Times New Roman"/>
      <w:sz w:val="24"/>
      <w:lang w:val="en-US" w:eastAsia="zh-CN" w:bidi="ar-SA"/>
    </w:rPr>
  </w:style>
  <w:style w:type="paragraph" w:customStyle="1" w:styleId="1221">
    <w:name w:val="征文"/>
    <w:basedOn w:val="1"/>
    <w:qFormat/>
    <w:uiPriority w:val="0"/>
    <w:pPr>
      <w:tabs>
        <w:tab w:val="left" w:pos="1320"/>
      </w:tabs>
      <w:adjustRightInd w:val="0"/>
      <w:snapToGrid w:val="0"/>
      <w:spacing w:line="312" w:lineRule="auto"/>
      <w:ind w:firstLine="0" w:firstLineChars="0"/>
      <w:jc w:val="center"/>
    </w:pPr>
    <w:rPr>
      <w:rFonts w:ascii="宋体" w:hAnsi="宋体"/>
      <w:sz w:val="21"/>
    </w:rPr>
  </w:style>
  <w:style w:type="paragraph" w:customStyle="1" w:styleId="1222">
    <w:name w:val="font0"/>
    <w:basedOn w:val="1"/>
    <w:qFormat/>
    <w:uiPriority w:val="0"/>
    <w:pPr>
      <w:widowControl/>
      <w:spacing w:before="100" w:after="100" w:line="240" w:lineRule="auto"/>
      <w:ind w:firstLine="0" w:firstLineChars="0"/>
      <w:jc w:val="left"/>
    </w:pPr>
    <w:rPr>
      <w:rFonts w:hint="eastAsia" w:ascii="宋体" w:hAnsi="宋体"/>
      <w:kern w:val="0"/>
    </w:rPr>
  </w:style>
  <w:style w:type="paragraph" w:customStyle="1" w:styleId="1223">
    <w:name w:val="xl6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FF0000"/>
      <w:kern w:val="0"/>
      <w:sz w:val="20"/>
    </w:rPr>
  </w:style>
  <w:style w:type="paragraph" w:customStyle="1" w:styleId="1224">
    <w:name w:val="Char Char Char Char Char Char1 Char Char Char Char Char Char Char Char Char1 Char Char Char Char"/>
    <w:basedOn w:val="1"/>
    <w:qFormat/>
    <w:uiPriority w:val="0"/>
    <w:pPr>
      <w:spacing w:line="240" w:lineRule="auto"/>
      <w:ind w:firstLine="0" w:firstLineChars="0"/>
    </w:pPr>
    <w:rPr>
      <w:szCs w:val="24"/>
    </w:rPr>
  </w:style>
  <w:style w:type="paragraph" w:customStyle="1" w:styleId="1225">
    <w:name w:val="样式39"/>
    <w:basedOn w:val="994"/>
    <w:qFormat/>
    <w:uiPriority w:val="0"/>
    <w:pPr>
      <w:tabs>
        <w:tab w:val="left" w:pos="900"/>
        <w:tab w:val="left" w:pos="1418"/>
        <w:tab w:val="clear" w:pos="1571"/>
      </w:tabs>
    </w:pPr>
  </w:style>
  <w:style w:type="paragraph" w:customStyle="1" w:styleId="1226">
    <w:name w:val="Char Char Char Char Char Char1"/>
    <w:basedOn w:val="1"/>
    <w:qFormat/>
    <w:uiPriority w:val="0"/>
    <w:pPr>
      <w:spacing w:line="240" w:lineRule="auto"/>
      <w:ind w:firstLine="0" w:firstLineChars="0"/>
    </w:pPr>
    <w:rPr>
      <w:sz w:val="21"/>
      <w:szCs w:val="24"/>
    </w:rPr>
  </w:style>
  <w:style w:type="paragraph" w:customStyle="1" w:styleId="1227">
    <w:name w:val="文章正文样式 Char"/>
    <w:basedOn w:val="1"/>
    <w:qFormat/>
    <w:uiPriority w:val="0"/>
    <w:pPr>
      <w:spacing w:line="520" w:lineRule="exact"/>
      <w:ind w:firstLine="480"/>
      <w:jc w:val="left"/>
    </w:pPr>
    <w:rPr>
      <w:rFonts w:ascii="宋体" w:hAnsi="宋体" w:cs="宋体"/>
    </w:rPr>
  </w:style>
  <w:style w:type="paragraph" w:customStyle="1" w:styleId="1228">
    <w:name w:val="样式 题注"/>
    <w:basedOn w:val="24"/>
    <w:next w:val="1"/>
    <w:qFormat/>
    <w:uiPriority w:val="0"/>
    <w:pPr>
      <w:keepNext w:val="0"/>
      <w:spacing w:before="120"/>
      <w:jc w:val="both"/>
    </w:pPr>
    <w:rPr>
      <w:rFonts w:ascii="Times New Roman" w:hAnsi="Times New Roman" w:eastAsia="黑体" w:cs="宋体"/>
      <w:b w:val="0"/>
      <w:bCs w:val="0"/>
      <w:sz w:val="24"/>
      <w:szCs w:val="24"/>
    </w:rPr>
  </w:style>
  <w:style w:type="paragraph" w:customStyle="1" w:styleId="1229">
    <w:name w:val="自动2 Char"/>
    <w:basedOn w:val="1"/>
    <w:qFormat/>
    <w:uiPriority w:val="0"/>
    <w:pPr>
      <w:keepNext/>
      <w:keepLines/>
      <w:tabs>
        <w:tab w:val="left" w:pos="850"/>
        <w:tab w:val="left" w:pos="1320"/>
      </w:tabs>
      <w:spacing w:before="50" w:after="50"/>
      <w:ind w:left="850" w:hanging="420" w:firstLineChars="0"/>
      <w:outlineLvl w:val="1"/>
    </w:pPr>
    <w:rPr>
      <w:rFonts w:ascii="黑体" w:hAnsi="Arial" w:eastAsia="黑体"/>
      <w:b/>
      <w:color w:val="000000"/>
      <w:sz w:val="28"/>
    </w:rPr>
  </w:style>
  <w:style w:type="paragraph" w:customStyle="1" w:styleId="1230">
    <w:name w:val="标题 32"/>
    <w:basedOn w:val="578"/>
    <w:next w:val="578"/>
    <w:qFormat/>
    <w:uiPriority w:val="0"/>
    <w:pPr>
      <w:keepNext/>
      <w:keepLines/>
      <w:spacing w:before="260" w:after="260" w:line="416" w:lineRule="atLeast"/>
      <w:jc w:val="both"/>
    </w:pPr>
    <w:rPr>
      <w:b/>
      <w:sz w:val="32"/>
    </w:rPr>
  </w:style>
  <w:style w:type="paragraph" w:customStyle="1" w:styleId="1231">
    <w:name w:val="Char Char Char Char Char Char Char Char Char Char Char Char Char Char Char Char Char Char Char Char Char Char"/>
    <w:basedOn w:val="1"/>
    <w:semiHidden/>
    <w:qFormat/>
    <w:uiPriority w:val="0"/>
    <w:pPr>
      <w:spacing w:after="156" w:afterLines="50" w:line="560" w:lineRule="exact"/>
      <w:ind w:firstLine="0" w:firstLineChars="0"/>
    </w:pPr>
    <w:rPr>
      <w:rFonts w:eastAsia="黑体"/>
      <w:sz w:val="30"/>
      <w:szCs w:val="30"/>
    </w:rPr>
  </w:style>
  <w:style w:type="paragraph" w:customStyle="1" w:styleId="1232">
    <w:name w:val="四级标题 Char"/>
    <w:basedOn w:val="9"/>
    <w:qFormat/>
    <w:uiPriority w:val="0"/>
    <w:pPr>
      <w:spacing w:before="156" w:beforeLines="50" w:after="156" w:afterLines="50"/>
    </w:pPr>
    <w:rPr>
      <w:rFonts w:ascii="宋体" w:hAnsi="宋体" w:eastAsia="宋体"/>
      <w:kern w:val="2"/>
    </w:rPr>
  </w:style>
  <w:style w:type="paragraph" w:customStyle="1" w:styleId="1233">
    <w:name w:val="lily's 正文"/>
    <w:basedOn w:val="8"/>
    <w:semiHidden/>
    <w:qFormat/>
    <w:uiPriority w:val="0"/>
    <w:pPr>
      <w:ind w:firstLine="480"/>
    </w:pPr>
    <w:rPr>
      <w:rFonts w:eastAsia="楷体_GB2312"/>
      <w:szCs w:val="24"/>
    </w:rPr>
  </w:style>
  <w:style w:type="paragraph" w:customStyle="1" w:styleId="1234">
    <w:name w:val="样式 样式 文章大标题 + 段前: 0.5 行 段后: 0.5 行 + 段前: 1 行 段后: 1 行"/>
    <w:basedOn w:val="1"/>
    <w:semiHidden/>
    <w:qFormat/>
    <w:uiPriority w:val="0"/>
    <w:pPr>
      <w:spacing w:before="312" w:beforeLines="100" w:after="312" w:afterLines="100" w:line="520" w:lineRule="exact"/>
      <w:ind w:firstLine="0" w:firstLineChars="0"/>
      <w:jc w:val="center"/>
      <w:outlineLvl w:val="0"/>
    </w:pPr>
    <w:rPr>
      <w:rFonts w:eastAsia="黑体" w:cs="宋体"/>
      <w:sz w:val="36"/>
    </w:rPr>
  </w:style>
  <w:style w:type="paragraph" w:customStyle="1" w:styleId="1235">
    <w:name w:val="自定义正文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lang w:val="en-US" w:eastAsia="zh-CN" w:bidi="ar-SA"/>
    </w:rPr>
  </w:style>
  <w:style w:type="paragraph" w:customStyle="1" w:styleId="1236">
    <w:name w:val="样式28"/>
    <w:basedOn w:val="1"/>
    <w:qFormat/>
    <w:uiPriority w:val="0"/>
    <w:pPr>
      <w:ind w:firstLine="480"/>
    </w:pPr>
    <w:rPr>
      <w:rFonts w:ascii="宋体"/>
    </w:rPr>
  </w:style>
  <w:style w:type="paragraph" w:customStyle="1" w:styleId="1237">
    <w:name w:val="xl35"/>
    <w:basedOn w:val="1"/>
    <w:qFormat/>
    <w:uiPriority w:val="0"/>
    <w:pPr>
      <w:widowControl/>
      <w:spacing w:before="100" w:beforeAutospacing="1" w:after="100" w:afterAutospacing="1" w:line="240" w:lineRule="auto"/>
      <w:ind w:firstLine="0" w:firstLineChars="0"/>
      <w:jc w:val="center"/>
    </w:pPr>
    <w:rPr>
      <w:rFonts w:hint="eastAsia" w:ascii="楷体_GB2312" w:hAnsi="Arial Unicode MS" w:eastAsia="楷体_GB2312"/>
      <w:b/>
      <w:kern w:val="0"/>
    </w:rPr>
  </w:style>
  <w:style w:type="paragraph" w:customStyle="1" w:styleId="1238">
    <w:name w:val="Char Char Char1 Char Char Char Char Char Char Char Char Char Char Char Char1 Char Char Char Char Char Char Char Char Char Char"/>
    <w:basedOn w:val="1"/>
    <w:qFormat/>
    <w:uiPriority w:val="0"/>
    <w:rPr>
      <w:rFonts w:ascii="宋体" w:hAnsi="宋体" w:eastAsia="黑体" w:cs="宋体"/>
      <w:sz w:val="28"/>
      <w:szCs w:val="24"/>
    </w:rPr>
  </w:style>
  <w:style w:type="paragraph" w:customStyle="1" w:styleId="1239">
    <w:name w:val="3CBD5A742C28424DA5172AD252E32316"/>
    <w:qFormat/>
    <w:uiPriority w:val="0"/>
    <w:pPr>
      <w:spacing w:after="200" w:line="276" w:lineRule="auto"/>
    </w:pPr>
    <w:rPr>
      <w:rFonts w:ascii="Calibri" w:hAnsi="Calibri" w:eastAsia="宋体" w:cs="Times New Roman"/>
      <w:sz w:val="22"/>
      <w:szCs w:val="22"/>
      <w:lang w:val="en-US" w:eastAsia="zh-CN" w:bidi="ar-SA"/>
    </w:rPr>
  </w:style>
  <w:style w:type="paragraph" w:customStyle="1" w:styleId="1240">
    <w:name w:val="中能酒精"/>
    <w:basedOn w:val="1"/>
    <w:semiHidden/>
    <w:qFormat/>
    <w:uiPriority w:val="0"/>
    <w:pPr>
      <w:adjustRightInd w:val="0"/>
      <w:snapToGrid w:val="0"/>
      <w:spacing w:line="240" w:lineRule="auto"/>
      <w:ind w:firstLine="0" w:firstLineChars="0"/>
    </w:pPr>
    <w:rPr>
      <w:rFonts w:eastAsia="Times New Roman"/>
      <w:sz w:val="21"/>
      <w:szCs w:val="24"/>
    </w:rPr>
  </w:style>
  <w:style w:type="paragraph" w:customStyle="1" w:styleId="1241">
    <w:name w:val="表目录"/>
    <w:basedOn w:val="1"/>
    <w:qFormat/>
    <w:uiPriority w:val="0"/>
    <w:pPr>
      <w:adjustRightInd w:val="0"/>
      <w:snapToGrid w:val="0"/>
      <w:ind w:firstLine="0" w:firstLineChars="0"/>
    </w:pPr>
    <w:rPr>
      <w:rFonts w:ascii="黑体" w:eastAsia="黑体"/>
      <w:sz w:val="21"/>
    </w:rPr>
  </w:style>
  <w:style w:type="paragraph" w:customStyle="1" w:styleId="1242">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kern w:val="0"/>
      <w:sz w:val="16"/>
    </w:rPr>
  </w:style>
  <w:style w:type="paragraph" w:customStyle="1" w:styleId="1243">
    <w:name w:val="正文 + 小四"/>
    <w:basedOn w:val="1"/>
    <w:qFormat/>
    <w:uiPriority w:val="0"/>
    <w:pPr>
      <w:spacing w:line="396" w:lineRule="auto"/>
      <w:ind w:firstLine="480"/>
    </w:pPr>
    <w:rPr>
      <w:color w:val="FF0000"/>
      <w:kern w:val="0"/>
    </w:rPr>
  </w:style>
  <w:style w:type="paragraph" w:customStyle="1" w:styleId="1244">
    <w:name w:val="图表名"/>
    <w:basedOn w:val="1"/>
    <w:qFormat/>
    <w:uiPriority w:val="0"/>
    <w:pPr>
      <w:spacing w:line="240" w:lineRule="auto"/>
      <w:ind w:firstLine="0" w:firstLineChars="0"/>
      <w:jc w:val="center"/>
    </w:pPr>
    <w:rPr>
      <w:color w:val="000000"/>
      <w:szCs w:val="24"/>
    </w:rPr>
  </w:style>
  <w:style w:type="paragraph" w:customStyle="1" w:styleId="1245">
    <w:name w:val="关键词"/>
    <w:basedOn w:val="1"/>
    <w:qFormat/>
    <w:uiPriority w:val="0"/>
    <w:pPr>
      <w:spacing w:line="240" w:lineRule="auto"/>
      <w:ind w:firstLine="0" w:firstLineChars="0"/>
    </w:pPr>
    <w:rPr>
      <w:rFonts w:eastAsia="黑体"/>
      <w:sz w:val="18"/>
    </w:rPr>
  </w:style>
  <w:style w:type="paragraph" w:customStyle="1" w:styleId="1246">
    <w:name w:val="样式 标题 1 + 段前: 0.5 行 段后: 0.5 行"/>
    <w:basedOn w:val="5"/>
    <w:qFormat/>
    <w:uiPriority w:val="0"/>
    <w:pPr>
      <w:numPr>
        <w:numId w:val="0"/>
      </w:numPr>
      <w:tabs>
        <w:tab w:val="left" w:pos="987"/>
        <w:tab w:val="left" w:pos="1230"/>
        <w:tab w:val="clear" w:pos="3490"/>
      </w:tabs>
      <w:spacing w:before="156" w:beforeLines="50" w:after="156" w:afterLines="50"/>
      <w:ind w:left="1230" w:hanging="1080"/>
      <w:jc w:val="left"/>
    </w:pPr>
    <w:rPr>
      <w:rFonts w:ascii="Times New Roman" w:eastAsia="黑体"/>
      <w:b w:val="0"/>
      <w:kern w:val="44"/>
    </w:rPr>
  </w:style>
  <w:style w:type="paragraph" w:customStyle="1" w:styleId="1247">
    <w:name w:val="表名"/>
    <w:basedOn w:val="44"/>
    <w:qFormat/>
    <w:uiPriority w:val="0"/>
    <w:pPr>
      <w:spacing w:line="240" w:lineRule="auto"/>
      <w:ind w:firstLine="0"/>
      <w:jc w:val="center"/>
    </w:pPr>
    <w:rPr>
      <w:rFonts w:eastAsia="仿宋_GB2312"/>
      <w:b/>
    </w:rPr>
  </w:style>
  <w:style w:type="paragraph" w:customStyle="1" w:styleId="1248">
    <w:name w:val="表格正文"/>
    <w:basedOn w:val="1"/>
    <w:link w:val="1249"/>
    <w:qFormat/>
    <w:uiPriority w:val="0"/>
    <w:pPr>
      <w:spacing w:line="360" w:lineRule="exact"/>
      <w:ind w:firstLine="0" w:firstLineChars="0"/>
      <w:jc w:val="center"/>
    </w:pPr>
    <w:rPr>
      <w:sz w:val="21"/>
      <w:szCs w:val="24"/>
    </w:rPr>
  </w:style>
  <w:style w:type="character" w:customStyle="1" w:styleId="1249">
    <w:name w:val="表格正文 Char1"/>
    <w:link w:val="1248"/>
    <w:qFormat/>
    <w:uiPriority w:val="0"/>
    <w:rPr>
      <w:kern w:val="2"/>
      <w:sz w:val="21"/>
      <w:szCs w:val="24"/>
    </w:rPr>
  </w:style>
  <w:style w:type="paragraph" w:customStyle="1" w:styleId="1250">
    <w:name w:val="图题注"/>
    <w:basedOn w:val="24"/>
    <w:qFormat/>
    <w:uiPriority w:val="0"/>
    <w:pPr>
      <w:keepNext w:val="0"/>
      <w:spacing w:before="0" w:after="0"/>
    </w:pPr>
    <w:rPr>
      <w:rFonts w:ascii="黑体" w:hAnsi="Arial" w:eastAsia="黑体" w:cs="宋体"/>
      <w:sz w:val="24"/>
      <w:szCs w:val="24"/>
    </w:rPr>
  </w:style>
  <w:style w:type="paragraph" w:customStyle="1" w:styleId="1251">
    <w:name w:val="xl60"/>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kern w:val="0"/>
      <w:sz w:val="22"/>
    </w:rPr>
  </w:style>
  <w:style w:type="paragraph" w:customStyle="1" w:styleId="1252">
    <w:name w:val="样式31"/>
    <w:basedOn w:val="813"/>
    <w:qFormat/>
    <w:uiPriority w:val="0"/>
    <w:pPr>
      <w:tabs>
        <w:tab w:val="left" w:pos="900"/>
        <w:tab w:val="left" w:pos="1418"/>
        <w:tab w:val="clear" w:pos="1571"/>
      </w:tabs>
    </w:pPr>
    <w:rPr>
      <w:lang w:val="zh-CN"/>
    </w:rPr>
  </w:style>
  <w:style w:type="paragraph" w:customStyle="1" w:styleId="1253">
    <w:name w:val="Char3 Char Char Char Char Char Char Char Char Char"/>
    <w:basedOn w:val="1"/>
    <w:qFormat/>
    <w:uiPriority w:val="0"/>
    <w:pPr>
      <w:spacing w:line="240" w:lineRule="auto"/>
      <w:ind w:firstLine="0" w:firstLineChars="0"/>
    </w:pPr>
    <w:rPr>
      <w:szCs w:val="24"/>
    </w:rPr>
  </w:style>
  <w:style w:type="paragraph" w:customStyle="1" w:styleId="1254">
    <w:name w:val="font13"/>
    <w:basedOn w:val="1"/>
    <w:qFormat/>
    <w:uiPriority w:val="0"/>
    <w:pPr>
      <w:widowControl/>
      <w:spacing w:before="100" w:beforeAutospacing="1" w:after="100" w:afterAutospacing="1" w:line="240" w:lineRule="auto"/>
      <w:ind w:firstLine="0" w:firstLineChars="0"/>
      <w:jc w:val="left"/>
    </w:pPr>
    <w:rPr>
      <w:rFonts w:eastAsia="Arial Unicode MS"/>
      <w:color w:val="FF00FF"/>
      <w:kern w:val="0"/>
      <w:sz w:val="20"/>
    </w:rPr>
  </w:style>
  <w:style w:type="paragraph" w:customStyle="1" w:styleId="1255">
    <w:name w:val="样式 样式 样式 标题 1标题 11一、My title1 + + +"/>
    <w:basedOn w:val="795"/>
    <w:qFormat/>
    <w:uiPriority w:val="0"/>
    <w:pPr>
      <w:tabs>
        <w:tab w:val="left" w:pos="870"/>
        <w:tab w:val="left" w:pos="987"/>
      </w:tabs>
      <w:ind w:left="870" w:hanging="390"/>
    </w:pPr>
  </w:style>
  <w:style w:type="paragraph" w:customStyle="1" w:styleId="1256">
    <w:name w:val="中文报告书样式"/>
    <w:basedOn w:val="1"/>
    <w:qFormat/>
    <w:uiPriority w:val="0"/>
    <w:pPr>
      <w:adjustRightInd w:val="0"/>
      <w:snapToGrid w:val="0"/>
      <w:spacing w:before="60"/>
      <w:ind w:firstLine="567" w:firstLineChars="0"/>
      <w:textAlignment w:val="baseline"/>
    </w:pPr>
    <w:rPr>
      <w:kern w:val="24"/>
    </w:rPr>
  </w:style>
  <w:style w:type="paragraph" w:customStyle="1" w:styleId="1257">
    <w:name w:val="样式 标题 3 + 宋体 小四 非加粗 Char"/>
    <w:basedOn w:val="7"/>
    <w:qFormat/>
    <w:uiPriority w:val="0"/>
    <w:pPr>
      <w:tabs>
        <w:tab w:val="left" w:pos="360"/>
        <w:tab w:val="left" w:pos="540"/>
        <w:tab w:val="left" w:pos="720"/>
        <w:tab w:val="left" w:pos="1571"/>
        <w:tab w:val="left" w:pos="1716"/>
      </w:tabs>
      <w:spacing w:before="156" w:beforeLines="50" w:after="156" w:afterLines="50"/>
      <w:ind w:left="1716" w:hanging="420"/>
      <w:jc w:val="both"/>
    </w:pPr>
    <w:rPr>
      <w:rFonts w:ascii="宋体" w:eastAsia="黑体"/>
      <w:b w:val="0"/>
      <w:kern w:val="2"/>
    </w:rPr>
  </w:style>
  <w:style w:type="paragraph" w:customStyle="1" w:styleId="1258">
    <w:name w:val="font9"/>
    <w:basedOn w:val="1"/>
    <w:qFormat/>
    <w:uiPriority w:val="0"/>
    <w:pPr>
      <w:widowControl/>
      <w:spacing w:before="100" w:beforeAutospacing="1" w:after="100" w:afterAutospacing="1" w:line="240" w:lineRule="auto"/>
      <w:ind w:firstLine="0" w:firstLineChars="0"/>
      <w:jc w:val="left"/>
    </w:pPr>
    <w:rPr>
      <w:rFonts w:eastAsia="Arial Unicode MS"/>
      <w:kern w:val="0"/>
      <w:sz w:val="18"/>
    </w:rPr>
  </w:style>
  <w:style w:type="paragraph" w:customStyle="1" w:styleId="1259">
    <w:name w:val="样式45"/>
    <w:basedOn w:val="1012"/>
    <w:qFormat/>
    <w:uiPriority w:val="0"/>
  </w:style>
  <w:style w:type="paragraph" w:customStyle="1" w:styleId="1260">
    <w:name w:val="表格内容2"/>
    <w:basedOn w:val="865"/>
    <w:qFormat/>
    <w:uiPriority w:val="0"/>
    <w:pPr>
      <w:adjustRightInd w:val="0"/>
      <w:spacing w:line="220" w:lineRule="exact"/>
    </w:pPr>
    <w:rPr>
      <w:rFonts w:ascii="Times New Roman" w:hAnsi="Times New Roman"/>
      <w:caps/>
      <w:sz w:val="18"/>
    </w:rPr>
  </w:style>
  <w:style w:type="paragraph" w:customStyle="1" w:styleId="1261">
    <w:name w:val="Char Char Char Char Char Char Char Char1 Char Char Char Char9"/>
    <w:basedOn w:val="1"/>
    <w:qFormat/>
    <w:uiPriority w:val="0"/>
    <w:pPr>
      <w:spacing w:line="240" w:lineRule="auto"/>
      <w:ind w:firstLine="0" w:firstLineChars="0"/>
    </w:pPr>
    <w:rPr>
      <w:sz w:val="21"/>
      <w:szCs w:val="24"/>
    </w:rPr>
  </w:style>
  <w:style w:type="paragraph" w:customStyle="1" w:styleId="1262">
    <w:name w:val="样式14"/>
    <w:basedOn w:val="1"/>
    <w:qFormat/>
    <w:uiPriority w:val="0"/>
    <w:pPr>
      <w:keepNext/>
      <w:keepLines/>
      <w:tabs>
        <w:tab w:val="left" w:pos="0"/>
        <w:tab w:val="left" w:pos="720"/>
        <w:tab w:val="left" w:pos="864"/>
      </w:tabs>
      <w:spacing w:before="156" w:beforeLines="50" w:after="156" w:afterLines="50"/>
      <w:ind w:left="864" w:hanging="864" w:firstLineChars="0"/>
      <w:outlineLvl w:val="3"/>
    </w:pPr>
    <w:rPr>
      <w:rFonts w:ascii="宋体" w:hAnsi="宋体"/>
    </w:rPr>
  </w:style>
  <w:style w:type="paragraph" w:customStyle="1" w:styleId="1263">
    <w:name w:val="INDEX"/>
    <w:basedOn w:val="1"/>
    <w:semiHidden/>
    <w:qFormat/>
    <w:uiPriority w:val="0"/>
    <w:pPr>
      <w:adjustRightInd w:val="0"/>
      <w:spacing w:line="360" w:lineRule="atLeast"/>
      <w:ind w:left="720" w:hanging="720" w:firstLineChars="0"/>
      <w:jc w:val="left"/>
      <w:textAlignment w:val="baseline"/>
    </w:pPr>
    <w:rPr>
      <w:rFonts w:ascii="全真楷書" w:eastAsia="全真楷書"/>
      <w:kern w:val="0"/>
      <w:lang w:eastAsia="zh-TW"/>
    </w:rPr>
  </w:style>
  <w:style w:type="paragraph" w:customStyle="1" w:styleId="1264">
    <w:name w:val="表格内文字(左对齐)-wd"/>
    <w:basedOn w:val="1"/>
    <w:qFormat/>
    <w:uiPriority w:val="0"/>
    <w:pPr>
      <w:framePr w:hSpace="180" w:wrap="around" w:vAnchor="page" w:hAnchor="margin" w:xAlign="center" w:y="2695"/>
      <w:spacing w:line="240" w:lineRule="auto"/>
      <w:ind w:firstLine="0" w:firstLineChars="0"/>
      <w:jc w:val="center"/>
    </w:pPr>
    <w:rPr>
      <w:rFonts w:hAnsi="宋体"/>
      <w:color w:val="FF0000"/>
      <w:sz w:val="21"/>
      <w:szCs w:val="21"/>
    </w:rPr>
  </w:style>
  <w:style w:type="paragraph" w:customStyle="1" w:styleId="1265">
    <w:name w:val="正文文本缩进 22"/>
    <w:basedOn w:val="1"/>
    <w:qFormat/>
    <w:uiPriority w:val="0"/>
    <w:pPr>
      <w:adjustRightInd w:val="0"/>
      <w:ind w:firstLine="480" w:firstLineChars="0"/>
      <w:textAlignment w:val="baseline"/>
    </w:pPr>
    <w:rPr>
      <w:rFonts w:ascii="宋体"/>
      <w:kern w:val="0"/>
    </w:rPr>
  </w:style>
  <w:style w:type="paragraph" w:customStyle="1" w:styleId="1266">
    <w:name w:val="xl28"/>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kern w:val="0"/>
      <w:sz w:val="16"/>
    </w:rPr>
  </w:style>
  <w:style w:type="paragraph" w:customStyle="1" w:styleId="1267">
    <w:name w:val="Char Char Char1"/>
    <w:basedOn w:val="1"/>
    <w:qFormat/>
    <w:uiPriority w:val="0"/>
    <w:pPr>
      <w:spacing w:line="240" w:lineRule="auto"/>
      <w:ind w:firstLine="0" w:firstLineChars="0"/>
    </w:pPr>
    <w:rPr>
      <w:szCs w:val="24"/>
    </w:rPr>
  </w:style>
  <w:style w:type="paragraph" w:customStyle="1" w:styleId="1268">
    <w:name w:val="Char Char Char Char Char Char Char3"/>
    <w:basedOn w:val="1"/>
    <w:qFormat/>
    <w:uiPriority w:val="0"/>
    <w:pPr>
      <w:spacing w:line="240" w:lineRule="auto"/>
      <w:ind w:firstLine="0" w:firstLineChars="0"/>
    </w:pPr>
    <w:rPr>
      <w:sz w:val="21"/>
      <w:szCs w:val="24"/>
    </w:rPr>
  </w:style>
  <w:style w:type="paragraph" w:customStyle="1" w:styleId="1269">
    <w:name w:val="标题6"/>
    <w:basedOn w:val="1"/>
    <w:qFormat/>
    <w:uiPriority w:val="0"/>
    <w:pPr>
      <w:autoSpaceDE w:val="0"/>
      <w:autoSpaceDN w:val="0"/>
      <w:adjustRightInd w:val="0"/>
      <w:snapToGrid w:val="0"/>
      <w:spacing w:line="480" w:lineRule="exact"/>
    </w:pPr>
    <w:rPr>
      <w:rFonts w:ascii="黑体" w:hAnsi="宋体" w:eastAsia="黑体"/>
      <w:kern w:val="0"/>
    </w:rPr>
  </w:style>
  <w:style w:type="paragraph" w:customStyle="1" w:styleId="1270">
    <w:name w:val="Char Char Char Char Char Char Char Char Char2 Char Char Char Char Char Char Char Char Char Char Char Char1"/>
    <w:basedOn w:val="1"/>
    <w:qFormat/>
    <w:uiPriority w:val="0"/>
    <w:pPr>
      <w:spacing w:line="240" w:lineRule="auto"/>
      <w:ind w:firstLine="0" w:firstLineChars="0"/>
    </w:pPr>
    <w:rPr>
      <w:rFonts w:ascii="Tahoma" w:hAnsi="Tahoma"/>
      <w:szCs w:val="24"/>
    </w:rPr>
  </w:style>
  <w:style w:type="paragraph" w:customStyle="1" w:styleId="1271">
    <w:name w:val="自动表头 Char"/>
    <w:basedOn w:val="1"/>
    <w:qFormat/>
    <w:uiPriority w:val="0"/>
    <w:pPr>
      <w:autoSpaceDE w:val="0"/>
      <w:autoSpaceDN w:val="0"/>
      <w:adjustRightInd w:val="0"/>
      <w:spacing w:before="156" w:beforeLines="50" w:after="156" w:afterLines="50" w:line="240" w:lineRule="auto"/>
      <w:ind w:firstLine="422"/>
    </w:pPr>
    <w:rPr>
      <w:rFonts w:ascii="黑体"/>
      <w:b/>
      <w:color w:val="000000"/>
      <w:sz w:val="21"/>
    </w:rPr>
  </w:style>
  <w:style w:type="paragraph" w:customStyle="1" w:styleId="1272">
    <w:name w:val="前言、引言标题"/>
    <w:next w:val="1"/>
    <w:qFormat/>
    <w:uiPriority w:val="0"/>
    <w:pPr>
      <w:shd w:val="clear" w:color="FFFFFF" w:fill="FFFFFF"/>
      <w:tabs>
        <w:tab w:val="left" w:pos="780"/>
        <w:tab w:val="left" w:pos="903"/>
      </w:tabs>
      <w:spacing w:before="640" w:after="560"/>
      <w:ind w:left="903" w:leftChars="200" w:hanging="315" w:hangingChars="200"/>
      <w:jc w:val="center"/>
      <w:outlineLvl w:val="0"/>
    </w:pPr>
    <w:rPr>
      <w:rFonts w:ascii="黑体" w:hAnsi="Times New Roman" w:eastAsia="黑体" w:cs="Times New Roman"/>
      <w:sz w:val="32"/>
      <w:lang w:val="en-US" w:eastAsia="zh-CN" w:bidi="ar-SA"/>
    </w:rPr>
  </w:style>
  <w:style w:type="paragraph" w:customStyle="1" w:styleId="1273">
    <w:name w:val="标4 Char Char Char"/>
    <w:basedOn w:val="1"/>
    <w:qFormat/>
    <w:uiPriority w:val="0"/>
    <w:pPr>
      <w:tabs>
        <w:tab w:val="left" w:pos="322"/>
      </w:tabs>
      <w:spacing w:line="560" w:lineRule="atLeast"/>
      <w:ind w:firstLine="0" w:firstLineChars="0"/>
      <w:outlineLvl w:val="3"/>
    </w:pPr>
    <w:rPr>
      <w:rFonts w:ascii="宋体" w:hAnsi="宋体"/>
    </w:rPr>
  </w:style>
  <w:style w:type="paragraph" w:customStyle="1" w:styleId="1274">
    <w:name w:val="标题11"/>
    <w:basedOn w:val="1"/>
    <w:qFormat/>
    <w:uiPriority w:val="0"/>
    <w:pPr>
      <w:tabs>
        <w:tab w:val="left" w:pos="840"/>
        <w:tab w:val="left" w:pos="1320"/>
      </w:tabs>
      <w:adjustRightInd w:val="0"/>
      <w:snapToGrid w:val="0"/>
      <w:ind w:left="1320" w:hanging="420" w:firstLineChars="0"/>
    </w:pPr>
    <w:rPr>
      <w:sz w:val="28"/>
    </w:rPr>
  </w:style>
  <w:style w:type="paragraph" w:customStyle="1" w:styleId="1275">
    <w:name w:val="字元 字元 Char Char 字元 字元13"/>
    <w:basedOn w:val="1"/>
    <w:qFormat/>
    <w:uiPriority w:val="0"/>
    <w:pPr>
      <w:spacing w:line="240" w:lineRule="auto"/>
      <w:ind w:firstLine="0" w:firstLineChars="0"/>
    </w:pPr>
    <w:rPr>
      <w:sz w:val="21"/>
      <w:szCs w:val="24"/>
    </w:rPr>
  </w:style>
  <w:style w:type="paragraph" w:customStyle="1" w:styleId="1276">
    <w:name w:val="表格内标"/>
    <w:basedOn w:val="1"/>
    <w:next w:val="1"/>
    <w:qFormat/>
    <w:uiPriority w:val="0"/>
    <w:pPr>
      <w:keepNext/>
      <w:keepLines/>
      <w:spacing w:line="240" w:lineRule="auto"/>
      <w:ind w:firstLine="0" w:firstLineChars="0"/>
      <w:jc w:val="center"/>
    </w:pPr>
    <w:rPr>
      <w:rFonts w:ascii="黑体" w:eastAsia="黑体"/>
      <w:sz w:val="20"/>
    </w:rPr>
  </w:style>
  <w:style w:type="paragraph" w:customStyle="1" w:styleId="1277">
    <w:name w:val="样式 样式 题注 + 首行缩进:  2 字符 + 首行缩进:  2 字符"/>
    <w:basedOn w:val="1"/>
    <w:qFormat/>
    <w:uiPriority w:val="0"/>
    <w:pPr>
      <w:spacing w:line="480" w:lineRule="auto"/>
      <w:ind w:firstLine="480"/>
      <w:jc w:val="center"/>
    </w:pPr>
    <w:rPr>
      <w:rFonts w:ascii="Arial" w:hAnsi="Arial" w:eastAsia="黑体" w:cs="宋体"/>
    </w:rPr>
  </w:style>
  <w:style w:type="paragraph" w:customStyle="1" w:styleId="1278">
    <w:name w:val="表格下方正文"/>
    <w:basedOn w:val="1"/>
    <w:qFormat/>
    <w:uiPriority w:val="0"/>
    <w:pPr>
      <w:spacing w:before="300" w:line="460" w:lineRule="exact"/>
    </w:pPr>
  </w:style>
  <w:style w:type="paragraph" w:customStyle="1" w:styleId="1279">
    <w:name w:val="表格内文字（居中）-wd"/>
    <w:basedOn w:val="1"/>
    <w:qFormat/>
    <w:uiPriority w:val="0"/>
    <w:pPr>
      <w:adjustRightInd w:val="0"/>
      <w:spacing w:line="340" w:lineRule="exact"/>
      <w:ind w:firstLine="0" w:firstLineChars="0"/>
      <w:jc w:val="center"/>
    </w:pPr>
    <w:rPr>
      <w:rFonts w:eastAsia="楷体_GB2312"/>
      <w:kern w:val="0"/>
      <w:szCs w:val="24"/>
    </w:rPr>
  </w:style>
  <w:style w:type="paragraph" w:customStyle="1" w:styleId="1280">
    <w:name w:val="我的标题3"/>
    <w:basedOn w:val="1"/>
    <w:qFormat/>
    <w:uiPriority w:val="0"/>
    <w:pPr>
      <w:spacing w:line="240" w:lineRule="auto"/>
      <w:ind w:firstLine="0" w:firstLineChars="0"/>
    </w:pPr>
    <w:rPr>
      <w:rFonts w:eastAsia="黑体"/>
      <w:sz w:val="28"/>
    </w:rPr>
  </w:style>
  <w:style w:type="paragraph" w:customStyle="1" w:styleId="1281">
    <w:name w:val="xl36"/>
    <w:basedOn w:val="1"/>
    <w:qFormat/>
    <w:uiPriority w:val="0"/>
    <w:pPr>
      <w:widowControl/>
      <w:spacing w:before="100" w:beforeAutospacing="1" w:after="100" w:afterAutospacing="1" w:line="240" w:lineRule="auto"/>
      <w:ind w:firstLine="0" w:firstLineChars="0"/>
      <w:jc w:val="center"/>
    </w:pPr>
    <w:rPr>
      <w:rFonts w:ascii="宋体" w:hAnsi="宋体"/>
      <w:spacing w:val="-4"/>
      <w:kern w:val="0"/>
    </w:rPr>
  </w:style>
  <w:style w:type="paragraph" w:customStyle="1" w:styleId="1282">
    <w:name w:val="14"/>
    <w:basedOn w:val="1"/>
    <w:next w:val="65"/>
    <w:qFormat/>
    <w:uiPriority w:val="0"/>
    <w:pPr>
      <w:ind w:firstLine="480"/>
    </w:pPr>
    <w:rPr>
      <w:rFonts w:ascii="黑体" w:eastAsia="黑体"/>
    </w:rPr>
  </w:style>
  <w:style w:type="paragraph" w:customStyle="1" w:styleId="1283">
    <w:name w:val="样式 标题 3 + 黑色"/>
    <w:basedOn w:val="7"/>
    <w:qFormat/>
    <w:uiPriority w:val="0"/>
    <w:pPr>
      <w:tabs>
        <w:tab w:val="left" w:pos="720"/>
      </w:tabs>
      <w:spacing w:before="120" w:after="120"/>
      <w:ind w:left="720" w:hanging="720"/>
      <w:jc w:val="both"/>
    </w:pPr>
    <w:rPr>
      <w:rFonts w:eastAsia="黑体"/>
      <w:bCs/>
      <w:color w:val="000000"/>
      <w:kern w:val="2"/>
      <w:szCs w:val="24"/>
    </w:rPr>
  </w:style>
  <w:style w:type="paragraph" w:customStyle="1" w:styleId="1284">
    <w:name w:val="!标题3+正文"/>
    <w:basedOn w:val="1119"/>
    <w:next w:val="217"/>
    <w:qFormat/>
    <w:uiPriority w:val="0"/>
    <w:pPr>
      <w:outlineLvl w:val="9"/>
    </w:pPr>
  </w:style>
  <w:style w:type="paragraph" w:customStyle="1" w:styleId="1285">
    <w:name w:val="Char Char Char1 Char Char Char Char Char Char Char"/>
    <w:basedOn w:val="1"/>
    <w:qFormat/>
    <w:uiPriority w:val="0"/>
    <w:pPr>
      <w:spacing w:line="240" w:lineRule="auto"/>
      <w:ind w:firstLine="0" w:firstLineChars="0"/>
    </w:pPr>
    <w:rPr>
      <w:szCs w:val="24"/>
    </w:rPr>
  </w:style>
  <w:style w:type="paragraph" w:customStyle="1" w:styleId="1286">
    <w:name w:val="表文"/>
    <w:basedOn w:val="1"/>
    <w:qFormat/>
    <w:uiPriority w:val="0"/>
    <w:pPr>
      <w:autoSpaceDE w:val="0"/>
      <w:autoSpaceDN w:val="0"/>
      <w:adjustRightInd w:val="0"/>
      <w:spacing w:before="20" w:line="240" w:lineRule="auto"/>
      <w:ind w:firstLine="0" w:firstLineChars="0"/>
      <w:textAlignment w:val="baseline"/>
    </w:pPr>
    <w:rPr>
      <w:kern w:val="0"/>
      <w:sz w:val="21"/>
    </w:rPr>
  </w:style>
  <w:style w:type="paragraph" w:customStyle="1" w:styleId="1287">
    <w:name w:val="文章正文样式"/>
    <w:basedOn w:val="1"/>
    <w:qFormat/>
    <w:uiPriority w:val="0"/>
    <w:pPr>
      <w:spacing w:line="520" w:lineRule="exact"/>
      <w:ind w:firstLine="480"/>
      <w:jc w:val="left"/>
    </w:pPr>
    <w:rPr>
      <w:rFonts w:ascii="宋体" w:hAnsi="宋体" w:cs="宋体"/>
    </w:rPr>
  </w:style>
  <w:style w:type="paragraph" w:customStyle="1" w:styleId="1288">
    <w:name w:val="表前文字"/>
    <w:basedOn w:val="1"/>
    <w:semiHidden/>
    <w:qFormat/>
    <w:uiPriority w:val="0"/>
    <w:pPr>
      <w:spacing w:line="240" w:lineRule="auto"/>
      <w:ind w:firstLine="0" w:firstLineChars="0"/>
      <w:jc w:val="center"/>
    </w:pPr>
    <w:rPr>
      <w:rFonts w:ascii="宋体" w:hAnsi="宋体"/>
      <w:szCs w:val="21"/>
    </w:rPr>
  </w:style>
  <w:style w:type="paragraph" w:customStyle="1" w:styleId="1289">
    <w:name w:val="5表头"/>
    <w:basedOn w:val="1"/>
    <w:qFormat/>
    <w:uiPriority w:val="0"/>
    <w:pPr>
      <w:spacing w:before="156" w:beforeLines="50" w:line="240" w:lineRule="auto"/>
      <w:ind w:firstLine="0" w:firstLineChars="0"/>
      <w:jc w:val="center"/>
    </w:pPr>
    <w:rPr>
      <w:rFonts w:eastAsia="黑体" w:cs="宋体"/>
      <w:sz w:val="21"/>
    </w:rPr>
  </w:style>
  <w:style w:type="paragraph" w:customStyle="1" w:styleId="1290">
    <w:name w:val="样式 标题 3标题 13 + 黑色 段前: 4 磅 段后: 10 磅 行距: 单倍行距"/>
    <w:basedOn w:val="1"/>
    <w:qFormat/>
    <w:uiPriority w:val="0"/>
    <w:pPr>
      <w:spacing w:line="240" w:lineRule="auto"/>
      <w:ind w:firstLine="0" w:firstLineChars="0"/>
    </w:pPr>
    <w:rPr>
      <w:sz w:val="28"/>
    </w:rPr>
  </w:style>
  <w:style w:type="paragraph" w:customStyle="1" w:styleId="1291">
    <w:name w:val="正文文本缩进2"/>
    <w:basedOn w:val="1"/>
    <w:qFormat/>
    <w:uiPriority w:val="0"/>
    <w:pPr>
      <w:ind w:firstLine="480" w:firstLineChars="204"/>
    </w:pPr>
  </w:style>
  <w:style w:type="paragraph" w:customStyle="1" w:styleId="1292">
    <w:name w:val="Char Char Char Char Char Char1 Char1"/>
    <w:basedOn w:val="1"/>
    <w:semiHidden/>
    <w:qFormat/>
    <w:uiPriority w:val="0"/>
    <w:pPr>
      <w:spacing w:line="240" w:lineRule="auto"/>
      <w:ind w:firstLine="0" w:firstLineChars="0"/>
    </w:pPr>
    <w:rPr>
      <w:sz w:val="21"/>
    </w:rPr>
  </w:style>
  <w:style w:type="paragraph" w:customStyle="1" w:styleId="1293">
    <w:name w:val="Char Char Char Char Char Char Char Char Char1 Char2"/>
    <w:basedOn w:val="1"/>
    <w:semiHidden/>
    <w:qFormat/>
    <w:uiPriority w:val="0"/>
    <w:pPr>
      <w:spacing w:line="240" w:lineRule="auto"/>
      <w:ind w:firstLine="0" w:firstLineChars="0"/>
    </w:pPr>
    <w:rPr>
      <w:rFonts w:ascii="宋体" w:hAnsi="宋体" w:cs="Courier New"/>
      <w:sz w:val="32"/>
      <w:szCs w:val="32"/>
    </w:rPr>
  </w:style>
  <w:style w:type="paragraph" w:customStyle="1" w:styleId="1294">
    <w:name w:val="样式2 Char Char"/>
    <w:basedOn w:val="804"/>
    <w:qFormat/>
    <w:uiPriority w:val="0"/>
    <w:pPr>
      <w:tabs>
        <w:tab w:val="left" w:pos="0"/>
        <w:tab w:val="left" w:pos="360"/>
        <w:tab w:val="left" w:pos="992"/>
        <w:tab w:val="clear" w:pos="936"/>
      </w:tabs>
      <w:spacing w:before="156" w:beforeLines="50" w:after="156" w:afterLines="50" w:line="360" w:lineRule="auto"/>
      <w:ind w:left="992" w:hanging="567"/>
    </w:pPr>
  </w:style>
  <w:style w:type="paragraph" w:styleId="1295">
    <w:name w:val="List Paragraph"/>
    <w:basedOn w:val="1"/>
    <w:qFormat/>
    <w:uiPriority w:val="0"/>
    <w:pPr>
      <w:spacing w:line="240" w:lineRule="auto"/>
      <w:ind w:firstLine="420"/>
    </w:pPr>
    <w:rPr>
      <w:sz w:val="21"/>
      <w:szCs w:val="24"/>
    </w:rPr>
  </w:style>
  <w:style w:type="paragraph" w:customStyle="1" w:styleId="1296">
    <w:name w:val="Char Char Char Char Char Char1 Char Char Char Char Char Char Char Char Char Char Char Char1 Char Char Char"/>
    <w:basedOn w:val="1"/>
    <w:qFormat/>
    <w:uiPriority w:val="0"/>
    <w:pPr>
      <w:spacing w:line="240" w:lineRule="auto"/>
      <w:ind w:firstLine="0" w:firstLineChars="0"/>
    </w:pPr>
    <w:rPr>
      <w:szCs w:val="24"/>
    </w:rPr>
  </w:style>
  <w:style w:type="paragraph" w:customStyle="1" w:styleId="1297">
    <w:name w:val="样式 样式 自动表头 + (西文) 黑体 五号 加粗 行距: 单倍行距 + 加粗"/>
    <w:basedOn w:val="1"/>
    <w:qFormat/>
    <w:uiPriority w:val="0"/>
    <w:pPr>
      <w:autoSpaceDE w:val="0"/>
      <w:autoSpaceDN w:val="0"/>
      <w:adjustRightInd w:val="0"/>
      <w:spacing w:before="156" w:beforeLines="50" w:after="156" w:afterLines="50" w:line="240" w:lineRule="auto"/>
      <w:ind w:firstLine="422"/>
    </w:pPr>
    <w:rPr>
      <w:rFonts w:ascii="黑体"/>
      <w:b/>
      <w:color w:val="000000"/>
      <w:sz w:val="21"/>
    </w:rPr>
  </w:style>
  <w:style w:type="paragraph" w:customStyle="1" w:styleId="1298">
    <w:name w:val="wtext"/>
    <w:basedOn w:val="1"/>
    <w:qFormat/>
    <w:uiPriority w:val="0"/>
    <w:pPr>
      <w:widowControl/>
      <w:spacing w:before="100" w:beforeAutospacing="1" w:after="100" w:afterAutospacing="1" w:line="240" w:lineRule="auto"/>
      <w:ind w:firstLine="480" w:firstLineChars="0"/>
      <w:jc w:val="left"/>
    </w:pPr>
    <w:rPr>
      <w:color w:val="000000"/>
      <w:kern w:val="0"/>
      <w:sz w:val="22"/>
    </w:rPr>
  </w:style>
  <w:style w:type="paragraph" w:customStyle="1" w:styleId="1299">
    <w:name w:val="样式 标题 3标题 13 + 宋体 小四 非加粗"/>
    <w:basedOn w:val="7"/>
    <w:qFormat/>
    <w:uiPriority w:val="0"/>
    <w:pPr>
      <w:tabs>
        <w:tab w:val="left" w:pos="720"/>
      </w:tabs>
      <w:spacing w:before="260" w:after="260" w:line="415" w:lineRule="auto"/>
      <w:ind w:left="720" w:hanging="720"/>
      <w:jc w:val="both"/>
    </w:pPr>
    <w:rPr>
      <w:rFonts w:ascii="宋体" w:hAnsi="宋体"/>
      <w:b w:val="0"/>
      <w:kern w:val="2"/>
    </w:rPr>
  </w:style>
  <w:style w:type="paragraph" w:customStyle="1" w:styleId="1300">
    <w:name w:val="正文文本缩进1"/>
    <w:basedOn w:val="1"/>
    <w:qFormat/>
    <w:uiPriority w:val="0"/>
    <w:pPr>
      <w:ind w:firstLine="480" w:firstLineChars="204"/>
    </w:pPr>
  </w:style>
  <w:style w:type="paragraph" w:customStyle="1" w:styleId="1301">
    <w:name w:val="6"/>
    <w:basedOn w:val="1"/>
    <w:next w:val="3"/>
    <w:qFormat/>
    <w:uiPriority w:val="0"/>
    <w:pPr>
      <w:adjustRightInd w:val="0"/>
      <w:ind w:firstLine="540" w:firstLineChars="0"/>
      <w:textAlignment w:val="baseline"/>
    </w:pPr>
    <w:rPr>
      <w:rFonts w:ascii="宋体"/>
      <w:spacing w:val="5"/>
      <w:kern w:val="0"/>
    </w:rPr>
  </w:style>
  <w:style w:type="paragraph" w:customStyle="1" w:styleId="1302">
    <w:name w:val="12"/>
    <w:basedOn w:val="1"/>
    <w:next w:val="3"/>
    <w:qFormat/>
    <w:uiPriority w:val="0"/>
    <w:pPr>
      <w:ind w:firstLine="435" w:firstLineChars="0"/>
    </w:pPr>
    <w:rPr>
      <w:sz w:val="28"/>
    </w:rPr>
  </w:style>
  <w:style w:type="paragraph" w:customStyle="1" w:styleId="1303">
    <w:name w:val="页眉31"/>
    <w:basedOn w:val="564"/>
    <w:qFormat/>
    <w:uiPriority w:val="0"/>
    <w:pPr>
      <w:pBdr>
        <w:bottom w:val="single" w:color="auto" w:sz="6" w:space="1"/>
      </w:pBdr>
      <w:tabs>
        <w:tab w:val="center" w:pos="4819"/>
        <w:tab w:val="right" w:pos="9071"/>
      </w:tabs>
      <w:spacing w:line="240" w:lineRule="atLeast"/>
      <w:jc w:val="center"/>
    </w:pPr>
    <w:rPr>
      <w:sz w:val="18"/>
    </w:rPr>
  </w:style>
  <w:style w:type="paragraph" w:customStyle="1" w:styleId="1304">
    <w:name w:val="xl69"/>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eastAsia="Arial Unicode MS"/>
      <w:color w:val="0000FF"/>
      <w:kern w:val="0"/>
      <w:sz w:val="20"/>
    </w:rPr>
  </w:style>
  <w:style w:type="paragraph" w:customStyle="1" w:styleId="1305">
    <w:name w:val="表框1"/>
    <w:basedOn w:val="1"/>
    <w:qFormat/>
    <w:uiPriority w:val="0"/>
    <w:pPr>
      <w:pBdr>
        <w:top w:val="single" w:color="auto" w:sz="12" w:space="1"/>
        <w:left w:val="single" w:color="auto" w:sz="12" w:space="1"/>
        <w:bottom w:val="single" w:color="auto" w:sz="12" w:space="1"/>
        <w:right w:val="single" w:color="auto" w:sz="12" w:space="1"/>
      </w:pBdr>
      <w:adjustRightInd w:val="0"/>
      <w:snapToGrid w:val="0"/>
      <w:ind w:firstLine="0" w:firstLineChars="0"/>
    </w:pPr>
  </w:style>
  <w:style w:type="paragraph" w:customStyle="1" w:styleId="1306">
    <w:name w:val="黑体"/>
    <w:basedOn w:val="1"/>
    <w:next w:val="1"/>
    <w:qFormat/>
    <w:uiPriority w:val="0"/>
    <w:pPr>
      <w:tabs>
        <w:tab w:val="left" w:pos="6660"/>
      </w:tabs>
      <w:spacing w:line="420" w:lineRule="exact"/>
      <w:ind w:firstLine="480"/>
    </w:pPr>
    <w:rPr>
      <w:szCs w:val="24"/>
    </w:rPr>
  </w:style>
  <w:style w:type="paragraph" w:customStyle="1" w:styleId="1307">
    <w:name w:val="样式 文章正文 + 首行缩进:  2 字符"/>
    <w:basedOn w:val="1"/>
    <w:qFormat/>
    <w:uiPriority w:val="0"/>
    <w:pPr>
      <w:spacing w:line="520" w:lineRule="exact"/>
      <w:ind w:firstLine="480"/>
      <w:jc w:val="left"/>
    </w:pPr>
    <w:rPr>
      <w:rFonts w:ascii="宋体" w:hAnsi="宋体" w:cs="宋体"/>
    </w:rPr>
  </w:style>
  <w:style w:type="paragraph" w:customStyle="1" w:styleId="1308">
    <w:name w:val="标题 811"/>
    <w:basedOn w:val="564"/>
    <w:next w:val="564"/>
    <w:qFormat/>
    <w:uiPriority w:val="0"/>
    <w:pPr>
      <w:keepNext/>
      <w:keepLines/>
      <w:spacing w:before="240" w:after="64" w:line="320" w:lineRule="atLeast"/>
      <w:jc w:val="both"/>
    </w:pPr>
    <w:rPr>
      <w:sz w:val="24"/>
    </w:rPr>
  </w:style>
  <w:style w:type="paragraph" w:customStyle="1" w:styleId="1309">
    <w:name w:val="标题 411"/>
    <w:basedOn w:val="564"/>
    <w:next w:val="564"/>
    <w:qFormat/>
    <w:uiPriority w:val="0"/>
    <w:pPr>
      <w:keepNext/>
      <w:keepLines/>
      <w:spacing w:before="280" w:after="290" w:line="376" w:lineRule="atLeast"/>
      <w:jc w:val="both"/>
    </w:pPr>
    <w:rPr>
      <w:b/>
      <w:sz w:val="28"/>
    </w:rPr>
  </w:style>
  <w:style w:type="paragraph" w:customStyle="1" w:styleId="1310">
    <w:name w:val="p17"/>
    <w:basedOn w:val="1"/>
    <w:qFormat/>
    <w:uiPriority w:val="0"/>
    <w:pPr>
      <w:widowControl/>
      <w:spacing w:after="120"/>
      <w:ind w:left="183" w:firstLine="368" w:firstLineChars="0"/>
    </w:pPr>
    <w:rPr>
      <w:rFonts w:ascii="宋体" w:hAnsi="宋体" w:cs="宋体"/>
      <w:kern w:val="0"/>
      <w:szCs w:val="24"/>
    </w:rPr>
  </w:style>
  <w:style w:type="paragraph" w:customStyle="1" w:styleId="1311">
    <w:name w:val="样式56"/>
    <w:basedOn w:val="845"/>
    <w:qFormat/>
    <w:uiPriority w:val="0"/>
  </w:style>
  <w:style w:type="paragraph" w:customStyle="1" w:styleId="1312">
    <w:name w:val="!标题1"/>
    <w:basedOn w:val="5"/>
    <w:next w:val="217"/>
    <w:qFormat/>
    <w:uiPriority w:val="0"/>
    <w:pPr>
      <w:pageBreakBefore/>
      <w:numPr>
        <w:numId w:val="0"/>
      </w:numPr>
      <w:spacing w:before="0" w:after="140"/>
      <w:jc w:val="both"/>
    </w:pPr>
    <w:rPr>
      <w:rFonts w:ascii="Times New Roman" w:eastAsia="仿宋_GB2312"/>
      <w:bCs/>
      <w:kern w:val="44"/>
      <w:sz w:val="36"/>
      <w:szCs w:val="44"/>
    </w:rPr>
  </w:style>
  <w:style w:type="paragraph" w:customStyle="1" w:styleId="1313">
    <w:name w:val="Char Char Char Char Char Char Char Char Char2 Char Char Char1"/>
    <w:basedOn w:val="1"/>
    <w:qFormat/>
    <w:uiPriority w:val="0"/>
    <w:pPr>
      <w:spacing w:line="240" w:lineRule="auto"/>
      <w:ind w:firstLine="0" w:firstLineChars="0"/>
    </w:pPr>
    <w:rPr>
      <w:rFonts w:ascii="Tahoma" w:hAnsi="Tahoma"/>
      <w:szCs w:val="24"/>
    </w:rPr>
  </w:style>
  <w:style w:type="paragraph" w:customStyle="1" w:styleId="1314">
    <w:name w:val="样式32"/>
    <w:basedOn w:val="658"/>
    <w:qFormat/>
    <w:uiPriority w:val="0"/>
    <w:rPr>
      <w:lang w:val="zh-CN"/>
    </w:rPr>
  </w:style>
  <w:style w:type="paragraph" w:customStyle="1" w:styleId="1315">
    <w:name w:val="表格内容 Char Char1"/>
    <w:basedOn w:val="1"/>
    <w:qFormat/>
    <w:uiPriority w:val="0"/>
    <w:pPr>
      <w:tabs>
        <w:tab w:val="left" w:pos="1535"/>
        <w:tab w:val="left" w:pos="3105"/>
        <w:tab w:val="left" w:pos="4676"/>
        <w:tab w:val="left" w:pos="6247"/>
        <w:tab w:val="left" w:pos="7740"/>
        <w:tab w:val="left" w:pos="9288"/>
      </w:tabs>
      <w:adjustRightInd w:val="0"/>
      <w:snapToGrid w:val="0"/>
      <w:spacing w:line="240" w:lineRule="exact"/>
      <w:ind w:firstLine="0" w:firstLineChars="0"/>
      <w:jc w:val="center"/>
      <w:textAlignment w:val="baseline"/>
    </w:pPr>
    <w:rPr>
      <w:rFonts w:ascii="宋体" w:hAnsi="宋体"/>
      <w:color w:val="000000"/>
      <w:sz w:val="21"/>
    </w:rPr>
  </w:style>
  <w:style w:type="paragraph" w:customStyle="1" w:styleId="1316">
    <w:name w:val="Char Char Char Char Char1 Char Char Char"/>
    <w:basedOn w:val="1"/>
    <w:qFormat/>
    <w:uiPriority w:val="0"/>
    <w:pPr>
      <w:spacing w:line="240" w:lineRule="auto"/>
      <w:ind w:firstLine="0" w:firstLineChars="0"/>
    </w:pPr>
    <w:rPr>
      <w:sz w:val="21"/>
      <w:szCs w:val="24"/>
    </w:rPr>
  </w:style>
  <w:style w:type="paragraph" w:customStyle="1" w:styleId="1317">
    <w:name w:val="标题 111"/>
    <w:basedOn w:val="564"/>
    <w:next w:val="564"/>
    <w:qFormat/>
    <w:uiPriority w:val="0"/>
    <w:pPr>
      <w:keepNext/>
      <w:keepLines/>
      <w:spacing w:before="340" w:after="330" w:line="578" w:lineRule="atLeast"/>
      <w:jc w:val="both"/>
    </w:pPr>
    <w:rPr>
      <w:b/>
      <w:sz w:val="44"/>
    </w:rPr>
  </w:style>
  <w:style w:type="paragraph" w:customStyle="1" w:styleId="1318">
    <w:name w:val="标题12"/>
    <w:basedOn w:val="5"/>
    <w:qFormat/>
    <w:uiPriority w:val="0"/>
    <w:pPr>
      <w:numPr>
        <w:numId w:val="0"/>
      </w:numPr>
      <w:spacing w:before="120" w:after="240" w:line="480" w:lineRule="atLeast"/>
      <w:ind w:firstLine="425"/>
      <w:jc w:val="both"/>
    </w:pPr>
    <w:rPr>
      <w:rFonts w:ascii="黑体" w:eastAsia="黑体"/>
      <w:kern w:val="44"/>
      <w:sz w:val="36"/>
    </w:rPr>
  </w:style>
  <w:style w:type="paragraph" w:customStyle="1" w:styleId="1319">
    <w:name w:val="我的正文"/>
    <w:basedOn w:val="1"/>
    <w:qFormat/>
    <w:uiPriority w:val="0"/>
    <w:pPr>
      <w:spacing w:line="240" w:lineRule="auto"/>
      <w:ind w:firstLine="538" w:firstLineChars="192"/>
    </w:pPr>
    <w:rPr>
      <w:sz w:val="28"/>
    </w:rPr>
  </w:style>
  <w:style w:type="paragraph" w:customStyle="1" w:styleId="1320">
    <w:name w:val="样式61"/>
    <w:basedOn w:val="779"/>
    <w:qFormat/>
    <w:uiPriority w:val="0"/>
    <w:pPr>
      <w:tabs>
        <w:tab w:val="left" w:pos="1080"/>
        <w:tab w:val="left" w:pos="3490"/>
        <w:tab w:val="clear" w:pos="0"/>
      </w:tabs>
    </w:pPr>
  </w:style>
  <w:style w:type="paragraph" w:customStyle="1" w:styleId="1321">
    <w:name w:val="样式53"/>
    <w:basedOn w:val="1028"/>
    <w:qFormat/>
    <w:uiPriority w:val="0"/>
    <w:pPr>
      <w:ind w:firstLine="480" w:firstLineChars="200"/>
    </w:pPr>
  </w:style>
  <w:style w:type="paragraph" w:customStyle="1" w:styleId="1322">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Arial Unicode MS"/>
      <w:color w:val="FF0000"/>
      <w:kern w:val="0"/>
      <w:sz w:val="22"/>
    </w:rPr>
  </w:style>
  <w:style w:type="paragraph" w:customStyle="1" w:styleId="1323">
    <w:name w:val="Char Char Char Char Char Char Char Char Char1 Char Char Char Char"/>
    <w:basedOn w:val="1"/>
    <w:qFormat/>
    <w:uiPriority w:val="0"/>
    <w:pPr>
      <w:widowControl/>
      <w:spacing w:after="160" w:line="240" w:lineRule="exact"/>
      <w:ind w:firstLine="0" w:firstLineChars="0"/>
      <w:jc w:val="left"/>
    </w:pPr>
    <w:rPr>
      <w:sz w:val="21"/>
    </w:rPr>
  </w:style>
  <w:style w:type="paragraph" w:customStyle="1" w:styleId="1324">
    <w:name w:val="Char Char1 Char Char Char Char Char Char Char Char Char Char Char Char Char Char Char Char Char Char Char Char Char Char"/>
    <w:basedOn w:val="1"/>
    <w:qFormat/>
    <w:uiPriority w:val="0"/>
    <w:pPr>
      <w:widowControl/>
      <w:spacing w:after="160" w:line="240" w:lineRule="exact"/>
      <w:ind w:firstLine="0" w:firstLineChars="0"/>
      <w:jc w:val="left"/>
    </w:pPr>
    <w:rPr>
      <w:rFonts w:ascii="Verdana" w:hAnsi="Verdana"/>
      <w:kern w:val="0"/>
      <w:sz w:val="20"/>
      <w:lang w:eastAsia="en-US"/>
    </w:rPr>
  </w:style>
  <w:style w:type="paragraph" w:customStyle="1" w:styleId="1325">
    <w:name w:val="样式 标题 3 + 宋体 小四 非加粗"/>
    <w:basedOn w:val="7"/>
    <w:qFormat/>
    <w:uiPriority w:val="0"/>
    <w:pPr>
      <w:tabs>
        <w:tab w:val="left" w:pos="360"/>
        <w:tab w:val="left" w:pos="540"/>
        <w:tab w:val="left" w:pos="720"/>
        <w:tab w:val="left" w:pos="1571"/>
        <w:tab w:val="left" w:pos="1716"/>
      </w:tabs>
      <w:spacing w:before="156" w:beforeLines="50" w:after="156" w:afterLines="50"/>
      <w:ind w:left="1716" w:hanging="420"/>
      <w:jc w:val="both"/>
    </w:pPr>
    <w:rPr>
      <w:rFonts w:ascii="宋体" w:eastAsia="黑体"/>
      <w:b w:val="0"/>
      <w:kern w:val="2"/>
    </w:rPr>
  </w:style>
  <w:style w:type="paragraph" w:customStyle="1" w:styleId="1326">
    <w:name w:val="脚注文本1"/>
    <w:basedOn w:val="335"/>
    <w:qFormat/>
    <w:uiPriority w:val="0"/>
    <w:pPr>
      <w:adjustRightInd w:val="0"/>
      <w:spacing w:line="360" w:lineRule="atLeast"/>
      <w:ind w:firstLine="0" w:firstLineChars="0"/>
      <w:textAlignment w:val="baseline"/>
    </w:pPr>
    <w:rPr>
      <w:rFonts w:ascii="宋体" w:hAnsi="Times New Roman"/>
      <w:kern w:val="0"/>
      <w:sz w:val="18"/>
      <w:szCs w:val="20"/>
    </w:rPr>
  </w:style>
  <w:style w:type="paragraph" w:customStyle="1" w:styleId="1327">
    <w:name w:val="p25"/>
    <w:basedOn w:val="1"/>
    <w:qFormat/>
    <w:uiPriority w:val="0"/>
    <w:pPr>
      <w:widowControl/>
      <w:ind w:firstLine="482" w:firstLineChars="0"/>
    </w:pPr>
    <w:rPr>
      <w:kern w:val="0"/>
      <w:szCs w:val="24"/>
    </w:rPr>
  </w:style>
  <w:style w:type="character" w:customStyle="1" w:styleId="1328">
    <w:name w:val="夏氏表格内文字 Char"/>
    <w:link w:val="1329"/>
    <w:qFormat/>
    <w:uiPriority w:val="0"/>
    <w:rPr>
      <w:kern w:val="18"/>
      <w:szCs w:val="21"/>
    </w:rPr>
  </w:style>
  <w:style w:type="paragraph" w:customStyle="1" w:styleId="1329">
    <w:name w:val="夏氏表格内文字"/>
    <w:basedOn w:val="1"/>
    <w:link w:val="1328"/>
    <w:qFormat/>
    <w:uiPriority w:val="0"/>
    <w:pPr>
      <w:adjustRightInd w:val="0"/>
      <w:snapToGrid w:val="0"/>
      <w:spacing w:line="240" w:lineRule="auto"/>
      <w:ind w:firstLine="0" w:firstLineChars="0"/>
      <w:jc w:val="center"/>
    </w:pPr>
    <w:rPr>
      <w:kern w:val="18"/>
      <w:sz w:val="20"/>
      <w:szCs w:val="21"/>
    </w:rPr>
  </w:style>
  <w:style w:type="paragraph" w:customStyle="1" w:styleId="1330">
    <w:name w:val="1 Char Char Char Char"/>
    <w:basedOn w:val="1"/>
    <w:qFormat/>
    <w:uiPriority w:val="0"/>
    <w:pPr>
      <w:spacing w:line="240" w:lineRule="auto"/>
      <w:ind w:firstLine="0" w:firstLineChars="0"/>
    </w:pPr>
    <w:rPr>
      <w:sz w:val="21"/>
      <w:szCs w:val="24"/>
    </w:rPr>
  </w:style>
  <w:style w:type="paragraph" w:customStyle="1" w:styleId="1331">
    <w:name w:val="Char Char Char Char7"/>
    <w:basedOn w:val="1"/>
    <w:qFormat/>
    <w:uiPriority w:val="0"/>
    <w:pPr>
      <w:spacing w:line="240" w:lineRule="auto"/>
      <w:ind w:firstLine="0" w:firstLineChars="0"/>
    </w:pPr>
    <w:rPr>
      <w:szCs w:val="24"/>
    </w:rPr>
  </w:style>
  <w:style w:type="paragraph" w:customStyle="1" w:styleId="1332">
    <w:name w:val="RH-3表内容"/>
    <w:basedOn w:val="1"/>
    <w:qFormat/>
    <w:uiPriority w:val="99"/>
    <w:pPr>
      <w:widowControl/>
      <w:spacing w:line="240" w:lineRule="exact"/>
      <w:ind w:firstLine="0" w:firstLineChars="0"/>
      <w:jc w:val="center"/>
    </w:pPr>
    <w:rPr>
      <w:rFonts w:cs="宋体"/>
      <w:color w:val="000000"/>
      <w:sz w:val="21"/>
      <w:szCs w:val="21"/>
    </w:rPr>
  </w:style>
  <w:style w:type="character" w:customStyle="1" w:styleId="1333">
    <w:name w:val="标题 3 Char1"/>
    <w:qFormat/>
    <w:locked/>
    <w:uiPriority w:val="0"/>
    <w:rPr>
      <w:rFonts w:eastAsia="宋体"/>
      <w:b/>
      <w:kern w:val="24"/>
      <w:sz w:val="24"/>
      <w:lang w:val="en-US" w:eastAsia="zh-CN" w:bidi="ar-SA"/>
    </w:rPr>
  </w:style>
  <w:style w:type="paragraph" w:customStyle="1" w:styleId="1334">
    <w:name w:val="样式 样式 首行缩进:  2 字符1 + 首行缩进:  2 字符"/>
    <w:basedOn w:val="1"/>
    <w:qFormat/>
    <w:uiPriority w:val="0"/>
    <w:pPr>
      <w:spacing w:line="480" w:lineRule="exact"/>
    </w:pPr>
    <w:rPr>
      <w:rFonts w:eastAsia="楷体_GB2312" w:cs="宋体"/>
    </w:rPr>
  </w:style>
  <w:style w:type="paragraph" w:customStyle="1" w:styleId="1335">
    <w:name w:val="表格内文字 小5"/>
    <w:basedOn w:val="1"/>
    <w:next w:val="33"/>
    <w:qFormat/>
    <w:uiPriority w:val="0"/>
    <w:pPr>
      <w:widowControl/>
      <w:tabs>
        <w:tab w:val="left" w:pos="3345"/>
      </w:tabs>
      <w:adjustRightInd w:val="0"/>
      <w:snapToGrid w:val="0"/>
      <w:spacing w:line="340" w:lineRule="exact"/>
      <w:ind w:firstLine="0" w:firstLineChars="0"/>
      <w:jc w:val="center"/>
    </w:pPr>
    <w:rPr>
      <w:iCs/>
      <w:snapToGrid w:val="0"/>
      <w:kern w:val="0"/>
      <w:sz w:val="21"/>
      <w:szCs w:val="18"/>
    </w:rPr>
  </w:style>
  <w:style w:type="character" w:customStyle="1" w:styleId="1336">
    <w:name w:val="正本文字 Char"/>
    <w:link w:val="1337"/>
    <w:qFormat/>
    <w:locked/>
    <w:uiPriority w:val="0"/>
    <w:rPr>
      <w:rFonts w:ascii="宋体" w:hAnsi="宋体" w:cs="宋体"/>
      <w:kern w:val="18"/>
      <w:sz w:val="24"/>
    </w:rPr>
  </w:style>
  <w:style w:type="paragraph" w:customStyle="1" w:styleId="1337">
    <w:name w:val="正本文字"/>
    <w:basedOn w:val="1"/>
    <w:link w:val="1336"/>
    <w:qFormat/>
    <w:uiPriority w:val="0"/>
    <w:pPr>
      <w:adjustRightInd w:val="0"/>
      <w:snapToGrid w:val="0"/>
      <w:ind w:firstLine="480"/>
      <w:jc w:val="left"/>
    </w:pPr>
    <w:rPr>
      <w:rFonts w:ascii="宋体" w:hAnsi="宋体"/>
      <w:kern w:val="18"/>
    </w:rPr>
  </w:style>
  <w:style w:type="character" w:customStyle="1" w:styleId="1338">
    <w:name w:val="表格中文字 Char"/>
    <w:link w:val="1339"/>
    <w:qFormat/>
    <w:locked/>
    <w:uiPriority w:val="0"/>
    <w:rPr>
      <w:kern w:val="18"/>
      <w:szCs w:val="21"/>
    </w:rPr>
  </w:style>
  <w:style w:type="paragraph" w:customStyle="1" w:styleId="1339">
    <w:name w:val="表格中文字"/>
    <w:basedOn w:val="1"/>
    <w:link w:val="1338"/>
    <w:qFormat/>
    <w:uiPriority w:val="0"/>
    <w:pPr>
      <w:adjustRightInd w:val="0"/>
      <w:snapToGrid w:val="0"/>
      <w:spacing w:line="240" w:lineRule="auto"/>
      <w:ind w:firstLine="0" w:firstLineChars="0"/>
      <w:jc w:val="center"/>
    </w:pPr>
    <w:rPr>
      <w:kern w:val="18"/>
      <w:sz w:val="20"/>
      <w:szCs w:val="21"/>
    </w:rPr>
  </w:style>
  <w:style w:type="character" w:customStyle="1" w:styleId="1340">
    <w:name w:val="正文文本 + 间距 0 pt"/>
    <w:qFormat/>
    <w:uiPriority w:val="99"/>
    <w:rPr>
      <w:rFonts w:eastAsia="仿宋_GB2312"/>
      <w:spacing w:val="-10"/>
      <w:kern w:val="2"/>
      <w:sz w:val="28"/>
      <w:szCs w:val="24"/>
      <w:lang w:val="en-US" w:eastAsia="en-US"/>
    </w:rPr>
  </w:style>
  <w:style w:type="paragraph" w:customStyle="1" w:styleId="1341">
    <w:name w:val="RH-1正文"/>
    <w:qFormat/>
    <w:uiPriority w:val="99"/>
    <w:pPr>
      <w:spacing w:line="480" w:lineRule="exact"/>
      <w:ind w:firstLine="20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1342">
    <w:name w:val="R22二级"/>
    <w:basedOn w:val="6"/>
    <w:link w:val="1343"/>
    <w:qFormat/>
    <w:uiPriority w:val="0"/>
    <w:pPr>
      <w:spacing w:beforeLines="50" w:afterLines="50" w:line="500" w:lineRule="exact"/>
      <w:jc w:val="both"/>
    </w:pPr>
    <w:rPr>
      <w:rFonts w:ascii="黑体" w:hAnsi="Arial" w:eastAsia="黑体"/>
      <w:b w:val="0"/>
      <w:kern w:val="2"/>
      <w:szCs w:val="32"/>
    </w:rPr>
  </w:style>
  <w:style w:type="character" w:customStyle="1" w:styleId="1343">
    <w:name w:val="R22二级 Char"/>
    <w:link w:val="1342"/>
    <w:qFormat/>
    <w:uiPriority w:val="0"/>
    <w:rPr>
      <w:rFonts w:ascii="黑体" w:hAnsi="Arial" w:eastAsia="黑体"/>
      <w:kern w:val="2"/>
      <w:sz w:val="28"/>
      <w:szCs w:val="32"/>
    </w:rPr>
  </w:style>
  <w:style w:type="character" w:customStyle="1" w:styleId="1344">
    <w:name w:val="4正文 Char"/>
    <w:qFormat/>
    <w:uiPriority w:val="0"/>
    <w:rPr>
      <w:rFonts w:eastAsia="宋体" w:cs="宋体"/>
      <w:kern w:val="2"/>
      <w:sz w:val="24"/>
      <w:lang w:val="en-US" w:eastAsia="zh-CN" w:bidi="ar-SA"/>
    </w:rPr>
  </w:style>
  <w:style w:type="paragraph" w:customStyle="1" w:styleId="1345">
    <w:name w:val="Body text|1"/>
    <w:basedOn w:val="1"/>
    <w:qFormat/>
    <w:uiPriority w:val="0"/>
    <w:pPr>
      <w:spacing w:line="403" w:lineRule="auto"/>
      <w:ind w:firstLine="400" w:firstLineChars="0"/>
    </w:pPr>
    <w:rPr>
      <w:rFonts w:ascii="宋体" w:hAnsi="宋体" w:cs="宋体"/>
      <w:sz w:val="21"/>
      <w:szCs w:val="24"/>
      <w:lang w:val="zh-TW" w:eastAsia="zh-TW" w:bidi="zh-TW"/>
    </w:rPr>
  </w:style>
  <w:style w:type="paragraph" w:customStyle="1" w:styleId="1346">
    <w:name w:val="RH-2表标题"/>
    <w:basedOn w:val="1"/>
    <w:qFormat/>
    <w:uiPriority w:val="99"/>
    <w:pPr>
      <w:spacing w:line="480" w:lineRule="exact"/>
      <w:ind w:firstLine="0" w:firstLineChars="0"/>
      <w:jc w:val="center"/>
    </w:pPr>
    <w:rPr>
      <w:rFonts w:eastAsia="黑体"/>
      <w:color w:val="000000"/>
      <w:kern w:val="0"/>
      <w:szCs w:val="24"/>
    </w:rPr>
  </w:style>
  <w:style w:type="paragraph" w:customStyle="1" w:styleId="1347">
    <w:name w:val="样式 + 首行缩进:  2 字符"/>
    <w:basedOn w:val="1"/>
    <w:qFormat/>
    <w:uiPriority w:val="0"/>
    <w:pPr>
      <w:ind w:firstLine="480"/>
    </w:pPr>
    <w:rPr>
      <w:bCs/>
      <w:color w:val="365F91"/>
      <w:szCs w:val="24"/>
    </w:rPr>
  </w:style>
  <w:style w:type="character" w:customStyle="1" w:styleId="1348">
    <w:name w:val="nth-child(3)"/>
    <w:qFormat/>
    <w:uiPriority w:val="0"/>
  </w:style>
  <w:style w:type="character" w:customStyle="1" w:styleId="1349">
    <w:name w:val="nth-child(3)1"/>
    <w:qFormat/>
    <w:uiPriority w:val="0"/>
  </w:style>
  <w:style w:type="character" w:customStyle="1" w:styleId="1350">
    <w:name w:val="hover13"/>
    <w:qFormat/>
    <w:uiPriority w:val="0"/>
    <w:rPr>
      <w:shd w:val="clear" w:color="auto" w:fill="929292"/>
    </w:rPr>
  </w:style>
  <w:style w:type="character" w:customStyle="1" w:styleId="1351">
    <w:name w:val="after2"/>
    <w:qFormat/>
    <w:uiPriority w:val="0"/>
  </w:style>
  <w:style w:type="character" w:customStyle="1" w:styleId="1352">
    <w:name w:val="after3"/>
    <w:qFormat/>
    <w:uiPriority w:val="0"/>
  </w:style>
  <w:style w:type="character" w:customStyle="1" w:styleId="1353">
    <w:name w:val="before2"/>
    <w:qFormat/>
    <w:uiPriority w:val="0"/>
    <w:rPr>
      <w:shd w:val="clear" w:color="auto" w:fill="587FE2"/>
    </w:rPr>
  </w:style>
  <w:style w:type="character" w:customStyle="1" w:styleId="1354">
    <w:name w:val="before3"/>
    <w:qFormat/>
    <w:uiPriority w:val="0"/>
  </w:style>
  <w:style w:type="character" w:customStyle="1" w:styleId="1355">
    <w:name w:val="nth-child(2)"/>
    <w:qFormat/>
    <w:uiPriority w:val="0"/>
  </w:style>
  <w:style w:type="character" w:customStyle="1" w:styleId="1356">
    <w:name w:val="nth-child(2)1"/>
    <w:qFormat/>
    <w:uiPriority w:val="0"/>
  </w:style>
  <w:style w:type="character" w:customStyle="1" w:styleId="1357">
    <w:name w:val="nth-child(1)"/>
    <w:qFormat/>
    <w:uiPriority w:val="0"/>
  </w:style>
  <w:style w:type="character" w:customStyle="1" w:styleId="1358">
    <w:name w:val="nth-child(1)1"/>
    <w:qFormat/>
    <w:uiPriority w:val="0"/>
  </w:style>
  <w:style w:type="character" w:customStyle="1" w:styleId="1359">
    <w:name w:val="after"/>
    <w:qFormat/>
    <w:uiPriority w:val="0"/>
  </w:style>
  <w:style w:type="character" w:customStyle="1" w:styleId="1360">
    <w:name w:val="after1"/>
    <w:qFormat/>
    <w:uiPriority w:val="0"/>
  </w:style>
  <w:style w:type="character" w:customStyle="1" w:styleId="1361">
    <w:name w:val="before"/>
    <w:qFormat/>
    <w:uiPriority w:val="0"/>
    <w:rPr>
      <w:shd w:val="clear" w:color="auto" w:fill="587FE2"/>
    </w:rPr>
  </w:style>
  <w:style w:type="character" w:customStyle="1" w:styleId="1362">
    <w:name w:val="before1"/>
    <w:qFormat/>
    <w:uiPriority w:val="0"/>
  </w:style>
  <w:style w:type="character" w:customStyle="1" w:styleId="1363">
    <w:name w:val="layui-layer-tabnow"/>
    <w:qFormat/>
    <w:uiPriority w:val="0"/>
    <w:rPr>
      <w:bdr w:val="single" w:color="CCCCCC" w:sz="6" w:space="0"/>
      <w:shd w:val="clear" w:color="auto" w:fill="FFFFFF"/>
    </w:rPr>
  </w:style>
  <w:style w:type="character" w:customStyle="1" w:styleId="1364">
    <w:name w:val="first-child"/>
    <w:qFormat/>
    <w:uiPriority w:val="0"/>
  </w:style>
  <w:style w:type="character" w:customStyle="1" w:styleId="1365">
    <w:name w:val="hover15"/>
    <w:qFormat/>
    <w:uiPriority w:val="0"/>
    <w:rPr>
      <w:shd w:val="clear" w:color="auto" w:fill="929292"/>
    </w:rPr>
  </w:style>
  <w:style w:type="character" w:customStyle="1" w:styleId="1366">
    <w:name w:val="article-icon"/>
    <w:qFormat/>
    <w:uiPriority w:val="0"/>
  </w:style>
  <w:style w:type="character" w:customStyle="1" w:styleId="1367">
    <w:name w:val="sugg-loading"/>
    <w:qFormat/>
    <w:uiPriority w:val="0"/>
  </w:style>
  <w:style w:type="paragraph" w:customStyle="1" w:styleId="1368">
    <w:name w:val="标题4-4"/>
    <w:basedOn w:val="1"/>
    <w:qFormat/>
    <w:uiPriority w:val="0"/>
    <w:pPr>
      <w:tabs>
        <w:tab w:val="left" w:pos="360"/>
      </w:tabs>
      <w:snapToGrid w:val="0"/>
    </w:pPr>
    <w:rPr>
      <w:rFonts w:ascii="宋体" w:hAnsi="宋体"/>
      <w:szCs w:val="24"/>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9.bin"/><Relationship Id="rId98" Type="http://schemas.openxmlformats.org/officeDocument/2006/relationships/image" Target="media/image57.wmf"/><Relationship Id="rId97" Type="http://schemas.openxmlformats.org/officeDocument/2006/relationships/oleObject" Target="embeddings/oleObject18.bin"/><Relationship Id="rId96" Type="http://schemas.openxmlformats.org/officeDocument/2006/relationships/image" Target="media/image56.wmf"/><Relationship Id="rId95" Type="http://schemas.openxmlformats.org/officeDocument/2006/relationships/oleObject" Target="embeddings/oleObject17.bin"/><Relationship Id="rId94" Type="http://schemas.openxmlformats.org/officeDocument/2006/relationships/image" Target="media/image55.wmf"/><Relationship Id="rId93" Type="http://schemas.openxmlformats.org/officeDocument/2006/relationships/oleObject" Target="embeddings/oleObject16.bin"/><Relationship Id="rId92" Type="http://schemas.openxmlformats.org/officeDocument/2006/relationships/image" Target="media/image54.wmf"/><Relationship Id="rId91" Type="http://schemas.openxmlformats.org/officeDocument/2006/relationships/oleObject" Target="embeddings/oleObject15.bin"/><Relationship Id="rId90" Type="http://schemas.openxmlformats.org/officeDocument/2006/relationships/image" Target="media/image53.wmf"/><Relationship Id="rId9" Type="http://schemas.openxmlformats.org/officeDocument/2006/relationships/footer" Target="footer2.xml"/><Relationship Id="rId89" Type="http://schemas.openxmlformats.org/officeDocument/2006/relationships/oleObject" Target="embeddings/oleObject14.bin"/><Relationship Id="rId88" Type="http://schemas.openxmlformats.org/officeDocument/2006/relationships/image" Target="media/image52.wmf"/><Relationship Id="rId87" Type="http://schemas.openxmlformats.org/officeDocument/2006/relationships/oleObject" Target="embeddings/oleObject13.bin"/><Relationship Id="rId86" Type="http://schemas.openxmlformats.org/officeDocument/2006/relationships/image" Target="media/image51.wmf"/><Relationship Id="rId85" Type="http://schemas.openxmlformats.org/officeDocument/2006/relationships/oleObject" Target="embeddings/oleObject12.bin"/><Relationship Id="rId84" Type="http://schemas.openxmlformats.org/officeDocument/2006/relationships/image" Target="media/image50.wmf"/><Relationship Id="rId83" Type="http://schemas.openxmlformats.org/officeDocument/2006/relationships/oleObject" Target="embeddings/oleObject11.bin"/><Relationship Id="rId82" Type="http://schemas.openxmlformats.org/officeDocument/2006/relationships/image" Target="media/image49.wmf"/><Relationship Id="rId81" Type="http://schemas.openxmlformats.org/officeDocument/2006/relationships/oleObject" Target="embeddings/oleObject10.bin"/><Relationship Id="rId80" Type="http://schemas.openxmlformats.org/officeDocument/2006/relationships/image" Target="media/image48.png"/><Relationship Id="rId8" Type="http://schemas.openxmlformats.org/officeDocument/2006/relationships/footer" Target="footer1.xml"/><Relationship Id="rId79" Type="http://schemas.openxmlformats.org/officeDocument/2006/relationships/image" Target="media/image47.png"/><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png"/><Relationship Id="rId74" Type="http://schemas.openxmlformats.org/officeDocument/2006/relationships/image" Target="media/image42.png"/><Relationship Id="rId73" Type="http://schemas.openxmlformats.org/officeDocument/2006/relationships/image" Target="media/image41.jpeg"/><Relationship Id="rId72" Type="http://schemas.openxmlformats.org/officeDocument/2006/relationships/image" Target="media/image40.jpeg"/><Relationship Id="rId71" Type="http://schemas.openxmlformats.org/officeDocument/2006/relationships/image" Target="media/image39.png"/><Relationship Id="rId70" Type="http://schemas.openxmlformats.org/officeDocument/2006/relationships/image" Target="media/image38.jpeg"/><Relationship Id="rId7" Type="http://schemas.openxmlformats.org/officeDocument/2006/relationships/header" Target="header3.xml"/><Relationship Id="rId69" Type="http://schemas.openxmlformats.org/officeDocument/2006/relationships/image" Target="media/image37.jpeg"/><Relationship Id="rId68" Type="http://schemas.openxmlformats.org/officeDocument/2006/relationships/image" Target="media/image36.png"/><Relationship Id="rId67" Type="http://schemas.openxmlformats.org/officeDocument/2006/relationships/image" Target="media/image35.png"/><Relationship Id="rId66" Type="http://schemas.openxmlformats.org/officeDocument/2006/relationships/image" Target="media/image34.png"/><Relationship Id="rId65" Type="http://schemas.openxmlformats.org/officeDocument/2006/relationships/image" Target="media/image33.jpeg"/><Relationship Id="rId64" Type="http://schemas.openxmlformats.org/officeDocument/2006/relationships/image" Target="media/image32.jpeg"/><Relationship Id="rId63" Type="http://schemas.openxmlformats.org/officeDocument/2006/relationships/image" Target="media/image31.jpeg"/><Relationship Id="rId62" Type="http://schemas.openxmlformats.org/officeDocument/2006/relationships/image" Target="media/image30.jpeg"/><Relationship Id="rId61" Type="http://schemas.openxmlformats.org/officeDocument/2006/relationships/image" Target="media/image29.jpeg"/><Relationship Id="rId60" Type="http://schemas.openxmlformats.org/officeDocument/2006/relationships/image" Target="media/image28.jpeg"/><Relationship Id="rId6" Type="http://schemas.openxmlformats.org/officeDocument/2006/relationships/header" Target="header2.xml"/><Relationship Id="rId59" Type="http://schemas.openxmlformats.org/officeDocument/2006/relationships/image" Target="media/image27.jpeg"/><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wmf"/><Relationship Id="rId55" Type="http://schemas.openxmlformats.org/officeDocument/2006/relationships/oleObject" Target="embeddings/oleObject9.bin"/><Relationship Id="rId54" Type="http://schemas.openxmlformats.org/officeDocument/2006/relationships/image" Target="media/image23.wmf"/><Relationship Id="rId53" Type="http://schemas.openxmlformats.org/officeDocument/2006/relationships/oleObject" Target="embeddings/oleObject8.bin"/><Relationship Id="rId52" Type="http://schemas.openxmlformats.org/officeDocument/2006/relationships/image" Target="media/image22.wmf"/><Relationship Id="rId51" Type="http://schemas.openxmlformats.org/officeDocument/2006/relationships/oleObject" Target="embeddings/oleObject7.bin"/><Relationship Id="rId50" Type="http://schemas.openxmlformats.org/officeDocument/2006/relationships/image" Target="media/image21.wmf"/><Relationship Id="rId5" Type="http://schemas.openxmlformats.org/officeDocument/2006/relationships/header" Target="header1.xml"/><Relationship Id="rId49" Type="http://schemas.openxmlformats.org/officeDocument/2006/relationships/oleObject" Target="embeddings/oleObject6.bin"/><Relationship Id="rId48" Type="http://schemas.openxmlformats.org/officeDocument/2006/relationships/image" Target="media/image20.wmf"/><Relationship Id="rId47" Type="http://schemas.openxmlformats.org/officeDocument/2006/relationships/image" Target="media/image19.wmf"/><Relationship Id="rId46" Type="http://schemas.openxmlformats.org/officeDocument/2006/relationships/oleObject" Target="embeddings/oleObject5.bin"/><Relationship Id="rId45" Type="http://schemas.openxmlformats.org/officeDocument/2006/relationships/image" Target="media/image18.wmf"/><Relationship Id="rId44" Type="http://schemas.openxmlformats.org/officeDocument/2006/relationships/oleObject" Target="embeddings/oleObject4.bin"/><Relationship Id="rId43" Type="http://schemas.openxmlformats.org/officeDocument/2006/relationships/image" Target="media/image17.wmf"/><Relationship Id="rId42" Type="http://schemas.openxmlformats.org/officeDocument/2006/relationships/oleObject" Target="embeddings/oleObject3.bin"/><Relationship Id="rId41" Type="http://schemas.openxmlformats.org/officeDocument/2006/relationships/image" Target="media/image16.wmf"/><Relationship Id="rId40" Type="http://schemas.openxmlformats.org/officeDocument/2006/relationships/oleObject" Target="embeddings/oleObject2.bin"/><Relationship Id="rId4" Type="http://schemas.openxmlformats.org/officeDocument/2006/relationships/endnotes" Target="endnotes.xml"/><Relationship Id="rId39" Type="http://schemas.openxmlformats.org/officeDocument/2006/relationships/image" Target="media/image15.wmf"/><Relationship Id="rId38" Type="http://schemas.openxmlformats.org/officeDocument/2006/relationships/oleObject" Target="embeddings/oleObject1.bin"/><Relationship Id="rId37" Type="http://schemas.openxmlformats.org/officeDocument/2006/relationships/image" Target="media/image14.wmf"/><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jpe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bmp"/><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header" Target="header14.xml"/><Relationship Id="rId21" Type="http://schemas.openxmlformats.org/officeDocument/2006/relationships/header" Target="header13.xml"/><Relationship Id="rId20" Type="http://schemas.openxmlformats.org/officeDocument/2006/relationships/header" Target="header12.xml"/><Relationship Id="rId2" Type="http://schemas.openxmlformats.org/officeDocument/2006/relationships/settings" Target="settings.xml"/><Relationship Id="rId19" Type="http://schemas.openxmlformats.org/officeDocument/2006/relationships/header" Target="header11.xml"/><Relationship Id="rId18" Type="http://schemas.openxmlformats.org/officeDocument/2006/relationships/header" Target="header10.xml"/><Relationship Id="rId17" Type="http://schemas.openxmlformats.org/officeDocument/2006/relationships/header" Target="header9.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header" Target="header5.xml"/><Relationship Id="rId123" Type="http://schemas.openxmlformats.org/officeDocument/2006/relationships/fontTable" Target="fontTable.xml"/><Relationship Id="rId122" Type="http://schemas.openxmlformats.org/officeDocument/2006/relationships/numbering" Target="numbering.xml"/><Relationship Id="rId121" Type="http://schemas.openxmlformats.org/officeDocument/2006/relationships/customXml" Target="../customXml/item1.xml"/><Relationship Id="rId120" Type="http://schemas.openxmlformats.org/officeDocument/2006/relationships/image" Target="media/image72.png"/><Relationship Id="rId12" Type="http://schemas.openxmlformats.org/officeDocument/2006/relationships/footer" Target="footer4.xml"/><Relationship Id="rId119" Type="http://schemas.openxmlformats.org/officeDocument/2006/relationships/image" Target="media/image71.png"/><Relationship Id="rId118" Type="http://schemas.openxmlformats.org/officeDocument/2006/relationships/image" Target="media/image70.png"/><Relationship Id="rId117" Type="http://schemas.openxmlformats.org/officeDocument/2006/relationships/image" Target="media/image69.png"/><Relationship Id="rId116" Type="http://schemas.openxmlformats.org/officeDocument/2006/relationships/image" Target="media/image68.png"/><Relationship Id="rId115" Type="http://schemas.openxmlformats.org/officeDocument/2006/relationships/image" Target="media/image67.png"/><Relationship Id="rId114" Type="http://schemas.openxmlformats.org/officeDocument/2006/relationships/image" Target="media/image66.emf"/><Relationship Id="rId113" Type="http://schemas.openxmlformats.org/officeDocument/2006/relationships/oleObject" Target="embeddings/oleObject25.bin"/><Relationship Id="rId112" Type="http://schemas.openxmlformats.org/officeDocument/2006/relationships/image" Target="media/image65.png"/><Relationship Id="rId111" Type="http://schemas.openxmlformats.org/officeDocument/2006/relationships/image" Target="media/image64.wmf"/><Relationship Id="rId110" Type="http://schemas.openxmlformats.org/officeDocument/2006/relationships/oleObject" Target="embeddings/oleObject24.bin"/><Relationship Id="rId11" Type="http://schemas.openxmlformats.org/officeDocument/2006/relationships/header" Target="header4.xml"/><Relationship Id="rId109" Type="http://schemas.openxmlformats.org/officeDocument/2006/relationships/image" Target="media/image63.png"/><Relationship Id="rId108" Type="http://schemas.openxmlformats.org/officeDocument/2006/relationships/image" Target="media/image62.wmf"/><Relationship Id="rId107" Type="http://schemas.openxmlformats.org/officeDocument/2006/relationships/oleObject" Target="embeddings/oleObject23.bin"/><Relationship Id="rId106" Type="http://schemas.openxmlformats.org/officeDocument/2006/relationships/image" Target="media/image61.wmf"/><Relationship Id="rId105" Type="http://schemas.openxmlformats.org/officeDocument/2006/relationships/oleObject" Target="embeddings/oleObject22.bin"/><Relationship Id="rId104" Type="http://schemas.openxmlformats.org/officeDocument/2006/relationships/image" Target="media/image60.wmf"/><Relationship Id="rId103" Type="http://schemas.openxmlformats.org/officeDocument/2006/relationships/oleObject" Target="embeddings/oleObject21.bin"/><Relationship Id="rId102" Type="http://schemas.openxmlformats.org/officeDocument/2006/relationships/image" Target="media/image59.wmf"/><Relationship Id="rId101" Type="http://schemas.openxmlformats.org/officeDocument/2006/relationships/oleObject" Target="embeddings/oleObject20.bin"/><Relationship Id="rId100" Type="http://schemas.openxmlformats.org/officeDocument/2006/relationships/image" Target="media/image58.wmf"/><Relationship Id="rId10" Type="http://schemas.openxmlformats.org/officeDocument/2006/relationships/footer" Target="footer3.xml"/><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7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1</Pages>
  <Words>0</Words>
  <Characters>0</Characters>
  <Lines>1598</Lines>
  <Paragraphs>449</Paragraphs>
  <TotalTime>508</TotalTime>
  <ScaleCrop>false</ScaleCrop>
  <LinksUpToDate>false</LinksUpToDate>
  <CharactersWithSpaces>1</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2017-05-22T13:26:00Z</dcterms:created>
  <dc:creator>gk</dc:creator>
  <cp:lastModifiedBy>一期一会</cp:lastModifiedBy>
  <cp:lastPrinted>2022-12-12T06:59:00Z</cp:lastPrinted>
  <dcterms:modified xsi:type="dcterms:W3CDTF">2024-03-27T08:13:21Z</dcterms:modified>
  <dc:title>环境影响报告书</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C9EC6C09971A4617863380D285FADA1C_13</vt:lpwstr>
  </property>
</Properties>
</file>