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uto"/>
        <w:ind w:left="0" w:right="0"/>
        <w:jc w:val="center"/>
        <w:rPr>
          <w:b w:val="0"/>
          <w:bCs w:val="0"/>
          <w:color w:val="0E59A4"/>
          <w:sz w:val="47"/>
          <w:szCs w:val="47"/>
        </w:rPr>
      </w:pPr>
      <w:r>
        <w:rPr>
          <w:b w:val="0"/>
          <w:bCs w:val="0"/>
          <w:color w:val="0E59A4"/>
          <w:sz w:val="47"/>
          <w:szCs w:val="47"/>
        </w:rPr>
        <w:t>上高县</w:t>
      </w:r>
      <w:r>
        <w:rPr>
          <w:rFonts w:hint="eastAsia"/>
          <w:b w:val="0"/>
          <w:bCs w:val="0"/>
          <w:color w:val="0E59A4"/>
          <w:sz w:val="47"/>
          <w:szCs w:val="47"/>
          <w:lang w:eastAsia="zh-CN"/>
        </w:rPr>
        <w:t>文广新旅局</w:t>
      </w:r>
      <w:r>
        <w:rPr>
          <w:b w:val="0"/>
          <w:bCs w:val="0"/>
          <w:color w:val="0E59A4"/>
          <w:sz w:val="47"/>
          <w:szCs w:val="47"/>
        </w:rPr>
        <w:t>2023年政府信息公开工作年度报告</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640" w:firstLineChars="200"/>
      </w:pPr>
      <w:r>
        <w:rPr>
          <w:rFonts w:ascii="仿宋_GB2312" w:hAnsi="Times New Roman" w:eastAsia="仿宋_GB2312" w:cs="仿宋_GB2312"/>
          <w:i w:val="0"/>
          <w:iCs w:val="0"/>
          <w:caps w:val="0"/>
          <w:spacing w:val="0"/>
          <w:kern w:val="0"/>
          <w:sz w:val="32"/>
          <w:szCs w:val="32"/>
          <w:shd w:val="clear" w:fill="FFFFFF"/>
        </w:rPr>
        <w:t>本报告</w:t>
      </w:r>
      <w:r>
        <w:rPr>
          <w:rFonts w:hint="eastAsia" w:ascii="仿宋_GB2312" w:hAnsi="Times New Roman" w:eastAsia="仿宋_GB2312" w:cs="仿宋_GB2312"/>
          <w:kern w:val="0"/>
          <w:sz w:val="32"/>
          <w:szCs w:val="32"/>
          <w:shd w:val="clear" w:fill="FFFFFF"/>
        </w:rPr>
        <w:t>根据《中华人民共和国政府信息公开条例》（以下简称《条例》）、《中华人民共和国政府信息公开工作年度报告格式》（国办公开办函〔</w:t>
      </w:r>
      <w:r>
        <w:rPr>
          <w:rFonts w:hint="default" w:ascii="Times New Roman" w:hAnsi="Times New Roman" w:eastAsia="仿宋_GB2312" w:cs="Times New Roman"/>
          <w:kern w:val="0"/>
          <w:sz w:val="32"/>
          <w:szCs w:val="32"/>
          <w:shd w:val="clear" w:fill="FFFFFF"/>
        </w:rPr>
        <w:t>2021</w:t>
      </w:r>
      <w:r>
        <w:rPr>
          <w:rFonts w:hint="eastAsia" w:ascii="仿宋_GB2312" w:hAnsi="Times New Roman" w:eastAsia="仿宋_GB2312" w:cs="仿宋_GB2312"/>
          <w:kern w:val="0"/>
          <w:sz w:val="32"/>
          <w:szCs w:val="32"/>
          <w:shd w:val="clear" w:fill="FFFFFF"/>
        </w:rPr>
        <w:t>〕</w:t>
      </w:r>
      <w:r>
        <w:rPr>
          <w:rFonts w:hint="default" w:ascii="Times New Roman" w:hAnsi="Times New Roman" w:eastAsia="仿宋_GB2312" w:cs="Times New Roman"/>
          <w:kern w:val="0"/>
          <w:sz w:val="32"/>
          <w:szCs w:val="32"/>
          <w:shd w:val="clear" w:fill="FFFFFF"/>
        </w:rPr>
        <w:t>30</w:t>
      </w:r>
      <w:r>
        <w:rPr>
          <w:rFonts w:hint="eastAsia" w:ascii="仿宋_GB2312" w:hAnsi="Times New Roman" w:eastAsia="仿宋_GB2312" w:cs="仿宋_GB2312"/>
          <w:kern w:val="0"/>
          <w:sz w:val="32"/>
          <w:szCs w:val="32"/>
          <w:shd w:val="clear" w:fill="FFFFFF"/>
        </w:rPr>
        <w:t>号）有关要求</w:t>
      </w:r>
      <w:r>
        <w:rPr>
          <w:rFonts w:hint="eastAsia" w:ascii="仿宋_GB2312" w:hAnsi="Times New Roman" w:eastAsia="仿宋_GB2312" w:cs="仿宋_GB2312"/>
          <w:i w:val="0"/>
          <w:iCs w:val="0"/>
          <w:caps w:val="0"/>
          <w:color w:val="000000"/>
          <w:spacing w:val="0"/>
          <w:kern w:val="0"/>
          <w:sz w:val="32"/>
          <w:szCs w:val="32"/>
          <w:shd w:val="clear" w:fill="FFFFFF"/>
        </w:rPr>
        <w:t>，由</w:t>
      </w:r>
      <w:r>
        <w:rPr>
          <w:rFonts w:hint="eastAsia" w:ascii="仿宋_GB2312" w:hAnsi="Times New Roman" w:eastAsia="仿宋_GB2312" w:cs="仿宋_GB2312"/>
          <w:i w:val="0"/>
          <w:iCs w:val="0"/>
          <w:caps w:val="0"/>
          <w:color w:val="000000"/>
          <w:spacing w:val="0"/>
          <w:kern w:val="0"/>
          <w:sz w:val="32"/>
          <w:szCs w:val="32"/>
          <w:shd w:val="clear" w:fill="FFFFFF"/>
          <w:lang w:eastAsia="zh-CN"/>
        </w:rPr>
        <w:t>文广新旅</w:t>
      </w:r>
      <w:r>
        <w:rPr>
          <w:rFonts w:hint="eastAsia" w:ascii="仿宋_GB2312" w:hAnsi="Times New Roman" w:eastAsia="仿宋_GB2312" w:cs="仿宋_GB2312"/>
          <w:i w:val="0"/>
          <w:iCs w:val="0"/>
          <w:caps w:val="0"/>
          <w:color w:val="000000"/>
          <w:spacing w:val="0"/>
          <w:kern w:val="0"/>
          <w:sz w:val="32"/>
          <w:szCs w:val="32"/>
          <w:shd w:val="clear" w:fill="FFFFFF"/>
        </w:rPr>
        <w:t>局结合有关统计数据编制。本年度报告中所列数据的统计期限自</w:t>
      </w:r>
      <w:r>
        <w:rPr>
          <w:rFonts w:hint="default" w:ascii="Times New Roman" w:hAnsi="Times New Roman" w:eastAsia="仿宋_GB2312" w:cs="Times New Roman"/>
          <w:i w:val="0"/>
          <w:iCs w:val="0"/>
          <w:caps w:val="0"/>
          <w:color w:val="000000"/>
          <w:spacing w:val="0"/>
          <w:kern w:val="0"/>
          <w:sz w:val="32"/>
          <w:szCs w:val="32"/>
          <w:shd w:val="clear" w:fill="FFFFFF"/>
        </w:rPr>
        <w:t>2023</w:t>
      </w:r>
      <w:r>
        <w:rPr>
          <w:rFonts w:hint="eastAsia" w:ascii="仿宋_GB2312" w:hAnsi="Times New Roman" w:eastAsia="仿宋_GB2312" w:cs="仿宋_GB2312"/>
          <w:i w:val="0"/>
          <w:iCs w:val="0"/>
          <w:caps w:val="0"/>
          <w:color w:val="000000"/>
          <w:spacing w:val="0"/>
          <w:kern w:val="0"/>
          <w:sz w:val="32"/>
          <w:szCs w:val="32"/>
          <w:shd w:val="clear" w:fill="FFFFFF"/>
        </w:rPr>
        <w:t>年</w:t>
      </w:r>
      <w:r>
        <w:rPr>
          <w:rFonts w:hint="default" w:ascii="Times New Roman" w:hAnsi="Times New Roman" w:eastAsia="仿宋_GB2312" w:cs="Times New Roman"/>
          <w:i w:val="0"/>
          <w:iCs w:val="0"/>
          <w:caps w:val="0"/>
          <w:color w:val="000000"/>
          <w:spacing w:val="0"/>
          <w:kern w:val="0"/>
          <w:sz w:val="32"/>
          <w:szCs w:val="32"/>
          <w:shd w:val="clear" w:fill="FFFFFF"/>
        </w:rPr>
        <w:t>1</w:t>
      </w:r>
      <w:r>
        <w:rPr>
          <w:rFonts w:hint="eastAsia" w:ascii="仿宋_GB2312" w:hAnsi="Times New Roman" w:eastAsia="仿宋_GB2312" w:cs="仿宋_GB2312"/>
          <w:i w:val="0"/>
          <w:iCs w:val="0"/>
          <w:caps w:val="0"/>
          <w:color w:val="000000"/>
          <w:spacing w:val="0"/>
          <w:kern w:val="0"/>
          <w:sz w:val="32"/>
          <w:szCs w:val="32"/>
          <w:shd w:val="clear" w:fill="FFFFFF"/>
        </w:rPr>
        <w:t>月</w:t>
      </w:r>
      <w:r>
        <w:rPr>
          <w:rFonts w:hint="default" w:ascii="Times New Roman" w:hAnsi="Times New Roman" w:eastAsia="仿宋_GB2312" w:cs="Times New Roman"/>
          <w:i w:val="0"/>
          <w:iCs w:val="0"/>
          <w:caps w:val="0"/>
          <w:color w:val="000000"/>
          <w:spacing w:val="0"/>
          <w:kern w:val="0"/>
          <w:sz w:val="32"/>
          <w:szCs w:val="32"/>
          <w:shd w:val="clear" w:fill="FFFFFF"/>
        </w:rPr>
        <w:t>1</w:t>
      </w:r>
      <w:r>
        <w:rPr>
          <w:rFonts w:hint="eastAsia" w:ascii="仿宋_GB2312" w:hAnsi="Times New Roman" w:eastAsia="仿宋_GB2312" w:cs="仿宋_GB2312"/>
          <w:i w:val="0"/>
          <w:iCs w:val="0"/>
          <w:caps w:val="0"/>
          <w:color w:val="000000"/>
          <w:spacing w:val="0"/>
          <w:kern w:val="0"/>
          <w:sz w:val="32"/>
          <w:szCs w:val="32"/>
          <w:shd w:val="clear" w:fill="FFFFFF"/>
        </w:rPr>
        <w:t>日起至</w:t>
      </w:r>
      <w:r>
        <w:rPr>
          <w:rFonts w:hint="default" w:ascii="Times New Roman" w:hAnsi="Times New Roman" w:eastAsia="仿宋_GB2312" w:cs="Times New Roman"/>
          <w:i w:val="0"/>
          <w:iCs w:val="0"/>
          <w:caps w:val="0"/>
          <w:color w:val="000000"/>
          <w:spacing w:val="0"/>
          <w:kern w:val="0"/>
          <w:sz w:val="32"/>
          <w:szCs w:val="32"/>
          <w:shd w:val="clear" w:fill="FFFFFF"/>
        </w:rPr>
        <w:t>2023</w:t>
      </w:r>
      <w:r>
        <w:rPr>
          <w:rFonts w:hint="eastAsia" w:ascii="仿宋_GB2312" w:hAnsi="Times New Roman" w:eastAsia="仿宋_GB2312" w:cs="仿宋_GB2312"/>
          <w:i w:val="0"/>
          <w:iCs w:val="0"/>
          <w:caps w:val="0"/>
          <w:color w:val="000000"/>
          <w:spacing w:val="0"/>
          <w:kern w:val="0"/>
          <w:sz w:val="32"/>
          <w:szCs w:val="32"/>
          <w:shd w:val="clear" w:fill="FFFFFF"/>
        </w:rPr>
        <w:t>年</w:t>
      </w:r>
      <w:r>
        <w:rPr>
          <w:rFonts w:hint="default" w:ascii="Times New Roman" w:hAnsi="Times New Roman" w:eastAsia="仿宋_GB2312" w:cs="Times New Roman"/>
          <w:i w:val="0"/>
          <w:iCs w:val="0"/>
          <w:caps w:val="0"/>
          <w:color w:val="000000"/>
          <w:spacing w:val="0"/>
          <w:kern w:val="0"/>
          <w:sz w:val="32"/>
          <w:szCs w:val="32"/>
          <w:shd w:val="clear" w:fill="FFFFFF"/>
        </w:rPr>
        <w:t>12</w:t>
      </w:r>
      <w:r>
        <w:rPr>
          <w:rFonts w:hint="eastAsia" w:ascii="仿宋_GB2312" w:hAnsi="Times New Roman" w:eastAsia="仿宋_GB2312" w:cs="仿宋_GB2312"/>
          <w:i w:val="0"/>
          <w:iCs w:val="0"/>
          <w:caps w:val="0"/>
          <w:color w:val="000000"/>
          <w:spacing w:val="0"/>
          <w:kern w:val="0"/>
          <w:sz w:val="32"/>
          <w:szCs w:val="32"/>
          <w:shd w:val="clear" w:fill="FFFFFF"/>
        </w:rPr>
        <w:t>月</w:t>
      </w:r>
      <w:r>
        <w:rPr>
          <w:rFonts w:hint="default" w:ascii="Times New Roman" w:hAnsi="Times New Roman" w:eastAsia="仿宋_GB2312" w:cs="Times New Roman"/>
          <w:i w:val="0"/>
          <w:iCs w:val="0"/>
          <w:caps w:val="0"/>
          <w:color w:val="000000"/>
          <w:spacing w:val="0"/>
          <w:kern w:val="0"/>
          <w:sz w:val="32"/>
          <w:szCs w:val="32"/>
          <w:shd w:val="clear" w:fill="FFFFFF"/>
        </w:rPr>
        <w:t>31</w:t>
      </w:r>
      <w:r>
        <w:rPr>
          <w:rFonts w:hint="eastAsia" w:ascii="仿宋_GB2312" w:hAnsi="Times New Roman" w:eastAsia="仿宋_GB2312" w:cs="仿宋_GB2312"/>
          <w:i w:val="0"/>
          <w:iCs w:val="0"/>
          <w:caps w:val="0"/>
          <w:color w:val="000000"/>
          <w:spacing w:val="0"/>
          <w:kern w:val="0"/>
          <w:sz w:val="32"/>
          <w:szCs w:val="32"/>
          <w:shd w:val="clear" w:fill="FFFFFF"/>
        </w:rPr>
        <w:t>日止。本年度报告的电子版可以从上高县人民政府网站（</w:t>
      </w:r>
      <w:r>
        <w:rPr>
          <w:rFonts w:hint="default" w:ascii="Times New Roman" w:hAnsi="Times New Roman" w:eastAsia="仿宋_GB2312" w:cs="Times New Roman"/>
          <w:i w:val="0"/>
          <w:iCs w:val="0"/>
          <w:caps w:val="0"/>
          <w:color w:val="000000"/>
          <w:spacing w:val="0"/>
          <w:kern w:val="0"/>
          <w:sz w:val="32"/>
          <w:szCs w:val="32"/>
          <w:shd w:val="clear" w:fill="FFFFFF"/>
        </w:rPr>
        <w:t>www.shanggao.gov.cn</w:t>
      </w:r>
      <w:r>
        <w:rPr>
          <w:rFonts w:hint="eastAsia" w:ascii="仿宋_GB2312" w:hAnsi="Times New Roman" w:eastAsia="仿宋_GB2312" w:cs="仿宋_GB2312"/>
          <w:i w:val="0"/>
          <w:iCs w:val="0"/>
          <w:caps w:val="0"/>
          <w:color w:val="000000"/>
          <w:spacing w:val="0"/>
          <w:kern w:val="0"/>
          <w:sz w:val="32"/>
          <w:szCs w:val="32"/>
          <w:shd w:val="clear" w:fill="FFFFFF"/>
        </w:rPr>
        <w:t>）下载。如对本报告有任何疑问，请与上高县</w:t>
      </w:r>
      <w:r>
        <w:rPr>
          <w:rFonts w:hint="eastAsia" w:ascii="仿宋_GB2312" w:hAnsi="Times New Roman" w:eastAsia="仿宋_GB2312" w:cs="仿宋_GB2312"/>
          <w:i w:val="0"/>
          <w:iCs w:val="0"/>
          <w:caps w:val="0"/>
          <w:color w:val="000000"/>
          <w:spacing w:val="0"/>
          <w:kern w:val="0"/>
          <w:sz w:val="32"/>
          <w:szCs w:val="32"/>
          <w:shd w:val="clear" w:fill="FFFFFF"/>
          <w:lang w:eastAsia="zh-CN"/>
        </w:rPr>
        <w:t>文广新旅局</w:t>
      </w:r>
      <w:r>
        <w:rPr>
          <w:rFonts w:hint="eastAsia" w:ascii="仿宋_GB2312" w:hAnsi="Times New Roman" w:eastAsia="仿宋_GB2312" w:cs="仿宋_GB2312"/>
          <w:i w:val="0"/>
          <w:iCs w:val="0"/>
          <w:caps w:val="0"/>
          <w:color w:val="000000"/>
          <w:spacing w:val="0"/>
          <w:kern w:val="0"/>
          <w:sz w:val="32"/>
          <w:szCs w:val="32"/>
          <w:shd w:val="clear" w:fill="FFFFFF"/>
          <w:lang w:val="en-US" w:eastAsia="zh-CN"/>
        </w:rPr>
        <w:t>402</w:t>
      </w:r>
      <w:r>
        <w:rPr>
          <w:rFonts w:hint="eastAsia" w:ascii="仿宋_GB2312" w:hAnsi="Times New Roman" w:eastAsia="仿宋_GB2312" w:cs="仿宋_GB2312"/>
          <w:i w:val="0"/>
          <w:iCs w:val="0"/>
          <w:caps w:val="0"/>
          <w:color w:val="000000"/>
          <w:spacing w:val="0"/>
          <w:kern w:val="0"/>
          <w:sz w:val="32"/>
          <w:szCs w:val="32"/>
          <w:shd w:val="clear" w:fill="FFFFFF"/>
        </w:rPr>
        <w:t>办公室联系（地址：上高县</w:t>
      </w:r>
      <w:r>
        <w:rPr>
          <w:rFonts w:hint="eastAsia" w:ascii="仿宋_GB2312" w:hAnsi="Times New Roman" w:eastAsia="仿宋_GB2312" w:cs="仿宋_GB2312"/>
          <w:kern w:val="0"/>
          <w:sz w:val="32"/>
          <w:szCs w:val="32"/>
          <w:lang w:eastAsia="zh-CN"/>
        </w:rPr>
        <w:t>文化广场</w:t>
      </w:r>
      <w:r>
        <w:rPr>
          <w:rFonts w:hint="eastAsia" w:ascii="仿宋_GB2312" w:hAnsi="Times New Roman" w:eastAsia="仿宋_GB2312" w:cs="仿宋_GB2312"/>
          <w:kern w:val="0"/>
          <w:sz w:val="32"/>
          <w:szCs w:val="32"/>
        </w:rPr>
        <w:t>。</w:t>
      </w:r>
      <w:r>
        <w:rPr>
          <w:rFonts w:hint="eastAsia" w:ascii="仿宋_GB2312" w:hAnsi="Times New Roman" w:eastAsia="仿宋_GB2312" w:cs="仿宋_GB2312"/>
          <w:i w:val="0"/>
          <w:iCs w:val="0"/>
          <w:caps w:val="0"/>
          <w:color w:val="000000"/>
          <w:spacing w:val="0"/>
          <w:kern w:val="0"/>
          <w:sz w:val="32"/>
          <w:szCs w:val="32"/>
          <w:shd w:val="clear" w:fill="FFFFFF"/>
        </w:rPr>
        <w:t>电话：</w:t>
      </w:r>
      <w:r>
        <w:rPr>
          <w:rFonts w:hint="default" w:ascii="Times New Roman" w:hAnsi="Times New Roman" w:eastAsia="仿宋_GB2312" w:cs="Times New Roman"/>
          <w:i w:val="0"/>
          <w:iCs w:val="0"/>
          <w:caps w:val="0"/>
          <w:color w:val="000000"/>
          <w:spacing w:val="0"/>
          <w:kern w:val="0"/>
          <w:sz w:val="32"/>
          <w:szCs w:val="32"/>
          <w:shd w:val="clear" w:fill="FFFFFF"/>
        </w:rPr>
        <w:t>0795-2511</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rPr>
        <w:t>579</w:t>
      </w:r>
      <w:r>
        <w:rPr>
          <w:rFonts w:hint="eastAsia" w:ascii="仿宋_GB2312" w:hAnsi="Times New Roman" w:eastAsia="仿宋_GB2312" w:cs="仿宋_GB2312"/>
          <w:i w:val="0"/>
          <w:iCs w:val="0"/>
          <w:caps w:val="0"/>
          <w:color w:val="000000"/>
          <w:spacing w:val="0"/>
          <w:kern w:val="0"/>
          <w:sz w:val="32"/>
          <w:szCs w:val="32"/>
          <w:shd w:val="clear" w:fill="FFFFFF"/>
        </w:rPr>
        <w:t>邮编：</w:t>
      </w:r>
      <w:r>
        <w:rPr>
          <w:rFonts w:hint="default" w:ascii="Times New Roman" w:hAnsi="Times New Roman" w:eastAsia="仿宋_GB2312" w:cs="Times New Roman"/>
          <w:i w:val="0"/>
          <w:iCs w:val="0"/>
          <w:caps w:val="0"/>
          <w:color w:val="000000"/>
          <w:spacing w:val="0"/>
          <w:kern w:val="0"/>
          <w:sz w:val="32"/>
          <w:szCs w:val="32"/>
          <w:shd w:val="clear" w:fill="FFFFFF"/>
        </w:rPr>
        <w:t>336400</w:t>
      </w:r>
      <w:r>
        <w:rPr>
          <w:rFonts w:hint="eastAsia" w:ascii="仿宋_GB2312" w:hAnsi="Times New Roman" w:eastAsia="仿宋_GB2312" w:cs="仿宋_GB2312"/>
          <w:i w:val="0"/>
          <w:iCs w:val="0"/>
          <w:caps w:val="0"/>
          <w:color w:val="000000"/>
          <w:spacing w:val="0"/>
          <w:kern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ascii="黑体" w:hAnsi="宋体" w:eastAsia="黑体" w:cs="黑体"/>
          <w:i w:val="0"/>
          <w:iCs w:val="0"/>
          <w:caps w:val="0"/>
          <w:color w:val="000000"/>
          <w:spacing w:val="0"/>
          <w:kern w:val="0"/>
          <w:sz w:val="32"/>
          <w:szCs w:val="32"/>
          <w:shd w:val="clear" w:fill="FFFFFF"/>
        </w:rPr>
        <w:t>一、总体情况</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3"/>
        <w:jc w:val="left"/>
      </w:pP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2023</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年上高县文广新旅局</w:t>
      </w:r>
      <w:r>
        <w:rPr>
          <w:rFonts w:hint="eastAsia" w:ascii="仿宋_GB2312" w:hAnsi="Times New Roman" w:eastAsia="仿宋_GB2312" w:cs="仿宋_GB2312"/>
          <w:kern w:val="2"/>
          <w:sz w:val="32"/>
          <w:szCs w:val="32"/>
          <w:shd w:val="clear" w:fill="FFFFFF"/>
          <w:lang w:val="en-US" w:eastAsia="zh-CN" w:bidi="ar"/>
        </w:rPr>
        <w:t>认真学习贯彻党的二十大精神和习近平总书记考察江西的重要讲话精神。</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文化强则民族强。文化自信是一个国家、一个民族发展中最基本、最深沉、最持久的力量。好的传统文化不仅要让本地群众“家喻户晓”，更要有“走出去”的生命力。结合本局实际情况，</w:t>
      </w:r>
      <w:r>
        <w:rPr>
          <w:rFonts w:hint="eastAsia" w:ascii="仿宋_GB2312" w:hAnsi="Times New Roman" w:eastAsia="仿宋_GB2312" w:cs="仿宋_GB2312"/>
          <w:i w:val="0"/>
          <w:iCs w:val="0"/>
          <w:caps w:val="0"/>
          <w:spacing w:val="0"/>
          <w:kern w:val="2"/>
          <w:sz w:val="32"/>
          <w:szCs w:val="32"/>
          <w:shd w:val="clear" w:fill="FFFFFF"/>
          <w:lang w:val="en-US" w:eastAsia="zh-CN" w:bidi="ar"/>
        </w:rPr>
        <w:t>坚持以公开为常态、不公开为例外，切实回应群众关注关切，大力推进政务公开各项工作，确保公开信息的准确性、权威性、完整性和时效性。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ascii="楷体_GB2312" w:hAnsi="Times New Roman" w:eastAsia="楷体_GB2312" w:cs="楷体_GB2312"/>
          <w:b/>
          <w:bCs/>
          <w:i w:val="0"/>
          <w:iCs w:val="0"/>
          <w:caps w:val="0"/>
          <w:color w:val="000000"/>
          <w:spacing w:val="0"/>
          <w:kern w:val="0"/>
          <w:sz w:val="32"/>
          <w:szCs w:val="32"/>
          <w:shd w:val="clear" w:fill="FFFFFF"/>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default" w:ascii="Times New Roman" w:hAnsi="Times New Roman" w:eastAsia="宋体" w:cs="Times New Roman"/>
          <w:i w:val="0"/>
          <w:iCs w:val="0"/>
          <w:caps w:val="0"/>
          <w:color w:val="000000"/>
          <w:spacing w:val="0"/>
          <w:kern w:val="0"/>
          <w:sz w:val="31"/>
          <w:szCs w:val="31"/>
          <w:shd w:val="clear" w:fill="FFFFFF"/>
        </w:rPr>
        <w:t>2023</w:t>
      </w:r>
      <w:r>
        <w:rPr>
          <w:rFonts w:hint="eastAsia" w:ascii="仿宋_GB2312" w:hAnsi="Times New Roman" w:eastAsia="仿宋_GB2312" w:cs="仿宋_GB2312"/>
          <w:i w:val="0"/>
          <w:iCs w:val="0"/>
          <w:caps w:val="0"/>
          <w:color w:val="000000"/>
          <w:spacing w:val="0"/>
          <w:kern w:val="0"/>
          <w:sz w:val="31"/>
          <w:szCs w:val="31"/>
          <w:shd w:val="clear" w:fill="FFFFFF"/>
        </w:rPr>
        <w:t>年，我局按照“公开为原则，不公开为例外”要求，通过“上高县人民政府”网站主动公开政府信息</w:t>
      </w:r>
      <w:r>
        <w:rPr>
          <w:rFonts w:hint="eastAsia" w:ascii="Times New Roman" w:hAnsi="Times New Roman" w:eastAsia="仿宋_GB2312" w:cs="Times New Roman"/>
          <w:i w:val="0"/>
          <w:iCs w:val="0"/>
          <w:caps w:val="0"/>
          <w:color w:val="000000"/>
          <w:spacing w:val="0"/>
          <w:kern w:val="0"/>
          <w:sz w:val="31"/>
          <w:szCs w:val="31"/>
          <w:shd w:val="clear" w:fill="FFFFFF"/>
          <w:lang w:val="en-US" w:eastAsia="zh-CN"/>
        </w:rPr>
        <w:t>22</w:t>
      </w:r>
      <w:r>
        <w:rPr>
          <w:rFonts w:hint="eastAsia" w:ascii="仿宋_GB2312" w:hAnsi="Times New Roman" w:eastAsia="仿宋_GB2312" w:cs="仿宋_GB2312"/>
          <w:i w:val="0"/>
          <w:iCs w:val="0"/>
          <w:caps w:val="0"/>
          <w:color w:val="000000"/>
          <w:spacing w:val="0"/>
          <w:kern w:val="0"/>
          <w:sz w:val="31"/>
          <w:szCs w:val="31"/>
          <w:shd w:val="clear" w:fill="FFFFFF"/>
        </w:rPr>
        <w:t>条。一是推进重点领域信息公开，严格落实定期公开制度；二是加强规范化建设。对其他政府管理工作信息严格落实按目录、按要求公开制度。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楷体_GB2312" w:hAnsi="Times New Roman" w:eastAsia="楷体_GB2312" w:cs="楷体_GB2312"/>
          <w:b/>
          <w:bCs/>
          <w:i w:val="0"/>
          <w:iCs w:val="0"/>
          <w:caps w:val="0"/>
          <w:color w:val="000000"/>
          <w:spacing w:val="0"/>
          <w:kern w:val="0"/>
          <w:sz w:val="32"/>
          <w:szCs w:val="32"/>
          <w:shd w:val="clear" w:fill="FFFFFF"/>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仿宋_GB2312" w:hAnsi="Times New Roman" w:eastAsia="仿宋_GB2312" w:cs="仿宋_GB2312"/>
          <w:i w:val="0"/>
          <w:iCs w:val="0"/>
          <w:caps w:val="0"/>
          <w:color w:val="000000"/>
          <w:spacing w:val="0"/>
          <w:kern w:val="0"/>
          <w:sz w:val="32"/>
          <w:szCs w:val="32"/>
          <w:shd w:val="clear" w:fill="FFFFFF"/>
        </w:rPr>
        <w:t>我局认真做好依申请公开政府信息工作，对社会公众申请公开政府信息的答复率、答复及时率和录入依申请公开系统及时率达</w:t>
      </w:r>
      <w:r>
        <w:rPr>
          <w:rFonts w:hint="default" w:ascii="Times New Roman" w:hAnsi="Times New Roman" w:eastAsia="仿宋_GB2312" w:cs="Times New Roman"/>
          <w:i w:val="0"/>
          <w:iCs w:val="0"/>
          <w:caps w:val="0"/>
          <w:color w:val="000000"/>
          <w:spacing w:val="0"/>
          <w:kern w:val="0"/>
          <w:sz w:val="32"/>
          <w:szCs w:val="32"/>
          <w:shd w:val="clear" w:fill="FFFFFF"/>
        </w:rPr>
        <w:t>100%</w:t>
      </w:r>
      <w:r>
        <w:rPr>
          <w:rFonts w:hint="eastAsia" w:ascii="仿宋_GB2312" w:hAnsi="Times New Roman" w:eastAsia="仿宋_GB2312" w:cs="仿宋_GB2312"/>
          <w:i w:val="0"/>
          <w:iCs w:val="0"/>
          <w:caps w:val="0"/>
          <w:color w:val="000000"/>
          <w:spacing w:val="0"/>
          <w:kern w:val="0"/>
          <w:sz w:val="32"/>
          <w:szCs w:val="32"/>
          <w:shd w:val="clear" w:fill="FFFFFF"/>
        </w:rPr>
        <w:t>。</w:t>
      </w:r>
      <w:r>
        <w:rPr>
          <w:rFonts w:hint="default" w:ascii="Times New Roman" w:hAnsi="Times New Roman" w:eastAsia="仿宋_GB2312" w:cs="Times New Roman"/>
          <w:i w:val="0"/>
          <w:iCs w:val="0"/>
          <w:caps w:val="0"/>
          <w:color w:val="000000"/>
          <w:spacing w:val="0"/>
          <w:kern w:val="0"/>
          <w:sz w:val="32"/>
          <w:szCs w:val="32"/>
          <w:shd w:val="clear" w:fill="FFFFFF"/>
        </w:rPr>
        <w:t>2023</w:t>
      </w:r>
      <w:r>
        <w:rPr>
          <w:rFonts w:hint="eastAsia" w:ascii="仿宋_GB2312" w:hAnsi="Times New Roman" w:eastAsia="仿宋_GB2312" w:cs="仿宋_GB2312"/>
          <w:i w:val="0"/>
          <w:iCs w:val="0"/>
          <w:caps w:val="0"/>
          <w:color w:val="000000"/>
          <w:spacing w:val="0"/>
          <w:kern w:val="0"/>
          <w:sz w:val="32"/>
          <w:szCs w:val="32"/>
          <w:shd w:val="clear" w:fill="FFFFFF"/>
        </w:rPr>
        <w:t>年，我局未接收到政府信息公开申请。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楷体_GB2312" w:hAnsi="Times New Roman" w:eastAsia="楷体_GB2312" w:cs="楷体_GB2312"/>
          <w:b/>
          <w:bCs/>
          <w:i w:val="0"/>
          <w:iCs w:val="0"/>
          <w:caps w:val="0"/>
          <w:color w:val="000000"/>
          <w:spacing w:val="0"/>
          <w:kern w:val="0"/>
          <w:sz w:val="32"/>
          <w:szCs w:val="32"/>
          <w:shd w:val="clear" w:fill="FFFFFF"/>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仿宋_GB2312" w:hAnsi="Times New Roman" w:eastAsia="仿宋_GB2312" w:cs="仿宋_GB2312"/>
          <w:i w:val="0"/>
          <w:iCs w:val="0"/>
          <w:caps w:val="0"/>
          <w:color w:val="000000"/>
          <w:spacing w:val="0"/>
          <w:kern w:val="0"/>
          <w:sz w:val="32"/>
          <w:szCs w:val="32"/>
          <w:shd w:val="clear" w:fill="FFFFFF"/>
        </w:rPr>
        <w:t>规范了信息发布工作遵循的“谁审查、谁负责，谁发布、谁负责，先审查、后发布”的原则，通过建立健全一系列的政务公开工作的相关制度，为本部门政务公开的准确性、权威性、完整性和时效性提供了保障。</w:t>
      </w:r>
      <w:r>
        <w:rPr>
          <w:rFonts w:hint="eastAsia" w:ascii="仿宋_GB2312" w:hAnsi="Times New Roman" w:eastAsia="仿宋_GB2312" w:cs="仿宋_GB2312"/>
          <w:i w:val="0"/>
          <w:iCs w:val="0"/>
          <w:caps w:val="0"/>
          <w:spacing w:val="0"/>
          <w:kern w:val="0"/>
          <w:sz w:val="32"/>
          <w:szCs w:val="32"/>
          <w:shd w:val="clear" w:fill="FFFFFF"/>
        </w:rPr>
        <w:t>严格做好公开前保密审查工作。按照“谁公开、谁审查”“先审查后公开”的原则，明确信息保密审核的程序和责任，对拟公开的政府信息进行保密审查。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楷体_GB2312" w:hAnsi="Times New Roman" w:eastAsia="楷体_GB2312" w:cs="楷体_GB2312"/>
          <w:b/>
          <w:bCs/>
          <w:i w:val="0"/>
          <w:iCs w:val="0"/>
          <w:caps w:val="0"/>
          <w:color w:val="000000"/>
          <w:spacing w:val="0"/>
          <w:kern w:val="0"/>
          <w:sz w:val="32"/>
          <w:szCs w:val="32"/>
          <w:shd w:val="clear" w:fill="FFFFFF"/>
        </w:rPr>
        <w:t>（四）平台建设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仿宋_GB2312" w:hAnsi="Times New Roman" w:eastAsia="仿宋_GB2312" w:cs="仿宋_GB2312"/>
          <w:i w:val="0"/>
          <w:iCs w:val="0"/>
          <w:caps w:val="0"/>
          <w:spacing w:val="0"/>
          <w:kern w:val="0"/>
          <w:sz w:val="32"/>
          <w:szCs w:val="32"/>
          <w:shd w:val="clear" w:fill="FFFFFF"/>
        </w:rPr>
        <w:t>认真梳理政府信息公开目录，方便群众及时了解工作动态，共享工作成效。优化了公开内容，满足了各种不同受众的需求，体现出</w:t>
      </w:r>
      <w:r>
        <w:rPr>
          <w:rFonts w:hint="eastAsia" w:ascii="仿宋_GB2312" w:hAnsi="Times New Roman" w:eastAsia="仿宋_GB2312" w:cs="仿宋_GB2312"/>
          <w:i w:val="0"/>
          <w:iCs w:val="0"/>
          <w:caps w:val="0"/>
          <w:spacing w:val="0"/>
          <w:kern w:val="0"/>
          <w:sz w:val="32"/>
          <w:szCs w:val="32"/>
          <w:shd w:val="clear" w:fill="FFFFFF"/>
          <w:lang w:eastAsia="zh-CN"/>
        </w:rPr>
        <w:t>文化魅力</w:t>
      </w:r>
      <w:r>
        <w:rPr>
          <w:rFonts w:hint="eastAsia" w:ascii="仿宋_GB2312" w:hAnsi="Times New Roman" w:eastAsia="仿宋_GB2312" w:cs="仿宋_GB2312"/>
          <w:i w:val="0"/>
          <w:iCs w:val="0"/>
          <w:caps w:val="0"/>
          <w:spacing w:val="0"/>
          <w:kern w:val="0"/>
          <w:sz w:val="32"/>
          <w:szCs w:val="32"/>
          <w:shd w:val="clear" w:fill="FFFFFF"/>
        </w:rPr>
        <w:t>。进一步夯实政务新媒体矩阵基础，成为政府信息公开和政务舆情回应、引导重要平台，权威传播党和政府信息，巩固拓展主流舆论阵地。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jc w:val="both"/>
      </w:pPr>
      <w:r>
        <w:rPr>
          <w:rFonts w:hint="eastAsia" w:ascii="楷体_GB2312" w:hAnsi="Times New Roman" w:eastAsia="楷体_GB2312" w:cs="楷体_GB2312"/>
          <w:b/>
          <w:bCs/>
          <w:i w:val="0"/>
          <w:iCs w:val="0"/>
          <w:caps w:val="0"/>
          <w:color w:val="000000"/>
          <w:spacing w:val="0"/>
          <w:kern w:val="0"/>
          <w:sz w:val="32"/>
          <w:szCs w:val="32"/>
          <w:shd w:val="clear" w:fill="FFFFFF"/>
        </w:rPr>
        <w:t>（五）监督保障</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firstLine="640" w:firstLineChars="200"/>
        <w:jc w:val="left"/>
      </w:pPr>
      <w:r>
        <w:rPr>
          <w:rFonts w:hint="eastAsia" w:ascii="仿宋_GB2312" w:hAnsi="Times New Roman" w:eastAsia="仿宋_GB2312" w:cs="仿宋_GB2312"/>
          <w:i w:val="0"/>
          <w:iCs w:val="0"/>
          <w:caps w:val="0"/>
          <w:spacing w:val="0"/>
          <w:kern w:val="2"/>
          <w:sz w:val="32"/>
          <w:szCs w:val="32"/>
          <w:shd w:val="clear" w:fill="FFFFFF"/>
          <w:lang w:val="en-US" w:eastAsia="zh-CN" w:bidi="ar"/>
        </w:rPr>
        <w:t>我局贯彻落实《中华人民共和国政府信息公开条例》，根据省、市最新文件精神和工作部署，健全政府信息公开制度，进一步完善我局政府信息公开各项规章制度，梳理更新信息公开目录，规范信息公开内容，建立政府信息公开工作长效机制。</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一是强化组织保障。及时优化调整我局政府信息公开工作领导小组。明确各科室单位的工作责任，并将信息公开工作列入年度责任目标考核内容。二是自觉接受监督。我局认真对待有关部门对政府信息公开工作的检查、抽查，对发现的问题均在第一时间切实整改到位；同时，鼓励广大干部、群众积极参与政务公开情况的监督，积极反映公开过程中存在的突出问题，使公开工作更加扎实、有序开展。</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2023</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年，我局未发生责任追究情况。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420" w:leftChars="200" w:right="0" w:rightChars="0"/>
        <w:jc w:val="both"/>
      </w:pPr>
      <w:r>
        <w:rPr>
          <w:rFonts w:hint="eastAsia" w:ascii="黑体" w:hAnsi="宋体" w:eastAsia="黑体" w:cs="黑体"/>
          <w:i w:val="0"/>
          <w:iCs w:val="0"/>
          <w:caps w:val="0"/>
          <w:color w:val="000000"/>
          <w:spacing w:val="0"/>
          <w:kern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420" w:leftChars="200" w:right="0" w:rightChars="0"/>
        <w:jc w:val="both"/>
      </w:pPr>
      <w:r>
        <w:rPr>
          <w:rFonts w:hint="eastAsia" w:ascii="Times New Roman" w:hAnsi="Times New Roman" w:eastAsia="黑体" w:cs="黑体"/>
          <w:i w:val="0"/>
          <w:iCs w:val="0"/>
          <w:caps w:val="0"/>
          <w:color w:val="000000"/>
          <w:spacing w:val="0"/>
          <w:kern w:val="0"/>
          <w:sz w:val="32"/>
          <w:szCs w:val="32"/>
          <w:shd w:val="clear" w:fill="FFFFFF"/>
        </w:rPr>
        <w:t> </w:t>
      </w:r>
    </w:p>
    <w:tbl>
      <w:tblPr>
        <w:tblStyle w:val="5"/>
        <w:tblW w:w="97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47"/>
        <w:gridCol w:w="2448"/>
        <w:gridCol w:w="2448"/>
        <w:gridCol w:w="2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000000"/>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both"/>
      </w:pPr>
      <w:r>
        <w:rPr>
          <w:rFonts w:hint="eastAsia" w:ascii="Times New Roman" w:hAnsi="Times New Roman" w:eastAsia="黑体" w:cs="黑体"/>
          <w:b w:val="0"/>
          <w:bCs w:val="0"/>
          <w:i w:val="0"/>
          <w:iCs w:val="0"/>
          <w:caps w:val="0"/>
          <w:color w:val="000000"/>
          <w:spacing w:val="0"/>
          <w:kern w:val="0"/>
          <w:sz w:val="32"/>
          <w:szCs w:val="32"/>
          <w:shd w:val="clear" w:fill="FFFFFF"/>
          <w:lang w:val="en-US" w:eastAsia="zh-CN" w:bidi="ar"/>
        </w:rPr>
        <w:t>三、</w:t>
      </w:r>
      <w:r>
        <w:rPr>
          <w:rFonts w:hint="eastAsia" w:ascii="黑体" w:hAnsi="宋体" w:eastAsia="黑体" w:cs="黑体"/>
          <w:b w:val="0"/>
          <w:bCs w:val="0"/>
          <w:i w:val="0"/>
          <w:iCs w:val="0"/>
          <w:caps w:val="0"/>
          <w:color w:val="000000"/>
          <w:spacing w:val="0"/>
          <w:kern w:val="0"/>
          <w:sz w:val="32"/>
          <w:szCs w:val="32"/>
          <w:shd w:val="clear" w:fill="FFFFFF"/>
          <w:lang w:val="en-US" w:eastAsia="zh-CN" w:bidi="ar"/>
        </w:rPr>
        <w:t>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法人或其他组织</w:t>
            </w:r>
          </w:p>
        </w:tc>
        <w:tc>
          <w:tcPr>
            <w:tcW w:w="714" w:type="dxa"/>
            <w:vMerge w:val="restart"/>
            <w:tcBorders>
              <w:top w:val="single" w:color="auto" w:sz="8" w:space="0"/>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jc w:val="center"/>
        </w:trPr>
        <w:tc>
          <w:tcPr>
            <w:tcW w:w="5150"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exact"/>
              <w:ind w:left="0" w:right="0"/>
              <w:jc w:val="center"/>
            </w:pPr>
            <w:r>
              <w:rPr>
                <w:rFonts w:hint="eastAsia" w:ascii="宋体" w:hAnsi="宋体" w:eastAsia="宋体" w:cs="宋体"/>
                <w:color w:val="333333"/>
                <w:kern w:val="0"/>
                <w:sz w:val="20"/>
                <w:szCs w:val="20"/>
                <w:lang w:val="en-US" w:eastAsia="zh-CN" w:bidi="ar"/>
              </w:rPr>
              <w:t>其他</w:t>
            </w:r>
          </w:p>
        </w:tc>
        <w:tc>
          <w:tcPr>
            <w:tcW w:w="714" w:type="dxa"/>
            <w:vMerge w:val="continue"/>
            <w:tcBorders>
              <w:top w:val="single" w:color="auto" w:sz="8" w:space="0"/>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color w:val="333333"/>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exact"/>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2.</w:t>
            </w:r>
            <w:r>
              <w:rPr>
                <w:rFonts w:hint="eastAsia" w:ascii="宋体" w:hAnsi="宋体" w:eastAsia="宋体" w:cs="宋体"/>
                <w:color w:val="333333"/>
                <w:kern w:val="0"/>
                <w:sz w:val="20"/>
                <w:szCs w:val="20"/>
                <w:lang w:val="en-US" w:eastAsia="zh-CN" w:bidi="ar"/>
              </w:rPr>
              <w:t>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3.</w:t>
            </w:r>
            <w:r>
              <w:rPr>
                <w:rFonts w:hint="eastAsia" w:ascii="宋体" w:hAnsi="宋体" w:eastAsia="宋体" w:cs="宋体"/>
                <w:color w:val="333333"/>
                <w:kern w:val="0"/>
                <w:sz w:val="20"/>
                <w:szCs w:val="20"/>
                <w:lang w:val="en-US" w:eastAsia="zh-CN" w:bidi="ar"/>
              </w:rPr>
              <w:t>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4.</w:t>
            </w:r>
            <w:r>
              <w:rPr>
                <w:rFonts w:hint="eastAsia" w:ascii="宋体" w:hAnsi="宋体" w:eastAsia="宋体" w:cs="宋体"/>
                <w:color w:val="333333"/>
                <w:kern w:val="0"/>
                <w:sz w:val="20"/>
                <w:szCs w:val="20"/>
                <w:lang w:val="en-US" w:eastAsia="zh-CN" w:bidi="ar"/>
              </w:rPr>
              <w:t>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5.</w:t>
            </w:r>
            <w:r>
              <w:rPr>
                <w:rFonts w:hint="eastAsia" w:ascii="宋体" w:hAnsi="宋体" w:eastAsia="宋体" w:cs="宋体"/>
                <w:color w:val="333333"/>
                <w:kern w:val="0"/>
                <w:sz w:val="20"/>
                <w:szCs w:val="20"/>
                <w:lang w:val="en-US" w:eastAsia="zh-CN" w:bidi="ar"/>
              </w:rPr>
              <w:t>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6.</w:t>
            </w:r>
            <w:r>
              <w:rPr>
                <w:rFonts w:hint="eastAsia" w:ascii="宋体" w:hAnsi="宋体" w:eastAsia="宋体" w:cs="宋体"/>
                <w:color w:val="333333"/>
                <w:kern w:val="0"/>
                <w:sz w:val="20"/>
                <w:szCs w:val="20"/>
                <w:lang w:val="en-US" w:eastAsia="zh-CN" w:bidi="ar"/>
              </w:rPr>
              <w:t>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7.</w:t>
            </w:r>
            <w:r>
              <w:rPr>
                <w:rFonts w:hint="eastAsia" w:ascii="宋体" w:hAnsi="宋体" w:eastAsia="宋体" w:cs="宋体"/>
                <w:color w:val="333333"/>
                <w:kern w:val="0"/>
                <w:sz w:val="20"/>
                <w:szCs w:val="20"/>
                <w:lang w:val="en-US" w:eastAsia="zh-CN" w:bidi="ar"/>
              </w:rPr>
              <w:t>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8.</w:t>
            </w:r>
            <w:r>
              <w:rPr>
                <w:rFonts w:hint="eastAsia" w:ascii="宋体" w:hAnsi="宋体" w:eastAsia="宋体" w:cs="宋体"/>
                <w:color w:val="333333"/>
                <w:kern w:val="0"/>
                <w:sz w:val="20"/>
                <w:szCs w:val="20"/>
                <w:lang w:val="en-US" w:eastAsia="zh-CN" w:bidi="ar"/>
              </w:rPr>
              <w:t>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2.</w:t>
            </w:r>
            <w:r>
              <w:rPr>
                <w:rFonts w:hint="eastAsia" w:ascii="宋体" w:hAnsi="宋体" w:eastAsia="宋体" w:cs="宋体"/>
                <w:color w:val="333333"/>
                <w:kern w:val="0"/>
                <w:sz w:val="20"/>
                <w:szCs w:val="20"/>
                <w:lang w:val="en-US" w:eastAsia="zh-CN" w:bidi="ar"/>
              </w:rPr>
              <w:t>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3.</w:t>
            </w:r>
            <w:r>
              <w:rPr>
                <w:rFonts w:hint="eastAsia" w:ascii="宋体" w:hAnsi="宋体" w:eastAsia="宋体" w:cs="宋体"/>
                <w:color w:val="333333"/>
                <w:kern w:val="0"/>
                <w:sz w:val="20"/>
                <w:szCs w:val="20"/>
                <w:lang w:val="en-US" w:eastAsia="zh-CN" w:bidi="ar"/>
              </w:rPr>
              <w:t>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2.</w:t>
            </w:r>
            <w:r>
              <w:rPr>
                <w:rFonts w:hint="eastAsia" w:ascii="宋体" w:hAnsi="宋体" w:eastAsia="宋体" w:cs="宋体"/>
                <w:color w:val="333333"/>
                <w:kern w:val="0"/>
                <w:sz w:val="20"/>
                <w:szCs w:val="20"/>
                <w:lang w:val="en-US" w:eastAsia="zh-CN" w:bidi="ar"/>
              </w:rPr>
              <w:t>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3.</w:t>
            </w:r>
            <w:r>
              <w:rPr>
                <w:rFonts w:hint="eastAsia" w:ascii="宋体" w:hAnsi="宋体" w:eastAsia="宋体" w:cs="宋体"/>
                <w:color w:val="333333"/>
                <w:kern w:val="0"/>
                <w:sz w:val="20"/>
                <w:szCs w:val="20"/>
                <w:lang w:val="en-US" w:eastAsia="zh-CN" w:bidi="ar"/>
              </w:rPr>
              <w:t>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4.</w:t>
            </w:r>
            <w:r>
              <w:rPr>
                <w:rFonts w:hint="eastAsia" w:ascii="宋体" w:hAnsi="宋体" w:eastAsia="宋体" w:cs="宋体"/>
                <w:color w:val="333333"/>
                <w:kern w:val="0"/>
                <w:sz w:val="20"/>
                <w:szCs w:val="20"/>
                <w:lang w:val="en-US" w:eastAsia="zh-CN" w:bidi="ar"/>
              </w:rPr>
              <w:t>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5.</w:t>
            </w:r>
            <w:r>
              <w:rPr>
                <w:rFonts w:hint="eastAsia" w:ascii="宋体" w:hAnsi="宋体" w:eastAsia="宋体" w:cs="宋体"/>
                <w:color w:val="333333"/>
                <w:kern w:val="0"/>
                <w:sz w:val="20"/>
                <w:szCs w:val="20"/>
                <w:lang w:val="en-US" w:eastAsia="zh-CN" w:bidi="ar"/>
              </w:rPr>
              <w:t>要求行政机关确认或重新出具已获取信息</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1.</w:t>
            </w:r>
            <w:r>
              <w:rPr>
                <w:rFonts w:hint="eastAsia" w:ascii="宋体" w:hAnsi="宋体" w:eastAsia="宋体" w:cs="宋体"/>
                <w:color w:val="333333"/>
                <w:kern w:val="0"/>
                <w:sz w:val="20"/>
                <w:szCs w:val="20"/>
                <w:lang w:val="en-US" w:eastAsia="zh-CN" w:bidi="ar"/>
              </w:rPr>
              <w:t>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2.</w:t>
            </w:r>
            <w:r>
              <w:rPr>
                <w:rFonts w:hint="eastAsia" w:ascii="宋体" w:hAnsi="宋体" w:eastAsia="宋体" w:cs="宋体"/>
                <w:color w:val="333333"/>
                <w:kern w:val="0"/>
                <w:sz w:val="20"/>
                <w:szCs w:val="20"/>
                <w:lang w:val="en-US" w:eastAsia="zh-CN" w:bidi="ar"/>
              </w:rPr>
              <w:t>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959"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color w:val="333333"/>
                <w:kern w:val="0"/>
                <w:sz w:val="20"/>
                <w:szCs w:val="20"/>
                <w:lang w:val="en-US" w:eastAsia="zh-CN" w:bidi="ar"/>
              </w:rPr>
              <w:t>3.</w:t>
            </w:r>
            <w:r>
              <w:rPr>
                <w:rFonts w:hint="eastAsia" w:ascii="宋体" w:hAnsi="宋体" w:eastAsia="宋体" w:cs="宋体"/>
                <w:color w:val="333333"/>
                <w:kern w:val="0"/>
                <w:sz w:val="20"/>
                <w:szCs w:val="20"/>
                <w:lang w:val="en-US" w:eastAsia="zh-CN" w:bidi="ar"/>
              </w:rPr>
              <w:t>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85"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微软雅黑" w:hAnsi="微软雅黑" w:eastAsia="微软雅黑" w:cs="微软雅黑"/>
                <w:color w:val="333333"/>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333333"/>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leftChars="0" w:right="0" w:rightChars="0" w:firstLine="640" w:firstLineChars="200"/>
        <w:jc w:val="left"/>
      </w:pPr>
      <w:r>
        <w:rPr>
          <w:rFonts w:hint="eastAsia" w:ascii="黑体" w:hAnsi="宋体" w:eastAsia="黑体" w:cs="黑体"/>
          <w:b w:val="0"/>
          <w:bCs w:val="0"/>
          <w:i w:val="0"/>
          <w:iCs w:val="0"/>
          <w:caps w:val="0"/>
          <w:color w:val="000000"/>
          <w:spacing w:val="0"/>
          <w:kern w:val="0"/>
          <w:sz w:val="32"/>
          <w:szCs w:val="32"/>
          <w:shd w:val="clear" w:fill="FFFFFF"/>
          <w:lang w:val="en-US" w:eastAsia="zh-CN" w:bidi="ar"/>
        </w:rPr>
        <w:t>四、政府信息公开行政复议、行政诉讼情况</w:t>
      </w:r>
    </w:p>
    <w:tbl>
      <w:tblPr>
        <w:tblStyle w:val="5"/>
        <w:tblW w:w="9748"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其他</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尚未</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color w:val="333333"/>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其他</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尚未</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结果</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其他</w:t>
            </w:r>
            <w:r>
              <w:rPr>
                <w:rFonts w:hint="eastAsia" w:ascii="Times New Roman" w:hAnsi="Times New Roman"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kern w:val="0"/>
                <w:sz w:val="20"/>
                <w:szCs w:val="20"/>
                <w:lang w:val="en-US" w:eastAsia="zh-CN" w:bidi="ar"/>
              </w:rPr>
              <w:t>尚未</w:t>
            </w:r>
            <w:r>
              <w:rPr>
                <w:rFonts w:hint="eastAsia" w:ascii="Times New Roman" w:hAnsi="Times New Roman"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atLeast"/>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宋体" w:cs="Times New Roman"/>
                <w:color w:val="333333"/>
                <w:kern w:val="0"/>
                <w:sz w:val="24"/>
                <w:szCs w:val="24"/>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pPr>
      <w:r>
        <w:rPr>
          <w:rFonts w:hint="eastAsia" w:ascii="黑体" w:hAnsi="宋体" w:eastAsia="黑体" w:cs="黑体"/>
          <w:b w:val="0"/>
          <w:bCs w:val="0"/>
          <w:i w:val="0"/>
          <w:iCs w:val="0"/>
          <w:caps w:val="0"/>
          <w:color w:val="000000"/>
          <w:spacing w:val="0"/>
          <w:kern w:val="2"/>
          <w:sz w:val="32"/>
          <w:szCs w:val="32"/>
          <w:shd w:val="clear" w:fill="FFFFFF"/>
          <w:lang w:val="en-US" w:eastAsia="zh-CN" w:bidi="ar"/>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default" w:ascii="Times New Roman" w:hAnsi="Times New Roman" w:eastAsia="仿宋_GB2312" w:cs="Times New Roman"/>
          <w:i w:val="0"/>
          <w:iCs w:val="0"/>
          <w:caps w:val="0"/>
          <w:spacing w:val="0"/>
          <w:kern w:val="0"/>
          <w:sz w:val="32"/>
          <w:szCs w:val="32"/>
          <w:shd w:val="clear" w:fill="FFFFFF"/>
        </w:rPr>
        <w:t>2023</w:t>
      </w:r>
      <w:r>
        <w:rPr>
          <w:rFonts w:hint="eastAsia" w:ascii="仿宋_GB2312" w:hAnsi="Times New Roman" w:eastAsia="仿宋_GB2312" w:cs="仿宋_GB2312"/>
          <w:i w:val="0"/>
          <w:iCs w:val="0"/>
          <w:caps w:val="0"/>
          <w:spacing w:val="0"/>
          <w:kern w:val="0"/>
          <w:sz w:val="32"/>
          <w:szCs w:val="32"/>
          <w:shd w:val="clear" w:fill="FFFFFF"/>
        </w:rPr>
        <w:t>年，我局在政府信息公开工作方面取得一定成效，但也存在一些不足：一是</w:t>
      </w:r>
      <w:r>
        <w:rPr>
          <w:rFonts w:hint="eastAsia" w:ascii="仿宋_GB2312" w:hAnsi="Times New Roman" w:eastAsia="仿宋_GB2312" w:cs="仿宋_GB2312"/>
          <w:i w:val="0"/>
          <w:iCs w:val="0"/>
          <w:caps w:val="0"/>
          <w:color w:val="000000"/>
          <w:spacing w:val="0"/>
          <w:kern w:val="0"/>
          <w:sz w:val="31"/>
          <w:szCs w:val="31"/>
          <w:shd w:val="clear" w:fill="FFFFFF"/>
        </w:rPr>
        <w:t>政府信息公开工作业务能力还有欠缺，对政务公开的理解不到位，信息公开常态化意识有待提高</w:t>
      </w:r>
      <w:r>
        <w:rPr>
          <w:rFonts w:hint="eastAsia" w:ascii="仿宋_GB2312" w:hAnsi="Times New Roman" w:eastAsia="仿宋_GB2312" w:cs="仿宋_GB2312"/>
          <w:i w:val="0"/>
          <w:iCs w:val="0"/>
          <w:caps w:val="0"/>
          <w:spacing w:val="0"/>
          <w:kern w:val="0"/>
          <w:sz w:val="32"/>
          <w:szCs w:val="32"/>
          <w:shd w:val="clear" w:fill="FFFFFF"/>
        </w:rPr>
        <w:t>；二是文件公开形式不够丰富。将主要从以下几个方面改进：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3" w:firstLineChars="200"/>
        <w:jc w:val="both"/>
        <w:textAlignment w:val="auto"/>
      </w:pPr>
      <w:r>
        <w:rPr>
          <w:rFonts w:hint="eastAsia" w:ascii="楷体_GB2312" w:hAnsi="Times New Roman" w:eastAsia="楷体_GB2312" w:cs="楷体_GB2312"/>
          <w:b/>
          <w:bCs/>
          <w:i w:val="0"/>
          <w:iCs w:val="0"/>
          <w:caps w:val="0"/>
          <w:color w:val="000000"/>
          <w:spacing w:val="0"/>
          <w:kern w:val="0"/>
          <w:sz w:val="32"/>
          <w:szCs w:val="32"/>
          <w:shd w:val="clear" w:fill="FFFFFF"/>
        </w:rPr>
        <w:t>（一）加强业务培训。</w:t>
      </w:r>
      <w:r>
        <w:rPr>
          <w:rFonts w:hint="eastAsia" w:ascii="仿宋_GB2312" w:hAnsi="Times New Roman" w:eastAsia="仿宋_GB2312" w:cs="仿宋_GB2312"/>
          <w:i w:val="0"/>
          <w:iCs w:val="0"/>
          <w:caps w:val="0"/>
          <w:color w:val="000000"/>
          <w:spacing w:val="0"/>
          <w:kern w:val="0"/>
          <w:sz w:val="31"/>
          <w:szCs w:val="31"/>
          <w:shd w:val="clear" w:fill="FFFFFF"/>
        </w:rPr>
        <w:t>进一步提高人员思想认识，加强学习、管理，强化监督，确保政务公开工作有效开展。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3" w:firstLineChars="200"/>
        <w:jc w:val="both"/>
        <w:textAlignment w:val="auto"/>
      </w:pPr>
      <w:r>
        <w:rPr>
          <w:rFonts w:hint="eastAsia" w:ascii="楷体_GB2312" w:hAnsi="Times New Roman" w:eastAsia="楷体_GB2312" w:cs="楷体_GB2312"/>
          <w:b/>
          <w:bCs/>
          <w:i w:val="0"/>
          <w:iCs w:val="0"/>
          <w:caps w:val="0"/>
          <w:color w:val="000000"/>
          <w:spacing w:val="0"/>
          <w:kern w:val="0"/>
          <w:sz w:val="32"/>
          <w:szCs w:val="32"/>
          <w:shd w:val="clear" w:fill="FFFFFF"/>
        </w:rPr>
        <w:t>（二）丰富信息公开工作形式。</w:t>
      </w:r>
      <w:r>
        <w:rPr>
          <w:rFonts w:hint="eastAsia" w:ascii="仿宋_GB2312" w:hAnsi="Times New Roman" w:eastAsia="仿宋_GB2312" w:cs="仿宋_GB2312"/>
          <w:i w:val="0"/>
          <w:iCs w:val="0"/>
          <w:caps w:val="0"/>
          <w:spacing w:val="0"/>
          <w:kern w:val="0"/>
          <w:sz w:val="32"/>
          <w:szCs w:val="32"/>
          <w:shd w:val="clear" w:fill="FFFFFF"/>
        </w:rPr>
        <w:t>对涉及面广、社会关注度高的法规政策和重大措施，通过数字化、图表解读、音频、视频等多种解读方式予以展现。确保政府信息公开工作简明、有效。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pPr>
      <w:r>
        <w:rPr>
          <w:rFonts w:hint="eastAsia" w:ascii="黑体" w:hAnsi="宋体" w:eastAsia="黑体" w:cs="黑体"/>
          <w:b w:val="0"/>
          <w:bCs w:val="0"/>
          <w:i w:val="0"/>
          <w:iCs w:val="0"/>
          <w:caps w:val="0"/>
          <w:color w:val="000000"/>
          <w:spacing w:val="0"/>
          <w:kern w:val="2"/>
          <w:sz w:val="32"/>
          <w:szCs w:val="32"/>
          <w:shd w:val="clear" w:fill="FFFFFF"/>
          <w:lang w:val="en-US" w:eastAsia="zh-CN" w:bidi="ar"/>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pPr>
      <w:r>
        <w:rPr>
          <w:rFonts w:hint="eastAsia" w:ascii="仿宋_GB2312" w:eastAsia="仿宋_GB2312" w:cs="仿宋_GB2312" w:hAnsiTheme="minorHAnsi"/>
          <w:b/>
          <w:bCs/>
          <w:i w:val="0"/>
          <w:iCs w:val="0"/>
          <w:caps w:val="0"/>
          <w:color w:val="171A1D"/>
          <w:spacing w:val="0"/>
          <w:kern w:val="2"/>
          <w:sz w:val="32"/>
          <w:szCs w:val="32"/>
          <w:shd w:val="clear" w:fill="FFFFFF"/>
          <w:lang w:val="en-US" w:eastAsia="zh-CN" w:bidi="ar"/>
        </w:rPr>
        <w:t>政务公开要点落实情况：一是</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深化重点领域信息公开。我局认真梳理职能相关重点领域信息公开事项进一步提高信息公开的针对性和有效性。如</w:t>
      </w:r>
      <w:r>
        <w:rPr>
          <w:rFonts w:hint="eastAsia" w:ascii="仿宋_GB2312" w:eastAsia="仿宋_GB2312" w:cs="仿宋_GB2312"/>
          <w:i w:val="0"/>
          <w:iCs w:val="0"/>
          <w:caps w:val="0"/>
          <w:color w:val="171A1D"/>
          <w:spacing w:val="0"/>
          <w:kern w:val="2"/>
          <w:sz w:val="32"/>
          <w:szCs w:val="32"/>
          <w:shd w:val="clear" w:fill="FFFFFF"/>
          <w:lang w:val="en-US" w:eastAsia="zh-CN" w:bidi="ar"/>
        </w:rPr>
        <w:t>公共文化服务</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w:t>
      </w:r>
      <w:r>
        <w:rPr>
          <w:rFonts w:hint="eastAsia" w:ascii="仿宋_GB2312" w:eastAsia="仿宋_GB2312" w:cs="仿宋_GB2312"/>
          <w:i w:val="0"/>
          <w:iCs w:val="0"/>
          <w:caps w:val="0"/>
          <w:color w:val="171A1D"/>
          <w:spacing w:val="0"/>
          <w:kern w:val="2"/>
          <w:sz w:val="32"/>
          <w:szCs w:val="32"/>
          <w:shd w:val="clear" w:fill="FFFFFF"/>
          <w:lang w:val="en-US" w:eastAsia="zh-CN" w:bidi="ar"/>
        </w:rPr>
        <w:t>旅游信息</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w:t>
      </w:r>
      <w:r>
        <w:rPr>
          <w:rFonts w:hint="eastAsia" w:ascii="仿宋_GB2312" w:eastAsia="仿宋_GB2312" w:cs="仿宋_GB2312"/>
          <w:i w:val="0"/>
          <w:iCs w:val="0"/>
          <w:caps w:val="0"/>
          <w:color w:val="171A1D"/>
          <w:spacing w:val="0"/>
          <w:kern w:val="2"/>
          <w:sz w:val="32"/>
          <w:szCs w:val="32"/>
          <w:shd w:val="clear" w:fill="FFFFFF"/>
          <w:lang w:val="en-US" w:eastAsia="zh-CN" w:bidi="ar"/>
        </w:rPr>
        <w:t>旅游市场监管</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等均</w:t>
      </w:r>
      <w:r>
        <w:rPr>
          <w:rFonts w:hint="eastAsia" w:ascii="仿宋_GB2312" w:eastAsia="仿宋_GB2312" w:cs="仿宋_GB2312"/>
          <w:i w:val="0"/>
          <w:iCs w:val="0"/>
          <w:caps w:val="0"/>
          <w:color w:val="171A1D"/>
          <w:spacing w:val="0"/>
          <w:kern w:val="2"/>
          <w:sz w:val="32"/>
          <w:szCs w:val="32"/>
          <w:shd w:val="clear" w:fill="FFFFFF"/>
          <w:lang w:val="en-US" w:eastAsia="zh-CN" w:bidi="ar"/>
        </w:rPr>
        <w:t>有按时</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发布；</w:t>
      </w:r>
      <w:r>
        <w:rPr>
          <w:rFonts w:hint="eastAsia" w:ascii="仿宋_GB2312" w:eastAsia="仿宋_GB2312" w:cs="仿宋_GB2312" w:hAnsiTheme="minorHAnsi"/>
          <w:b/>
          <w:bCs/>
          <w:i w:val="0"/>
          <w:iCs w:val="0"/>
          <w:caps w:val="0"/>
          <w:color w:val="171A1D"/>
          <w:spacing w:val="0"/>
          <w:kern w:val="2"/>
          <w:sz w:val="32"/>
          <w:szCs w:val="32"/>
          <w:shd w:val="clear" w:fill="FFFFFF"/>
          <w:lang w:val="en-US" w:eastAsia="zh-CN" w:bidi="ar"/>
        </w:rPr>
        <w:t>二是</w:t>
      </w:r>
      <w:r>
        <w:rPr>
          <w:rFonts w:hint="eastAsia" w:ascii="仿宋_GB2312" w:eastAsia="仿宋_GB2312" w:cs="仿宋_GB2312" w:hAnsiTheme="minorHAnsi"/>
          <w:i w:val="0"/>
          <w:iCs w:val="0"/>
          <w:caps w:val="0"/>
          <w:color w:val="171A1D"/>
          <w:spacing w:val="0"/>
          <w:kern w:val="2"/>
          <w:sz w:val="32"/>
          <w:szCs w:val="32"/>
          <w:shd w:val="clear" w:fill="FFFFFF"/>
          <w:lang w:val="en-US" w:eastAsia="zh-CN" w:bidi="ar"/>
        </w:rPr>
        <w:t>着力推进政务公开平台建设，拓展公开渠道与内容。进一步深化政民互动交流，不断提升群众对政府工作的知晓度、参与度和满意度，全面推进我县政务公开工作，提高政府部门服务质量和实效，增进群众了解政府部门运行和监督政府部门工作。</w:t>
      </w:r>
      <w:r>
        <w:rPr>
          <w:rFonts w:hint="eastAsia" w:ascii="仿宋_GB2312" w:eastAsia="仿宋_GB2312" w:cs="仿宋_GB2312" w:hAnsiTheme="minorHAnsi"/>
          <w:b/>
          <w:bCs/>
          <w:i w:val="0"/>
          <w:iCs w:val="0"/>
          <w:caps w:val="0"/>
          <w:color w:val="000000"/>
          <w:spacing w:val="0"/>
          <w:kern w:val="2"/>
          <w:sz w:val="32"/>
          <w:szCs w:val="32"/>
          <w:shd w:val="clear" w:fill="FFFFFF"/>
          <w:lang w:val="en-US" w:eastAsia="zh-CN" w:bidi="ar"/>
        </w:rPr>
        <w:t>三是</w:t>
      </w:r>
      <w:r>
        <w:rPr>
          <w:rFonts w:hint="eastAsia" w:ascii="仿宋_GB2312" w:eastAsia="仿宋_GB2312" w:cs="仿宋_GB2312" w:hAnsiTheme="minorHAnsi"/>
          <w:i w:val="0"/>
          <w:iCs w:val="0"/>
          <w:caps w:val="0"/>
          <w:color w:val="000000"/>
          <w:spacing w:val="0"/>
          <w:kern w:val="2"/>
          <w:sz w:val="32"/>
          <w:szCs w:val="32"/>
          <w:shd w:val="clear" w:fill="FFFFFF"/>
          <w:lang w:val="en-US" w:eastAsia="zh-CN" w:bidi="ar"/>
        </w:rPr>
        <w:t>着力推进政务公开制度化规范化，确保年度政务公开各项工作任务落实到位</w:t>
      </w:r>
      <w:r>
        <w:rPr>
          <w:rFonts w:hint="eastAsia" w:ascii="仿宋_GB2312" w:eastAsia="仿宋_GB2312" w:cs="仿宋_GB2312"/>
          <w:i w:val="0"/>
          <w:iCs w:val="0"/>
          <w:caps w:val="0"/>
          <w:color w:val="000000"/>
          <w:spacing w:val="0"/>
          <w:kern w:val="2"/>
          <w:sz w:val="32"/>
          <w:szCs w:val="32"/>
          <w:shd w:val="clear" w:fill="FFFFFF"/>
          <w:lang w:val="en-US" w:eastAsia="zh-CN" w:bidi="ar"/>
        </w:rPr>
        <w:t>,</w:t>
      </w:r>
      <w:r>
        <w:rPr>
          <w:rFonts w:hint="eastAsia" w:ascii="仿宋_GB2312" w:hAnsi="Times New Roman" w:eastAsia="仿宋_GB2312" w:cs="仿宋_GB2312"/>
          <w:i w:val="0"/>
          <w:iCs w:val="0"/>
          <w:caps w:val="0"/>
          <w:spacing w:val="0"/>
          <w:kern w:val="2"/>
          <w:sz w:val="32"/>
          <w:szCs w:val="32"/>
          <w:shd w:val="clear" w:fill="FFFFFF"/>
          <w:lang w:val="en-US" w:eastAsia="zh-CN" w:bidi="ar"/>
        </w:rPr>
        <w:t>全局形成上下联动、整体推进的工作体系。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pP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2023</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年，本机关无收取信息处理费情况。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pP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上高县人民政府网（</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http://www.shanggao.gov.cn</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），如需了解更多政府信息，请登录查询。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pPr>
      <w:r>
        <w:rPr>
          <w:rFonts w:hint="eastAsia" w:ascii="Times New Roman" w:hAnsi="Times New Roman" w:eastAsia="仿宋_GB2312" w:cs="仿宋_GB2312"/>
          <w:i w:val="0"/>
          <w:iCs w:val="0"/>
          <w:caps w:val="0"/>
          <w:color w:val="000000"/>
          <w:spacing w:val="0"/>
          <w:kern w:val="2"/>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right"/>
        <w:textAlignment w:val="auto"/>
        <w:rPr>
          <w:rFonts w:hint="eastAsia" w:eastAsia="仿宋_GB2312"/>
          <w:lang w:val="en-US" w:eastAsia="zh-CN"/>
        </w:rPr>
      </w:pP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上高县文化广电新闻出版旅游局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pP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                                     2023</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年</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月</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
        </w:rPr>
        <w:t>10</w:t>
      </w:r>
      <w:r>
        <w:rPr>
          <w:rFonts w:hint="eastAsia" w:ascii="仿宋_GB2312" w:hAnsi="Times New Roman" w:eastAsia="仿宋_GB2312" w:cs="仿宋_GB2312"/>
          <w:i w:val="0"/>
          <w:iCs w:val="0"/>
          <w:caps w:val="0"/>
          <w:color w:val="000000"/>
          <w:spacing w:val="0"/>
          <w:kern w:val="2"/>
          <w:sz w:val="32"/>
          <w:szCs w:val="32"/>
          <w:shd w:val="clear" w:fill="FFFFFF"/>
          <w:lang w:val="en-US" w:eastAsia="zh-CN" w:bidi="ar"/>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NDJmYjAwNDIyYmI3MjcwNDE0YWIxMWFkYzNmOWYifQ=="/>
  </w:docVars>
  <w:rsids>
    <w:rsidRoot w:val="27EB1160"/>
    <w:rsid w:val="27EB1160"/>
    <w:rsid w:val="45DB6C43"/>
    <w:rsid w:val="4A1D0657"/>
    <w:rsid w:val="69BD6509"/>
    <w:rsid w:val="718D4D1B"/>
    <w:rsid w:val="78E3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hover13"/>
    <w:basedOn w:val="6"/>
    <w:uiPriority w:val="0"/>
    <w:rPr>
      <w:shd w:val="clear" w:fill="929292"/>
    </w:rPr>
  </w:style>
  <w:style w:type="character" w:customStyle="1" w:styleId="10">
    <w:name w:val="article-icon"/>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2024-01-16T10:52:00Z</dcterms:created>
  <dc:creator>没有别的愿望</dc:creator>
  <cp:lastModifiedBy>没有别的愿望</cp:lastModifiedBy>
  <dcterms:modified xsi:type="dcterms:W3CDTF">2024-01-17T04:30:32Z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B98C05AEC9A741CA9B1B20C7DFC02B35_11</vt:lpwstr>
  </property>
</Properties>
</file>