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ind w:firstLine="602" w:firstLineChars="200"/>
        <w:jc w:val="both"/>
        <w:rPr>
          <w:rFonts w:hint="eastAsia" w:ascii="仿宋_GB2312" w:hAnsi="仿宋_GB2312" w:eastAsia="仿宋_GB2312" w:cs="仿宋_GB2312"/>
          <w:color w:val="000000"/>
          <w:kern w:val="32"/>
          <w:sz w:val="30"/>
          <w:szCs w:val="30"/>
        </w:rPr>
      </w:pPr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</w:rPr>
        <w:t>上高县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  <w:lang w:val="en-US" w:eastAsia="zh-CN"/>
        </w:rPr>
        <w:t>文广新旅局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</w:rPr>
        <w:t>信息公开</w:t>
      </w:r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32"/>
          <w:sz w:val="44"/>
          <w:szCs w:val="44"/>
        </w:rPr>
        <w:t>工作年度报告</w:t>
      </w:r>
    </w:p>
    <w:bookmarkEnd w:id="0"/>
    <w:p>
      <w:pPr>
        <w:pStyle w:val="5"/>
        <w:shd w:val="clear" w:color="auto" w:fill="FFFFFF"/>
        <w:spacing w:beforeAutospacing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32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2022年，上高县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文广新旅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局坚持以习近平新时代中国特色社会主义思想为指导，认真贯彻落实国务院、省政府关于政务公开工作的决策部署，根据《中华人民共和国政府信息公开条例》、《2022年上高县政务公开工作要点》要求，坚持“以公开为常态，不公开为例外”原则，紧紧围绕全县经济社会发展和群众关注关切，加大公开力度，增强公开实效，规范平台建设，大力推进政务公开工作，积极促进经济社会持续健康发展和法治政府建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（一）主动公开政府信息情况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认真贯彻落实《中华人民共和国政府信息公开条例》，进一步落实决策公开、执行公开、管理公开、服务公开、结果公开的“五公开”要求。202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年我局在上高县人民政府网主动公开信息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0"/>
          <w:szCs w:val="30"/>
        </w:rPr>
        <w:t>条，在江西政务服务网办理政务服务事项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0"/>
          <w:szCs w:val="30"/>
        </w:rPr>
        <w:t>件，在上高之声微信公众号及农民摄影网定期发布文化旅游信息，常年利用本局上高文旅微信公众号发布动态新闻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223</w:t>
      </w:r>
      <w:r>
        <w:rPr>
          <w:rFonts w:hint="eastAsia" w:ascii="仿宋_GB2312" w:hAnsi="仿宋_GB2312" w:eastAsia="仿宋_GB2312" w:cs="仿宋_GB2312"/>
          <w:sz w:val="30"/>
          <w:szCs w:val="30"/>
        </w:rPr>
        <w:t>条，积极推动政务公开透明化。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（三）政府信息管理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局把主动公开政府信息作为工作重点，加大主动公开的力度，组织人员加强公开平台信息管理，丰富主动公开的途径，积极打造阳光政务，扎实推进主动公开政府信息工作。结合本单位的实际工作，不断完善我局信息公开指南、主动公开和依申请公开、信息报送、信息公开保密审查制度等，加强主动公开，按照“以公开为原则，不公开为例外”的要求，进一步明确公开范围、公开程序、公开平台、公开时间、发布格式等，及时解决问题，发挥网站、新媒体的优势，围绕公众关心的热点和重点问题，如旅游信息、文化惠民活动等信息公开工作。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（四）平台建设情况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是加强组织领导，建立健全责任体系。成立了以局长为组长，其他班子成员为副组长、各科室主要负责人为成员的信息公开工作领导小组，进一步发挥网站主体作用，全面加强信息采集、发布和管理，体现网站政府信息公开平台的时效性、权威性和便捷性。二是充分发挥各类媒体的作用。全年在政务平台、上高之声等主流媒体上发布文广新旅工作相关信息，利用新媒体平台“上高文旅”微信公众号/抖音号大力及时推动本单位政务信息公开，得到了更广泛传播，起到了良好效果。三是加强制度建设，确保落实到位。进一步建立健全各项工作制度，定期督查政府信息发布情况，细化任务问题，明确责任部门，督促各责任主体做好政务公开工作，形成整改长效机制，确保政务信息公开工作落到实处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（五）监督保障 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是高度重视政务公开工作，将其纳入年度重点工作内容，安排专人负责政府信息公开工作，与文旅系统中心工作同部署、同推进，明确了工作任务，压实了工作责任。二是健全信息公开工作考核机制，对各类政务信息，均在规定的期限内，按规定的程序主动予以公开，保证信息的真实性、完整性和时效性。同时，认真对待依申请公开，公布了申请流程、受理时限等，明确了局办公室为受理场所和机构。三是加大教育培训力度，认真学习领会了县政务公开工作会议、培训会议精神，分析研究了本单位政务公开工作存在的问题和不足，有针对性地进行了补缺补差，提高了工作水平，确保我局政府信息公开工作扎实、有序推进。</w:t>
      </w:r>
    </w:p>
    <w:p>
      <w:pPr>
        <w:pStyle w:val="5"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  <w:t>二、主动公开政府信息情况</w:t>
      </w:r>
    </w:p>
    <w:tbl>
      <w:tblPr>
        <w:tblStyle w:val="6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200" w:lineRule="atLeast"/>
        <w:ind w:firstLine="42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  <w:t>三、收到和处理政府信息公开申请情况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54"/>
        <w:gridCol w:w="3200"/>
        <w:gridCol w:w="489"/>
        <w:gridCol w:w="394"/>
        <w:gridCol w:w="414"/>
        <w:gridCol w:w="697"/>
        <w:gridCol w:w="706"/>
        <w:gridCol w:w="39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36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自然人</w:t>
            </w: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企业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社会公益组织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法律服务机构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9" w:type="dxa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（三）不予公开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1.属于国家秘密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2.其他法律行政法规禁止公开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3.危及“三安全一稳定”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4.保护第三方合法权益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5.属于三类内部事务信息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6.属于四类过程性信息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7.属于行政执法案卷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8.属于行政查询事项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（四）无法提供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1.本机关不掌握相关政府信息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2.没有现成信息需要另行制作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3.补正后申请内容仍不明确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（五）不予处理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1.信访举报投诉类申请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2.重复申请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3.要求提供公开出版物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4.无正当理由大量反复申请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（六）其他处理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1.申请人无正当理由逾期不补正、行政机关不再处理其政府信息公开申请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2.申请人逾期未按收费通知要求缴纳费用、行政机关不再处理其政府信息公开申请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3.其他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  <w:t>四、政府信息公开行政复议、行政诉讼情况</w:t>
      </w:r>
    </w:p>
    <w:tbl>
      <w:tblPr>
        <w:tblStyle w:val="6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纠正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2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维持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维持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结果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firstLine="300" w:firstLineChars="1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 五、存在的主要问题及改进情况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（一）存在主要问题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0"/>
          <w:szCs w:val="30"/>
        </w:rPr>
        <w:t>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2022年我局政府信息公开工作取得了明显的成效，但仍存在一些问题：政务公开项目还需进一步丰富，公开内容还须及时更新，主动公开政府信息内容与公众的需求还存在一定差距。2023年，我局将从以下几个方面，进一步推进政务公开工作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一是深化政府信息公开内容。继续重点推进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文化、旅游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发展和群众生活密切相关的信息公开，进一步规范做好信息公开工作。以信息公开带动办事公开，以办事公开带动便民服务，进一步推动信息公开与网上办事相结合。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二是积极参加信息公开业务学习和培训，确保政府信息公开准确、及时、规范，不断提升信息公开整体工作水平。</w:t>
      </w:r>
    </w:p>
    <w:p>
      <w:pPr>
        <w:pStyle w:val="5"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 </w:t>
      </w:r>
    </w:p>
    <w:p>
      <w:pPr>
        <w:pStyle w:val="5"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32"/>
          <w:sz w:val="30"/>
          <w:szCs w:val="30"/>
          <w:shd w:val="clear" w:color="auto" w:fill="FFFFFF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3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0"/>
          <w:szCs w:val="30"/>
        </w:rPr>
        <w:t>本年度，本机关未收取信息公开处理费。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kern w:val="3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32"/>
          <w:sz w:val="30"/>
          <w:szCs w:val="30"/>
        </w:rPr>
        <w:t>　　上高县人民政府网（http://www.shanggao.gov.cn）</w:t>
      </w:r>
      <w:r>
        <w:rPr>
          <w:rFonts w:hint="eastAsia" w:ascii="仿宋_GB2312" w:hAnsi="仿宋_GB2312" w:eastAsia="仿宋_GB2312" w:cs="仿宋_GB2312"/>
          <w:color w:val="000000"/>
          <w:kern w:val="3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32"/>
          <w:sz w:val="30"/>
          <w:szCs w:val="30"/>
        </w:rPr>
        <w:t>如需了解更多政府信息，请登录查询。</w:t>
      </w:r>
    </w:p>
    <w:p>
      <w:pPr>
        <w:pStyle w:val="5"/>
        <w:shd w:val="clear" w:color="auto" w:fill="FFFFFF"/>
        <w:spacing w:beforeAutospacing="0" w:afterAutospacing="0"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mY0MjU4N2IyY2YyOWQ4NzJhYmFmMzlmM2IwOGQifQ=="/>
  </w:docVars>
  <w:rsids>
    <w:rsidRoot w:val="006C3125"/>
    <w:rsid w:val="00002B5A"/>
    <w:rsid w:val="00007628"/>
    <w:rsid w:val="000212A0"/>
    <w:rsid w:val="000258F8"/>
    <w:rsid w:val="0003627E"/>
    <w:rsid w:val="0003703E"/>
    <w:rsid w:val="0004190C"/>
    <w:rsid w:val="00050700"/>
    <w:rsid w:val="000528BD"/>
    <w:rsid w:val="0008119A"/>
    <w:rsid w:val="00084A77"/>
    <w:rsid w:val="00086803"/>
    <w:rsid w:val="000A107D"/>
    <w:rsid w:val="000B42C2"/>
    <w:rsid w:val="000D46C7"/>
    <w:rsid w:val="000E0C8E"/>
    <w:rsid w:val="000E2C16"/>
    <w:rsid w:val="0010472D"/>
    <w:rsid w:val="001305BA"/>
    <w:rsid w:val="001354FE"/>
    <w:rsid w:val="00136084"/>
    <w:rsid w:val="00140C5F"/>
    <w:rsid w:val="00156BCB"/>
    <w:rsid w:val="001712C7"/>
    <w:rsid w:val="0018227C"/>
    <w:rsid w:val="001D1EED"/>
    <w:rsid w:val="00224C4D"/>
    <w:rsid w:val="00243D39"/>
    <w:rsid w:val="00247B66"/>
    <w:rsid w:val="002564CD"/>
    <w:rsid w:val="002728C2"/>
    <w:rsid w:val="002838E9"/>
    <w:rsid w:val="002A4E6C"/>
    <w:rsid w:val="002B6344"/>
    <w:rsid w:val="002C1C15"/>
    <w:rsid w:val="002E0FDA"/>
    <w:rsid w:val="0035024E"/>
    <w:rsid w:val="00353026"/>
    <w:rsid w:val="003537C1"/>
    <w:rsid w:val="0035705F"/>
    <w:rsid w:val="00363C33"/>
    <w:rsid w:val="0036723C"/>
    <w:rsid w:val="00371C2E"/>
    <w:rsid w:val="00377B03"/>
    <w:rsid w:val="00381870"/>
    <w:rsid w:val="0039555B"/>
    <w:rsid w:val="003B520C"/>
    <w:rsid w:val="003E344D"/>
    <w:rsid w:val="00400CE9"/>
    <w:rsid w:val="00403654"/>
    <w:rsid w:val="00423653"/>
    <w:rsid w:val="00473266"/>
    <w:rsid w:val="004B4752"/>
    <w:rsid w:val="004F13A9"/>
    <w:rsid w:val="005176FC"/>
    <w:rsid w:val="005228CD"/>
    <w:rsid w:val="00525951"/>
    <w:rsid w:val="00564DBF"/>
    <w:rsid w:val="00594CA9"/>
    <w:rsid w:val="005F290B"/>
    <w:rsid w:val="005F5F7F"/>
    <w:rsid w:val="006018F0"/>
    <w:rsid w:val="00620781"/>
    <w:rsid w:val="006416F4"/>
    <w:rsid w:val="00644F49"/>
    <w:rsid w:val="00656371"/>
    <w:rsid w:val="006903FC"/>
    <w:rsid w:val="00691BDF"/>
    <w:rsid w:val="00695830"/>
    <w:rsid w:val="006A0F9E"/>
    <w:rsid w:val="006A7F71"/>
    <w:rsid w:val="006C01BE"/>
    <w:rsid w:val="006C3125"/>
    <w:rsid w:val="006D06B8"/>
    <w:rsid w:val="006E4F0C"/>
    <w:rsid w:val="00723119"/>
    <w:rsid w:val="00757200"/>
    <w:rsid w:val="007826CA"/>
    <w:rsid w:val="00795B22"/>
    <w:rsid w:val="00795C58"/>
    <w:rsid w:val="007A5A9F"/>
    <w:rsid w:val="007B3DD1"/>
    <w:rsid w:val="007C1AEA"/>
    <w:rsid w:val="007E42B4"/>
    <w:rsid w:val="007E4612"/>
    <w:rsid w:val="007E6EAD"/>
    <w:rsid w:val="007F114A"/>
    <w:rsid w:val="00824556"/>
    <w:rsid w:val="00851B09"/>
    <w:rsid w:val="00891766"/>
    <w:rsid w:val="0089400F"/>
    <w:rsid w:val="008B7E9A"/>
    <w:rsid w:val="008C2F5F"/>
    <w:rsid w:val="008D6333"/>
    <w:rsid w:val="008E496B"/>
    <w:rsid w:val="0091067C"/>
    <w:rsid w:val="00914206"/>
    <w:rsid w:val="00930EF4"/>
    <w:rsid w:val="0097297C"/>
    <w:rsid w:val="00980583"/>
    <w:rsid w:val="00981553"/>
    <w:rsid w:val="0098328B"/>
    <w:rsid w:val="009B5839"/>
    <w:rsid w:val="009C07F9"/>
    <w:rsid w:val="009D0206"/>
    <w:rsid w:val="009E3EB4"/>
    <w:rsid w:val="00A215A5"/>
    <w:rsid w:val="00A302FB"/>
    <w:rsid w:val="00AA5D9B"/>
    <w:rsid w:val="00AB3026"/>
    <w:rsid w:val="00AD0A6A"/>
    <w:rsid w:val="00AD39E5"/>
    <w:rsid w:val="00B230D9"/>
    <w:rsid w:val="00B478D6"/>
    <w:rsid w:val="00B7055C"/>
    <w:rsid w:val="00BA1010"/>
    <w:rsid w:val="00BC3F2A"/>
    <w:rsid w:val="00BE1984"/>
    <w:rsid w:val="00BE60DA"/>
    <w:rsid w:val="00BF478B"/>
    <w:rsid w:val="00C0609D"/>
    <w:rsid w:val="00C063A3"/>
    <w:rsid w:val="00C100F7"/>
    <w:rsid w:val="00C650DA"/>
    <w:rsid w:val="00C66258"/>
    <w:rsid w:val="00C70866"/>
    <w:rsid w:val="00C864AE"/>
    <w:rsid w:val="00C9412C"/>
    <w:rsid w:val="00CB3C3C"/>
    <w:rsid w:val="00CC102B"/>
    <w:rsid w:val="00CC1087"/>
    <w:rsid w:val="00CC322A"/>
    <w:rsid w:val="00CD2340"/>
    <w:rsid w:val="00CD32C2"/>
    <w:rsid w:val="00CD5265"/>
    <w:rsid w:val="00CE465A"/>
    <w:rsid w:val="00D36931"/>
    <w:rsid w:val="00D62A90"/>
    <w:rsid w:val="00D966FF"/>
    <w:rsid w:val="00DA2640"/>
    <w:rsid w:val="00DF0D1F"/>
    <w:rsid w:val="00E06B3B"/>
    <w:rsid w:val="00E11CE0"/>
    <w:rsid w:val="00E25BD3"/>
    <w:rsid w:val="00E30271"/>
    <w:rsid w:val="00E60568"/>
    <w:rsid w:val="00E62293"/>
    <w:rsid w:val="00EA0456"/>
    <w:rsid w:val="00EA7587"/>
    <w:rsid w:val="00EB02B3"/>
    <w:rsid w:val="00EB1D6F"/>
    <w:rsid w:val="00EB3E4F"/>
    <w:rsid w:val="00EC29A2"/>
    <w:rsid w:val="00EC7DE8"/>
    <w:rsid w:val="00EE0C88"/>
    <w:rsid w:val="00EF2861"/>
    <w:rsid w:val="00EF2DAF"/>
    <w:rsid w:val="00F0378A"/>
    <w:rsid w:val="00F371CA"/>
    <w:rsid w:val="00F51574"/>
    <w:rsid w:val="00F639EF"/>
    <w:rsid w:val="00FC48E4"/>
    <w:rsid w:val="00FC6E56"/>
    <w:rsid w:val="00FD21D5"/>
    <w:rsid w:val="00FD685A"/>
    <w:rsid w:val="00FD7479"/>
    <w:rsid w:val="00FF3C1E"/>
    <w:rsid w:val="01C26E13"/>
    <w:rsid w:val="024E4C05"/>
    <w:rsid w:val="038D43FE"/>
    <w:rsid w:val="04E43544"/>
    <w:rsid w:val="04F14A63"/>
    <w:rsid w:val="05F23F40"/>
    <w:rsid w:val="06EF4FF4"/>
    <w:rsid w:val="06F15717"/>
    <w:rsid w:val="08CB64DD"/>
    <w:rsid w:val="0B707B9C"/>
    <w:rsid w:val="0BA323F2"/>
    <w:rsid w:val="0CA529EA"/>
    <w:rsid w:val="0D392A9D"/>
    <w:rsid w:val="0DF2282E"/>
    <w:rsid w:val="0E576B35"/>
    <w:rsid w:val="118009BA"/>
    <w:rsid w:val="11E4732B"/>
    <w:rsid w:val="12296E13"/>
    <w:rsid w:val="124341AB"/>
    <w:rsid w:val="1297170F"/>
    <w:rsid w:val="13D749A0"/>
    <w:rsid w:val="14EC5B4D"/>
    <w:rsid w:val="15333622"/>
    <w:rsid w:val="155913E5"/>
    <w:rsid w:val="17FC294A"/>
    <w:rsid w:val="18AF17FE"/>
    <w:rsid w:val="19772C68"/>
    <w:rsid w:val="1A0758B3"/>
    <w:rsid w:val="1AB4496C"/>
    <w:rsid w:val="1BEA22A4"/>
    <w:rsid w:val="1BF9747E"/>
    <w:rsid w:val="1D7D6135"/>
    <w:rsid w:val="1EE15FE8"/>
    <w:rsid w:val="1F3F5155"/>
    <w:rsid w:val="1F891BF3"/>
    <w:rsid w:val="1FEA7809"/>
    <w:rsid w:val="21696E53"/>
    <w:rsid w:val="21D85626"/>
    <w:rsid w:val="2299676A"/>
    <w:rsid w:val="259207B1"/>
    <w:rsid w:val="25C40AFC"/>
    <w:rsid w:val="26D829E9"/>
    <w:rsid w:val="27CB4854"/>
    <w:rsid w:val="28916513"/>
    <w:rsid w:val="28E63FBE"/>
    <w:rsid w:val="29A81E49"/>
    <w:rsid w:val="2A465F91"/>
    <w:rsid w:val="2C6A78FC"/>
    <w:rsid w:val="2E993699"/>
    <w:rsid w:val="2EEC536B"/>
    <w:rsid w:val="31871996"/>
    <w:rsid w:val="31E27909"/>
    <w:rsid w:val="32256B8B"/>
    <w:rsid w:val="327B14BC"/>
    <w:rsid w:val="3443325D"/>
    <w:rsid w:val="357165DC"/>
    <w:rsid w:val="374E461C"/>
    <w:rsid w:val="377D1455"/>
    <w:rsid w:val="37F80C39"/>
    <w:rsid w:val="3A8A0F8A"/>
    <w:rsid w:val="3B9C6DBC"/>
    <w:rsid w:val="3C123735"/>
    <w:rsid w:val="3CE23414"/>
    <w:rsid w:val="3D8802EA"/>
    <w:rsid w:val="40B0729A"/>
    <w:rsid w:val="40BF44BA"/>
    <w:rsid w:val="411F0E72"/>
    <w:rsid w:val="4185518C"/>
    <w:rsid w:val="42F93A27"/>
    <w:rsid w:val="44352E99"/>
    <w:rsid w:val="46915DD5"/>
    <w:rsid w:val="46FC1A4C"/>
    <w:rsid w:val="4792311A"/>
    <w:rsid w:val="484C7CE2"/>
    <w:rsid w:val="485F6737"/>
    <w:rsid w:val="48D06BDA"/>
    <w:rsid w:val="4A5E1027"/>
    <w:rsid w:val="4C2C34BA"/>
    <w:rsid w:val="4C9F3297"/>
    <w:rsid w:val="4E1A1D63"/>
    <w:rsid w:val="4F4B79F8"/>
    <w:rsid w:val="533E62DD"/>
    <w:rsid w:val="5408251D"/>
    <w:rsid w:val="54730017"/>
    <w:rsid w:val="54B1145F"/>
    <w:rsid w:val="573B7B2C"/>
    <w:rsid w:val="582F5EE5"/>
    <w:rsid w:val="58760D79"/>
    <w:rsid w:val="590916DB"/>
    <w:rsid w:val="596F2552"/>
    <w:rsid w:val="5BBB4694"/>
    <w:rsid w:val="5C003E28"/>
    <w:rsid w:val="5CE96632"/>
    <w:rsid w:val="5DAD53F7"/>
    <w:rsid w:val="5F1D65AC"/>
    <w:rsid w:val="612A3A23"/>
    <w:rsid w:val="61F726EF"/>
    <w:rsid w:val="62141EE8"/>
    <w:rsid w:val="62692834"/>
    <w:rsid w:val="631D02F6"/>
    <w:rsid w:val="644751C1"/>
    <w:rsid w:val="66712B6A"/>
    <w:rsid w:val="66A43744"/>
    <w:rsid w:val="67124879"/>
    <w:rsid w:val="67535261"/>
    <w:rsid w:val="68C857DA"/>
    <w:rsid w:val="69D41542"/>
    <w:rsid w:val="6AE95E56"/>
    <w:rsid w:val="6C963990"/>
    <w:rsid w:val="6CD04C5E"/>
    <w:rsid w:val="6CF52916"/>
    <w:rsid w:val="6F652F30"/>
    <w:rsid w:val="70E228B5"/>
    <w:rsid w:val="729F3C2B"/>
    <w:rsid w:val="7342505B"/>
    <w:rsid w:val="76EA412A"/>
    <w:rsid w:val="7720770B"/>
    <w:rsid w:val="78DD0E2E"/>
    <w:rsid w:val="7ABB5EAE"/>
    <w:rsid w:val="7C257CBE"/>
    <w:rsid w:val="7CE751A4"/>
    <w:rsid w:val="7EB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2483</Words>
  <Characters>2549</Characters>
  <Lines>0</Lines>
  <Paragraphs>0</Paragraphs>
  <TotalTime>17</TotalTime>
  <ScaleCrop>false</ScaleCrop>
  <LinksUpToDate>false</LinksUpToDate>
  <CharactersWithSpaces>2556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</cp:lastModifiedBy>
  <cp:lastPrinted>2022-02-07T06:36:00Z</cp:lastPrinted>
  <dcterms:modified xsi:type="dcterms:W3CDTF">2023-05-05T03:40:16Z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8F55E4C05A884CB781798D3A65D32675_13</vt:lpwstr>
  </property>
</Properties>
</file>