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both"/>
        <w:rPr>
          <w:rFonts w:hint="eastAsia" w:ascii="宋体" w:hAnsi="宋体" w:eastAsia="宋体" w:cs="宋体"/>
          <w:i w:val="0"/>
          <w:iCs w:val="0"/>
          <w:caps w:val="0"/>
          <w:color w:val="333333"/>
          <w:spacing w:val="0"/>
          <w:kern w:val="0"/>
          <w:sz w:val="32"/>
          <w:szCs w:val="32"/>
          <w:shd w:val="clear" w:fill="FFFFFF"/>
          <w:lang w:val="en-US" w:eastAsia="zh-CN" w:bidi="ar"/>
        </w:rPr>
      </w:pPr>
      <w:r>
        <w:rPr>
          <w:rFonts w:hint="eastAsia" w:ascii="宋体" w:hAnsi="宋体" w:eastAsia="宋体" w:cs="宋体"/>
          <w:i w:val="0"/>
          <w:iCs w:val="0"/>
          <w:caps w:val="0"/>
          <w:color w:val="333333"/>
          <w:spacing w:val="0"/>
          <w:kern w:val="0"/>
          <w:sz w:val="32"/>
          <w:szCs w:val="32"/>
          <w:shd w:val="clear" w:fill="FFFFFF"/>
          <w:lang w:val="en-US" w:eastAsia="zh-CN" w:bidi="ar"/>
        </w:rPr>
        <w:t>上高县城管局2021年政府信息公开工作年度报告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both"/>
        <w:rPr>
          <w:rFonts w:hint="eastAsia" w:ascii="宋体" w:hAnsi="宋体" w:eastAsia="宋体" w:cs="宋体"/>
          <w:i w:val="0"/>
          <w:iCs w:val="0"/>
          <w:caps w:val="0"/>
          <w:color w:val="333333"/>
          <w:spacing w:val="0"/>
          <w:kern w:val="0"/>
          <w:sz w:val="32"/>
          <w:szCs w:val="32"/>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firstLine="640" w:firstLineChars="200"/>
        <w:jc w:val="both"/>
      </w:pPr>
      <w:r>
        <w:rPr>
          <w:rFonts w:hint="eastAsia" w:ascii="宋体" w:hAnsi="宋体" w:eastAsia="宋体" w:cs="宋体"/>
          <w:i w:val="0"/>
          <w:iCs w:val="0"/>
          <w:caps w:val="0"/>
          <w:color w:val="333333"/>
          <w:spacing w:val="0"/>
          <w:kern w:val="0"/>
          <w:sz w:val="32"/>
          <w:szCs w:val="32"/>
          <w:shd w:val="clear" w:fill="FFFFFF"/>
          <w:lang w:val="en-US" w:eastAsia="zh-CN" w:bidi="ar"/>
        </w:rPr>
        <w:t>本报告依据《中华人民共和国政府信息公开条例》（国务院令第711号，以下简称新《条例》）和《国务院办公厅政府信息与政务公开办公室关于政府信息公开工作年度报告有关事项的通知》（国办公开办函〔2019〕60号）要求，由上高县城管局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http://www.shanggao.gov.cn/）下载。如对本报告有任何疑问，请与上高县城管局人秘股联系（地址：青莲路9号新政府大楼，电话：0795-2529760，邮编：336400）。</w:t>
      </w:r>
      <w:r>
        <w:rPr>
          <w:rFonts w:ascii="Calibri" w:hAnsi="Calibri" w:eastAsia="宋体" w:cs="Times New Roman"/>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宋体" w:hAnsi="宋体" w:eastAsia="宋体" w:cs="宋体"/>
          <w:i w:val="0"/>
          <w:iCs w:val="0"/>
          <w:caps w:val="0"/>
          <w:color w:val="333333"/>
          <w:spacing w:val="0"/>
          <w:kern w:val="0"/>
          <w:sz w:val="32"/>
          <w:szCs w:val="32"/>
          <w:shd w:val="clear" w:fill="FFFFFF"/>
          <w:lang w:val="en-US" w:eastAsia="zh-CN" w:bidi="ar"/>
        </w:rPr>
        <w:t> </w:t>
      </w:r>
      <w:r>
        <w:rPr>
          <w:rFonts w:hint="default" w:ascii="Calibri" w:hAnsi="Calibri" w:eastAsia="宋体" w:cs="Times New Roman"/>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ascii="黑体" w:hAnsi="宋体" w:eastAsia="黑体" w:cs="黑体"/>
          <w:b w:val="0"/>
          <w:bCs w:val="0"/>
          <w:i w:val="0"/>
          <w:iCs w:val="0"/>
          <w:caps w:val="0"/>
          <w:color w:val="333333"/>
          <w:spacing w:val="0"/>
          <w:kern w:val="0"/>
          <w:sz w:val="32"/>
          <w:szCs w:val="32"/>
          <w:shd w:val="clear" w:fill="FFFFFF"/>
          <w:lang w:val="en-US" w:eastAsia="zh-CN" w:bidi="ar"/>
        </w:rPr>
        <w:t>一、</w:t>
      </w:r>
      <w:r>
        <w:rPr>
          <w:rFonts w:hint="eastAsia" w:ascii="黑体" w:hAnsi="宋体" w:eastAsia="黑体" w:cs="黑体"/>
          <w:b w:val="0"/>
          <w:bCs w:val="0"/>
          <w:i w:val="0"/>
          <w:iCs w:val="0"/>
          <w:caps w:val="0"/>
          <w:color w:val="333333"/>
          <w:spacing w:val="0"/>
          <w:kern w:val="0"/>
          <w:sz w:val="32"/>
          <w:szCs w:val="32"/>
          <w:shd w:val="clear" w:fill="FFFFFF"/>
          <w:lang w:val="en-US" w:eastAsia="zh-CN" w:bidi="ar"/>
        </w:rPr>
        <w:t>总体情况</w:t>
      </w:r>
      <w:r>
        <w:rPr>
          <w:rFonts w:hint="default" w:ascii="Calibri" w:hAnsi="Calibri" w:eastAsia="宋体" w:cs="Times New Roman"/>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640" w:firstLineChars="200"/>
        <w:jc w:val="both"/>
      </w:pPr>
      <w:r>
        <w:rPr>
          <w:rFonts w:hint="eastAsia" w:ascii="宋体" w:hAnsi="宋体" w:eastAsia="宋体" w:cs="宋体"/>
          <w:i w:val="0"/>
          <w:iCs w:val="0"/>
          <w:caps w:val="0"/>
          <w:color w:val="333333"/>
          <w:spacing w:val="0"/>
          <w:kern w:val="0"/>
          <w:sz w:val="32"/>
          <w:szCs w:val="32"/>
          <w:shd w:val="clear" w:fill="FFFFFF"/>
          <w:lang w:val="en-US" w:eastAsia="zh-CN" w:bidi="ar"/>
        </w:rPr>
        <w:t>2021年上高县城管局坚持以习近平新时代中国特色社会主义思想为指导，深入贯彻党的十九大和十九届二中、三中、四中、五中全会精神，严格落实《国务院办公厅印发〈关于全面推进政务公开工作的意见〉实施细则的通知》和《国务院办公厅关于印发2021年政务公开工作要点的通知》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ascii="楷体" w:hAnsi="楷体" w:eastAsia="楷体" w:cs="楷体"/>
          <w:i w:val="0"/>
          <w:iCs w:val="0"/>
          <w:caps w:val="0"/>
          <w:color w:val="333333"/>
          <w:spacing w:val="0"/>
          <w:kern w:val="0"/>
          <w:sz w:val="32"/>
          <w:szCs w:val="32"/>
          <w:shd w:val="clear" w:fill="FFFFFF"/>
          <w:lang w:val="en-US" w:eastAsia="zh-CN" w:bidi="ar"/>
        </w:rPr>
        <w:t>（一）</w:t>
      </w:r>
      <w:r>
        <w:rPr>
          <w:rFonts w:hint="eastAsia" w:ascii="楷体" w:hAnsi="楷体" w:eastAsia="楷体" w:cs="楷体"/>
          <w:i w:val="0"/>
          <w:iCs w:val="0"/>
          <w:caps w:val="0"/>
          <w:color w:val="333333"/>
          <w:spacing w:val="0"/>
          <w:kern w:val="0"/>
          <w:sz w:val="32"/>
          <w:szCs w:val="32"/>
          <w:shd w:val="clear" w:fill="FFFFFF"/>
          <w:lang w:val="en-US" w:eastAsia="zh-CN" w:bidi="ar"/>
        </w:rPr>
        <w:t>主动公开</w:t>
      </w:r>
      <w:r>
        <w:rPr>
          <w:rFonts w:hint="default" w:ascii="Calibri" w:hAnsi="Calibri" w:eastAsia="宋体" w:cs="Times New Roman"/>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640" w:firstLineChars="200"/>
        <w:jc w:val="both"/>
        <w:rPr>
          <w:rFonts w:hint="eastAsia" w:ascii="宋体" w:hAnsi="宋体" w:eastAsia="宋体" w:cs="宋体"/>
          <w:i w:val="0"/>
          <w:iCs w:val="0"/>
          <w:caps w:val="0"/>
          <w:color w:val="333333"/>
          <w:spacing w:val="0"/>
          <w:kern w:val="0"/>
          <w:sz w:val="32"/>
          <w:szCs w:val="32"/>
          <w:shd w:val="clear" w:fill="FFFFFF"/>
          <w:lang w:val="en-US" w:eastAsia="zh-CN" w:bidi="ar"/>
        </w:rPr>
      </w:pPr>
      <w:r>
        <w:rPr>
          <w:rFonts w:hint="eastAsia" w:ascii="宋体" w:hAnsi="宋体" w:eastAsia="宋体" w:cs="宋体"/>
          <w:i w:val="0"/>
          <w:iCs w:val="0"/>
          <w:caps w:val="0"/>
          <w:color w:val="333333"/>
          <w:spacing w:val="0"/>
          <w:kern w:val="0"/>
          <w:sz w:val="32"/>
          <w:szCs w:val="32"/>
          <w:shd w:val="clear" w:fill="FFFFFF"/>
          <w:lang w:val="en-US" w:eastAsia="zh-CN" w:bidi="ar"/>
        </w:rPr>
        <w:t>我局通过上高县政府信息公开平台，坚持决策公开、管理公开、服务公开等方面信息及时发布管理。目前针对市政服务、城市垃圾分类处置及城市综合执法领域权责清单、清单动态调整公开机制、行政执法公示制度已经陆续公开（详细可查阅上高县人民政府网站）。截至2021年12月31日，主动公开信息共53条。 </w:t>
      </w:r>
      <w:r>
        <w:rPr>
          <w:rFonts w:hint="default" w:ascii="宋体" w:hAnsi="宋体" w:eastAsia="宋体" w:cs="宋体"/>
          <w:i w:val="0"/>
          <w:iCs w:val="0"/>
          <w:caps w:val="0"/>
          <w:color w:val="333333"/>
          <w:spacing w:val="0"/>
          <w:kern w:val="0"/>
          <w:sz w:val="32"/>
          <w:szCs w:val="32"/>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楷体" w:hAnsi="楷体" w:eastAsia="楷体" w:cs="楷体"/>
          <w:i w:val="0"/>
          <w:iCs w:val="0"/>
          <w:caps w:val="0"/>
          <w:color w:val="333333"/>
          <w:spacing w:val="0"/>
          <w:kern w:val="0"/>
          <w:sz w:val="32"/>
          <w:szCs w:val="32"/>
          <w:shd w:val="clear" w:fill="FFFFFF"/>
          <w:lang w:val="en-US" w:eastAsia="zh-CN" w:bidi="ar"/>
        </w:rPr>
        <w:t>（二）依申请公开</w:t>
      </w:r>
      <w:r>
        <w:rPr>
          <w:rFonts w:hint="default" w:ascii="Calibri" w:hAnsi="Calibri" w:eastAsia="宋体" w:cs="Times New Roman"/>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640" w:firstLineChars="200"/>
        <w:jc w:val="both"/>
        <w:rPr>
          <w:rFonts w:hint="eastAsia" w:ascii="宋体" w:hAnsi="宋体" w:eastAsia="宋体" w:cs="宋体"/>
          <w:i w:val="0"/>
          <w:iCs w:val="0"/>
          <w:caps w:val="0"/>
          <w:color w:val="333333"/>
          <w:spacing w:val="0"/>
          <w:kern w:val="0"/>
          <w:sz w:val="32"/>
          <w:szCs w:val="32"/>
          <w:shd w:val="clear" w:fill="FFFFFF"/>
          <w:lang w:val="en-US" w:eastAsia="zh-CN" w:bidi="ar"/>
        </w:rPr>
      </w:pPr>
      <w:r>
        <w:rPr>
          <w:rFonts w:hint="eastAsia" w:ascii="宋体" w:hAnsi="宋体" w:eastAsia="宋体" w:cs="宋体"/>
          <w:i w:val="0"/>
          <w:iCs w:val="0"/>
          <w:caps w:val="0"/>
          <w:color w:val="333333"/>
          <w:spacing w:val="0"/>
          <w:kern w:val="0"/>
          <w:sz w:val="32"/>
          <w:szCs w:val="32"/>
          <w:shd w:val="clear" w:fill="FFFFFF"/>
          <w:lang w:val="en-US" w:eastAsia="zh-CN" w:bidi="ar"/>
        </w:rPr>
        <w:t>制定了依申请公开指南，公开申请渠道，可通过政府网站、12345政府热线等途径进行申请，建立完善依申请公开制度，明确依申请公开流程，规范答复模式。 </w:t>
      </w:r>
      <w:r>
        <w:rPr>
          <w:rFonts w:hint="default" w:ascii="宋体" w:hAnsi="宋体" w:eastAsia="宋体" w:cs="宋体"/>
          <w:i w:val="0"/>
          <w:iCs w:val="0"/>
          <w:caps w:val="0"/>
          <w:color w:val="333333"/>
          <w:spacing w:val="0"/>
          <w:kern w:val="0"/>
          <w:sz w:val="32"/>
          <w:szCs w:val="32"/>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楷体" w:hAnsi="楷体" w:eastAsia="楷体" w:cs="楷体"/>
          <w:i w:val="0"/>
          <w:iCs w:val="0"/>
          <w:caps w:val="0"/>
          <w:color w:val="333333"/>
          <w:spacing w:val="0"/>
          <w:kern w:val="0"/>
          <w:sz w:val="32"/>
          <w:szCs w:val="32"/>
          <w:shd w:val="clear" w:fill="FFFFFF"/>
          <w:lang w:val="en-US" w:eastAsia="zh-CN" w:bidi="ar"/>
        </w:rPr>
        <w:t>（三）政府信息管理</w:t>
      </w:r>
      <w:r>
        <w:rPr>
          <w:rFonts w:hint="default" w:ascii="Calibri" w:hAnsi="Calibri" w:eastAsia="宋体" w:cs="Times New Roman"/>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kern w:val="0"/>
          <w:sz w:val="32"/>
          <w:szCs w:val="32"/>
          <w:shd w:val="clear" w:fill="FFFFFF"/>
          <w:lang w:val="en-US" w:eastAsia="zh-CN" w:bidi="ar"/>
        </w:rPr>
      </w:pPr>
      <w:r>
        <w:rPr>
          <w:rFonts w:hint="eastAsia" w:ascii="宋体" w:hAnsi="宋体" w:eastAsia="宋体" w:cs="宋体"/>
          <w:i w:val="0"/>
          <w:iCs w:val="0"/>
          <w:caps w:val="0"/>
          <w:color w:val="333333"/>
          <w:spacing w:val="0"/>
          <w:kern w:val="0"/>
          <w:sz w:val="32"/>
          <w:szCs w:val="32"/>
          <w:shd w:val="clear" w:fill="FFFFFF"/>
          <w:lang w:val="en-US" w:eastAsia="zh-CN" w:bidi="ar"/>
        </w:rPr>
        <w:t>始终坚持“以公开为常态、不公开为例外”的原则，加强政府信息规范管理，全面落实政府信息属性源头认定、审查，及时开展失效性文件清查清理。充分明确政府信息公开属性、公开方式、解读方案、发布要求、保密审查等内容和要求。对照中国政府法制信息网行政法规库，更新登载行政法规国家正式版本，统一上传网站信息公开专栏集中公开，切实做到“应公开、尽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 w:hAnsi="楷体" w:eastAsia="楷体" w:cs="楷体"/>
          <w:i w:val="0"/>
          <w:iCs w:val="0"/>
          <w:caps w:val="0"/>
          <w:color w:val="000000" w:themeColor="text1"/>
          <w:spacing w:val="0"/>
          <w:kern w:val="0"/>
          <w:sz w:val="32"/>
          <w:szCs w:val="32"/>
          <w:shd w:val="clear" w:fill="FFFFFF"/>
          <w:lang w:val="en-US" w:eastAsia="zh-CN" w:bidi="ar"/>
          <w14:textFill>
            <w14:solidFill>
              <w14:schemeClr w14:val="tx1"/>
            </w14:solidFill>
          </w14:textFill>
        </w:rPr>
        <w:t>（四）政府信息平台建设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640" w:firstLineChars="200"/>
        <w:jc w:val="both"/>
        <w:rPr>
          <w:rFonts w:hint="default" w:ascii="宋体" w:hAnsi="宋体" w:eastAsia="宋体" w:cs="宋体"/>
          <w:i w:val="0"/>
          <w:iCs w:val="0"/>
          <w:caps w:val="0"/>
          <w:color w:val="333333"/>
          <w:spacing w:val="0"/>
          <w:kern w:val="0"/>
          <w:sz w:val="32"/>
          <w:szCs w:val="32"/>
          <w:shd w:val="clear" w:fill="FFFFFF"/>
          <w:lang w:val="en-US" w:eastAsia="zh-CN" w:bidi="ar"/>
        </w:rPr>
      </w:pPr>
      <w:r>
        <w:rPr>
          <w:rFonts w:hint="eastAsia" w:ascii="宋体" w:hAnsi="宋体" w:eastAsia="宋体" w:cs="宋体"/>
          <w:i w:val="0"/>
          <w:iCs w:val="0"/>
          <w:caps w:val="0"/>
          <w:color w:val="333333"/>
          <w:spacing w:val="0"/>
          <w:kern w:val="0"/>
          <w:sz w:val="32"/>
          <w:szCs w:val="32"/>
          <w:shd w:val="clear" w:fill="FFFFFF"/>
          <w:lang w:val="en-US" w:eastAsia="zh-CN" w:bidi="ar"/>
        </w:rPr>
        <w:t>相关业务事项数据通过如互联网+监管、公共信用信息平台、政务资源目录平台、政府网站等进行了全面公开，公开力度得到加强。</w:t>
      </w:r>
      <w:r>
        <w:rPr>
          <w:rFonts w:hint="default" w:ascii="宋体" w:hAnsi="宋体" w:eastAsia="宋体" w:cs="宋体"/>
          <w:i w:val="0"/>
          <w:iCs w:val="0"/>
          <w:caps w:val="0"/>
          <w:color w:val="333333"/>
          <w:spacing w:val="0"/>
          <w:kern w:val="0"/>
          <w:sz w:val="32"/>
          <w:szCs w:val="32"/>
          <w:shd w:val="clear" w:fill="FFFFFF"/>
          <w:lang w:val="en-US" w:eastAsia="zh-CN" w:bidi="ar"/>
        </w:rPr>
        <w:t xml:space="preserve"> </w:t>
      </w:r>
      <w:r>
        <w:rPr>
          <w:rFonts w:hint="eastAsia" w:ascii="宋体" w:hAnsi="宋体" w:eastAsia="宋体" w:cs="宋体"/>
          <w:i w:val="0"/>
          <w:iCs w:val="0"/>
          <w:caps w:val="0"/>
          <w:color w:val="333333"/>
          <w:spacing w:val="0"/>
          <w:kern w:val="0"/>
          <w:sz w:val="32"/>
          <w:szCs w:val="32"/>
          <w:shd w:val="clear" w:fill="FFFFFF"/>
          <w:lang w:val="en-US" w:eastAsia="zh-CN" w:bidi="ar"/>
        </w:rPr>
        <w:t>严格审查程序，健全完善保密审查制度，信息发布“三审三校”制度。公开信息先由相关股室进行审核，再由办公室审核，经领导批阅后，进行发布。</w:t>
      </w:r>
      <w:r>
        <w:rPr>
          <w:rFonts w:hint="default" w:ascii="宋体" w:hAnsi="宋体" w:eastAsia="宋体" w:cs="宋体"/>
          <w:i w:val="0"/>
          <w:iCs w:val="0"/>
          <w:caps w:val="0"/>
          <w:color w:val="333333"/>
          <w:spacing w:val="0"/>
          <w:kern w:val="0"/>
          <w:sz w:val="32"/>
          <w:szCs w:val="32"/>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楷体" w:hAnsi="楷体" w:eastAsia="楷体" w:cs="楷体"/>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 w:hAnsi="楷体" w:eastAsia="楷体" w:cs="楷体"/>
          <w:i w:val="0"/>
          <w:iCs w:val="0"/>
          <w:caps w:val="0"/>
          <w:color w:val="000000" w:themeColor="text1"/>
          <w:spacing w:val="0"/>
          <w:kern w:val="0"/>
          <w:sz w:val="32"/>
          <w:szCs w:val="32"/>
          <w:shd w:val="clear" w:fill="FFFFFF"/>
          <w:lang w:val="en-US" w:eastAsia="zh-CN" w:bidi="ar"/>
          <w14:textFill>
            <w14:solidFill>
              <w14:schemeClr w14:val="tx1"/>
            </w14:solidFill>
          </w14:textFill>
        </w:rPr>
        <w:t>（五）监督保障</w:t>
      </w:r>
      <w:r>
        <w:rPr>
          <w:rFonts w:hint="default" w:ascii="楷体" w:hAnsi="楷体" w:eastAsia="楷体" w:cs="楷体"/>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640" w:firstLineChars="200"/>
        <w:jc w:val="both"/>
        <w:rPr>
          <w:rFonts w:hint="eastAsia" w:ascii="宋体" w:hAnsi="宋体" w:eastAsia="宋体" w:cs="宋体"/>
          <w:i w:val="0"/>
          <w:iCs w:val="0"/>
          <w:caps w:val="0"/>
          <w:color w:val="333333"/>
          <w:spacing w:val="0"/>
          <w:kern w:val="0"/>
          <w:sz w:val="32"/>
          <w:szCs w:val="32"/>
          <w:shd w:val="clear" w:fill="FFFFFF"/>
          <w:lang w:val="en-US" w:eastAsia="zh-CN" w:bidi="ar"/>
        </w:rPr>
      </w:pPr>
      <w:r>
        <w:rPr>
          <w:rFonts w:hint="eastAsia" w:ascii="宋体" w:hAnsi="宋体" w:eastAsia="宋体" w:cs="宋体"/>
          <w:i w:val="0"/>
          <w:iCs w:val="0"/>
          <w:caps w:val="0"/>
          <w:color w:val="333333"/>
          <w:spacing w:val="0"/>
          <w:kern w:val="0"/>
          <w:sz w:val="32"/>
          <w:szCs w:val="32"/>
          <w:shd w:val="clear" w:fill="FFFFFF"/>
          <w:lang w:val="en-US" w:eastAsia="zh-CN" w:bidi="ar"/>
        </w:rPr>
        <w:t>强化监督考核落实。着力完善信息公开监督考核组织保障，注重优化政府信息公开监督机制建设，遵循客观、公正.公开考核原则，推行科学、规范、精准的监</w:t>
      </w:r>
      <w:bookmarkStart w:id="0" w:name="_GoBack"/>
      <w:bookmarkEnd w:id="0"/>
      <w:r>
        <w:rPr>
          <w:rFonts w:hint="eastAsia" w:ascii="宋体" w:hAnsi="宋体" w:eastAsia="宋体" w:cs="宋体"/>
          <w:i w:val="0"/>
          <w:iCs w:val="0"/>
          <w:caps w:val="0"/>
          <w:color w:val="333333"/>
          <w:spacing w:val="0"/>
          <w:kern w:val="0"/>
          <w:sz w:val="32"/>
          <w:szCs w:val="32"/>
          <w:shd w:val="clear" w:fill="FFFFFF"/>
          <w:lang w:val="en-US" w:eastAsia="zh-CN" w:bidi="ar"/>
        </w:rPr>
        <w:t>督考核工作措施全面细化监督考核指标，有序强化社会评议结果运用，加大信息公开责任追究落实力度，从严从速抓好信息公开问题整改，充分发挥信息公开监督考核指导作用和综合效能，确保住建部门政府信息公开执行有力、内容全面、程序到位、效果明显。2021年度我局未发生政府信息公开工作责任追究情况。</w:t>
      </w:r>
    </w:p>
    <w:p>
      <w:pPr>
        <w:keepNext w:val="0"/>
        <w:keepLines w:val="0"/>
        <w:widowControl/>
        <w:suppressLineNumbers w:val="0"/>
        <w:shd w:val="clear" w:fill="FFFFFF"/>
        <w:spacing w:before="0" w:beforeAutospacing="1" w:after="0" w:afterAutospacing="1"/>
        <w:ind w:left="0" w:right="0" w:firstLine="482" w:firstLineChars="200"/>
        <w:jc w:val="left"/>
      </w:pPr>
      <w:r>
        <w:rPr>
          <w:rFonts w:hint="eastAsia" w:ascii="宋体" w:hAnsi="宋体" w:eastAsia="宋体" w:cs="宋体"/>
          <w:b/>
          <w:bCs/>
          <w:color w:val="333333"/>
          <w:kern w:val="0"/>
          <w:sz w:val="24"/>
          <w:szCs w:val="24"/>
          <w:shd w:val="clear" w:fill="FFFFFF"/>
          <w:lang w:val="en-US" w:eastAsia="zh-CN" w:bidi="ar"/>
        </w:rPr>
        <w:t>二、主动公开政府信息情况</w:t>
      </w:r>
      <w:r>
        <w:rPr>
          <w:rFonts w:hint="eastAsia" w:ascii="宋体" w:hAnsi="宋体" w:eastAsia="宋体" w:cs="宋体"/>
          <w:color w:val="333333"/>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1" w:after="0" w:afterAutospacing="1"/>
        <w:ind w:left="0" w:right="0" w:firstLine="480"/>
        <w:jc w:val="left"/>
      </w:pPr>
      <w:r>
        <w:rPr>
          <w:rFonts w:hint="eastAsia" w:ascii="宋体" w:hAnsi="宋体" w:eastAsia="宋体" w:cs="宋体"/>
          <w:color w:val="333333"/>
          <w:kern w:val="0"/>
          <w:sz w:val="24"/>
          <w:szCs w:val="24"/>
          <w:shd w:val="clear" w:fill="FFFFFF"/>
          <w:lang w:val="en-US" w:eastAsia="zh-CN" w:bidi="ar"/>
        </w:rPr>
        <w:t xml:space="preserve">  </w:t>
      </w:r>
    </w:p>
    <w:tbl>
      <w:tblPr>
        <w:tblStyle w:val="4"/>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第二十条第（一）项</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信息内容</w:t>
            </w:r>
            <w:r>
              <w:rPr>
                <w:rFonts w:hint="eastAsia" w:ascii="宋体" w:hAnsi="宋体" w:eastAsia="宋体" w:cs="宋体"/>
                <w:kern w:val="0"/>
                <w:sz w:val="24"/>
                <w:szCs w:val="24"/>
                <w:lang w:val="en-US" w:eastAsia="zh-CN" w:bidi="ar"/>
              </w:rPr>
              <w:t xml:space="preserve"> </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r>
              <w:rPr>
                <w:rFonts w:hint="eastAsia" w:ascii="宋体" w:hAnsi="宋体" w:eastAsia="宋体" w:cs="宋体"/>
                <w:kern w:val="0"/>
                <w:sz w:val="24"/>
                <w:szCs w:val="24"/>
                <w:lang w:val="en-US" w:eastAsia="zh-CN" w:bidi="ar"/>
              </w:rPr>
              <w:t xml:space="preserve"> </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本年废止件数</w:t>
            </w:r>
            <w:r>
              <w:rPr>
                <w:rFonts w:hint="eastAsia" w:ascii="宋体" w:hAnsi="宋体" w:eastAsia="宋体" w:cs="宋体"/>
                <w:kern w:val="0"/>
                <w:sz w:val="24"/>
                <w:szCs w:val="24"/>
                <w:lang w:val="en-US" w:eastAsia="zh-CN" w:bidi="ar"/>
              </w:rPr>
              <w:t xml:space="preserve"> </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规章</w:t>
            </w:r>
            <w:r>
              <w:rPr>
                <w:rFonts w:hint="eastAsia" w:ascii="宋体" w:hAnsi="宋体" w:eastAsia="宋体" w:cs="宋体"/>
                <w:kern w:val="0"/>
                <w:sz w:val="24"/>
                <w:szCs w:val="24"/>
                <w:lang w:val="en-US" w:eastAsia="zh-CN" w:bidi="ar"/>
              </w:rPr>
              <w:t xml:space="preserve">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Calibri"/>
                <w:kern w:val="0"/>
                <w:sz w:val="21"/>
                <w:szCs w:val="21"/>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行政规范性文件</w:t>
            </w:r>
            <w:r>
              <w:rPr>
                <w:rFonts w:hint="eastAsia" w:ascii="宋体" w:hAnsi="宋体" w:eastAsia="宋体" w:cs="宋体"/>
                <w:kern w:val="0"/>
                <w:sz w:val="24"/>
                <w:szCs w:val="24"/>
                <w:lang w:val="en-US" w:eastAsia="zh-CN" w:bidi="ar"/>
              </w:rPr>
              <w:t xml:space="preserve">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Calibri"/>
                <w:kern w:val="0"/>
                <w:sz w:val="21"/>
                <w:szCs w:val="21"/>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第二十条第（五）项</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信息内容</w:t>
            </w:r>
            <w:r>
              <w:rPr>
                <w:rFonts w:hint="eastAsia" w:ascii="宋体" w:hAnsi="宋体" w:eastAsia="宋体" w:cs="宋体"/>
                <w:kern w:val="0"/>
                <w:sz w:val="24"/>
                <w:szCs w:val="24"/>
                <w:lang w:val="en-US" w:eastAsia="zh-CN" w:bidi="ar"/>
              </w:rPr>
              <w:t xml:space="preserve"> </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本年处理决定数量</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行政许可</w:t>
            </w:r>
            <w:r>
              <w:rPr>
                <w:rFonts w:hint="eastAsia" w:ascii="宋体" w:hAnsi="宋体" w:eastAsia="宋体" w:cs="宋体"/>
                <w:kern w:val="0"/>
                <w:sz w:val="24"/>
                <w:szCs w:val="24"/>
                <w:lang w:val="en-US" w:eastAsia="zh-CN" w:bidi="ar"/>
              </w:rPr>
              <w:t xml:space="preserve"> </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Calibri"/>
                <w:kern w:val="0"/>
                <w:sz w:val="21"/>
                <w:szCs w:val="21"/>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第二十条第（六）项</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信息内容</w:t>
            </w:r>
            <w:r>
              <w:rPr>
                <w:rFonts w:hint="eastAsia" w:ascii="宋体" w:hAnsi="宋体" w:eastAsia="宋体" w:cs="宋体"/>
                <w:kern w:val="0"/>
                <w:sz w:val="24"/>
                <w:szCs w:val="24"/>
                <w:lang w:val="en-US" w:eastAsia="zh-CN" w:bidi="ar"/>
              </w:rPr>
              <w:t xml:space="preserve"> </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本年处理决定数量</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行政处罚</w:t>
            </w:r>
            <w:r>
              <w:rPr>
                <w:rFonts w:hint="eastAsia" w:ascii="宋体" w:hAnsi="宋体" w:eastAsia="宋体" w:cs="宋体"/>
                <w:kern w:val="0"/>
                <w:sz w:val="24"/>
                <w:szCs w:val="24"/>
                <w:lang w:val="en-US" w:eastAsia="zh-CN" w:bidi="ar"/>
              </w:rPr>
              <w:t xml:space="preserve"> </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行政强制</w:t>
            </w:r>
            <w:r>
              <w:rPr>
                <w:rFonts w:hint="eastAsia" w:ascii="宋体" w:hAnsi="宋体" w:eastAsia="宋体" w:cs="宋体"/>
                <w:kern w:val="0"/>
                <w:sz w:val="24"/>
                <w:szCs w:val="24"/>
                <w:lang w:val="en-US" w:eastAsia="zh-CN" w:bidi="ar"/>
              </w:rPr>
              <w:t xml:space="preserve"> </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第二十条第（八）项</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信息内容</w:t>
            </w:r>
            <w:r>
              <w:rPr>
                <w:rFonts w:hint="eastAsia" w:ascii="宋体" w:hAnsi="宋体" w:eastAsia="宋体" w:cs="宋体"/>
                <w:kern w:val="0"/>
                <w:sz w:val="24"/>
                <w:szCs w:val="24"/>
                <w:lang w:val="en-US" w:eastAsia="zh-CN" w:bidi="ar"/>
              </w:rPr>
              <w:t xml:space="preserve"> </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本年收费金额（单位：万元）</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行政事业性收费</w:t>
            </w:r>
            <w:r>
              <w:rPr>
                <w:rFonts w:hint="eastAsia" w:ascii="宋体" w:hAnsi="宋体" w:eastAsia="宋体" w:cs="宋体"/>
                <w:kern w:val="0"/>
                <w:sz w:val="24"/>
                <w:szCs w:val="24"/>
                <w:lang w:val="en-US" w:eastAsia="zh-CN" w:bidi="ar"/>
              </w:rPr>
              <w:t xml:space="preserve"> </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xml:space="preserve">0 </w:t>
            </w:r>
          </w:p>
        </w:tc>
      </w:tr>
    </w:tbl>
    <w:p>
      <w:pPr>
        <w:keepNext w:val="0"/>
        <w:keepLines w:val="0"/>
        <w:widowControl/>
        <w:suppressLineNumbers w:val="0"/>
        <w:spacing w:before="0" w:beforeAutospacing="1" w:after="0" w:afterAutospacing="1"/>
        <w:ind w:left="0" w:right="0"/>
        <w:jc w:val="left"/>
      </w:pPr>
      <w:r>
        <w:rPr>
          <w:rFonts w:hint="eastAsia" w:ascii="宋体" w:hAnsi="宋体" w:eastAsia="宋体" w:cs="宋体"/>
          <w:b/>
          <w:bCs/>
          <w:color w:val="333333"/>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bCs/>
          <w:color w:val="333333"/>
          <w:kern w:val="0"/>
          <w:sz w:val="24"/>
          <w:szCs w:val="24"/>
          <w:lang w:val="en-US" w:eastAsia="zh-CN" w:bidi="ar"/>
        </w:rPr>
        <w:t>  三、收到和处理政府信息公开申请情况</w:t>
      </w:r>
      <w:r>
        <w:rPr>
          <w:rFonts w:hint="eastAsia" w:ascii="宋体" w:hAnsi="宋体" w:eastAsia="宋体" w:cs="宋体"/>
          <w:color w:val="333333"/>
          <w:kern w:val="0"/>
          <w:sz w:val="24"/>
          <w:szCs w:val="24"/>
          <w:lang w:val="en-US" w:eastAsia="zh-CN" w:bidi="ar"/>
        </w:rPr>
        <w:t xml:space="preserve"> </w:t>
      </w:r>
    </w:p>
    <w:tbl>
      <w:tblPr>
        <w:tblStyle w:val="4"/>
        <w:tblW w:w="9748"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31" w:type="dxa"/>
            <w:gridSpan w:val="3"/>
            <w:vMerge w:val="restart"/>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r>
              <w:rPr>
                <w:rFonts w:hint="eastAsia" w:ascii="宋体" w:hAnsi="宋体" w:eastAsia="宋体" w:cs="宋体"/>
                <w:kern w:val="0"/>
                <w:sz w:val="24"/>
                <w:szCs w:val="24"/>
                <w:lang w:val="en-US" w:eastAsia="zh-CN" w:bidi="ar"/>
              </w:rPr>
              <w:t xml:space="preserve"> </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申请人情况</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single" w:color="auto" w:sz="2" w:space="0"/>
              <w:left w:val="single" w:color="auto" w:sz="2"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自然人</w:t>
            </w:r>
            <w:r>
              <w:rPr>
                <w:rFonts w:hint="eastAsia" w:ascii="宋体" w:hAnsi="宋体" w:eastAsia="宋体" w:cs="宋体"/>
                <w:kern w:val="0"/>
                <w:sz w:val="24"/>
                <w:szCs w:val="24"/>
                <w:lang w:val="en-US" w:eastAsia="zh-CN" w:bidi="ar"/>
              </w:rPr>
              <w:t xml:space="preserve"> </w:t>
            </w:r>
          </w:p>
        </w:tc>
        <w:tc>
          <w:tcPr>
            <w:tcW w:w="3440" w:type="dxa"/>
            <w:gridSpan w:val="5"/>
            <w:tcBorders>
              <w:top w:val="single" w:color="auto" w:sz="8" w:space="0"/>
              <w:left w:val="single" w:color="auto" w:sz="2"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法人或其他组织</w:t>
            </w:r>
            <w:r>
              <w:rPr>
                <w:rFonts w:hint="eastAsia" w:ascii="宋体" w:hAnsi="宋体" w:eastAsia="宋体" w:cs="宋体"/>
                <w:kern w:val="0"/>
                <w:sz w:val="24"/>
                <w:szCs w:val="24"/>
                <w:lang w:val="en-US" w:eastAsia="zh-CN" w:bidi="ar"/>
              </w:rPr>
              <w:t xml:space="preserve"> </w:t>
            </w:r>
          </w:p>
        </w:tc>
        <w:tc>
          <w:tcPr>
            <w:tcW w:w="689" w:type="dxa"/>
            <w:vMerge w:val="restart"/>
            <w:tcBorders>
              <w:top w:val="single" w:color="auto" w:sz="8" w:space="0"/>
              <w:left w:val="single" w:color="auto" w:sz="2"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总计</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single" w:color="auto" w:sz="2" w:space="0"/>
              <w:left w:val="single" w:color="auto" w:sz="2" w:space="0"/>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single" w:color="auto" w:sz="2" w:space="0"/>
              <w:left w:val="single" w:color="auto" w:sz="2"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商业</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企业</w:t>
            </w:r>
            <w:r>
              <w:rPr>
                <w:rFonts w:hint="eastAsia" w:ascii="宋体" w:hAnsi="宋体" w:eastAsia="宋体" w:cs="宋体"/>
                <w:kern w:val="0"/>
                <w:sz w:val="24"/>
                <w:szCs w:val="24"/>
                <w:lang w:val="en-US" w:eastAsia="zh-CN" w:bidi="ar"/>
              </w:rPr>
              <w:t xml:space="preserve"> </w:t>
            </w:r>
          </w:p>
        </w:tc>
        <w:tc>
          <w:tcPr>
            <w:tcW w:w="688" w:type="dxa"/>
            <w:tcBorders>
              <w:top w:val="single" w:color="auto" w:sz="2" w:space="0"/>
              <w:left w:val="single" w:color="auto" w:sz="2"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科研</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机构</w:t>
            </w:r>
            <w:r>
              <w:rPr>
                <w:rFonts w:hint="eastAsia" w:ascii="宋体" w:hAnsi="宋体" w:eastAsia="宋体" w:cs="宋体"/>
                <w:kern w:val="0"/>
                <w:sz w:val="24"/>
                <w:szCs w:val="24"/>
                <w:lang w:val="en-US" w:eastAsia="zh-CN" w:bidi="ar"/>
              </w:rPr>
              <w:t xml:space="preserve"> </w:t>
            </w:r>
          </w:p>
        </w:tc>
        <w:tc>
          <w:tcPr>
            <w:tcW w:w="688" w:type="dxa"/>
            <w:tcBorders>
              <w:top w:val="single" w:color="auto" w:sz="8" w:space="0"/>
              <w:left w:val="single" w:color="auto" w:sz="2"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社会公益组织</w:t>
            </w:r>
            <w:r>
              <w:rPr>
                <w:rFonts w:hint="eastAsia" w:ascii="宋体" w:hAnsi="宋体" w:eastAsia="宋体" w:cs="宋体"/>
                <w:kern w:val="0"/>
                <w:sz w:val="24"/>
                <w:szCs w:val="24"/>
                <w:lang w:val="en-US" w:eastAsia="zh-CN" w:bidi="ar"/>
              </w:rPr>
              <w:t xml:space="preserve"> </w:t>
            </w:r>
          </w:p>
        </w:tc>
        <w:tc>
          <w:tcPr>
            <w:tcW w:w="688" w:type="dxa"/>
            <w:tcBorders>
              <w:top w:val="single" w:color="auto" w:sz="8" w:space="0"/>
              <w:left w:val="single" w:color="auto" w:sz="2"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法律服务机构</w:t>
            </w:r>
            <w:r>
              <w:rPr>
                <w:rFonts w:hint="eastAsia" w:ascii="宋体" w:hAnsi="宋体" w:eastAsia="宋体" w:cs="宋体"/>
                <w:kern w:val="0"/>
                <w:sz w:val="24"/>
                <w:szCs w:val="24"/>
                <w:lang w:val="en-US" w:eastAsia="zh-CN" w:bidi="ar"/>
              </w:rPr>
              <w:t xml:space="preserve"> </w:t>
            </w:r>
          </w:p>
        </w:tc>
        <w:tc>
          <w:tcPr>
            <w:tcW w:w="688" w:type="dxa"/>
            <w:tcBorders>
              <w:top w:val="single" w:color="auto" w:sz="8" w:space="0"/>
              <w:left w:val="single" w:color="auto" w:sz="2"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4"/>
                <w:szCs w:val="24"/>
                <w:lang w:val="en-US" w:eastAsia="zh-CN" w:bidi="ar"/>
              </w:rPr>
              <w:t xml:space="preserve"> </w:t>
            </w:r>
          </w:p>
        </w:tc>
        <w:tc>
          <w:tcPr>
            <w:tcW w:w="689" w:type="dxa"/>
            <w:vMerge w:val="continue"/>
            <w:tcBorders>
              <w:top w:val="single" w:color="auto" w:sz="8"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一、本年新收政府信息公开申请数量</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二、上年结转政府信息公开申请数量</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8" w:type="dxa"/>
            <w:vMerge w:val="restart"/>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三、本年度办理结果</w:t>
            </w:r>
            <w:r>
              <w:rPr>
                <w:rFonts w:hint="eastAsia" w:ascii="宋体" w:hAnsi="宋体" w:eastAsia="宋体" w:cs="宋体"/>
                <w:kern w:val="0"/>
                <w:sz w:val="24"/>
                <w:szCs w:val="24"/>
                <w:lang w:val="en-US" w:eastAsia="zh-CN" w:bidi="ar"/>
              </w:rPr>
              <w:t xml:space="preserve"> </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（一）予以公开</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（三）不予公开</w:t>
            </w:r>
            <w:r>
              <w:rPr>
                <w:rFonts w:hint="eastAsia" w:ascii="宋体" w:hAnsi="宋体" w:eastAsia="宋体" w:cs="宋体"/>
                <w:kern w:val="0"/>
                <w:sz w:val="24"/>
                <w:szCs w:val="24"/>
                <w:lang w:val="en-US" w:eastAsia="zh-CN" w:bidi="ar"/>
              </w:rPr>
              <w:t xml:space="preserve"> </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1.属于国家秘密</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2.其他法律行政法规禁止公开</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3.危及“三安全一稳定”</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4.保护第三方合法权益</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5.属于三类内部事务信息</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6.属于四类过程性信息</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7.属于行政执法案卷</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8.属于行政查询事项</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（四）无法提供</w:t>
            </w:r>
            <w:r>
              <w:rPr>
                <w:rFonts w:hint="eastAsia" w:ascii="宋体" w:hAnsi="宋体" w:eastAsia="宋体" w:cs="宋体"/>
                <w:kern w:val="0"/>
                <w:sz w:val="24"/>
                <w:szCs w:val="24"/>
                <w:lang w:val="en-US" w:eastAsia="zh-CN" w:bidi="ar"/>
              </w:rPr>
              <w:t xml:space="preserve"> </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1.本机关不掌握相关政府信息</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2.没有现成信息需要另行制作</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3.补正后申请内容仍不明确</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（五）不予处理</w:t>
            </w:r>
            <w:r>
              <w:rPr>
                <w:rFonts w:hint="eastAsia" w:ascii="宋体" w:hAnsi="宋体" w:eastAsia="宋体" w:cs="宋体"/>
                <w:kern w:val="0"/>
                <w:sz w:val="24"/>
                <w:szCs w:val="24"/>
                <w:lang w:val="en-US" w:eastAsia="zh-CN" w:bidi="ar"/>
              </w:rPr>
              <w:t xml:space="preserve"> </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1.信访举报投诉类申请</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2.重复申请</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3.要求提供公开出版物</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4.无正当理由大量反复申请</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9" w:hRule="atLeast"/>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5.要求行政机关确认或重新出具已获取信息</w:t>
            </w:r>
            <w:r>
              <w:rPr>
                <w:rFonts w:hint="eastAsia" w:ascii="宋体" w:hAnsi="宋体" w:eastAsia="宋体" w:cs="宋体"/>
                <w:kern w:val="0"/>
                <w:sz w:val="24"/>
                <w:szCs w:val="24"/>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single" w:color="auto" w:sz="2"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（六）其他处理</w:t>
            </w:r>
            <w:r>
              <w:rPr>
                <w:rFonts w:hint="eastAsia" w:ascii="宋体" w:hAnsi="宋体" w:eastAsia="宋体" w:cs="宋体"/>
                <w:kern w:val="0"/>
                <w:sz w:val="24"/>
                <w:szCs w:val="24"/>
                <w:lang w:val="en-US" w:eastAsia="zh-CN" w:bidi="ar"/>
              </w:rPr>
              <w:t xml:space="preserve"> </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1.申请人无正当理由逾期不补正、行政机关不再处理其政府信息公开申请</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2.申请人逾期未按收费通知要求缴纳费用、行政机关不再处理其政府信息公开申请</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3.其他</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（七）总计</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四、结转下年度继续办理</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r>
    </w:tbl>
    <w:p>
      <w:pPr>
        <w:keepNext w:val="0"/>
        <w:keepLines w:val="0"/>
        <w:widowControl/>
        <w:suppressLineNumbers w:val="0"/>
        <w:jc w:val="left"/>
      </w:pPr>
      <w:r>
        <w:rPr>
          <w:rFonts w:ascii="宋体" w:hAnsi="宋体" w:eastAsia="宋体" w:cs="宋体"/>
          <w:kern w:val="0"/>
          <w:sz w:val="32"/>
          <w:szCs w:val="32"/>
          <w:lang w:val="en-US" w:eastAsia="zh-CN" w:bidi="ar"/>
        </w:rPr>
        <w:t> </w:t>
      </w:r>
      <w:r>
        <w:rPr>
          <w:rFonts w:ascii="宋体" w:hAnsi="宋体" w:eastAsia="宋体" w:cs="宋体"/>
          <w:kern w:val="0"/>
          <w:sz w:val="24"/>
          <w:szCs w:val="24"/>
          <w:lang w:val="en-US" w:eastAsia="zh-CN" w:bidi="ar"/>
        </w:rPr>
        <w:t xml:space="preserve"> </w:t>
      </w:r>
    </w:p>
    <w:p>
      <w:pPr>
        <w:keepNext w:val="0"/>
        <w:keepLines w:val="0"/>
        <w:widowControl/>
        <w:suppressLineNumbers w:val="0"/>
        <w:shd w:val="clear" w:fill="FFFFFF"/>
        <w:spacing w:before="0" w:beforeAutospacing="1" w:after="0" w:afterAutospacing="1"/>
        <w:ind w:left="0" w:right="0" w:firstLine="480"/>
        <w:jc w:val="left"/>
      </w:pPr>
    </w:p>
    <w:p>
      <w:pPr>
        <w:keepNext w:val="0"/>
        <w:keepLines w:val="0"/>
        <w:widowControl/>
        <w:suppressLineNumbers w:val="0"/>
        <w:shd w:val="clear" w:fill="FFFFFF"/>
        <w:spacing w:before="0" w:beforeAutospacing="1" w:after="0" w:afterAutospacing="1"/>
        <w:ind w:left="0" w:right="0"/>
        <w:jc w:val="left"/>
      </w:pPr>
      <w:r>
        <w:rPr>
          <w:rFonts w:hint="eastAsia" w:ascii="宋体" w:hAnsi="宋体" w:eastAsia="宋体" w:cs="宋体"/>
          <w:b/>
          <w:bCs/>
          <w:color w:val="333333"/>
          <w:kern w:val="0"/>
          <w:sz w:val="24"/>
          <w:szCs w:val="24"/>
          <w:shd w:val="clear" w:fill="FFFFFF"/>
          <w:lang w:val="en-US" w:eastAsia="zh-CN" w:bidi="ar"/>
        </w:rPr>
        <w:t>  四、政府信息公开行政复议、行政诉讼情况</w:t>
      </w:r>
      <w:r>
        <w:rPr>
          <w:rFonts w:hint="eastAsia" w:ascii="宋体" w:hAnsi="宋体" w:eastAsia="宋体" w:cs="宋体"/>
          <w:color w:val="333333"/>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1" w:after="0" w:afterAutospacing="1"/>
        <w:ind w:left="0" w:right="0"/>
        <w:jc w:val="center"/>
      </w:pPr>
      <w:r>
        <w:rPr>
          <w:rFonts w:hint="eastAsia" w:ascii="宋体" w:hAnsi="宋体" w:eastAsia="宋体" w:cs="宋体"/>
          <w:color w:val="333333"/>
          <w:kern w:val="0"/>
          <w:sz w:val="24"/>
          <w:szCs w:val="24"/>
          <w:shd w:val="clear" w:fill="FFFFFF"/>
          <w:lang w:val="en-US" w:eastAsia="zh-CN" w:bidi="ar"/>
        </w:rPr>
        <w:t xml:space="preserve">  </w:t>
      </w:r>
    </w:p>
    <w:tbl>
      <w:tblPr>
        <w:tblStyle w:val="4"/>
        <w:tblW w:w="97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行政复议</w:t>
            </w:r>
            <w:r>
              <w:rPr>
                <w:rFonts w:hint="eastAsia" w:ascii="宋体" w:hAnsi="宋体" w:eastAsia="宋体" w:cs="宋体"/>
                <w:kern w:val="0"/>
                <w:sz w:val="24"/>
                <w:szCs w:val="24"/>
                <w:lang w:val="en-US" w:eastAsia="zh-CN" w:bidi="ar"/>
              </w:rPr>
              <w:t xml:space="preserve"> </w:t>
            </w:r>
          </w:p>
        </w:tc>
        <w:tc>
          <w:tcPr>
            <w:tcW w:w="6428"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行政诉讼</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结果维持</w:t>
            </w:r>
            <w:r>
              <w:rPr>
                <w:rFonts w:hint="eastAsia" w:ascii="宋体" w:hAnsi="宋体" w:eastAsia="宋体" w:cs="宋体"/>
                <w:kern w:val="0"/>
                <w:sz w:val="24"/>
                <w:szCs w:val="24"/>
                <w:lang w:val="en-US" w:eastAsia="zh-CN" w:bidi="ar"/>
              </w:rPr>
              <w:t xml:space="preserve"> </w:t>
            </w:r>
          </w:p>
        </w:tc>
        <w:tc>
          <w:tcPr>
            <w:tcW w:w="64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纠正</w:t>
            </w:r>
            <w:r>
              <w:rPr>
                <w:rFonts w:hint="eastAsia" w:ascii="宋体" w:hAnsi="宋体" w:eastAsia="宋体" w:cs="宋体"/>
                <w:kern w:val="0"/>
                <w:sz w:val="24"/>
                <w:szCs w:val="24"/>
                <w:lang w:val="en-US" w:eastAsia="zh-CN" w:bidi="ar"/>
              </w:rPr>
              <w:t xml:space="preserve"> </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4"/>
                <w:szCs w:val="24"/>
                <w:lang w:val="en-US" w:eastAsia="zh-CN" w:bidi="ar"/>
              </w:rPr>
              <w:t xml:space="preserve"> </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审结</w:t>
            </w:r>
            <w:r>
              <w:rPr>
                <w:rFonts w:hint="eastAsia" w:ascii="宋体" w:hAnsi="宋体" w:eastAsia="宋体" w:cs="宋体"/>
                <w:kern w:val="0"/>
                <w:sz w:val="24"/>
                <w:szCs w:val="24"/>
                <w:lang w:val="en-US" w:eastAsia="zh-CN" w:bidi="ar"/>
              </w:rPr>
              <w:t xml:space="preserve"> </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总计</w:t>
            </w:r>
            <w:r>
              <w:rPr>
                <w:rFonts w:hint="eastAsia" w:ascii="宋体" w:hAnsi="宋体" w:eastAsia="宋体" w:cs="宋体"/>
                <w:kern w:val="0"/>
                <w:sz w:val="24"/>
                <w:szCs w:val="24"/>
                <w:lang w:val="en-US" w:eastAsia="zh-CN" w:bidi="ar"/>
              </w:rPr>
              <w:t xml:space="preserve"> </w:t>
            </w:r>
          </w:p>
        </w:tc>
        <w:tc>
          <w:tcPr>
            <w:tcW w:w="3213"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未经复议直接起诉</w:t>
            </w:r>
            <w:r>
              <w:rPr>
                <w:rFonts w:hint="eastAsia" w:ascii="宋体" w:hAnsi="宋体" w:eastAsia="宋体" w:cs="宋体"/>
                <w:kern w:val="0"/>
                <w:sz w:val="24"/>
                <w:szCs w:val="24"/>
                <w:lang w:val="en-US" w:eastAsia="zh-CN" w:bidi="ar"/>
              </w:rPr>
              <w:t xml:space="preserve"> </w:t>
            </w:r>
          </w:p>
        </w:tc>
        <w:tc>
          <w:tcPr>
            <w:tcW w:w="321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复议后起诉</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维持</w:t>
            </w:r>
            <w:r>
              <w:rPr>
                <w:rFonts w:hint="eastAsia" w:ascii="宋体" w:hAnsi="宋体" w:eastAsia="宋体" w:cs="宋体"/>
                <w:kern w:val="0"/>
                <w:sz w:val="24"/>
                <w:szCs w:val="24"/>
                <w:lang w:val="en-US" w:eastAsia="zh-CN" w:bidi="ar"/>
              </w:rPr>
              <w:t xml:space="preserve"> </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纠正</w:t>
            </w:r>
            <w:r>
              <w:rPr>
                <w:rFonts w:hint="eastAsia" w:ascii="宋体" w:hAnsi="宋体" w:eastAsia="宋体" w:cs="宋体"/>
                <w:kern w:val="0"/>
                <w:sz w:val="24"/>
                <w:szCs w:val="24"/>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4"/>
                <w:szCs w:val="24"/>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审结</w:t>
            </w:r>
            <w:r>
              <w:rPr>
                <w:rFonts w:hint="eastAsia" w:ascii="宋体" w:hAnsi="宋体" w:eastAsia="宋体" w:cs="宋体"/>
                <w:kern w:val="0"/>
                <w:sz w:val="24"/>
                <w:szCs w:val="24"/>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总计</w:t>
            </w:r>
            <w:r>
              <w:rPr>
                <w:rFonts w:hint="eastAsia" w:ascii="宋体" w:hAnsi="宋体" w:eastAsia="宋体" w:cs="宋体"/>
                <w:kern w:val="0"/>
                <w:sz w:val="24"/>
                <w:szCs w:val="24"/>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维持</w:t>
            </w:r>
            <w:r>
              <w:rPr>
                <w:rFonts w:hint="eastAsia" w:ascii="宋体" w:hAnsi="宋体" w:eastAsia="宋体" w:cs="宋体"/>
                <w:kern w:val="0"/>
                <w:sz w:val="24"/>
                <w:szCs w:val="24"/>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纠正</w:t>
            </w:r>
            <w:r>
              <w:rPr>
                <w:rFonts w:hint="eastAsia" w:ascii="宋体" w:hAnsi="宋体" w:eastAsia="宋体" w:cs="宋体"/>
                <w:kern w:val="0"/>
                <w:sz w:val="24"/>
                <w:szCs w:val="24"/>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结果</w:t>
            </w:r>
            <w:r>
              <w:rPr>
                <w:rFonts w:hint="eastAsia" w:ascii="宋体" w:hAnsi="宋体" w:eastAsia="宋体" w:cs="宋体"/>
                <w:kern w:val="0"/>
                <w:sz w:val="24"/>
                <w:szCs w:val="24"/>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审结</w:t>
            </w:r>
            <w:r>
              <w:rPr>
                <w:rFonts w:hint="eastAsia" w:ascii="宋体" w:hAnsi="宋体" w:eastAsia="宋体" w:cs="宋体"/>
                <w:kern w:val="0"/>
                <w:sz w:val="24"/>
                <w:szCs w:val="24"/>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总计</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xml:space="preserve">0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r>
        <w:rPr>
          <w:rFonts w:hint="eastAsia" w:ascii="宋体" w:hAnsi="宋体" w:eastAsia="宋体" w:cs="宋体"/>
          <w:i w:val="0"/>
          <w:iCs w:val="0"/>
          <w:caps w:val="0"/>
          <w:color w:val="333333"/>
          <w:spacing w:val="0"/>
          <w:kern w:val="2"/>
          <w:sz w:val="32"/>
          <w:szCs w:val="32"/>
          <w:shd w:val="clear" w:fill="FFFFFF"/>
          <w:lang w:val="en-US" w:eastAsia="zh-CN" w:bidi="ar"/>
        </w:rPr>
        <w:t> </w:t>
      </w:r>
      <w:r>
        <w:rPr>
          <w:rFonts w:hint="default" w:ascii="Calibri" w:hAnsi="Calibri" w:eastAsia="宋体" w:cs="Times New Roman"/>
          <w:kern w:val="2"/>
          <w:sz w:val="21"/>
          <w:szCs w:val="21"/>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黑体" w:hAnsi="宋体" w:eastAsia="黑体" w:cs="黑体"/>
          <w:b w:val="0"/>
          <w:bCs w:val="0"/>
          <w:i w:val="0"/>
          <w:iCs w:val="0"/>
          <w:caps w:val="0"/>
          <w:color w:val="333333"/>
          <w:spacing w:val="0"/>
          <w:kern w:val="0"/>
          <w:sz w:val="32"/>
          <w:szCs w:val="32"/>
          <w:shd w:val="clear" w:fill="FFFFFF"/>
          <w:lang w:val="en-US" w:eastAsia="zh-CN" w:bidi="ar"/>
        </w:rPr>
        <w:t>五、存在的主要问题及改进情况</w:t>
      </w:r>
      <w:r>
        <w:rPr>
          <w:rFonts w:hint="default" w:ascii="Calibri" w:hAnsi="Calibri" w:eastAsia="宋体" w:cs="Times New Roman"/>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eastAsia" w:ascii="宋体" w:hAnsi="宋体" w:eastAsia="宋体" w:cs="宋体"/>
          <w:i w:val="0"/>
          <w:iCs w:val="0"/>
          <w:caps w:val="0"/>
          <w:color w:val="000000"/>
          <w:spacing w:val="0"/>
          <w:kern w:val="0"/>
          <w:sz w:val="32"/>
          <w:szCs w:val="32"/>
          <w:shd w:val="clear" w:fill="FFFFFF"/>
          <w:lang w:val="en-US" w:eastAsia="zh-CN" w:bidi="ar"/>
        </w:rPr>
      </w:pPr>
      <w:r>
        <w:rPr>
          <w:rFonts w:hint="eastAsia" w:ascii="宋体" w:hAnsi="宋体" w:eastAsia="宋体" w:cs="宋体"/>
          <w:i w:val="0"/>
          <w:iCs w:val="0"/>
          <w:caps w:val="0"/>
          <w:color w:val="000000"/>
          <w:spacing w:val="0"/>
          <w:kern w:val="0"/>
          <w:sz w:val="32"/>
          <w:szCs w:val="32"/>
          <w:shd w:val="clear" w:fill="FFFFFF"/>
          <w:lang w:val="en-US" w:eastAsia="zh-CN" w:bidi="ar"/>
        </w:rPr>
        <w:t>    2021年，我局政务信息公开工作取得了一定成效，但仍存在问题，信息公开内容有待深化，在创新公开渠道和方式上有待改进。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宋体" w:hAnsi="宋体" w:eastAsia="宋体" w:cs="宋体"/>
          <w:i w:val="0"/>
          <w:iCs w:val="0"/>
          <w:caps w:val="0"/>
          <w:color w:val="000000"/>
          <w:spacing w:val="0"/>
          <w:kern w:val="0"/>
          <w:sz w:val="32"/>
          <w:szCs w:val="32"/>
          <w:shd w:val="clear" w:fill="FFFFFF"/>
          <w:lang w:val="en-US" w:eastAsia="zh-CN" w:bidi="ar"/>
        </w:rPr>
      </w:pPr>
      <w:r>
        <w:rPr>
          <w:rFonts w:hint="eastAsia" w:ascii="宋体" w:hAnsi="宋体" w:eastAsia="宋体" w:cs="宋体"/>
          <w:i w:val="0"/>
          <w:iCs w:val="0"/>
          <w:caps w:val="0"/>
          <w:color w:val="000000"/>
          <w:spacing w:val="0"/>
          <w:kern w:val="0"/>
          <w:sz w:val="32"/>
          <w:szCs w:val="32"/>
          <w:shd w:val="clear" w:fill="FFFFFF"/>
          <w:lang w:val="en-US" w:eastAsia="zh-CN" w:bidi="ar"/>
        </w:rPr>
        <w:t>下一步我局将充分发挥现代传媒尤其是网络、手机和微信公众号平台、短信等在政府信息公开中的作用，让更多群众了解支持城市管理工作。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pPr>
      <w:r>
        <w:rPr>
          <w:rFonts w:hint="eastAsia" w:ascii="黑体" w:hAnsi="宋体" w:eastAsia="黑体" w:cs="黑体"/>
          <w:b w:val="0"/>
          <w:bCs w:val="0"/>
          <w:i w:val="0"/>
          <w:iCs w:val="0"/>
          <w:caps w:val="0"/>
          <w:color w:val="333333"/>
          <w:spacing w:val="0"/>
          <w:kern w:val="0"/>
          <w:sz w:val="32"/>
          <w:szCs w:val="32"/>
          <w:shd w:val="clear" w:fill="FFFFFF"/>
          <w:lang w:val="en-US" w:eastAsia="zh-CN" w:bidi="ar"/>
        </w:rPr>
        <w:t>六、其他需要报告的事项</w:t>
      </w:r>
      <w:r>
        <w:rPr>
          <w:rFonts w:hint="default" w:ascii="Calibri" w:hAnsi="Calibri" w:eastAsia="宋体" w:cs="Times New Roman"/>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000000"/>
          <w:spacing w:val="0"/>
          <w:kern w:val="0"/>
          <w:sz w:val="32"/>
          <w:szCs w:val="32"/>
          <w:shd w:val="clear" w:fill="FFFFFF"/>
          <w:lang w:val="en-US" w:eastAsia="zh-CN" w:bidi="ar"/>
        </w:rPr>
      </w:pPr>
      <w:r>
        <w:rPr>
          <w:rFonts w:hint="eastAsia" w:ascii="宋体" w:hAnsi="宋体" w:eastAsia="宋体" w:cs="宋体"/>
          <w:i w:val="0"/>
          <w:iCs w:val="0"/>
          <w:caps w:val="0"/>
          <w:color w:val="000000"/>
          <w:spacing w:val="0"/>
          <w:kern w:val="0"/>
          <w:sz w:val="32"/>
          <w:szCs w:val="32"/>
          <w:shd w:val="clear" w:fill="FFFFFF"/>
          <w:lang w:val="en-US" w:eastAsia="zh-CN" w:bidi="ar"/>
        </w:rPr>
        <w:t>2021年度，本机关无收取信息处理费情况。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宋体" w:hAnsi="宋体" w:eastAsia="宋体" w:cs="宋体"/>
          <w:i w:val="0"/>
          <w:iCs w:val="0"/>
          <w:caps w:val="0"/>
          <w:color w:val="000000"/>
          <w:spacing w:val="0"/>
          <w:kern w:val="0"/>
          <w:sz w:val="32"/>
          <w:szCs w:val="32"/>
          <w:shd w:val="clear" w:fill="FFFFFF"/>
          <w:lang w:val="en-US" w:eastAsia="zh-CN" w:bidi="ar"/>
        </w:rPr>
        <w:t>如需了解更多政府信息，</w:t>
      </w:r>
      <w:r>
        <w:rPr>
          <w:caps w:val="0"/>
          <w:color w:val="000000"/>
          <w:spacing w:val="0"/>
          <w:kern w:val="0"/>
          <w:sz w:val="32"/>
          <w:szCs w:val="32"/>
          <w:shd w:val="clear" w:fill="FFFFFF"/>
          <w:lang w:val="en-US" w:eastAsia="zh-CN" w:bidi="ar"/>
        </w:rPr>
        <w:t>请登录上高县人民政府网（http://www.shanggao.gov.cn）查询。</w:t>
      </w:r>
    </w:p>
    <w:p>
      <w:pPr>
        <w:keepNext w:val="0"/>
        <w:keepLines w:val="0"/>
        <w:widowControl/>
        <w:suppressLineNumbers w:val="0"/>
        <w:spacing w:before="0" w:beforeAutospacing="1" w:after="0" w:afterAutospacing="1"/>
        <w:ind w:left="0" w:right="0"/>
        <w:jc w:val="left"/>
      </w:pPr>
    </w:p>
    <w:p>
      <w:pPr>
        <w:keepNext w:val="0"/>
        <w:keepLines w:val="0"/>
        <w:widowControl/>
        <w:suppressLineNumbers w:val="0"/>
        <w:spacing w:before="0" w:beforeAutospacing="1" w:after="0" w:afterAutospacing="1"/>
        <w:ind w:left="0" w:right="0"/>
        <w:jc w:val="left"/>
      </w:pPr>
    </w:p>
    <w:p>
      <w:pPr>
        <w:keepNext w:val="0"/>
        <w:keepLines w:val="0"/>
        <w:widowControl/>
        <w:suppressLineNumbers w:val="0"/>
        <w:spacing w:before="0" w:beforeAutospacing="1" w:after="0" w:afterAutospacing="1"/>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mZGJkZGIxMTdiYjFhZGZlYTFmNTI2MTJlNTI2MTIifQ=="/>
  </w:docVars>
  <w:rsids>
    <w:rsidRoot w:val="34274DC5"/>
    <w:rsid w:val="03116E2E"/>
    <w:rsid w:val="0C7C2C2E"/>
    <w:rsid w:val="1AAA24C7"/>
    <w:rsid w:val="22E303FE"/>
    <w:rsid w:val="2C060492"/>
    <w:rsid w:val="33A53D1B"/>
    <w:rsid w:val="34274DC5"/>
    <w:rsid w:val="38E662DC"/>
    <w:rsid w:val="609F20C9"/>
    <w:rsid w:val="60C65768"/>
    <w:rsid w:val="6B99520C"/>
    <w:rsid w:val="6EEC26F3"/>
    <w:rsid w:val="759254FF"/>
    <w:rsid w:val="77076470"/>
    <w:rsid w:val="78775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2544</Words>
  <Characters>2877</Characters>
  <Lines>0</Lines>
  <Paragraphs>0</Paragraphs>
  <TotalTime>31</TotalTime>
  <ScaleCrop>false</ScaleCrop>
  <LinksUpToDate>false</LinksUpToDate>
  <CharactersWithSpaces>3195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2022-06-17T09:05:00Z</dcterms:created>
  <dc:creator>旎旎</dc:creator>
  <cp:lastModifiedBy>murmur-Liu</cp:lastModifiedBy>
  <dcterms:modified xsi:type="dcterms:W3CDTF">2023-12-22T07:00:57Z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44BF3362515C491BA23F21FA69A5157F</vt:lpwstr>
  </property>
</Properties>
</file>