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883" w:firstLineChars="200"/>
        <w:jc w:val="center"/>
        <w:rPr>
          <w:rFonts w:hint="eastAsia" w:ascii="仿宋" w:hAnsi="仿宋" w:eastAsia="仿宋" w:cs="仿宋"/>
          <w:b/>
          <w:bCs/>
          <w:i w:val="0"/>
          <w:iCs w:val="0"/>
          <w:caps w:val="0"/>
          <w:spacing w:val="0"/>
          <w:kern w:val="0"/>
          <w:sz w:val="44"/>
          <w:szCs w:val="44"/>
          <w:bdr w:val="none" w:color="auto" w:sz="0" w:space="0"/>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883" w:firstLineChars="200"/>
        <w:jc w:val="center"/>
        <w:rPr>
          <w:rFonts w:ascii="仿宋" w:hAnsi="仿宋" w:eastAsia="仿宋" w:cs="仿宋"/>
          <w:b/>
          <w:bCs/>
          <w:i w:val="0"/>
          <w:iCs w:val="0"/>
          <w:caps w:val="0"/>
          <w:spacing w:val="0"/>
          <w:kern w:val="0"/>
          <w:sz w:val="44"/>
          <w:szCs w:val="44"/>
          <w:bdr w:val="none" w:color="auto" w:sz="0" w:space="0"/>
          <w:shd w:val="clear" w:fill="FFFFFF"/>
          <w:lang w:val="en-US" w:eastAsia="zh-CN" w:bidi="ar"/>
        </w:rPr>
      </w:pPr>
      <w:bookmarkStart w:id="0" w:name="_GoBack"/>
      <w:bookmarkEnd w:id="0"/>
      <w:r>
        <w:rPr>
          <w:rFonts w:hint="eastAsia" w:ascii="仿宋" w:hAnsi="仿宋" w:eastAsia="仿宋" w:cs="仿宋"/>
          <w:b/>
          <w:bCs/>
          <w:i w:val="0"/>
          <w:iCs w:val="0"/>
          <w:caps w:val="0"/>
          <w:spacing w:val="0"/>
          <w:kern w:val="0"/>
          <w:sz w:val="44"/>
          <w:szCs w:val="44"/>
          <w:bdr w:val="none" w:color="auto" w:sz="0" w:space="0"/>
          <w:shd w:val="clear" w:fill="FFFFFF"/>
          <w:lang w:val="en-US" w:eastAsia="zh-CN" w:bidi="ar"/>
        </w:rPr>
        <w:t>上高县乡村振兴局2021年政府信息公开工作年度报告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rPr>
          <w:rFonts w:ascii="仿宋" w:hAnsi="仿宋" w:eastAsia="仿宋" w:cs="仿宋"/>
          <w:i w:val="0"/>
          <w:iCs w:val="0"/>
          <w:caps w:val="0"/>
          <w:spacing w:val="0"/>
          <w:kern w:val="0"/>
          <w:sz w:val="32"/>
          <w:szCs w:val="32"/>
          <w:bdr w:val="none" w:color="auto" w:sz="0" w:space="0"/>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ascii="仿宋" w:hAnsi="仿宋" w:eastAsia="仿宋" w:cs="仿宋"/>
          <w:i w:val="0"/>
          <w:iCs w:val="0"/>
          <w:caps w:val="0"/>
          <w:spacing w:val="0"/>
          <w:kern w:val="0"/>
          <w:sz w:val="32"/>
          <w:szCs w:val="32"/>
          <w:bdr w:val="none" w:color="auto" w:sz="0" w:space="0"/>
          <w:shd w:val="clear" w:fill="FFFFFF"/>
          <w:lang w:val="en-US" w:eastAsia="zh-CN" w:bidi="ar"/>
        </w:rPr>
        <w:t>本报告依据《中华人民共和国政府信息公开条例》（国务院令第</w:t>
      </w:r>
      <w:r>
        <w:rPr>
          <w:rFonts w:hint="eastAsia" w:ascii="仿宋" w:hAnsi="仿宋" w:eastAsia="仿宋" w:cs="仿宋"/>
          <w:i w:val="0"/>
          <w:iCs w:val="0"/>
          <w:caps w:val="0"/>
          <w:spacing w:val="0"/>
          <w:kern w:val="0"/>
          <w:sz w:val="32"/>
          <w:szCs w:val="32"/>
          <w:bdr w:val="none" w:color="auto" w:sz="0" w:space="0"/>
          <w:shd w:val="clear" w:fill="FFFFFF"/>
          <w:lang w:val="en-US" w:eastAsia="zh-CN" w:bidi="ar"/>
        </w:rPr>
        <w:t>711号，以下简称新《条例》）和《国务院办公厅政府信息与政务公开办公室关于政府信息公开工作年度报告有关事项的通知》（国办公开办函〔2019〕60号）要求，由县乡村振兴局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县乡村振兴局工作人员联系（地址：上高县敖阳街道清莲路9号 上高县乡村振兴局，电话：0795-2511217，邮编：336400）。</w:t>
      </w:r>
      <w:r>
        <w:rPr>
          <w:rFonts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ascii="黑体" w:hAnsi="宋体" w:eastAsia="黑体" w:cs="黑体"/>
          <w:i w:val="0"/>
          <w:iCs w:val="0"/>
          <w:caps w:val="0"/>
          <w:spacing w:val="0"/>
          <w:kern w:val="0"/>
          <w:sz w:val="32"/>
          <w:szCs w:val="32"/>
          <w:bdr w:val="none" w:color="auto" w:sz="0" w:space="0"/>
          <w:shd w:val="clear" w:fill="FFFFFF"/>
          <w:lang w:val="en-US" w:eastAsia="zh-CN" w:bidi="ar"/>
        </w:rPr>
        <w:t>一、</w:t>
      </w:r>
      <w:r>
        <w:rPr>
          <w:rFonts w:hint="eastAsia" w:ascii="黑体" w:hAnsi="宋体" w:eastAsia="黑体" w:cs="黑体"/>
          <w:i w:val="0"/>
          <w:iCs w:val="0"/>
          <w:caps w:val="0"/>
          <w:spacing w:val="0"/>
          <w:kern w:val="0"/>
          <w:sz w:val="32"/>
          <w:szCs w:val="32"/>
          <w:bdr w:val="none" w:color="auto" w:sz="0" w:space="0"/>
          <w:shd w:val="clear" w:fill="FFFFFF"/>
          <w:lang w:val="en-US" w:eastAsia="zh-CN" w:bidi="ar"/>
        </w:rPr>
        <w:t>总体情况</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ascii="仿宋_GB2312" w:eastAsia="仿宋_GB2312" w:cs="仿宋_GB2312"/>
          <w:i w:val="0"/>
          <w:iCs w:val="0"/>
          <w:caps w:val="0"/>
          <w:spacing w:val="0"/>
          <w:kern w:val="0"/>
          <w:sz w:val="32"/>
          <w:szCs w:val="32"/>
          <w:bdr w:val="none" w:color="auto" w:sz="0" w:space="0"/>
          <w:shd w:val="clear" w:fill="FFFFFF"/>
          <w:lang w:val="en-US" w:eastAsia="zh-CN" w:bidi="ar"/>
        </w:rPr>
        <w:t>202</w:t>
      </w:r>
      <w:r>
        <w:rPr>
          <w:rFonts w:hint="eastAsia" w:ascii="仿宋_GB2312" w:eastAsia="仿宋_GB2312" w:cs="仿宋_GB2312"/>
          <w:i w:val="0"/>
          <w:iCs w:val="0"/>
          <w:caps w:val="0"/>
          <w:spacing w:val="0"/>
          <w:kern w:val="0"/>
          <w:sz w:val="32"/>
          <w:szCs w:val="32"/>
          <w:bdr w:val="none" w:color="auto" w:sz="0" w:space="0"/>
          <w:shd w:val="clear" w:fill="FFFFFF"/>
          <w:lang w:val="en-US" w:eastAsia="zh-CN" w:bidi="ar"/>
        </w:rPr>
        <w:t>1年县乡村振兴局坚持以习近平新时代中国特色社会主义思想为指导，</w:t>
      </w:r>
      <w:r>
        <w:rPr>
          <w:rFonts w:hint="eastAsia" w:ascii="仿宋_GB2312" w:eastAsia="仿宋_GB2312" w:cs="仿宋_GB2312"/>
          <w:i w:val="0"/>
          <w:iCs w:val="0"/>
          <w:caps w:val="0"/>
          <w:color w:val="333333"/>
          <w:spacing w:val="0"/>
          <w:kern w:val="0"/>
          <w:sz w:val="32"/>
          <w:szCs w:val="32"/>
          <w:bdr w:val="none" w:color="auto" w:sz="0" w:space="0"/>
          <w:shd w:val="clear" w:fill="FFFFFF"/>
          <w:lang w:val="en-US" w:eastAsia="zh-CN" w:bidi="ar"/>
        </w:rPr>
        <w:t>坚持以习近平新时代中国特色社会主义思想为指导，全面贯彻党的十九大和十九届二中、三中、四中、五中、六中全会以及中央经济工作会议、中央农村工作会议精神，深入落实习近平总书记视察江西重要讲话精神，严格落实《国务院办公厅印发〈关于全面推进政务公开工作的意见〉实施细则的通知》（国办发〔2016〕80号）的要求，明确目标任务，紧紧围绕省委、省政府中心工作及社会群众关注关切，着力提升政府信息公开质量，推进拓宽政府信息公开渠道，不断增强政府信息公开实效。</w:t>
      </w:r>
      <w:r>
        <w:rPr>
          <w:rFonts w:hint="eastAsia" w:ascii="仿宋_GB2312" w:eastAsia="仿宋_GB2312" w:cs="仿宋_GB2312"/>
          <w:i w:val="0"/>
          <w:iCs w:val="0"/>
          <w:caps w:val="0"/>
          <w:spacing w:val="0"/>
          <w:kern w:val="0"/>
          <w:sz w:val="32"/>
          <w:szCs w:val="32"/>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ascii="楷体" w:hAnsi="楷体" w:eastAsia="楷体" w:cs="楷体"/>
          <w:b/>
          <w:bCs/>
          <w:i w:val="0"/>
          <w:iCs w:val="0"/>
          <w:caps w:val="0"/>
          <w:spacing w:val="0"/>
          <w:kern w:val="0"/>
          <w:sz w:val="32"/>
          <w:szCs w:val="32"/>
          <w:bdr w:val="none" w:color="auto" w:sz="0" w:space="0"/>
          <w:shd w:val="clear" w:fill="FFFFFF"/>
          <w:lang w:val="en-US" w:eastAsia="zh-CN" w:bidi="ar"/>
        </w:rPr>
        <w:t>（一）</w:t>
      </w:r>
      <w:r>
        <w:rPr>
          <w:rFonts w:hint="eastAsia" w:ascii="楷体" w:hAnsi="楷体" w:eastAsia="楷体" w:cs="楷体"/>
          <w:b/>
          <w:bCs/>
          <w:i w:val="0"/>
          <w:iCs w:val="0"/>
          <w:caps w:val="0"/>
          <w:spacing w:val="0"/>
          <w:kern w:val="0"/>
          <w:sz w:val="32"/>
          <w:szCs w:val="32"/>
          <w:bdr w:val="none" w:color="auto" w:sz="0" w:space="0"/>
          <w:shd w:val="clear" w:fill="FFFFFF"/>
          <w:lang w:val="en-US" w:eastAsia="zh-CN" w:bidi="ar"/>
        </w:rPr>
        <w:t>主动公开</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县乡村振兴局在2021年坚持实事求是的原则，保证公开信息的规范性、主动性、及时性、完整性、准确性，主动公开信息共55条，主要包括以下几个方面：</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1.</w:t>
      </w:r>
      <w:r>
        <w:rPr>
          <w:rFonts w:hint="default" w:ascii="Times New Roman" w:hAnsi="Times New Roman" w:eastAsia="仿宋" w:cs="Times New Roman"/>
          <w:i w:val="0"/>
          <w:iCs w:val="0"/>
          <w:caps w:val="0"/>
          <w:spacing w:val="0"/>
          <w:kern w:val="0"/>
          <w:sz w:val="14"/>
          <w:szCs w:val="14"/>
          <w:bdr w:val="none" w:color="auto" w:sz="0" w:space="0"/>
          <w:shd w:val="clear" w:fill="FFFFFF"/>
          <w:lang w:val="en-US" w:eastAsia="zh-CN" w:bidi="ar"/>
        </w:rPr>
        <w:t>    </w:t>
      </w:r>
      <w:r>
        <w:rPr>
          <w:rFonts w:hint="eastAsia" w:ascii="仿宋" w:hAnsi="仿宋" w:eastAsia="仿宋" w:cs="仿宋"/>
          <w:i w:val="0"/>
          <w:iCs w:val="0"/>
          <w:caps w:val="0"/>
          <w:spacing w:val="0"/>
          <w:kern w:val="0"/>
          <w:sz w:val="32"/>
          <w:szCs w:val="32"/>
          <w:bdr w:val="none" w:color="auto" w:sz="0" w:space="0"/>
          <w:shd w:val="clear" w:fill="FFFFFF"/>
          <w:lang w:val="en-US" w:eastAsia="zh-CN" w:bidi="ar"/>
        </w:rPr>
        <w:t>机构设置（主要职责、领导信息、内设机构、工作动态）</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2.</w:t>
      </w:r>
      <w:r>
        <w:rPr>
          <w:rFonts w:hint="default" w:ascii="Times New Roman" w:hAnsi="Times New Roman" w:eastAsia="仿宋" w:cs="Times New Roman"/>
          <w:i w:val="0"/>
          <w:iCs w:val="0"/>
          <w:caps w:val="0"/>
          <w:spacing w:val="0"/>
          <w:kern w:val="0"/>
          <w:sz w:val="14"/>
          <w:szCs w:val="14"/>
          <w:bdr w:val="none" w:color="auto" w:sz="0" w:space="0"/>
          <w:shd w:val="clear" w:fill="FFFFFF"/>
          <w:lang w:val="en-US" w:eastAsia="zh-CN" w:bidi="ar"/>
        </w:rPr>
        <w:t>    </w:t>
      </w:r>
      <w:r>
        <w:rPr>
          <w:rFonts w:hint="eastAsia" w:ascii="仿宋" w:hAnsi="仿宋" w:eastAsia="仿宋" w:cs="仿宋"/>
          <w:i w:val="0"/>
          <w:iCs w:val="0"/>
          <w:caps w:val="0"/>
          <w:spacing w:val="0"/>
          <w:kern w:val="0"/>
          <w:sz w:val="32"/>
          <w:szCs w:val="32"/>
          <w:bdr w:val="none" w:color="auto" w:sz="0" w:space="0"/>
          <w:shd w:val="clear" w:fill="FFFFFF"/>
          <w:lang w:val="en-US" w:eastAsia="zh-CN" w:bidi="ar"/>
        </w:rPr>
        <w:t>财政信息（部门预决算）</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3.</w:t>
      </w:r>
      <w:r>
        <w:rPr>
          <w:rFonts w:hint="default" w:ascii="Times New Roman" w:hAnsi="Times New Roman" w:eastAsia="仿宋" w:cs="Times New Roman"/>
          <w:i w:val="0"/>
          <w:iCs w:val="0"/>
          <w:caps w:val="0"/>
          <w:spacing w:val="0"/>
          <w:kern w:val="0"/>
          <w:sz w:val="14"/>
          <w:szCs w:val="14"/>
          <w:bdr w:val="none" w:color="auto" w:sz="0" w:space="0"/>
          <w:shd w:val="clear" w:fill="FFFFFF"/>
          <w:lang w:val="en-US" w:eastAsia="zh-CN" w:bidi="ar"/>
        </w:rPr>
        <w:t>    </w:t>
      </w:r>
      <w:r>
        <w:rPr>
          <w:rFonts w:hint="eastAsia" w:ascii="仿宋" w:hAnsi="仿宋" w:eastAsia="仿宋" w:cs="仿宋"/>
          <w:i w:val="0"/>
          <w:iCs w:val="0"/>
          <w:caps w:val="0"/>
          <w:spacing w:val="0"/>
          <w:kern w:val="0"/>
          <w:sz w:val="32"/>
          <w:szCs w:val="32"/>
          <w:bdr w:val="none" w:color="auto" w:sz="0" w:space="0"/>
          <w:shd w:val="clear" w:fill="FFFFFF"/>
          <w:lang w:val="en-US" w:eastAsia="zh-CN" w:bidi="ar"/>
        </w:rPr>
        <w:t>三大攻坚战（精准脱贫）</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对于应当主动公开的政府信息，县扶贫办均积极按时按要求予以公开；</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楷体" w:hAnsi="楷体" w:eastAsia="楷体" w:cs="楷体"/>
          <w:b/>
          <w:bCs/>
          <w:i w:val="0"/>
          <w:iCs w:val="0"/>
          <w:caps w:val="0"/>
          <w:spacing w:val="0"/>
          <w:kern w:val="0"/>
          <w:sz w:val="32"/>
          <w:szCs w:val="32"/>
          <w:bdr w:val="none" w:color="auto" w:sz="0" w:space="0"/>
          <w:shd w:val="clear" w:fill="FFFFFF"/>
          <w:lang w:val="en-US" w:eastAsia="zh-CN" w:bidi="ar"/>
        </w:rPr>
        <w:t>（二）依申请公开</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1.</w:t>
      </w:r>
      <w:r>
        <w:rPr>
          <w:rFonts w:hint="default" w:ascii="Times New Roman" w:hAnsi="Times New Roman" w:eastAsia="仿宋" w:cs="Times New Roman"/>
          <w:i w:val="0"/>
          <w:iCs w:val="0"/>
          <w:caps w:val="0"/>
          <w:spacing w:val="0"/>
          <w:kern w:val="0"/>
          <w:sz w:val="14"/>
          <w:szCs w:val="14"/>
          <w:bdr w:val="none" w:color="auto" w:sz="0" w:space="0"/>
          <w:shd w:val="clear" w:fill="FFFFFF"/>
          <w:lang w:val="en-US" w:eastAsia="zh-CN" w:bidi="ar"/>
        </w:rPr>
        <w:t>    </w:t>
      </w:r>
      <w:r>
        <w:rPr>
          <w:rFonts w:hint="eastAsia" w:ascii="仿宋" w:hAnsi="仿宋" w:eastAsia="仿宋" w:cs="仿宋"/>
          <w:i w:val="0"/>
          <w:iCs w:val="0"/>
          <w:caps w:val="0"/>
          <w:spacing w:val="0"/>
          <w:kern w:val="0"/>
          <w:sz w:val="32"/>
          <w:szCs w:val="32"/>
          <w:bdr w:val="none" w:color="auto" w:sz="0" w:space="0"/>
          <w:shd w:val="clear" w:fill="FFFFFF"/>
          <w:lang w:val="en-US" w:eastAsia="zh-CN" w:bidi="ar"/>
        </w:rPr>
        <w:t>对于依申请公开工作，办高度重视，公民、法人和其它组织需要依法获取政府信息的，可“依申请公开”栏目，通过“依申请公开系统”向公开义务人提出申请，经审查同意后在《目录》进行公示。</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2.</w:t>
      </w:r>
      <w:r>
        <w:rPr>
          <w:rFonts w:hint="default" w:ascii="Times New Roman" w:hAnsi="Times New Roman" w:eastAsia="仿宋" w:cs="Times New Roman"/>
          <w:i w:val="0"/>
          <w:iCs w:val="0"/>
          <w:caps w:val="0"/>
          <w:spacing w:val="0"/>
          <w:kern w:val="0"/>
          <w:sz w:val="14"/>
          <w:szCs w:val="14"/>
          <w:bdr w:val="none" w:color="auto" w:sz="0" w:space="0"/>
          <w:shd w:val="clear" w:fill="FFFFFF"/>
          <w:lang w:val="en-US" w:eastAsia="zh-CN" w:bidi="ar"/>
        </w:rPr>
        <w:t>    </w:t>
      </w:r>
      <w:r>
        <w:rPr>
          <w:rFonts w:hint="eastAsia" w:ascii="仿宋" w:hAnsi="仿宋" w:eastAsia="仿宋" w:cs="仿宋"/>
          <w:i w:val="0"/>
          <w:iCs w:val="0"/>
          <w:caps w:val="0"/>
          <w:spacing w:val="0"/>
          <w:kern w:val="0"/>
          <w:sz w:val="32"/>
          <w:szCs w:val="32"/>
          <w:bdr w:val="none" w:color="auto" w:sz="0" w:space="0"/>
          <w:shd w:val="clear" w:fill="FFFFFF"/>
          <w:lang w:val="en-US" w:eastAsia="zh-CN" w:bidi="ar"/>
        </w:rPr>
        <w:t>受理情况分析</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无</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楷体" w:hAnsi="楷体" w:eastAsia="楷体" w:cs="楷体"/>
          <w:b/>
          <w:bCs/>
          <w:i w:val="0"/>
          <w:iCs w:val="0"/>
          <w:caps w:val="0"/>
          <w:spacing w:val="0"/>
          <w:kern w:val="0"/>
          <w:sz w:val="32"/>
          <w:szCs w:val="32"/>
          <w:bdr w:val="none" w:color="auto" w:sz="0" w:space="0"/>
          <w:shd w:val="clear" w:fill="FFFFFF"/>
          <w:lang w:val="en-US" w:eastAsia="zh-CN" w:bidi="ar"/>
        </w:rPr>
        <w:t>（三）政府信息管理</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仿宋" w:hAnsi="仿宋" w:eastAsia="仿宋" w:cs="仿宋"/>
          <w:b/>
          <w:bCs/>
          <w:i w:val="0"/>
          <w:iCs w:val="0"/>
          <w:caps w:val="0"/>
          <w:spacing w:val="0"/>
          <w:kern w:val="0"/>
          <w:sz w:val="32"/>
          <w:szCs w:val="32"/>
          <w:bdr w:val="none" w:color="auto" w:sz="0" w:space="0"/>
          <w:shd w:val="clear" w:fill="FFFFFF"/>
          <w:lang w:val="en-US" w:eastAsia="zh-CN" w:bidi="ar"/>
        </w:rPr>
        <w:t>1.规范公开管理。</w:t>
      </w:r>
      <w:r>
        <w:rPr>
          <w:rFonts w:hint="eastAsia" w:ascii="仿宋" w:hAnsi="仿宋" w:eastAsia="仿宋" w:cs="仿宋"/>
          <w:i w:val="0"/>
          <w:iCs w:val="0"/>
          <w:caps w:val="0"/>
          <w:spacing w:val="0"/>
          <w:kern w:val="0"/>
          <w:sz w:val="32"/>
          <w:szCs w:val="32"/>
          <w:bdr w:val="none" w:color="auto" w:sz="0" w:space="0"/>
          <w:shd w:val="clear" w:fill="FFFFFF"/>
          <w:lang w:val="en-US" w:eastAsia="zh-CN" w:bidi="ar"/>
        </w:rPr>
        <w:t>完善和加强了信息发布的规范化管理，确保发布的信息准确无误，符合公开标准。</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仿宋" w:hAnsi="仿宋" w:eastAsia="仿宋" w:cs="仿宋"/>
          <w:b/>
          <w:bCs/>
          <w:i w:val="0"/>
          <w:iCs w:val="0"/>
          <w:caps w:val="0"/>
          <w:spacing w:val="0"/>
          <w:kern w:val="0"/>
          <w:sz w:val="32"/>
          <w:szCs w:val="32"/>
          <w:bdr w:val="none" w:color="auto" w:sz="0" w:space="0"/>
          <w:shd w:val="clear" w:fill="FFFFFF"/>
          <w:lang w:val="en-US" w:eastAsia="zh-CN" w:bidi="ar"/>
        </w:rPr>
        <w:t>2.加大公开力度。</w:t>
      </w:r>
      <w:r>
        <w:rPr>
          <w:rFonts w:hint="eastAsia" w:ascii="仿宋" w:hAnsi="仿宋" w:eastAsia="仿宋" w:cs="仿宋"/>
          <w:i w:val="0"/>
          <w:iCs w:val="0"/>
          <w:caps w:val="0"/>
          <w:spacing w:val="0"/>
          <w:kern w:val="0"/>
          <w:sz w:val="32"/>
          <w:szCs w:val="32"/>
          <w:bdr w:val="none" w:color="auto" w:sz="0" w:space="0"/>
          <w:shd w:val="clear" w:fill="FFFFFF"/>
          <w:lang w:val="en-US" w:eastAsia="zh-CN" w:bidi="ar"/>
        </w:rPr>
        <w:t>通过对本办需要公开的信息及时进行整理并发布，确保应公开的信息及时公开。</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仿宋" w:hAnsi="仿宋" w:eastAsia="仿宋" w:cs="仿宋"/>
          <w:b/>
          <w:bCs/>
          <w:i w:val="0"/>
          <w:iCs w:val="0"/>
          <w:caps w:val="0"/>
          <w:spacing w:val="0"/>
          <w:kern w:val="0"/>
          <w:sz w:val="32"/>
          <w:szCs w:val="32"/>
          <w:bdr w:val="none" w:color="auto" w:sz="0" w:space="0"/>
          <w:shd w:val="clear" w:fill="FFFFFF"/>
          <w:lang w:val="en-US" w:eastAsia="zh-CN" w:bidi="ar"/>
        </w:rPr>
        <w:t>3.严格公开机制</w:t>
      </w:r>
      <w:r>
        <w:rPr>
          <w:rFonts w:hint="eastAsia" w:ascii="仿宋" w:hAnsi="仿宋" w:eastAsia="仿宋" w:cs="仿宋"/>
          <w:i w:val="0"/>
          <w:iCs w:val="0"/>
          <w:caps w:val="0"/>
          <w:spacing w:val="0"/>
          <w:kern w:val="0"/>
          <w:sz w:val="32"/>
          <w:szCs w:val="32"/>
          <w:bdr w:val="none" w:color="auto" w:sz="0" w:space="0"/>
          <w:shd w:val="clear" w:fill="FFFFFF"/>
          <w:lang w:val="en-US" w:eastAsia="zh-CN" w:bidi="ar"/>
        </w:rPr>
        <w:t>。准确审核拟公开信息，确保信息真实性、有效性；按照政府网址的要求和考核标准，严格执行发布程序，经领导审核批准后再对信息进行发布。</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仿宋" w:hAnsi="仿宋" w:eastAsia="仿宋" w:cs="仿宋"/>
          <w:b/>
          <w:bCs/>
          <w:i w:val="0"/>
          <w:iCs w:val="0"/>
          <w:caps w:val="0"/>
          <w:spacing w:val="0"/>
          <w:kern w:val="0"/>
          <w:sz w:val="32"/>
          <w:szCs w:val="32"/>
          <w:bdr w:val="none" w:color="auto" w:sz="0" w:space="0"/>
          <w:shd w:val="clear" w:fill="FFFFFF"/>
          <w:lang w:val="en-US" w:eastAsia="zh-CN" w:bidi="ar"/>
        </w:rPr>
        <w:t>4.落实公开责任。</w:t>
      </w:r>
      <w:r>
        <w:rPr>
          <w:rFonts w:hint="eastAsia" w:ascii="仿宋" w:hAnsi="仿宋" w:eastAsia="仿宋" w:cs="仿宋"/>
          <w:i w:val="0"/>
          <w:iCs w:val="0"/>
          <w:caps w:val="0"/>
          <w:spacing w:val="0"/>
          <w:kern w:val="0"/>
          <w:sz w:val="32"/>
          <w:szCs w:val="32"/>
          <w:bdr w:val="none" w:color="auto" w:sz="0" w:space="0"/>
          <w:shd w:val="clear" w:fill="FFFFFF"/>
          <w:lang w:val="en-US" w:eastAsia="zh-CN" w:bidi="ar"/>
        </w:rPr>
        <w:t>严格落实发布监督管理机制，将政务公开工作纳入绩效考核，将责任压实至个人确保信息公开无误。</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楷体" w:hAnsi="楷体" w:eastAsia="楷体" w:cs="楷体"/>
          <w:b/>
          <w:bCs/>
          <w:i w:val="0"/>
          <w:iCs w:val="0"/>
          <w:caps w:val="0"/>
          <w:spacing w:val="0"/>
          <w:kern w:val="0"/>
          <w:sz w:val="32"/>
          <w:szCs w:val="32"/>
          <w:bdr w:val="none" w:color="auto" w:sz="0" w:space="0"/>
          <w:shd w:val="clear" w:fill="FFFFFF"/>
          <w:lang w:val="en-US" w:eastAsia="zh-CN" w:bidi="ar"/>
        </w:rPr>
        <w:t>（四）平台建设</w:t>
      </w:r>
      <w:r>
        <w:rPr>
          <w:rFonts w:ascii="SourceHanSansCN-Regular" w:hAnsi="SourceHanSansCN-Regular" w:eastAsia="SourceHanSansCN-Regular" w:cs="SourceHanSansCN-Regular"/>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在上高县乡村振兴局政府信息公开网站设置“三大攻坚战”、等栏目，按照要求在平台上发布政务公开信息。</w:t>
      </w:r>
      <w:r>
        <w:rPr>
          <w:rFonts w:hint="default" w:ascii="SourceHanSansCN-Regular" w:hAnsi="SourceHanSansCN-Regular" w:eastAsia="SourceHanSansCN-Regular" w:cs="SourceHanSansCN-Regular"/>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both"/>
      </w:pPr>
      <w:r>
        <w:rPr>
          <w:rFonts w:hint="eastAsia" w:ascii="楷体" w:hAnsi="楷体" w:eastAsia="楷体" w:cs="楷体"/>
          <w:b/>
          <w:bCs/>
          <w:i w:val="0"/>
          <w:iCs w:val="0"/>
          <w:caps w:val="0"/>
          <w:spacing w:val="0"/>
          <w:kern w:val="0"/>
          <w:sz w:val="32"/>
          <w:szCs w:val="32"/>
          <w:bdr w:val="none" w:color="auto" w:sz="0" w:space="0"/>
          <w:shd w:val="clear" w:fill="FFFFFF"/>
          <w:lang w:val="en-US" w:eastAsia="zh-CN" w:bidi="ar"/>
        </w:rPr>
        <w:t>（五）监督保障</w:t>
      </w:r>
      <w:r>
        <w:rPr>
          <w:rFonts w:hint="default" w:ascii="SourceHanSansCN-Regular" w:hAnsi="SourceHanSansCN-Regular" w:eastAsia="SourceHanSansCN-Regular" w:cs="SourceHanSansCN-Regular"/>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 xml:space="preserve">建立健全发布信息监管机制和工作考核机制，并参加政务公开业务培训会，提高业务素质，增强业务能力。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 xml:space="preserve">  </w:t>
      </w:r>
    </w:p>
    <w:p>
      <w:pPr>
        <w:keepNext w:val="0"/>
        <w:keepLines w:val="0"/>
        <w:widowControl/>
        <w:suppressLineNumbers w:val="0"/>
        <w:shd w:val="clear" w:fill="FFFFFF"/>
        <w:spacing w:before="0" w:beforeAutospacing="1" w:after="0" w:afterAutospacing="1"/>
        <w:ind w:left="0" w:right="0" w:firstLine="480"/>
        <w:jc w:val="left"/>
      </w:pPr>
      <w:r>
        <w:rPr>
          <w:rFonts w:hint="eastAsia" w:ascii="黑体" w:hAnsi="宋体" w:eastAsia="黑体" w:cs="黑体"/>
          <w:b/>
          <w:bCs/>
          <w:color w:val="333333"/>
          <w:kern w:val="0"/>
          <w:sz w:val="32"/>
          <w:szCs w:val="32"/>
          <w:shd w:val="clear" w:fill="FFFFFF"/>
          <w:lang w:val="en-US" w:eastAsia="zh-CN" w:bidi="ar"/>
        </w:rPr>
        <w:t>二、主动公开政府信息情况</w:t>
      </w:r>
      <w:r>
        <w:rPr>
          <w:rFonts w:hint="eastAsia" w:ascii="黑体" w:hAnsi="宋体" w:eastAsia="黑体" w:cs="黑体"/>
          <w:color w:val="333333"/>
          <w:kern w:val="0"/>
          <w:sz w:val="32"/>
          <w:szCs w:val="32"/>
          <w:shd w:val="clear" w:fill="FFFFFF"/>
          <w:lang w:val="en-US" w:eastAsia="zh-CN" w:bidi="ar"/>
        </w:rPr>
        <w:t xml:space="preserve"> </w:t>
      </w:r>
    </w:p>
    <w:p>
      <w:pPr>
        <w:keepNext w:val="0"/>
        <w:keepLines w:val="0"/>
        <w:widowControl/>
        <w:suppressLineNumbers w:val="0"/>
        <w:shd w:val="clear" w:fill="FFFFFF"/>
        <w:spacing w:before="0" w:beforeAutospacing="1" w:after="0" w:afterAutospacing="1"/>
        <w:ind w:left="0" w:right="0" w:firstLine="480"/>
        <w:jc w:val="left"/>
      </w:pPr>
      <w:r>
        <w:rPr>
          <w:rFonts w:hint="eastAsia" w:ascii="宋体" w:hAnsi="宋体" w:eastAsia="宋体" w:cs="宋体"/>
          <w:color w:val="333333"/>
          <w:kern w:val="0"/>
          <w:sz w:val="24"/>
          <w:szCs w:val="24"/>
          <w:shd w:val="clear" w:fill="FFFFFF"/>
          <w:lang w:val="en-US" w:eastAsia="zh-CN" w:bidi="ar"/>
        </w:rPr>
        <w:t xml:space="preserve">  </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第二十条第（一）项</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信息内容</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w:t>
            </w:r>
            <w:r>
              <w:rPr>
                <w:rFonts w:hint="eastAsia" w:ascii="宋体" w:hAnsi="宋体" w:eastAsia="宋体" w:cs="宋体"/>
                <w:kern w:val="0"/>
                <w:sz w:val="20"/>
                <w:szCs w:val="20"/>
                <w:bdr w:val="none" w:color="auto" w:sz="0" w:space="0"/>
                <w:lang w:val="en-US" w:eastAsia="zh-CN" w:bidi="ar"/>
              </w:rPr>
              <w:t>制发件数</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本年废止件数</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现行有效件</w:t>
            </w:r>
            <w:r>
              <w:rPr>
                <w:rFonts w:hint="eastAsia" w:ascii="宋体" w:hAnsi="宋体" w:eastAsia="宋体" w:cs="宋体"/>
                <w:kern w:val="0"/>
                <w:sz w:val="20"/>
                <w:szCs w:val="20"/>
                <w:bdr w:val="none" w:color="auto" w:sz="0" w:space="0"/>
                <w:lang w:val="en-US" w:eastAsia="zh-CN" w:bidi="ar"/>
              </w:rPr>
              <w:t>数</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规章</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Calibri"/>
                <w:kern w:val="0"/>
                <w:sz w:val="21"/>
                <w:szCs w:val="21"/>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行政规范性文件</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Calibri"/>
                <w:kern w:val="0"/>
                <w:sz w:val="21"/>
                <w:szCs w:val="21"/>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第二十条第（五）项</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信息内容</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行政许可</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Calibri"/>
                <w:kern w:val="0"/>
                <w:sz w:val="21"/>
                <w:szCs w:val="21"/>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第二十条第（六）项</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信息内容</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行政处罚</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行政强制</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第二十条第（八）项</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信息内容</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本年收费金额（单位：万元）</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行政事业性收费</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0 </w:t>
            </w:r>
          </w:p>
        </w:tc>
      </w:tr>
    </w:tbl>
    <w:p>
      <w:pPr>
        <w:keepNext w:val="0"/>
        <w:keepLines w:val="0"/>
        <w:widowControl/>
        <w:suppressLineNumbers w:val="0"/>
        <w:spacing w:before="0" w:beforeAutospacing="1" w:after="0" w:afterAutospacing="1"/>
        <w:ind w:left="0" w:right="0"/>
        <w:jc w:val="left"/>
      </w:pPr>
    </w:p>
    <w:p>
      <w:pPr>
        <w:keepNext w:val="0"/>
        <w:keepLines w:val="0"/>
        <w:widowControl/>
        <w:suppressLineNumbers w:val="0"/>
        <w:shd w:val="clear" w:fill="FFFFFF"/>
        <w:spacing w:before="0" w:beforeAutospacing="1" w:after="0" w:afterAutospacing="1"/>
        <w:ind w:left="0" w:right="0" w:firstLine="480"/>
        <w:jc w:val="left"/>
      </w:pPr>
      <w:r>
        <w:rPr>
          <w:rFonts w:hint="eastAsia" w:ascii="黑体" w:hAnsi="宋体" w:eastAsia="黑体" w:cs="黑体"/>
          <w:b/>
          <w:bCs/>
          <w:color w:val="333333"/>
          <w:kern w:val="0"/>
          <w:sz w:val="32"/>
          <w:szCs w:val="32"/>
          <w:shd w:val="clear" w:fill="FFFFFF"/>
          <w:lang w:val="en-US" w:eastAsia="zh-CN" w:bidi="ar"/>
        </w:rPr>
        <w:t>三、收到和处理政府信息公开申请情况</w:t>
      </w:r>
      <w:r>
        <w:rPr>
          <w:rFonts w:hint="eastAsia" w:ascii="黑体" w:hAnsi="宋体" w:eastAsia="黑体" w:cs="黑体"/>
          <w:color w:val="333333"/>
          <w:kern w:val="0"/>
          <w:sz w:val="32"/>
          <w:szCs w:val="32"/>
          <w:shd w:val="clear" w:fill="FFFFFF"/>
          <w:lang w:val="en-US" w:eastAsia="zh-CN" w:bidi="ar"/>
        </w:rPr>
        <w:t xml:space="preserve"> </w:t>
      </w:r>
    </w:p>
    <w:p>
      <w:pPr>
        <w:keepNext w:val="0"/>
        <w:keepLines w:val="0"/>
        <w:widowControl/>
        <w:suppressLineNumbers w:val="0"/>
        <w:shd w:val="clear" w:fill="FFFFFF"/>
        <w:spacing w:before="0" w:beforeAutospacing="1" w:after="0" w:afterAutospacing="1"/>
        <w:ind w:left="0" w:right="0" w:firstLine="480"/>
        <w:jc w:val="left"/>
      </w:pPr>
    </w:p>
    <w:tbl>
      <w:tblPr>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7"/>
        <w:gridCol w:w="943"/>
        <w:gridCol w:w="3219"/>
        <w:gridCol w:w="688"/>
        <w:gridCol w:w="688"/>
        <w:gridCol w:w="688"/>
        <w:gridCol w:w="688"/>
        <w:gridCol w:w="689"/>
        <w:gridCol w:w="689"/>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楷体" w:hAnsi="楷体" w:eastAsia="楷体" w:cs="楷体"/>
                <w:kern w:val="0"/>
                <w:sz w:val="20"/>
                <w:szCs w:val="20"/>
                <w:bdr w:val="none" w:color="auto" w:sz="0" w:space="0"/>
                <w:lang w:val="en-US" w:eastAsia="zh-CN" w:bidi="ar"/>
              </w:rPr>
              <w:t>（本列数据的勾稽关系为：第一项加第二项之和，等于第三项加第四项之和）</w:t>
            </w:r>
            <w:r>
              <w:rPr>
                <w:rFonts w:hint="eastAsia" w:ascii="宋体" w:hAnsi="宋体" w:eastAsia="宋体" w:cs="宋体"/>
                <w:kern w:val="0"/>
                <w:sz w:val="24"/>
                <w:szCs w:val="24"/>
                <w:bdr w:val="none" w:color="auto" w:sz="0" w:space="0"/>
                <w:lang w:val="en-US" w:eastAsia="zh-CN" w:bidi="ar"/>
              </w:rPr>
              <w:t xml:space="preserve"> </w:t>
            </w:r>
          </w:p>
        </w:tc>
        <w:tc>
          <w:tcPr>
            <w:tcW w:w="4998"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申请人情况</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14" w:type="dxa"/>
            <w:vMerge w:val="restart"/>
            <w:tcBorders>
              <w:top w:val="single" w:color="auto" w:sz="2"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自然人</w:t>
            </w:r>
            <w:r>
              <w:rPr>
                <w:rFonts w:hint="eastAsia" w:ascii="宋体" w:hAnsi="宋体" w:eastAsia="宋体" w:cs="宋体"/>
                <w:kern w:val="0"/>
                <w:sz w:val="24"/>
                <w:szCs w:val="24"/>
                <w:bdr w:val="none" w:color="auto" w:sz="0" w:space="0"/>
                <w:lang w:val="en-US" w:eastAsia="zh-CN" w:bidi="ar"/>
              </w:rPr>
              <w:t xml:space="preserve"> </w:t>
            </w:r>
          </w:p>
        </w:tc>
        <w:tc>
          <w:tcPr>
            <w:tcW w:w="3570" w:type="dxa"/>
            <w:gridSpan w:val="5"/>
            <w:tcBorders>
              <w:top w:val="single" w:color="auto" w:sz="8"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法人或其他组织</w:t>
            </w:r>
            <w:r>
              <w:rPr>
                <w:rFonts w:hint="eastAsia" w:ascii="宋体" w:hAnsi="宋体" w:eastAsia="宋体" w:cs="宋体"/>
                <w:kern w:val="0"/>
                <w:sz w:val="24"/>
                <w:szCs w:val="24"/>
                <w:bdr w:val="none" w:color="auto" w:sz="0" w:space="0"/>
                <w:lang w:val="en-US" w:eastAsia="zh-CN" w:bidi="ar"/>
              </w:rPr>
              <w:t xml:space="preserve"> </w:t>
            </w:r>
          </w:p>
        </w:tc>
        <w:tc>
          <w:tcPr>
            <w:tcW w:w="714" w:type="dxa"/>
            <w:vMerge w:val="restart"/>
            <w:tcBorders>
              <w:top w:val="single" w:color="auto" w:sz="8"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总计</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14" w:type="dxa"/>
            <w:vMerge w:val="continue"/>
            <w:tcBorders>
              <w:top w:val="single" w:color="auto" w:sz="2" w:space="0"/>
              <w:left w:val="single" w:color="auto" w:sz="2" w:space="0"/>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714" w:type="dxa"/>
            <w:tcBorders>
              <w:top w:val="single" w:color="auto" w:sz="2"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商业</w:t>
            </w:r>
            <w:r>
              <w:rPr>
                <w:rFonts w:hint="eastAsia" w:ascii="宋体" w:hAnsi="宋体" w:eastAsia="宋体" w:cs="宋体"/>
                <w:kern w:val="0"/>
                <w:sz w:val="24"/>
                <w:szCs w:val="24"/>
                <w:bdr w:val="none" w:color="auto" w:sz="0" w:space="0"/>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企业</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single" w:color="auto" w:sz="2"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科研</w:t>
            </w:r>
            <w:r>
              <w:rPr>
                <w:rFonts w:hint="eastAsia" w:ascii="宋体" w:hAnsi="宋体" w:eastAsia="宋体" w:cs="宋体"/>
                <w:kern w:val="0"/>
                <w:sz w:val="24"/>
                <w:szCs w:val="24"/>
                <w:bdr w:val="none" w:color="auto" w:sz="0" w:space="0"/>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机构</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single" w:color="auto" w:sz="8"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社会公益组织</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single" w:color="auto" w:sz="8"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法律服务机构</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single" w:color="auto" w:sz="8"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4"/>
                <w:szCs w:val="24"/>
                <w:bdr w:val="none" w:color="auto" w:sz="0" w:space="0"/>
                <w:lang w:val="en-US" w:eastAsia="zh-CN" w:bidi="ar"/>
              </w:rPr>
              <w:t xml:space="preserve"> </w:t>
            </w:r>
          </w:p>
        </w:tc>
        <w:tc>
          <w:tcPr>
            <w:tcW w:w="714" w:type="dxa"/>
            <w:vMerge w:val="continue"/>
            <w:tcBorders>
              <w:top w:val="single" w:color="auto" w:sz="8"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一、本年新收政府信息公开申请数量</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二、上年结转政府信息公开申请数量</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restart"/>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三、本年度办理结果</w:t>
            </w:r>
            <w:r>
              <w:rPr>
                <w:rFonts w:hint="eastAsia" w:ascii="宋体" w:hAnsi="宋体" w:eastAsia="宋体" w:cs="宋体"/>
                <w:kern w:val="0"/>
                <w:sz w:val="24"/>
                <w:szCs w:val="24"/>
                <w:bdr w:val="none" w:color="auto" w:sz="0" w:space="0"/>
                <w:lang w:val="en-US" w:eastAsia="zh-CN" w:bidi="ar"/>
              </w:rPr>
              <w:t xml:space="preserve"> </w:t>
            </w:r>
          </w:p>
        </w:tc>
        <w:tc>
          <w:tcPr>
            <w:tcW w:w="4365"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（一）予以公开</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（二）部分公开</w:t>
            </w:r>
            <w:r>
              <w:rPr>
                <w:rFonts w:hint="eastAsia" w:ascii="楷体" w:hAnsi="楷体" w:eastAsia="楷体" w:cs="楷体"/>
                <w:kern w:val="0"/>
                <w:sz w:val="20"/>
                <w:szCs w:val="20"/>
                <w:bdr w:val="none" w:color="auto" w:sz="0" w:space="0"/>
                <w:lang w:val="en-US" w:eastAsia="zh-CN" w:bidi="ar"/>
              </w:rPr>
              <w:t>（区分处理的，只计这一情形，不计其他情形）</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restart"/>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（三）不予公开</w:t>
            </w:r>
            <w:r>
              <w:rPr>
                <w:rFonts w:hint="eastAsia" w:ascii="宋体" w:hAnsi="宋体" w:eastAsia="宋体" w:cs="宋体"/>
                <w:kern w:val="0"/>
                <w:sz w:val="24"/>
                <w:szCs w:val="24"/>
                <w:bdr w:val="none" w:color="auto" w:sz="0" w:space="0"/>
                <w:lang w:val="en-US" w:eastAsia="zh-CN" w:bidi="ar"/>
              </w:rPr>
              <w:t xml:space="preserve"> </w:t>
            </w: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1.属于国家秘密</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2.其他法律行政法规禁止公开</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3.危及“三安全一稳定”</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4.保护第三方合法权益</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5.属于三类内部事务信息</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6.属于四类过程性信息</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7.属于行政执法案卷</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8.属于行政查询事项</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restart"/>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（四）无法提供</w:t>
            </w:r>
            <w:r>
              <w:rPr>
                <w:rFonts w:hint="eastAsia" w:ascii="宋体" w:hAnsi="宋体" w:eastAsia="宋体" w:cs="宋体"/>
                <w:kern w:val="0"/>
                <w:sz w:val="24"/>
                <w:szCs w:val="24"/>
                <w:bdr w:val="none" w:color="auto" w:sz="0" w:space="0"/>
                <w:lang w:val="en-US" w:eastAsia="zh-CN" w:bidi="ar"/>
              </w:rPr>
              <w:t xml:space="preserve"> </w:t>
            </w: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1.本机关不掌握相关政府信息</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2.没有现成信息需要另行制作</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3.补正后申请内容仍不明确</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restart"/>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（五）不予处理</w:t>
            </w:r>
            <w:r>
              <w:rPr>
                <w:rFonts w:hint="eastAsia" w:ascii="宋体" w:hAnsi="宋体" w:eastAsia="宋体" w:cs="宋体"/>
                <w:kern w:val="0"/>
                <w:sz w:val="24"/>
                <w:szCs w:val="24"/>
                <w:bdr w:val="none" w:color="auto" w:sz="0" w:space="0"/>
                <w:lang w:val="en-US" w:eastAsia="zh-CN" w:bidi="ar"/>
              </w:rPr>
              <w:t xml:space="preserve"> </w:t>
            </w: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1.信访举报投诉类申请</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2.重复申请</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3.要求提供公开出版物</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4.无正当理由大量反复申请</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9" w:hRule="atLeast"/>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5.要求行政机关确认或重新出具已获取信息</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single" w:color="auto" w:sz="2" w:space="0"/>
              <w:left w:val="single" w:color="auto" w:sz="2" w:space="0"/>
              <w:bottom w:val="in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single" w:color="auto" w:sz="2" w:space="0"/>
              <w:left w:val="single" w:color="auto" w:sz="2" w:space="0"/>
              <w:bottom w:val="in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single" w:color="auto" w:sz="2" w:space="0"/>
              <w:left w:val="single" w:color="auto" w:sz="2" w:space="0"/>
              <w:bottom w:val="in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single" w:color="auto" w:sz="2" w:space="0"/>
              <w:left w:val="single" w:color="auto" w:sz="2" w:space="0"/>
              <w:bottom w:val="in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single" w:color="auto" w:sz="2" w:space="0"/>
              <w:left w:val="single" w:color="auto" w:sz="2" w:space="0"/>
              <w:bottom w:val="in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single" w:color="auto" w:sz="2" w:space="0"/>
              <w:left w:val="single" w:color="auto" w:sz="2" w:space="0"/>
              <w:bottom w:val="in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single" w:color="auto" w:sz="2" w:space="0"/>
              <w:left w:val="single" w:color="auto" w:sz="2" w:space="0"/>
              <w:bottom w:val="in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restart"/>
            <w:tcBorders>
              <w:top w:val="nil"/>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（六）其他处理</w:t>
            </w:r>
            <w:r>
              <w:rPr>
                <w:rFonts w:hint="eastAsia" w:ascii="宋体" w:hAnsi="宋体" w:eastAsia="宋体" w:cs="宋体"/>
                <w:kern w:val="0"/>
                <w:sz w:val="24"/>
                <w:szCs w:val="24"/>
                <w:bdr w:val="none" w:color="auto" w:sz="0" w:space="0"/>
                <w:lang w:val="en-US" w:eastAsia="zh-CN" w:bidi="ar"/>
              </w:rPr>
              <w:t xml:space="preserve"> </w:t>
            </w:r>
          </w:p>
        </w:tc>
        <w:tc>
          <w:tcPr>
            <w:tcW w:w="34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1.申请人无正当理由逾期不补正、行政机关不再处理其政府信息公开申请</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2.申请人逾期未按收费通知要求缴纳费用、行政机关不再处理其政府信息公开申请</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59" w:type="dxa"/>
            <w:vMerge w:val="continue"/>
            <w:tcBorders>
              <w:top w:val="nil"/>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3.其他</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5"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（七）总计</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四、结转下年度继续办理</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0"/>
                <w:szCs w:val="20"/>
                <w:bdr w:val="none" w:color="auto" w:sz="0" w:space="0"/>
                <w:lang w:val="en-US" w:eastAsia="zh-CN" w:bidi="ar"/>
              </w:rPr>
              <w:t>0 </w:t>
            </w:r>
            <w:r>
              <w:rPr>
                <w:rFonts w:hint="eastAsia" w:ascii="宋体" w:hAnsi="宋体" w:eastAsia="宋体" w:cs="宋体"/>
                <w:kern w:val="0"/>
                <w:sz w:val="24"/>
                <w:szCs w:val="24"/>
                <w:bdr w:val="none" w:color="auto" w:sz="0" w:space="0"/>
                <w:lang w:val="en-US" w:eastAsia="zh-CN" w:bidi="ar"/>
              </w:rPr>
              <w:t xml:space="preserve"> </w:t>
            </w:r>
          </w:p>
        </w:tc>
        <w:tc>
          <w:tcPr>
            <w:tcW w:w="714"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bdr w:val="none" w:color="auto" w:sz="0" w:space="0"/>
                <w:lang w:val="en-US" w:eastAsia="zh-CN" w:bidi="ar"/>
              </w:rPr>
              <w:t xml:space="preserve">0 </w:t>
            </w:r>
          </w:p>
        </w:tc>
      </w:tr>
    </w:tbl>
    <w:p>
      <w:pPr>
        <w:keepNext w:val="0"/>
        <w:keepLines w:val="0"/>
        <w:widowControl/>
        <w:suppressLineNumbers w:val="0"/>
        <w:shd w:val="clear" w:fill="FFFFFF"/>
        <w:spacing w:before="0" w:beforeAutospacing="1" w:after="0" w:afterAutospacing="1"/>
        <w:ind w:left="0" w:right="0"/>
        <w:jc w:val="center"/>
      </w:pPr>
      <w:r>
        <w:rPr>
          <w:rFonts w:hint="eastAsia" w:ascii="宋体" w:hAnsi="宋体" w:eastAsia="宋体" w:cs="宋体"/>
          <w:color w:val="333333"/>
          <w:kern w:val="0"/>
          <w:sz w:val="24"/>
          <w:szCs w:val="24"/>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黑体" w:hAnsi="宋体" w:eastAsia="黑体" w:cs="黑体"/>
          <w:i w:val="0"/>
          <w:iCs w:val="0"/>
          <w:caps w:val="0"/>
          <w:spacing w:val="0"/>
          <w:kern w:val="0"/>
          <w:sz w:val="32"/>
          <w:szCs w:val="32"/>
          <w:bdr w:val="none" w:color="auto" w:sz="0" w:space="0"/>
          <w:shd w:val="clear" w:fill="FFFFFF"/>
          <w:lang w:val="en-US" w:eastAsia="zh-CN" w:bidi="ar"/>
        </w:rPr>
        <w:t xml:space="preserve">四、政府信息公开行政复议、行政诉讼情况 </w:t>
      </w:r>
    </w:p>
    <w:p>
      <w:pPr>
        <w:keepNext w:val="0"/>
        <w:keepLines w:val="0"/>
        <w:widowControl/>
        <w:suppressLineNumbers w:val="0"/>
        <w:shd w:val="clear" w:fill="FFFFFF"/>
        <w:spacing w:before="0" w:beforeAutospacing="1" w:after="0" w:afterAutospacing="1"/>
        <w:ind w:left="0" w:right="0"/>
        <w:jc w:val="center"/>
      </w:pPr>
      <w:r>
        <w:rPr>
          <w:rFonts w:hint="eastAsia" w:ascii="宋体" w:hAnsi="宋体" w:eastAsia="宋体" w:cs="宋体"/>
          <w:color w:val="333333"/>
          <w:kern w:val="0"/>
          <w:sz w:val="24"/>
          <w:szCs w:val="24"/>
          <w:shd w:val="clear" w:fill="FFFFFF"/>
          <w:lang w:val="en-US" w:eastAsia="zh-CN" w:bidi="ar"/>
        </w:rPr>
        <w:t xml:space="preserve">  </w:t>
      </w:r>
    </w:p>
    <w:tbl>
      <w:tblPr>
        <w:tblW w:w="9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55"/>
        <w:gridCol w:w="471"/>
        <w:gridCol w:w="487"/>
        <w:gridCol w:w="502"/>
        <w:gridCol w:w="1240"/>
        <w:gridCol w:w="518"/>
        <w:gridCol w:w="518"/>
        <w:gridCol w:w="534"/>
        <w:gridCol w:w="550"/>
        <w:gridCol w:w="1036"/>
        <w:gridCol w:w="565"/>
        <w:gridCol w:w="565"/>
        <w:gridCol w:w="597"/>
        <w:gridCol w:w="597"/>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01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行政复议</w:t>
            </w:r>
            <w:r>
              <w:rPr>
                <w:rFonts w:hint="eastAsia" w:ascii="宋体" w:hAnsi="宋体" w:eastAsia="宋体" w:cs="宋体"/>
                <w:kern w:val="0"/>
                <w:sz w:val="24"/>
                <w:szCs w:val="24"/>
                <w:lang w:val="en-US" w:eastAsia="zh-CN" w:bidi="ar"/>
              </w:rPr>
              <w:t xml:space="preserve"> </w:t>
            </w:r>
          </w:p>
        </w:tc>
        <w:tc>
          <w:tcPr>
            <w:tcW w:w="6285"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行政诉讼</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3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结果维持</w:t>
            </w:r>
            <w:r>
              <w:rPr>
                <w:rFonts w:hint="eastAsia" w:ascii="宋体" w:hAnsi="宋体" w:eastAsia="宋体" w:cs="宋体"/>
                <w:kern w:val="0"/>
                <w:sz w:val="24"/>
                <w:szCs w:val="24"/>
                <w:lang w:val="en-US" w:eastAsia="zh-CN" w:bidi="ar"/>
              </w:rPr>
              <w:t xml:space="preserve"> </w:t>
            </w:r>
          </w:p>
        </w:tc>
        <w:tc>
          <w:tcPr>
            <w:tcW w:w="43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r>
              <w:rPr>
                <w:rFonts w:hint="eastAsia" w:ascii="宋体" w:hAnsi="宋体" w:eastAsia="宋体" w:cs="宋体"/>
                <w:kern w:val="0"/>
                <w:sz w:val="24"/>
                <w:szCs w:val="24"/>
                <w:lang w:val="en-US" w:eastAsia="zh-CN" w:bidi="ar"/>
              </w:rPr>
              <w:t xml:space="preserve"> </w:t>
            </w:r>
          </w:p>
        </w:tc>
        <w:tc>
          <w:tcPr>
            <w:tcW w:w="435"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r>
              <w:rPr>
                <w:rFonts w:hint="eastAsia" w:ascii="宋体" w:hAnsi="宋体" w:eastAsia="宋体" w:cs="宋体"/>
                <w:kern w:val="0"/>
                <w:sz w:val="24"/>
                <w:szCs w:val="24"/>
                <w:lang w:val="en-US" w:eastAsia="zh-CN" w:bidi="ar"/>
              </w:rPr>
              <w:t xml:space="preserve"> </w:t>
            </w:r>
          </w:p>
        </w:tc>
        <w:tc>
          <w:tcPr>
            <w:tcW w:w="435"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r>
              <w:rPr>
                <w:rFonts w:hint="eastAsia" w:ascii="宋体" w:hAnsi="宋体" w:eastAsia="宋体" w:cs="宋体"/>
                <w:kern w:val="0"/>
                <w:sz w:val="24"/>
                <w:szCs w:val="24"/>
                <w:lang w:val="en-US" w:eastAsia="zh-CN" w:bidi="ar"/>
              </w:rPr>
              <w:t xml:space="preserve"> </w:t>
            </w:r>
          </w:p>
        </w:tc>
        <w:tc>
          <w:tcPr>
            <w:tcW w:w="435"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c>
          <w:tcPr>
            <w:tcW w:w="301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未经复议直接起诉</w:t>
            </w:r>
            <w:r>
              <w:rPr>
                <w:rFonts w:hint="eastAsia" w:ascii="宋体" w:hAnsi="宋体" w:eastAsia="宋体" w:cs="宋体"/>
                <w:kern w:val="0"/>
                <w:sz w:val="24"/>
                <w:szCs w:val="24"/>
                <w:lang w:val="en-US" w:eastAsia="zh-CN" w:bidi="ar"/>
              </w:rPr>
              <w:t xml:space="preserve"> </w:t>
            </w:r>
          </w:p>
        </w:tc>
        <w:tc>
          <w:tcPr>
            <w:tcW w:w="306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复议后起诉</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3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35"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35"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35"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r>
              <w:rPr>
                <w:rFonts w:hint="eastAsia" w:ascii="宋体" w:hAnsi="宋体" w:eastAsia="宋体" w:cs="宋体"/>
                <w:kern w:val="0"/>
                <w:sz w:val="24"/>
                <w:szCs w:val="24"/>
                <w:lang w:val="en-US" w:eastAsia="zh-CN" w:bidi="ar"/>
              </w:rPr>
              <w:t xml:space="preserve"> </w:t>
            </w:r>
          </w:p>
        </w:tc>
        <w:tc>
          <w:tcPr>
            <w:tcW w:w="4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r>
              <w:rPr>
                <w:rFonts w:hint="eastAsia" w:ascii="宋体" w:hAnsi="宋体" w:eastAsia="宋体" w:cs="宋体"/>
                <w:kern w:val="0"/>
                <w:sz w:val="24"/>
                <w:szCs w:val="24"/>
                <w:lang w:val="en-US" w:eastAsia="zh-CN" w:bidi="ar"/>
              </w:rPr>
              <w:t xml:space="preserve"> </w:t>
            </w:r>
          </w:p>
        </w:tc>
        <w:tc>
          <w:tcPr>
            <w:tcW w:w="4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r>
              <w:rPr>
                <w:rFonts w:hint="eastAsia" w:ascii="宋体" w:hAnsi="宋体" w:eastAsia="宋体" w:cs="宋体"/>
                <w:kern w:val="0"/>
                <w:sz w:val="24"/>
                <w:szCs w:val="24"/>
                <w:lang w:val="en-US" w:eastAsia="zh-CN" w:bidi="ar"/>
              </w:rPr>
              <w:t xml:space="preserve"> </w:t>
            </w:r>
          </w:p>
        </w:tc>
        <w:tc>
          <w:tcPr>
            <w:tcW w:w="4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r>
              <w:rPr>
                <w:rFonts w:hint="eastAsia" w:ascii="宋体" w:hAnsi="宋体" w:eastAsia="宋体" w:cs="宋体"/>
                <w:kern w:val="0"/>
                <w:sz w:val="24"/>
                <w:szCs w:val="24"/>
                <w:lang w:val="en-US" w:eastAsia="zh-CN" w:bidi="ar"/>
              </w:rPr>
              <w:t xml:space="preserve"> </w:t>
            </w:r>
          </w:p>
        </w:tc>
        <w:tc>
          <w:tcPr>
            <w:tcW w:w="4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c>
          <w:tcPr>
            <w:tcW w:w="4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r>
              <w:rPr>
                <w:rFonts w:hint="eastAsia" w:ascii="宋体" w:hAnsi="宋体" w:eastAsia="宋体" w:cs="宋体"/>
                <w:kern w:val="0"/>
                <w:sz w:val="24"/>
                <w:szCs w:val="24"/>
                <w:lang w:val="en-US" w:eastAsia="zh-CN" w:bidi="ar"/>
              </w:rPr>
              <w:t xml:space="preserve"> </w:t>
            </w:r>
          </w:p>
        </w:tc>
        <w:tc>
          <w:tcPr>
            <w:tcW w:w="4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r>
              <w:rPr>
                <w:rFonts w:hint="eastAsia" w:ascii="宋体" w:hAnsi="宋体" w:eastAsia="宋体" w:cs="宋体"/>
                <w:kern w:val="0"/>
                <w:sz w:val="24"/>
                <w:szCs w:val="24"/>
                <w:lang w:val="en-US" w:eastAsia="zh-CN" w:bidi="ar"/>
              </w:rPr>
              <w:t xml:space="preserve"> </w:t>
            </w:r>
          </w:p>
        </w:tc>
        <w:tc>
          <w:tcPr>
            <w:tcW w:w="4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r>
              <w:rPr>
                <w:rFonts w:hint="eastAsia" w:ascii="宋体" w:hAnsi="宋体" w:eastAsia="宋体" w:cs="宋体"/>
                <w:kern w:val="0"/>
                <w:sz w:val="24"/>
                <w:szCs w:val="24"/>
                <w:lang w:val="en-US" w:eastAsia="zh-CN" w:bidi="ar"/>
              </w:rPr>
              <w:t xml:space="preserve"> </w:t>
            </w:r>
          </w:p>
        </w:tc>
        <w:tc>
          <w:tcPr>
            <w:tcW w:w="4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r>
              <w:rPr>
                <w:rFonts w:hint="eastAsia" w:ascii="宋体" w:hAnsi="宋体" w:eastAsia="宋体" w:cs="宋体"/>
                <w:kern w:val="0"/>
                <w:sz w:val="24"/>
                <w:szCs w:val="24"/>
                <w:lang w:val="en-US" w:eastAsia="zh-CN" w:bidi="ar"/>
              </w:rPr>
              <w:t xml:space="preserve"> </w:t>
            </w:r>
          </w:p>
        </w:tc>
        <w:tc>
          <w:tcPr>
            <w:tcW w:w="4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总计</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72" w:hRule="atLeast"/>
          <w:jc w:val="center"/>
        </w:trPr>
        <w:tc>
          <w:tcPr>
            <w:tcW w:w="4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4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4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4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5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0 </w:t>
            </w:r>
            <w:r>
              <w:rPr>
                <w:rFonts w:hint="eastAsia" w:ascii="宋体" w:hAnsi="宋体" w:eastAsia="宋体" w:cs="宋体"/>
                <w:kern w:val="0"/>
                <w:sz w:val="24"/>
                <w:szCs w:val="24"/>
                <w:lang w:val="en-US" w:eastAsia="zh-CN" w:bidi="ar"/>
              </w:rPr>
              <w:t xml:space="preserve"> </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 0</w:t>
            </w:r>
            <w:r>
              <w:rPr>
                <w:rFonts w:hint="eastAsia" w:ascii="宋体" w:hAnsi="宋体" w:eastAsia="宋体" w:cs="宋体"/>
                <w:kern w:val="0"/>
                <w:sz w:val="24"/>
                <w:szCs w:val="24"/>
                <w:lang w:val="en-US" w:eastAsia="zh-CN" w:bidi="ar"/>
              </w:rPr>
              <w:t xml:space="preserve"> </w:t>
            </w:r>
          </w:p>
        </w:tc>
        <w:tc>
          <w:tcPr>
            <w:tcW w:w="6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xml:space="preserve">0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黑体" w:hAnsi="宋体" w:eastAsia="黑体" w:cs="黑体"/>
          <w:i w:val="0"/>
          <w:iCs w:val="0"/>
          <w:caps w:val="0"/>
          <w:spacing w:val="0"/>
          <w:kern w:val="0"/>
          <w:sz w:val="32"/>
          <w:szCs w:val="32"/>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黑体" w:hAnsi="宋体" w:eastAsia="黑体" w:cs="黑体"/>
          <w:i w:val="0"/>
          <w:iCs w:val="0"/>
          <w:caps w:val="0"/>
          <w:spacing w:val="0"/>
          <w:kern w:val="0"/>
          <w:sz w:val="32"/>
          <w:szCs w:val="32"/>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黑体" w:hAnsi="宋体" w:eastAsia="黑体" w:cs="黑体"/>
          <w:i w:val="0"/>
          <w:iCs w:val="0"/>
          <w:caps w:val="0"/>
          <w:spacing w:val="0"/>
          <w:kern w:val="0"/>
          <w:sz w:val="32"/>
          <w:szCs w:val="32"/>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黑体" w:hAnsi="宋体" w:eastAsia="黑体" w:cs="黑体"/>
          <w:i w:val="0"/>
          <w:iCs w:val="0"/>
          <w:caps w:val="0"/>
          <w:spacing w:val="0"/>
          <w:kern w:val="0"/>
          <w:sz w:val="32"/>
          <w:szCs w:val="32"/>
          <w:bdr w:val="none" w:color="auto" w:sz="0" w:space="0"/>
          <w:shd w:val="clear" w:fill="FFFFFF"/>
          <w:lang w:val="en-US" w:eastAsia="zh-CN" w:bidi="ar"/>
        </w:rPr>
        <w:t>五、存在的主要问题及改进情况</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 xml:space="preserve">2021年，我局对政务公开工作高度重视，积极主动、认真细致、扎实地推进此项工作，并在这方面取得了一定成效，但仍在一些问题：一是公开力度不够大，公开的内容不够全面；二是对信息公开的意识不到位；针对上述不足之处，2021年，我们将从以下几个方面进一步做好政府信息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一是全面梳理、及时确认并更新公开信息，确保应公开的及时公开，保证公开力度不减；建立和完善信息主动公开的工作制度，保证在工作进行过程中有相关的制度为依据，能够更及时更全面地完善工作。</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仿宋" w:hAnsi="仿宋" w:eastAsia="仿宋" w:cs="仿宋"/>
          <w:i w:val="0"/>
          <w:iCs w:val="0"/>
          <w:caps w:val="0"/>
          <w:spacing w:val="0"/>
          <w:kern w:val="0"/>
          <w:sz w:val="32"/>
          <w:szCs w:val="32"/>
          <w:bdr w:val="none" w:color="auto" w:sz="0" w:space="0"/>
          <w:shd w:val="clear" w:fill="FFFFFF"/>
          <w:lang w:val="en-US" w:eastAsia="zh-CN" w:bidi="ar"/>
        </w:rPr>
        <w:t>二是加强主动公开的意识，认真学习《中华人民共和国政府信息公开条例》以及《国务院办公厅关于印发2021年政务公开工作要点的通知》等相关文件精神，抓好贯彻落实，提高自身政务信息公开水平。</w:t>
      </w:r>
      <w:r>
        <w:rPr>
          <w:rFonts w:hint="default" w:ascii="Calibri" w:hAnsi="Calibri" w:eastAsia="宋体" w:cs="Calibri"/>
          <w:i w:val="0"/>
          <w:iCs w:val="0"/>
          <w:caps w:val="0"/>
          <w:spacing w:val="0"/>
          <w:kern w:val="0"/>
          <w:sz w:val="21"/>
          <w:szCs w:val="21"/>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pPr>
      <w:r>
        <w:rPr>
          <w:rFonts w:hint="eastAsia" w:ascii="黑体" w:hAnsi="宋体" w:eastAsia="黑体" w:cs="黑体"/>
          <w:i w:val="0"/>
          <w:iCs w:val="0"/>
          <w:caps w:val="0"/>
          <w:spacing w:val="0"/>
          <w:kern w:val="0"/>
          <w:sz w:val="32"/>
          <w:szCs w:val="32"/>
          <w:bdr w:val="none" w:color="auto" w:sz="0" w:space="0"/>
          <w:shd w:val="clear" w:fill="FFFFFF"/>
          <w:lang w:val="en-US" w:eastAsia="zh-CN" w:bidi="ar"/>
        </w:rPr>
        <w:t>六、其他需要报告的事项</w:t>
      </w:r>
      <w:r>
        <w:rPr>
          <w:rFonts w:hint="default" w:ascii="Calibri" w:hAnsi="Calibri" w:eastAsia="宋体" w:cs="Calibri"/>
          <w:i w:val="0"/>
          <w:iCs w:val="0"/>
          <w:caps w:val="0"/>
          <w:spacing w:val="0"/>
          <w:kern w:val="0"/>
          <w:sz w:val="24"/>
          <w:szCs w:val="24"/>
          <w:bdr w:val="none" w:color="auto" w:sz="0" w:space="0"/>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本年度依申请公开政府信息未收取任何费用。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rPr>
          <w:rFonts w:hint="eastAsia" w:ascii="仿宋" w:hAnsi="仿宋" w:eastAsia="仿宋" w:cs="仿宋"/>
          <w:i w:val="0"/>
          <w:iCs w:val="0"/>
          <w:caps w:val="0"/>
          <w:spacing w:val="0"/>
          <w:kern w:val="0"/>
          <w:sz w:val="32"/>
          <w:szCs w:val="32"/>
          <w:shd w:val="clear" w:fill="FFFFFF"/>
          <w:lang w:val="en-US" w:eastAsia="zh-CN" w:bidi="ar"/>
        </w:rPr>
      </w:pPr>
      <w:r>
        <w:rPr>
          <w:rFonts w:hint="eastAsia" w:ascii="仿宋" w:hAnsi="仿宋" w:eastAsia="仿宋" w:cs="仿宋"/>
          <w:i w:val="0"/>
          <w:iCs w:val="0"/>
          <w:caps w:val="0"/>
          <w:spacing w:val="0"/>
          <w:kern w:val="0"/>
          <w:sz w:val="32"/>
          <w:szCs w:val="32"/>
          <w:shd w:val="clear" w:fill="FFFFFF"/>
          <w:lang w:val="en-US" w:eastAsia="zh-CN" w:bidi="ar"/>
        </w:rPr>
        <w:t>如需了解更多政府信息，请登录上高县人民政府网（http://www.shanggao.gov.cn）查询。</w:t>
      </w:r>
    </w:p>
    <w:p>
      <w:pPr>
        <w:keepNext w:val="0"/>
        <w:keepLines w:val="0"/>
        <w:widowControl w:val="0"/>
        <w:suppressLineNumbers w:val="0"/>
        <w:spacing w:before="0" w:beforeAutospacing="1" w:after="0" w:afterAutospacing="1" w:line="560" w:lineRule="exact"/>
        <w:ind w:left="0" w:right="0"/>
        <w:jc w:val="left"/>
      </w:pPr>
      <w:r>
        <w:rPr>
          <w:rFonts w:hint="default" w:ascii="Calibri" w:hAnsi="Calibri" w:eastAsia="宋体" w:cs="Times New Roman"/>
          <w:kern w:val="2"/>
          <w:sz w:val="21"/>
          <w:szCs w:val="21"/>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NmY0MjU4N2IyY2YyOWQ4NzJhYmFmMzlmM2IwOGQifQ=="/>
  </w:docVars>
  <w:rsids>
    <w:rsidRoot w:val="34274DC5"/>
    <w:rsid w:val="34274DC5"/>
    <w:rsid w:val="38E6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1235</Words>
  <Characters>1235</Characters>
  <Lines>0</Lines>
  <Paragraphs>0</Paragraphs>
  <TotalTime>2</TotalTime>
  <ScaleCrop>false</ScaleCrop>
  <LinksUpToDate>false</LinksUpToDate>
  <CharactersWithSpaces>1235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2022-06-17T09:05:00Z</dcterms:created>
  <dc:creator>旎旎</dc:creator>
  <cp:lastModifiedBy>潘秋香</cp:lastModifiedBy>
  <dcterms:modified xsi:type="dcterms:W3CDTF">2022-12-22T01:44:39Z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2B0EAC146F6441AD9D718983E6AB64F5</vt:lpwstr>
  </property>
</Properties>
</file>