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380" w:lineRule="atLeast"/>
        <w:jc w:val="center"/>
        <w:rPr>
          <w:rFonts w:ascii="微软雅黑" w:hAnsi="微软雅黑" w:eastAsia="微软雅黑" w:cs="微软雅黑"/>
          <w:color w:val="333333"/>
          <w:sz w:val="30"/>
          <w:szCs w:val="30"/>
          <w:shd w:val="clear" w:color="auto" w:fill="FFFFFF"/>
        </w:rPr>
      </w:pPr>
      <w:r>
        <w:rPr>
          <w:rFonts w:hint="eastAsia" w:cs="宋体"/>
          <w:color w:val="0D1C28"/>
          <w:sz w:val="30"/>
          <w:szCs w:val="30"/>
        </w:rPr>
        <w:t>上高县</w:t>
      </w:r>
      <w:r>
        <w:rPr>
          <w:rFonts w:cs="宋体"/>
          <w:color w:val="0D1C28"/>
          <w:sz w:val="30"/>
          <w:szCs w:val="30"/>
        </w:rPr>
        <w:t>2021</w:t>
      </w:r>
      <w:r>
        <w:rPr>
          <w:rFonts w:hint="eastAsia" w:cs="宋体"/>
          <w:color w:val="0D1C28"/>
          <w:sz w:val="30"/>
          <w:szCs w:val="30"/>
        </w:rPr>
        <w:t>年政府信息公开工作年度报告</w:t>
      </w:r>
    </w:p>
    <w:p>
      <w:pPr>
        <w:pStyle w:val="3"/>
        <w:widowControl/>
        <w:shd w:val="clear" w:color="auto" w:fill="FFFFFF"/>
        <w:wordWrap w:val="0"/>
        <w:spacing w:beforeAutospacing="0" w:afterAutospacing="0" w:line="200" w:lineRule="atLeast"/>
        <w:ind w:firstLine="420"/>
        <w:jc w:val="both"/>
        <w:rPr>
          <w:rFonts w:ascii="方正报宋简体" w:hAnsi="仿宋" w:eastAsia="方正报宋简体" w:cs="宋体"/>
          <w:color w:val="333333"/>
          <w:shd w:val="clear" w:color="auto" w:fill="FFFFFF"/>
        </w:rPr>
      </w:pPr>
      <w:r>
        <w:rPr>
          <w:rFonts w:hint="eastAsia" w:ascii="方正报宋简体" w:hAnsi="仿宋" w:eastAsia="方正报宋简体" w:cs="宋体"/>
          <w:color w:val="333333"/>
          <w:shd w:val="clear" w:color="auto" w:fill="FFFFFF"/>
        </w:rPr>
        <w:t>根据《中华人民共和国政府信息公开条例》（以下简称《条例》）有关规定</w:t>
      </w:r>
      <w:r>
        <w:rPr>
          <w:rFonts w:ascii="方正报宋简体" w:hAnsi="仿宋" w:eastAsia="方正报宋简体" w:cs="宋体"/>
          <w:color w:val="333333"/>
          <w:shd w:val="clear" w:color="auto" w:fill="FFFFFF"/>
        </w:rPr>
        <w:t>,</w:t>
      </w:r>
      <w:r>
        <w:rPr>
          <w:rFonts w:hint="eastAsia" w:ascii="方正报宋简体" w:hAnsi="仿宋" w:eastAsia="方正报宋简体" w:cs="宋体"/>
          <w:color w:val="333333"/>
          <w:shd w:val="clear" w:color="auto" w:fill="FFFFFF"/>
        </w:rPr>
        <w:t>按照《国务院办公厅政府信息与政务公开办公室关于政府信息公开工作年度报告有关事项的通知》要求编制本报告。报告中所列数据统计期限从</w:t>
      </w:r>
      <w:r>
        <w:rPr>
          <w:rFonts w:ascii="方正报宋简体" w:hAnsi="仿宋" w:eastAsia="方正报宋简体" w:cs="宋体"/>
          <w:color w:val="333333"/>
          <w:shd w:val="clear" w:color="auto" w:fill="FFFFFF"/>
        </w:rPr>
        <w:t>2021</w:t>
      </w:r>
      <w:r>
        <w:rPr>
          <w:rFonts w:hint="eastAsia" w:ascii="方正报宋简体" w:hAnsi="仿宋" w:eastAsia="方正报宋简体" w:cs="宋体"/>
          <w:color w:val="333333"/>
          <w:shd w:val="clear" w:color="auto" w:fill="FFFFFF"/>
        </w:rPr>
        <w:t>年</w:t>
      </w:r>
      <w:r>
        <w:rPr>
          <w:rFonts w:ascii="方正报宋简体" w:hAnsi="仿宋" w:eastAsia="方正报宋简体" w:cs="宋体"/>
          <w:color w:val="333333"/>
          <w:shd w:val="clear" w:color="auto" w:fill="FFFFFF"/>
        </w:rPr>
        <w:t>1</w:t>
      </w:r>
      <w:r>
        <w:rPr>
          <w:rFonts w:hint="eastAsia" w:ascii="方正报宋简体" w:hAnsi="仿宋" w:eastAsia="方正报宋简体" w:cs="宋体"/>
          <w:color w:val="333333"/>
          <w:shd w:val="clear" w:color="auto" w:fill="FFFFFF"/>
        </w:rPr>
        <w:t>月</w:t>
      </w:r>
      <w:r>
        <w:rPr>
          <w:rFonts w:ascii="方正报宋简体" w:hAnsi="仿宋" w:eastAsia="方正报宋简体" w:cs="宋体"/>
          <w:color w:val="333333"/>
          <w:shd w:val="clear" w:color="auto" w:fill="FFFFFF"/>
        </w:rPr>
        <w:t>1</w:t>
      </w:r>
      <w:r>
        <w:rPr>
          <w:rFonts w:hint="eastAsia" w:ascii="方正报宋简体" w:hAnsi="仿宋" w:eastAsia="方正报宋简体" w:cs="宋体"/>
          <w:color w:val="333333"/>
          <w:shd w:val="clear" w:color="auto" w:fill="FFFFFF"/>
        </w:rPr>
        <w:t>日到</w:t>
      </w:r>
      <w:r>
        <w:rPr>
          <w:rFonts w:ascii="方正报宋简体" w:hAnsi="仿宋" w:eastAsia="方正报宋简体" w:cs="宋体"/>
          <w:color w:val="333333"/>
          <w:shd w:val="clear" w:color="auto" w:fill="FFFFFF"/>
        </w:rPr>
        <w:t>12</w:t>
      </w:r>
      <w:r>
        <w:rPr>
          <w:rFonts w:hint="eastAsia" w:ascii="方正报宋简体" w:hAnsi="仿宋" w:eastAsia="方正报宋简体" w:cs="宋体"/>
          <w:color w:val="333333"/>
          <w:shd w:val="clear" w:color="auto" w:fill="FFFFFF"/>
        </w:rPr>
        <w:t>月</w:t>
      </w:r>
      <w:r>
        <w:rPr>
          <w:rFonts w:ascii="方正报宋简体" w:hAnsi="仿宋" w:eastAsia="方正报宋简体" w:cs="宋体"/>
          <w:color w:val="333333"/>
          <w:shd w:val="clear" w:color="auto" w:fill="FFFFFF"/>
        </w:rPr>
        <w:t>31</w:t>
      </w:r>
      <w:r>
        <w:rPr>
          <w:rFonts w:hint="eastAsia" w:ascii="方正报宋简体" w:hAnsi="仿宋" w:eastAsia="方正报宋简体" w:cs="宋体"/>
          <w:color w:val="333333"/>
          <w:shd w:val="clear" w:color="auto" w:fill="FFFFFF"/>
        </w:rPr>
        <w:t>日止。汇总上高县政府网站、各部门及乡镇政府信息公开平台数据编制而成。全文包括总体情况、主动公开政府信息情况、收到和处理政府信息公开申请情况、政府信息公开行政复议行政诉讼情况、存在的主要问题及改进情况、其他需要报告的事项。本报告通过上高县人民政府门户网（网址为</w:t>
      </w:r>
      <w:r>
        <w:rPr>
          <w:rFonts w:ascii="方正报宋简体" w:hAnsi="仿宋" w:eastAsia="方正报宋简体" w:cs="宋体"/>
          <w:color w:val="333333"/>
          <w:shd w:val="clear" w:color="auto" w:fill="FFFFFF"/>
        </w:rPr>
        <w:t>http://www.shanggao.gov.cn</w:t>
      </w:r>
      <w:r>
        <w:rPr>
          <w:rFonts w:hint="eastAsia" w:ascii="方正报宋简体" w:hAnsi="仿宋" w:eastAsia="方正报宋简体" w:cs="宋体"/>
          <w:color w:val="333333"/>
          <w:shd w:val="clear" w:color="auto" w:fill="FFFFFF"/>
        </w:rPr>
        <w:t>）如对本报告有任何疑问，请与上高县人民政府办公室联系（地址：上高县清莲路</w:t>
      </w:r>
      <w:r>
        <w:rPr>
          <w:rFonts w:ascii="方正报宋简体" w:hAnsi="仿宋" w:eastAsia="方正报宋简体" w:cs="宋体"/>
          <w:color w:val="333333"/>
          <w:shd w:val="clear" w:color="auto" w:fill="FFFFFF"/>
        </w:rPr>
        <w:t>9</w:t>
      </w:r>
      <w:r>
        <w:rPr>
          <w:rFonts w:hint="eastAsia" w:ascii="方正报宋简体" w:hAnsi="仿宋" w:eastAsia="方正报宋简体" w:cs="宋体"/>
          <w:color w:val="333333"/>
          <w:shd w:val="clear" w:color="auto" w:fill="FFFFFF"/>
        </w:rPr>
        <w:t>号，电话：</w:t>
      </w:r>
      <w:r>
        <w:rPr>
          <w:rFonts w:ascii="方正报宋简体" w:hAnsi="仿宋" w:eastAsia="方正报宋简体" w:cs="宋体"/>
          <w:color w:val="333333"/>
          <w:shd w:val="clear" w:color="auto" w:fill="FFFFFF"/>
        </w:rPr>
        <w:t>0795-2511219</w:t>
      </w:r>
      <w:r>
        <w:rPr>
          <w:rFonts w:hint="eastAsia" w:ascii="方正报宋简体" w:hAnsi="仿宋" w:eastAsia="方正报宋简体" w:cs="宋体"/>
          <w:color w:val="333333"/>
          <w:shd w:val="clear" w:color="auto" w:fill="FFFFFF"/>
        </w:rPr>
        <w:t>，邮编：</w:t>
      </w:r>
      <w:r>
        <w:rPr>
          <w:rFonts w:ascii="方正报宋简体" w:hAnsi="仿宋" w:eastAsia="方正报宋简体" w:cs="宋体"/>
          <w:color w:val="333333"/>
          <w:shd w:val="clear" w:color="auto" w:fill="FFFFFF"/>
        </w:rPr>
        <w:t>336400</w:t>
      </w:r>
      <w:r>
        <w:rPr>
          <w:rFonts w:hint="eastAsia" w:ascii="方正报宋简体" w:hAnsi="仿宋" w:eastAsia="方正报宋简体" w:cs="宋体"/>
          <w:color w:val="333333"/>
          <w:shd w:val="clear" w:color="auto" w:fill="FFFFFF"/>
        </w:rPr>
        <w:t>）</w:t>
      </w:r>
    </w:p>
    <w:p>
      <w:pPr>
        <w:pStyle w:val="3"/>
        <w:widowControl/>
        <w:shd w:val="clear" w:color="auto" w:fill="FFFFFF"/>
        <w:spacing w:beforeAutospacing="0" w:afterAutospacing="0" w:line="200" w:lineRule="atLeast"/>
        <w:ind w:firstLine="420"/>
        <w:jc w:val="both"/>
        <w:rPr>
          <w:rFonts w:ascii="方正报宋简体" w:hAnsi="仿宋" w:eastAsia="方正报宋简体" w:cs="宋体"/>
          <w:b/>
          <w:bCs/>
          <w:color w:val="333333"/>
        </w:rPr>
      </w:pPr>
      <w:r>
        <w:rPr>
          <w:rFonts w:hint="eastAsia" w:ascii="方正报宋简体" w:hAnsi="仿宋" w:eastAsia="方正报宋简体" w:cs="宋体"/>
          <w:b/>
          <w:bCs/>
          <w:color w:val="333333"/>
          <w:shd w:val="clear" w:color="auto" w:fill="FFFFFF"/>
        </w:rPr>
        <w:t>一、总体情况</w:t>
      </w:r>
    </w:p>
    <w:p>
      <w:pPr>
        <w:pStyle w:val="3"/>
        <w:widowControl/>
        <w:shd w:val="clear" w:color="auto" w:fill="FFFFFF"/>
        <w:spacing w:beforeAutospacing="0" w:afterAutospacing="0" w:line="200" w:lineRule="atLeast"/>
        <w:ind w:firstLine="420"/>
        <w:jc w:val="both"/>
        <w:rPr>
          <w:rFonts w:ascii="方正报宋简体" w:hAnsi="仿宋" w:eastAsia="方正报宋简体" w:cs="宋体"/>
          <w:color w:val="333333"/>
        </w:rPr>
      </w:pPr>
      <w:r>
        <w:rPr>
          <w:rFonts w:ascii="方正报宋简体" w:hAnsi="仿宋" w:eastAsia="方正报宋简体" w:cs="宋体"/>
          <w:color w:val="333333"/>
          <w:shd w:val="clear" w:color="auto" w:fill="FFFFFF"/>
        </w:rPr>
        <w:t>(</w:t>
      </w:r>
      <w:r>
        <w:rPr>
          <w:rFonts w:hint="eastAsia" w:ascii="方正报宋简体" w:hAnsi="仿宋" w:eastAsia="方正报宋简体" w:cs="宋体"/>
          <w:color w:val="333333"/>
          <w:shd w:val="clear" w:color="auto" w:fill="FFFFFF"/>
        </w:rPr>
        <w:t>一</w:t>
      </w:r>
      <w:r>
        <w:rPr>
          <w:rFonts w:ascii="方正报宋简体" w:hAnsi="仿宋" w:eastAsia="方正报宋简体" w:cs="宋体"/>
          <w:color w:val="333333"/>
          <w:shd w:val="clear" w:color="auto" w:fill="FFFFFF"/>
        </w:rPr>
        <w:t>)</w:t>
      </w:r>
      <w:r>
        <w:rPr>
          <w:rFonts w:hint="eastAsia" w:ascii="方正报宋简体" w:hAnsi="仿宋" w:eastAsia="方正报宋简体" w:cs="宋体"/>
          <w:color w:val="333333"/>
          <w:shd w:val="clear" w:color="auto" w:fill="FFFFFF"/>
        </w:rPr>
        <w:t>、主动公开</w:t>
      </w:r>
    </w:p>
    <w:p>
      <w:pPr>
        <w:pStyle w:val="3"/>
        <w:widowControl/>
        <w:shd w:val="clear" w:color="auto" w:fill="FFFFFF"/>
        <w:spacing w:beforeAutospacing="0" w:afterAutospacing="0" w:line="200" w:lineRule="atLeast"/>
        <w:ind w:firstLine="640"/>
        <w:jc w:val="both"/>
        <w:rPr>
          <w:rFonts w:ascii="方正报宋简体" w:hAnsi="仿宋" w:eastAsia="方正报宋简体" w:cs="宋体"/>
          <w:color w:val="000000"/>
          <w:shd w:val="clear" w:color="auto" w:fill="FFFFFF"/>
        </w:rPr>
      </w:pPr>
      <w:r>
        <w:rPr>
          <w:rFonts w:ascii="方正报宋简体" w:hAnsi="仿宋" w:eastAsia="方正报宋简体" w:cs="宋体"/>
          <w:color w:val="333333"/>
          <w:shd w:val="clear" w:color="auto" w:fill="FFFFFF"/>
        </w:rPr>
        <w:t>2021</w:t>
      </w:r>
      <w:r>
        <w:rPr>
          <w:rFonts w:hint="eastAsia" w:ascii="方正报宋简体" w:hAnsi="仿宋" w:eastAsia="方正报宋简体" w:cs="宋体"/>
          <w:color w:val="333333"/>
          <w:shd w:val="clear" w:color="auto" w:fill="FFFFFF"/>
        </w:rPr>
        <w:t>年，全县各单位部门在上高县网上共发布</w:t>
      </w:r>
      <w:r>
        <w:rPr>
          <w:rFonts w:ascii="方正报宋简体" w:hAnsi="仿宋" w:eastAsia="方正报宋简体" w:cs="宋体"/>
          <w:color w:val="333333"/>
          <w:shd w:val="clear" w:color="auto" w:fill="FFFFFF"/>
        </w:rPr>
        <w:t>10358</w:t>
      </w:r>
      <w:r>
        <w:rPr>
          <w:rFonts w:hint="eastAsia" w:ascii="方正报宋简体" w:hAnsi="仿宋" w:eastAsia="方正报宋简体" w:cs="宋体"/>
          <w:color w:val="333333"/>
          <w:shd w:val="clear" w:color="auto" w:fill="FFFFFF"/>
        </w:rPr>
        <w:t>条信息。制定行政法规、规章和规范性文件</w:t>
      </w:r>
      <w:r>
        <w:rPr>
          <w:rFonts w:ascii="方正报宋简体" w:hAnsi="仿宋" w:eastAsia="方正报宋简体" w:cs="宋体"/>
          <w:color w:val="333333"/>
          <w:shd w:val="clear" w:color="auto" w:fill="FFFFFF"/>
        </w:rPr>
        <w:t>2</w:t>
      </w:r>
      <w:r>
        <w:rPr>
          <w:rFonts w:hint="eastAsia" w:ascii="方正报宋简体" w:hAnsi="仿宋" w:eastAsia="方正报宋简体" w:cs="宋体"/>
          <w:color w:val="333333"/>
          <w:shd w:val="clear" w:color="auto" w:fill="FFFFFF"/>
        </w:rPr>
        <w:t>件，公布</w:t>
      </w:r>
      <w:r>
        <w:rPr>
          <w:rFonts w:ascii="方正报宋简体" w:hAnsi="仿宋" w:eastAsia="方正报宋简体" w:cs="宋体"/>
          <w:color w:val="333333"/>
          <w:shd w:val="clear" w:color="auto" w:fill="FFFFFF"/>
        </w:rPr>
        <w:t>2</w:t>
      </w:r>
      <w:r>
        <w:rPr>
          <w:rFonts w:hint="eastAsia" w:ascii="方正报宋简体" w:hAnsi="仿宋" w:eastAsia="方正报宋简体" w:cs="宋体"/>
          <w:color w:val="333333"/>
          <w:shd w:val="clear" w:color="auto" w:fill="FFFFFF"/>
        </w:rPr>
        <w:t>件。公布行政许可的</w:t>
      </w:r>
      <w:r>
        <w:rPr>
          <w:rFonts w:hint="eastAsia" w:ascii="方正报宋简体" w:hAnsi="仿宋" w:eastAsia="方正报宋简体" w:cs="宋体"/>
          <w:color w:val="000000"/>
          <w:shd w:val="clear" w:color="auto" w:fill="FFFFFF"/>
        </w:rPr>
        <w:t>依据、条件、程序等信息</w:t>
      </w:r>
      <w:r>
        <w:rPr>
          <w:rFonts w:ascii="方正报宋简体" w:hAnsi="仿宋" w:eastAsia="方正报宋简体" w:cs="宋体"/>
          <w:color w:val="000000"/>
          <w:shd w:val="clear" w:color="auto" w:fill="FFFFFF"/>
        </w:rPr>
        <w:t>447</w:t>
      </w:r>
      <w:r>
        <w:rPr>
          <w:rFonts w:hint="eastAsia" w:ascii="方正报宋简体" w:hAnsi="仿宋" w:eastAsia="方正报宋简体" w:cs="宋体"/>
          <w:color w:val="000000"/>
          <w:shd w:val="clear" w:color="auto" w:fill="FFFFFF"/>
        </w:rPr>
        <w:t>条。行政处罚的依据、条件、程序等信息</w:t>
      </w:r>
      <w:r>
        <w:rPr>
          <w:rFonts w:ascii="方正报宋简体" w:hAnsi="仿宋" w:eastAsia="方正报宋简体" w:cs="宋体"/>
          <w:color w:val="000000"/>
          <w:shd w:val="clear" w:color="auto" w:fill="FFFFFF"/>
        </w:rPr>
        <w:t>1594</w:t>
      </w:r>
      <w:r>
        <w:rPr>
          <w:rFonts w:hint="eastAsia" w:ascii="方正报宋简体" w:hAnsi="仿宋" w:eastAsia="方正报宋简体" w:cs="宋体"/>
          <w:color w:val="000000"/>
          <w:shd w:val="clear" w:color="auto" w:fill="FFFFFF"/>
        </w:rPr>
        <w:t>条，行政强制的依据、条件、程序等信息</w:t>
      </w:r>
      <w:r>
        <w:rPr>
          <w:rFonts w:ascii="方正报宋简体" w:hAnsi="仿宋" w:eastAsia="方正报宋简体" w:cs="宋体"/>
          <w:color w:val="000000"/>
          <w:shd w:val="clear" w:color="auto" w:fill="FFFFFF"/>
        </w:rPr>
        <w:t>131</w:t>
      </w:r>
      <w:r>
        <w:rPr>
          <w:rFonts w:hint="eastAsia" w:ascii="方正报宋简体" w:hAnsi="仿宋" w:eastAsia="方正报宋简体" w:cs="宋体"/>
          <w:color w:val="000000"/>
          <w:shd w:val="clear" w:color="auto" w:fill="FFFFFF"/>
        </w:rPr>
        <w:t>条。行政事业性收费项目及依据、标准</w:t>
      </w:r>
      <w:r>
        <w:rPr>
          <w:rFonts w:ascii="方正报宋简体" w:hAnsi="仿宋" w:eastAsia="方正报宋简体" w:cs="宋体"/>
          <w:color w:val="000000"/>
          <w:shd w:val="clear" w:color="auto" w:fill="FFFFFF"/>
        </w:rPr>
        <w:t>47</w:t>
      </w:r>
      <w:r>
        <w:rPr>
          <w:rFonts w:hint="eastAsia" w:ascii="方正报宋简体" w:hAnsi="仿宋" w:eastAsia="方正报宋简体" w:cs="宋体"/>
          <w:color w:val="000000"/>
          <w:shd w:val="clear" w:color="auto" w:fill="FFFFFF"/>
        </w:rPr>
        <w:t>件。公布了政府集中采购项目</w:t>
      </w:r>
      <w:r>
        <w:rPr>
          <w:rFonts w:hint="eastAsia" w:ascii="方正报宋简体" w:hAnsi="仿宋" w:eastAsia="方正报宋简体" w:cs="宋体"/>
          <w:color w:val="333333"/>
          <w:shd w:val="clear" w:color="auto" w:fill="FFFFFF"/>
        </w:rPr>
        <w:t>的目录、标准及实施情况；重点加强了教育、医疗、养老和环保等领域信息公开</w:t>
      </w:r>
      <w:r>
        <w:rPr>
          <w:rFonts w:hint="eastAsia" w:ascii="方正报宋简体" w:hAnsi="仿宋" w:eastAsia="方正报宋简体" w:cs="宋体"/>
          <w:color w:val="000000"/>
          <w:shd w:val="clear" w:color="auto" w:fill="FFFFFF"/>
        </w:rPr>
        <w:t>，开设“六稳”“六保”、优化营商环境专栏，发布政策及工作部署落实情况，全年累计发布信息</w:t>
      </w:r>
      <w:r>
        <w:rPr>
          <w:rFonts w:ascii="方正报宋简体" w:hAnsi="仿宋" w:eastAsia="方正报宋简体" w:cs="宋体"/>
          <w:color w:val="000000"/>
          <w:shd w:val="clear" w:color="auto" w:fill="FFFFFF"/>
        </w:rPr>
        <w:t>910</w:t>
      </w:r>
      <w:r>
        <w:rPr>
          <w:rFonts w:hint="eastAsia" w:ascii="方正报宋简体" w:hAnsi="仿宋" w:eastAsia="方正报宋简体" w:cs="宋体"/>
          <w:color w:val="000000"/>
          <w:shd w:val="clear" w:color="auto" w:fill="FFFFFF"/>
        </w:rPr>
        <w:t>条，紧跟群众需求做好社会公益事业及重点民生领域信息公开，围绕教育、医疗、社保、就业创业等领域，全年累计发布信息</w:t>
      </w:r>
      <w:r>
        <w:rPr>
          <w:rFonts w:ascii="方正报宋简体" w:hAnsi="仿宋" w:eastAsia="方正报宋简体" w:cs="宋体"/>
          <w:color w:val="000000"/>
          <w:shd w:val="clear" w:color="auto" w:fill="FFFFFF"/>
        </w:rPr>
        <w:t>2920</w:t>
      </w:r>
      <w:r>
        <w:rPr>
          <w:rFonts w:hint="eastAsia" w:ascii="方正报宋简体" w:hAnsi="仿宋" w:eastAsia="方正报宋简体" w:cs="宋体"/>
          <w:color w:val="000000"/>
          <w:shd w:val="clear" w:color="auto" w:fill="FFFFFF"/>
        </w:rPr>
        <w:t>条。</w:t>
      </w:r>
    </w:p>
    <w:p>
      <w:pPr>
        <w:pStyle w:val="3"/>
        <w:widowControl/>
        <w:shd w:val="clear" w:color="auto" w:fill="FFFFFF"/>
        <w:spacing w:beforeAutospacing="0" w:afterAutospacing="0" w:line="200" w:lineRule="atLeast"/>
        <w:ind w:firstLine="420"/>
        <w:jc w:val="both"/>
        <w:rPr>
          <w:rFonts w:ascii="方正报宋简体" w:hAnsi="仿宋" w:eastAsia="方正报宋简体" w:cs="宋体"/>
          <w:color w:val="333333"/>
          <w:shd w:val="clear" w:color="auto" w:fill="FFFFFF"/>
        </w:rPr>
      </w:pPr>
      <w:r>
        <w:rPr>
          <w:rFonts w:ascii="方正报宋简体" w:hAnsi="仿宋" w:eastAsia="方正报宋简体" w:cs="宋体"/>
          <w:color w:val="333333"/>
          <w:shd w:val="clear" w:color="auto" w:fill="FFFFFF"/>
        </w:rPr>
        <w:t>(</w:t>
      </w:r>
      <w:r>
        <w:rPr>
          <w:rFonts w:hint="eastAsia" w:ascii="方正报宋简体" w:hAnsi="仿宋" w:eastAsia="方正报宋简体" w:cs="宋体"/>
          <w:color w:val="333333"/>
          <w:shd w:val="clear" w:color="auto" w:fill="FFFFFF"/>
        </w:rPr>
        <w:t>二</w:t>
      </w:r>
      <w:r>
        <w:rPr>
          <w:rFonts w:ascii="方正报宋简体" w:hAnsi="仿宋" w:eastAsia="方正报宋简体" w:cs="宋体"/>
          <w:color w:val="333333"/>
          <w:shd w:val="clear" w:color="auto" w:fill="FFFFFF"/>
        </w:rPr>
        <w:t>)</w:t>
      </w:r>
      <w:r>
        <w:rPr>
          <w:rFonts w:hint="eastAsia" w:ascii="方正报宋简体" w:hAnsi="仿宋" w:eastAsia="方正报宋简体" w:cs="宋体"/>
          <w:color w:val="333333"/>
          <w:shd w:val="clear" w:color="auto" w:fill="FFFFFF"/>
        </w:rPr>
        <w:t>、依申请公开</w:t>
      </w:r>
    </w:p>
    <w:p>
      <w:pPr>
        <w:pStyle w:val="3"/>
        <w:widowControl/>
        <w:shd w:val="clear" w:color="auto" w:fill="FFFFFF"/>
        <w:spacing w:beforeAutospacing="0" w:afterAutospacing="0" w:line="200" w:lineRule="atLeast"/>
        <w:ind w:firstLine="420"/>
        <w:jc w:val="both"/>
        <w:rPr>
          <w:rFonts w:ascii="方正报宋简体" w:hAnsi="仿宋" w:eastAsia="方正报宋简体" w:cs="宋体"/>
          <w:color w:val="333333"/>
        </w:rPr>
      </w:pPr>
      <w:r>
        <w:rPr>
          <w:rFonts w:hint="eastAsia" w:ascii="方正报宋简体" w:hAnsi="仿宋" w:eastAsia="方正报宋简体" w:cs="宋体"/>
          <w:color w:val="333333"/>
          <w:shd w:val="clear" w:color="auto" w:fill="FFFFFF"/>
        </w:rPr>
        <w:t>我县</w:t>
      </w:r>
      <w:r>
        <w:rPr>
          <w:rFonts w:ascii="方正报宋简体" w:hAnsi="仿宋" w:eastAsia="方正报宋简体" w:cs="宋体"/>
          <w:color w:val="333333"/>
          <w:shd w:val="clear" w:color="auto" w:fill="FFFFFF"/>
        </w:rPr>
        <w:t>2021</w:t>
      </w:r>
      <w:r>
        <w:rPr>
          <w:rFonts w:hint="eastAsia" w:ascii="方正报宋简体" w:hAnsi="仿宋" w:eastAsia="方正报宋简体" w:cs="宋体"/>
          <w:color w:val="333333"/>
          <w:shd w:val="clear" w:color="auto" w:fill="FFFFFF"/>
        </w:rPr>
        <w:t>年共收到</w:t>
      </w:r>
      <w:r>
        <w:rPr>
          <w:rFonts w:ascii="方正报宋简体" w:hAnsi="仿宋" w:eastAsia="方正报宋简体" w:cs="宋体"/>
          <w:color w:val="333333"/>
          <w:shd w:val="clear" w:color="auto" w:fill="FFFFFF"/>
        </w:rPr>
        <w:t>26</w:t>
      </w:r>
      <w:r>
        <w:rPr>
          <w:rFonts w:hint="eastAsia" w:ascii="方正报宋简体" w:hAnsi="仿宋" w:eastAsia="方正报宋简体" w:cs="宋体"/>
          <w:color w:val="333333"/>
          <w:shd w:val="clear" w:color="auto" w:fill="FFFFFF"/>
        </w:rPr>
        <w:t>件依申请公开信件，均按时回复申请人。</w:t>
      </w:r>
      <w:r>
        <w:rPr>
          <w:rFonts w:ascii="方正报宋简体" w:hAnsi="仿宋" w:eastAsia="方正报宋简体" w:cs="宋体"/>
          <w:color w:val="333333"/>
          <w:shd w:val="clear" w:color="auto" w:fill="FFFFFF"/>
        </w:rPr>
        <w:t>2021</w:t>
      </w:r>
      <w:r>
        <w:rPr>
          <w:rFonts w:hint="eastAsia" w:ascii="方正报宋简体" w:hAnsi="仿宋" w:eastAsia="方正报宋简体" w:cs="宋体"/>
          <w:color w:val="333333"/>
          <w:shd w:val="clear" w:color="auto" w:fill="FFFFFF"/>
        </w:rPr>
        <w:t>年未发生一起行政复议和行政诉讼。</w:t>
      </w:r>
    </w:p>
    <w:p>
      <w:pPr>
        <w:pStyle w:val="3"/>
        <w:widowControl/>
        <w:shd w:val="clear" w:color="auto" w:fill="FFFFFF"/>
        <w:spacing w:beforeAutospacing="0" w:afterAutospacing="0" w:line="200" w:lineRule="atLeast"/>
        <w:ind w:firstLine="420"/>
        <w:jc w:val="both"/>
        <w:rPr>
          <w:rFonts w:ascii="方正报宋简体" w:hAnsi="仿宋" w:eastAsia="方正报宋简体" w:cs="宋体"/>
          <w:color w:val="333333"/>
        </w:rPr>
      </w:pPr>
      <w:r>
        <w:rPr>
          <w:rFonts w:ascii="方正报宋简体" w:hAnsi="仿宋" w:eastAsia="方正报宋简体" w:cs="宋体"/>
          <w:color w:val="333333"/>
          <w:shd w:val="clear" w:color="auto" w:fill="FFFFFF"/>
        </w:rPr>
        <w:t>(</w:t>
      </w:r>
      <w:r>
        <w:rPr>
          <w:rFonts w:hint="eastAsia" w:ascii="方正报宋简体" w:hAnsi="仿宋" w:eastAsia="方正报宋简体" w:cs="宋体"/>
          <w:color w:val="333333"/>
          <w:shd w:val="clear" w:color="auto" w:fill="FFFFFF"/>
        </w:rPr>
        <w:t>三</w:t>
      </w:r>
      <w:r>
        <w:rPr>
          <w:rFonts w:ascii="方正报宋简体" w:hAnsi="仿宋" w:eastAsia="方正报宋简体" w:cs="宋体"/>
          <w:color w:val="333333"/>
          <w:shd w:val="clear" w:color="auto" w:fill="FFFFFF"/>
        </w:rPr>
        <w:t>)</w:t>
      </w:r>
      <w:r>
        <w:rPr>
          <w:rFonts w:hint="eastAsia" w:ascii="方正报宋简体" w:hAnsi="仿宋" w:eastAsia="方正报宋简体" w:cs="宋体"/>
          <w:color w:val="333333"/>
          <w:shd w:val="clear" w:color="auto" w:fill="FFFFFF"/>
        </w:rPr>
        <w:t>政府信息管理</w:t>
      </w:r>
    </w:p>
    <w:p>
      <w:pPr>
        <w:pStyle w:val="3"/>
        <w:widowControl/>
        <w:shd w:val="clear" w:color="auto" w:fill="FFFFFF"/>
        <w:spacing w:beforeAutospacing="0" w:afterAutospacing="0" w:line="200" w:lineRule="atLeast"/>
        <w:ind w:firstLine="420"/>
        <w:jc w:val="both"/>
        <w:rPr>
          <w:rFonts w:ascii="方正报宋简体" w:hAnsi="仿宋" w:eastAsia="方正报宋简体" w:cs="宋体"/>
          <w:color w:val="000000"/>
          <w:shd w:val="clear" w:color="auto" w:fill="FFFFFF"/>
        </w:rPr>
      </w:pPr>
      <w:r>
        <w:rPr>
          <w:rFonts w:hint="eastAsia" w:ascii="方正报宋简体" w:hAnsi="仿宋" w:eastAsia="方正报宋简体" w:cs="宋体"/>
          <w:color w:val="000000"/>
          <w:shd w:val="clear" w:color="auto" w:fill="FFFFFF"/>
        </w:rPr>
        <w:t>一标准化规范化推进基层政务公开。结合权责清单、公共服务事项清单和群众关切度高的事项，认真梳理政务公开事项，确定每个领域的总体框架和内容，编制实用的政务公开事项和标准目录，全面落实试点领域标准引领，集中梳理各部门行政权责清单</w:t>
      </w:r>
      <w:r>
        <w:rPr>
          <w:rFonts w:ascii="方正报宋简体" w:hAnsi="仿宋" w:eastAsia="方正报宋简体" w:cs="宋体"/>
          <w:color w:val="000000"/>
          <w:shd w:val="clear" w:color="auto" w:fill="FFFFFF"/>
        </w:rPr>
        <w:t>2158</w:t>
      </w:r>
      <w:r>
        <w:rPr>
          <w:rFonts w:hint="eastAsia" w:ascii="方正报宋简体" w:hAnsi="仿宋" w:eastAsia="方正报宋简体" w:cs="宋体"/>
          <w:color w:val="000000"/>
          <w:shd w:val="clear" w:color="auto" w:fill="FFFFFF"/>
        </w:rPr>
        <w:t>项，公共服务清单</w:t>
      </w:r>
      <w:r>
        <w:rPr>
          <w:rFonts w:ascii="方正报宋简体" w:hAnsi="仿宋" w:eastAsia="方正报宋简体" w:cs="宋体"/>
          <w:color w:val="000000"/>
          <w:shd w:val="clear" w:color="auto" w:fill="FFFFFF"/>
        </w:rPr>
        <w:t>1565</w:t>
      </w:r>
      <w:r>
        <w:rPr>
          <w:rFonts w:hint="eastAsia" w:ascii="方正报宋简体" w:hAnsi="仿宋" w:eastAsia="方正报宋简体" w:cs="宋体"/>
          <w:color w:val="000000"/>
          <w:shd w:val="clear" w:color="auto" w:fill="FFFFFF"/>
        </w:rPr>
        <w:t>项，编制县本级</w:t>
      </w:r>
      <w:r>
        <w:rPr>
          <w:rFonts w:ascii="方正报宋简体" w:hAnsi="仿宋" w:eastAsia="方正报宋简体" w:cs="宋体"/>
          <w:color w:val="000000"/>
          <w:shd w:val="clear" w:color="auto" w:fill="FFFFFF"/>
        </w:rPr>
        <w:t>26</w:t>
      </w:r>
      <w:r>
        <w:rPr>
          <w:rFonts w:hint="eastAsia" w:ascii="方正报宋简体" w:hAnsi="仿宋" w:eastAsia="方正报宋简体" w:cs="宋体"/>
          <w:color w:val="000000"/>
          <w:shd w:val="clear" w:color="auto" w:fill="FFFFFF"/>
        </w:rPr>
        <w:t>个领域政务公开标准化目录</w:t>
      </w:r>
      <w:r>
        <w:rPr>
          <w:rFonts w:ascii="方正报宋简体" w:hAnsi="仿宋" w:eastAsia="方正报宋简体" w:cs="宋体"/>
          <w:color w:val="000000"/>
          <w:shd w:val="clear" w:color="auto" w:fill="FFFFFF"/>
        </w:rPr>
        <w:t>1469</w:t>
      </w:r>
      <w:r>
        <w:rPr>
          <w:rFonts w:hint="eastAsia" w:ascii="方正报宋简体" w:hAnsi="仿宋" w:eastAsia="方正报宋简体" w:cs="宋体"/>
          <w:color w:val="000000"/>
          <w:shd w:val="clear" w:color="auto" w:fill="FFFFFF"/>
        </w:rPr>
        <w:t>个，从事政府信息公开工作人员数</w:t>
      </w:r>
      <w:r>
        <w:rPr>
          <w:rFonts w:ascii="方正报宋简体" w:hAnsi="仿宋" w:eastAsia="方正报宋简体" w:cs="宋体"/>
          <w:color w:val="000000"/>
          <w:shd w:val="clear" w:color="auto" w:fill="FFFFFF"/>
        </w:rPr>
        <w:t>118</w:t>
      </w:r>
      <w:r>
        <w:rPr>
          <w:rFonts w:hint="eastAsia" w:ascii="方正报宋简体" w:hAnsi="仿宋" w:eastAsia="方正报宋简体" w:cs="宋体"/>
          <w:color w:val="000000"/>
          <w:shd w:val="clear" w:color="auto" w:fill="FFFFFF"/>
        </w:rPr>
        <w:t>人，召开政府信息公开工作会议</w:t>
      </w:r>
      <w:r>
        <w:rPr>
          <w:rFonts w:ascii="方正报宋简体" w:hAnsi="仿宋" w:eastAsia="方正报宋简体" w:cs="宋体"/>
          <w:color w:val="000000"/>
          <w:shd w:val="clear" w:color="auto" w:fill="FFFFFF"/>
        </w:rPr>
        <w:t>2</w:t>
      </w:r>
      <w:r>
        <w:rPr>
          <w:rFonts w:hint="eastAsia" w:ascii="方正报宋简体" w:hAnsi="仿宋" w:eastAsia="方正报宋简体" w:cs="宋体"/>
          <w:color w:val="000000"/>
          <w:shd w:val="clear" w:color="auto" w:fill="FFFFFF"/>
        </w:rPr>
        <w:t>次，专题会议</w:t>
      </w:r>
      <w:r>
        <w:rPr>
          <w:rFonts w:ascii="方正报宋简体" w:hAnsi="仿宋" w:eastAsia="方正报宋简体" w:cs="宋体"/>
          <w:color w:val="000000"/>
          <w:shd w:val="clear" w:color="auto" w:fill="FFFFFF"/>
        </w:rPr>
        <w:t>2</w:t>
      </w:r>
      <w:r>
        <w:rPr>
          <w:rFonts w:hint="eastAsia" w:ascii="方正报宋简体" w:hAnsi="仿宋" w:eastAsia="方正报宋简体" w:cs="宋体"/>
          <w:color w:val="000000"/>
          <w:shd w:val="clear" w:color="auto" w:fill="FFFFFF"/>
        </w:rPr>
        <w:t>次。举办培训会</w:t>
      </w:r>
      <w:r>
        <w:rPr>
          <w:rFonts w:ascii="方正报宋简体" w:hAnsi="仿宋" w:eastAsia="方正报宋简体" w:cs="宋体"/>
          <w:color w:val="000000"/>
          <w:shd w:val="clear" w:color="auto" w:fill="FFFFFF"/>
        </w:rPr>
        <w:t>4</w:t>
      </w:r>
      <w:r>
        <w:rPr>
          <w:rFonts w:hint="eastAsia" w:ascii="方正报宋简体" w:hAnsi="仿宋" w:eastAsia="方正报宋简体" w:cs="宋体"/>
          <w:color w:val="000000"/>
          <w:shd w:val="clear" w:color="auto" w:fill="FFFFFF"/>
        </w:rPr>
        <w:t>次，接受培训人员</w:t>
      </w:r>
      <w:r>
        <w:rPr>
          <w:rFonts w:ascii="方正报宋简体" w:hAnsi="仿宋" w:eastAsia="方正报宋简体" w:cs="宋体"/>
          <w:color w:val="000000"/>
          <w:shd w:val="clear" w:color="auto" w:fill="FFFFFF"/>
        </w:rPr>
        <w:t>800</w:t>
      </w:r>
      <w:r>
        <w:rPr>
          <w:rFonts w:hint="eastAsia" w:ascii="方正报宋简体" w:hAnsi="仿宋" w:eastAsia="方正报宋简体" w:cs="宋体"/>
          <w:color w:val="000000"/>
          <w:shd w:val="clear" w:color="auto" w:fill="FFFFFF"/>
        </w:rPr>
        <w:t>人次。</w:t>
      </w:r>
    </w:p>
    <w:p>
      <w:pPr>
        <w:pStyle w:val="3"/>
        <w:widowControl/>
        <w:shd w:val="clear" w:color="auto" w:fill="FFFFFF"/>
        <w:spacing w:beforeAutospacing="0" w:afterAutospacing="0" w:line="200" w:lineRule="atLeast"/>
        <w:ind w:firstLine="420"/>
        <w:jc w:val="both"/>
        <w:rPr>
          <w:rFonts w:ascii="方正报宋简体" w:hAnsi="仿宋" w:eastAsia="方正报宋简体" w:cs="宋体"/>
          <w:color w:val="333333"/>
          <w:shd w:val="clear" w:color="auto" w:fill="FFFFFF"/>
        </w:rPr>
      </w:pPr>
      <w:r>
        <w:rPr>
          <w:rFonts w:hint="eastAsia" w:ascii="方正报宋简体" w:hAnsi="仿宋" w:eastAsia="方正报宋简体" w:cs="宋体"/>
          <w:color w:val="333333"/>
          <w:shd w:val="clear" w:color="auto" w:fill="FFFFFF"/>
        </w:rPr>
        <w:t>二是加大数据公开力度。政务公开工作紧密围绕改善生态环境质量和公众关切，深入推进决策、执行、管理、服务、结果公开“五公开”，全年主动公开发布</w:t>
      </w:r>
      <w:r>
        <w:rPr>
          <w:rFonts w:ascii="方正报宋简体" w:hAnsi="仿宋" w:eastAsia="方正报宋简体" w:cs="宋体"/>
          <w:color w:val="333333"/>
          <w:shd w:val="clear" w:color="auto" w:fill="FFFFFF"/>
        </w:rPr>
        <w:t>5420</w:t>
      </w:r>
      <w:r>
        <w:rPr>
          <w:rFonts w:hint="eastAsia" w:ascii="方正报宋简体" w:hAnsi="仿宋" w:eastAsia="方正报宋简体" w:cs="宋体"/>
          <w:color w:val="333333"/>
          <w:shd w:val="clear" w:color="auto" w:fill="FFFFFF"/>
        </w:rPr>
        <w:t>条信息，不断增强环保工作公开实效，提升环保治理能力，助力打好污染防治攻坚战。</w:t>
      </w:r>
    </w:p>
    <w:p>
      <w:pPr>
        <w:pStyle w:val="3"/>
        <w:widowControl/>
        <w:shd w:val="clear" w:color="auto" w:fill="FFFFFF"/>
        <w:spacing w:beforeAutospacing="0" w:afterAutospacing="0" w:line="200" w:lineRule="atLeast"/>
        <w:ind w:firstLine="420"/>
        <w:jc w:val="both"/>
        <w:rPr>
          <w:rFonts w:ascii="方正报宋简体" w:hAnsi="仿宋" w:eastAsia="方正报宋简体" w:cs="宋体"/>
          <w:color w:val="333333"/>
        </w:rPr>
      </w:pPr>
      <w:r>
        <w:rPr>
          <w:rFonts w:ascii="方正报宋简体" w:hAnsi="仿宋" w:eastAsia="方正报宋简体" w:cs="宋体"/>
          <w:color w:val="333333"/>
          <w:shd w:val="clear" w:color="auto" w:fill="FFFFFF"/>
        </w:rPr>
        <w:t>(</w:t>
      </w:r>
      <w:r>
        <w:rPr>
          <w:rFonts w:hint="eastAsia" w:ascii="方正报宋简体" w:hAnsi="仿宋" w:eastAsia="方正报宋简体" w:cs="宋体"/>
          <w:color w:val="333333"/>
          <w:shd w:val="clear" w:color="auto" w:fill="FFFFFF"/>
        </w:rPr>
        <w:t>四</w:t>
      </w:r>
      <w:r>
        <w:rPr>
          <w:rFonts w:ascii="方正报宋简体" w:hAnsi="仿宋" w:eastAsia="方正报宋简体" w:cs="宋体"/>
          <w:color w:val="333333"/>
          <w:shd w:val="clear" w:color="auto" w:fill="FFFFFF"/>
        </w:rPr>
        <w:t>)</w:t>
      </w:r>
      <w:r>
        <w:rPr>
          <w:rFonts w:hint="eastAsia" w:ascii="方正报宋简体" w:hAnsi="仿宋" w:eastAsia="方正报宋简体" w:cs="宋体"/>
          <w:color w:val="333333"/>
          <w:shd w:val="clear" w:color="auto" w:fill="FFFFFF"/>
        </w:rPr>
        <w:t>平台建设情况</w:t>
      </w:r>
    </w:p>
    <w:p>
      <w:pPr>
        <w:pStyle w:val="3"/>
        <w:widowControl/>
        <w:shd w:val="clear" w:color="auto" w:fill="FFFFFF"/>
        <w:spacing w:beforeAutospacing="0" w:afterAutospacing="0" w:line="200" w:lineRule="atLeast"/>
        <w:ind w:firstLine="420"/>
        <w:jc w:val="both"/>
        <w:rPr>
          <w:rFonts w:ascii="方正报宋简体" w:hAnsi="仿宋" w:eastAsia="方正报宋简体" w:cs="宋体"/>
          <w:color w:val="333333"/>
        </w:rPr>
      </w:pPr>
      <w:r>
        <w:rPr>
          <w:rFonts w:hint="eastAsia" w:ascii="方正报宋简体" w:hAnsi="仿宋" w:eastAsia="方正报宋简体" w:cs="宋体"/>
          <w:color w:val="333333"/>
          <w:shd w:val="clear" w:color="auto" w:fill="FFFFFF"/>
        </w:rPr>
        <w:t>在政府网站上高县网上开通了政府信息公开专栏。信息公开专栏下开通了政策、政府信息公开制度、政府信息公开指南、法定主动公开内容、县政府信息公开年报、政府公开监督与保障等专栏。</w:t>
      </w:r>
    </w:p>
    <w:p>
      <w:pPr>
        <w:pStyle w:val="3"/>
        <w:widowControl/>
        <w:shd w:val="clear" w:color="auto" w:fill="FFFFFF"/>
        <w:spacing w:beforeAutospacing="0" w:afterAutospacing="0" w:line="200" w:lineRule="atLeast"/>
        <w:ind w:firstLine="420"/>
        <w:jc w:val="both"/>
        <w:rPr>
          <w:rFonts w:ascii="方正报宋简体" w:hAnsi="仿宋" w:eastAsia="方正报宋简体" w:cs="宋体"/>
          <w:color w:val="333333"/>
          <w:shd w:val="clear" w:color="auto" w:fill="FFFFFF"/>
        </w:rPr>
      </w:pPr>
      <w:r>
        <w:rPr>
          <w:rFonts w:ascii="方正报宋简体" w:hAnsi="仿宋" w:eastAsia="方正报宋简体" w:cs="宋体"/>
          <w:color w:val="333333"/>
          <w:shd w:val="clear" w:color="auto" w:fill="FFFFFF"/>
        </w:rPr>
        <w:t>(</w:t>
      </w:r>
      <w:r>
        <w:rPr>
          <w:rFonts w:hint="eastAsia" w:ascii="方正报宋简体" w:hAnsi="仿宋" w:eastAsia="方正报宋简体" w:cs="宋体"/>
          <w:color w:val="333333"/>
          <w:shd w:val="clear" w:color="auto" w:fill="FFFFFF"/>
        </w:rPr>
        <w:t>五</w:t>
      </w:r>
      <w:r>
        <w:rPr>
          <w:rFonts w:ascii="方正报宋简体" w:hAnsi="仿宋" w:eastAsia="方正报宋简体" w:cs="宋体"/>
          <w:color w:val="333333"/>
          <w:shd w:val="clear" w:color="auto" w:fill="FFFFFF"/>
        </w:rPr>
        <w:t>)</w:t>
      </w:r>
      <w:r>
        <w:rPr>
          <w:rFonts w:hint="eastAsia" w:ascii="方正报宋简体" w:hAnsi="仿宋" w:eastAsia="方正报宋简体" w:cs="宋体"/>
          <w:color w:val="333333"/>
          <w:shd w:val="clear" w:color="auto" w:fill="FFFFFF"/>
        </w:rPr>
        <w:t>监督保障</w:t>
      </w:r>
    </w:p>
    <w:p>
      <w:pPr>
        <w:pStyle w:val="3"/>
        <w:widowControl/>
        <w:shd w:val="clear" w:color="auto" w:fill="FFFFFF"/>
        <w:spacing w:beforeAutospacing="0" w:afterAutospacing="0" w:line="200" w:lineRule="atLeast"/>
        <w:ind w:firstLine="420"/>
        <w:jc w:val="both"/>
        <w:rPr>
          <w:rFonts w:ascii="方正报宋简体" w:hAnsi="仿宋" w:eastAsia="方正报宋简体" w:cs="宋体"/>
          <w:color w:val="333333"/>
          <w:shd w:val="clear" w:color="auto" w:fill="FFFFFF"/>
        </w:rPr>
      </w:pPr>
      <w:r>
        <w:rPr>
          <w:rFonts w:ascii="方正报宋简体" w:hAnsi="仿宋" w:eastAsia="方正报宋简体" w:cs="宋体"/>
          <w:color w:val="333333"/>
          <w:shd w:val="clear" w:color="auto" w:fill="FFFFFF"/>
        </w:rPr>
        <w:t>2021</w:t>
      </w:r>
      <w:r>
        <w:rPr>
          <w:rFonts w:hint="eastAsia" w:ascii="方正报宋简体" w:hAnsi="仿宋" w:eastAsia="方正报宋简体" w:cs="宋体"/>
          <w:color w:val="333333"/>
          <w:shd w:val="clear" w:color="auto" w:fill="FFFFFF"/>
        </w:rPr>
        <w:t>年上高县推进政务公开领导小组先后出台《上高县人民政府信息主动公开制度》（上府办发【</w:t>
      </w:r>
      <w:r>
        <w:rPr>
          <w:rFonts w:ascii="方正报宋简体" w:hAnsi="仿宋" w:eastAsia="方正报宋简体" w:cs="宋体"/>
          <w:color w:val="333333"/>
          <w:shd w:val="clear" w:color="auto" w:fill="FFFFFF"/>
        </w:rPr>
        <w:t>2021</w:t>
      </w:r>
      <w:r>
        <w:rPr>
          <w:rFonts w:hint="eastAsia" w:ascii="方正报宋简体" w:hAnsi="仿宋" w:eastAsia="方正报宋简体" w:cs="宋体"/>
          <w:color w:val="333333"/>
          <w:shd w:val="clear" w:color="auto" w:fill="FFFFFF"/>
        </w:rPr>
        <w:t>】</w:t>
      </w:r>
      <w:r>
        <w:rPr>
          <w:rFonts w:ascii="方正报宋简体" w:hAnsi="仿宋" w:eastAsia="方正报宋简体" w:cs="宋体"/>
          <w:color w:val="333333"/>
          <w:shd w:val="clear" w:color="auto" w:fill="FFFFFF"/>
        </w:rPr>
        <w:t>11</w:t>
      </w:r>
      <w:r>
        <w:rPr>
          <w:rFonts w:hint="eastAsia" w:ascii="方正报宋简体" w:hAnsi="仿宋" w:eastAsia="方正报宋简体" w:cs="宋体"/>
          <w:color w:val="333333"/>
          <w:shd w:val="clear" w:color="auto" w:fill="FFFFFF"/>
        </w:rPr>
        <w:t>号）等</w:t>
      </w:r>
      <w:r>
        <w:rPr>
          <w:rFonts w:ascii="方正报宋简体" w:hAnsi="仿宋" w:eastAsia="方正报宋简体" w:cs="宋体"/>
          <w:color w:val="333333"/>
          <w:shd w:val="clear" w:color="auto" w:fill="FFFFFF"/>
        </w:rPr>
        <w:t>7</w:t>
      </w:r>
      <w:r>
        <w:rPr>
          <w:rFonts w:hint="eastAsia" w:ascii="方正报宋简体" w:hAnsi="仿宋" w:eastAsia="方正报宋简体" w:cs="宋体"/>
          <w:color w:val="333333"/>
          <w:shd w:val="clear" w:color="auto" w:fill="FFFFFF"/>
        </w:rPr>
        <w:t>项制度，为推动我县政务公开工作提供了保障。充分发挥人民群众对政务公开工作的监督作用</w:t>
      </w:r>
      <w:r>
        <w:rPr>
          <w:rFonts w:ascii="方正报宋简体" w:hAnsi="仿宋" w:eastAsia="方正报宋简体" w:cs="宋体"/>
          <w:color w:val="333333"/>
          <w:shd w:val="clear" w:color="auto" w:fill="FFFFFF"/>
        </w:rPr>
        <w:t>,</w:t>
      </w:r>
      <w:r>
        <w:rPr>
          <w:rFonts w:hint="eastAsia" w:ascii="方正报宋简体" w:hAnsi="仿宋" w:eastAsia="方正报宋简体" w:cs="宋体"/>
          <w:color w:val="333333"/>
          <w:shd w:val="clear" w:color="auto" w:fill="FFFFFF"/>
        </w:rPr>
        <w:t>进一步加大社会监督力度，切实保障公民、法人和其他组织的知情权、参与权、表达权、监督权，确保政务公开工作规范有序开展，坚持实事求是、有错必纠、惩处与教育相结合，追究责任与改进工作相结合的原则，加强对政务公开工作的责任追究和惩处力度，全面加强监督保障工作。同时全年共举办了</w:t>
      </w:r>
      <w:r>
        <w:rPr>
          <w:rFonts w:ascii="方正报宋简体" w:hAnsi="仿宋" w:eastAsia="方正报宋简体" w:cs="宋体"/>
          <w:color w:val="333333"/>
          <w:shd w:val="clear" w:color="auto" w:fill="FFFFFF"/>
        </w:rPr>
        <w:t>4</w:t>
      </w:r>
      <w:r>
        <w:rPr>
          <w:rFonts w:hint="eastAsia" w:ascii="方正报宋简体" w:hAnsi="仿宋" w:eastAsia="方正报宋简体" w:cs="宋体"/>
          <w:color w:val="333333"/>
          <w:shd w:val="clear" w:color="auto" w:fill="FFFFFF"/>
        </w:rPr>
        <w:t>次全县范围内的政务公开培训，邀请了省政务公开第三方评估专家进行授课。将政务公开工作纳入年度高质量发展并提高分值所占权重不低于</w:t>
      </w:r>
      <w:r>
        <w:rPr>
          <w:rFonts w:ascii="方正报宋简体" w:hAnsi="仿宋" w:eastAsia="方正报宋简体" w:cs="宋体"/>
          <w:color w:val="333333"/>
          <w:shd w:val="clear" w:color="auto" w:fill="FFFFFF"/>
        </w:rPr>
        <w:t>4%</w:t>
      </w:r>
      <w:r>
        <w:rPr>
          <w:rFonts w:hint="eastAsia" w:ascii="方正报宋简体" w:hAnsi="仿宋" w:eastAsia="方正报宋简体" w:cs="宋体"/>
          <w:color w:val="333333"/>
          <w:shd w:val="clear" w:color="auto" w:fill="FFFFFF"/>
        </w:rPr>
        <w:t>。加强县政府网站与政府系统政务新媒体检查，对检查发现的新媒体突出问题要求限期整改。及时改进工作中存在的问题，政务公开工作整体水平得到进一步提高。</w:t>
      </w:r>
      <w:r>
        <w:rPr>
          <w:rFonts w:ascii="方正报宋简体" w:hAnsi="仿宋" w:eastAsia="方正报宋简体" w:cs="宋体"/>
          <w:color w:val="333333"/>
          <w:shd w:val="clear" w:color="auto" w:fill="FFFFFF"/>
        </w:rPr>
        <w:t>2021</w:t>
      </w:r>
      <w:r>
        <w:rPr>
          <w:rFonts w:hint="eastAsia" w:ascii="方正报宋简体" w:hAnsi="仿宋" w:eastAsia="方正报宋简体" w:cs="宋体"/>
          <w:color w:val="333333"/>
          <w:shd w:val="clear" w:color="auto" w:fill="FFFFFF"/>
        </w:rPr>
        <w:t>年未发生政务公开责任追究事件。</w:t>
      </w:r>
    </w:p>
    <w:p>
      <w:pPr>
        <w:pStyle w:val="3"/>
        <w:widowControl/>
        <w:numPr>
          <w:ilvl w:val="0"/>
          <w:numId w:val="1"/>
        </w:numPr>
        <w:shd w:val="clear" w:color="auto" w:fill="FFFFFF"/>
        <w:spacing w:before="210" w:beforeAutospacing="0" w:after="100" w:afterAutospacing="0" w:line="320" w:lineRule="atLeast"/>
        <w:jc w:val="both"/>
        <w:rPr>
          <w:rFonts w:ascii="宋体" w:cs="宋体"/>
          <w:b/>
          <w:bCs/>
          <w:color w:val="000000"/>
          <w:shd w:val="clear" w:color="auto" w:fill="FFFFFF"/>
        </w:rPr>
      </w:pPr>
      <w:r>
        <w:rPr>
          <w:rFonts w:hint="eastAsia" w:ascii="宋体" w:hAnsi="宋体" w:cs="宋体"/>
          <w:b/>
          <w:bCs/>
          <w:color w:val="000000"/>
          <w:shd w:val="clear" w:color="auto" w:fill="FFFFFF"/>
        </w:rPr>
        <w:t>主动公开政府信息情况</w:t>
      </w: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cs="宋体"/>
                <w:kern w:val="0"/>
                <w:sz w:val="24"/>
              </w:rPr>
            </w:pPr>
            <w:r>
              <w:rPr>
                <w:rFonts w:hint="eastAsia" w:ascii="宋体" w:hAnsi="宋体" w:cs="宋体"/>
                <w:color w:val="000000"/>
                <w:kern w:val="0"/>
                <w:sz w:val="24"/>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本年</w:t>
            </w:r>
            <w:r>
              <w:rPr>
                <w:rFonts w:hint="eastAsia" w:ascii="宋体" w:hAnsi="宋体" w:cs="宋体"/>
                <w:kern w:val="0"/>
                <w:szCs w:val="21"/>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现行有效件</w:t>
            </w:r>
            <w:r>
              <w:rPr>
                <w:rFonts w:hint="eastAsia" w:ascii="宋体" w:hAnsi="宋体" w:cs="宋体"/>
                <w:kern w:val="0"/>
                <w:szCs w:val="21"/>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ascii="宋体" w:cs="宋体"/>
                <w:color w:val="000000"/>
                <w:kern w:val="0"/>
                <w:szCs w:val="21"/>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ascii="宋体" w:cs="宋体"/>
                <w:color w:val="000000"/>
                <w:kern w:val="0"/>
                <w:szCs w:val="21"/>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ascii="宋体" w:cs="宋体"/>
                <w:kern w:val="0"/>
                <w:szCs w:val="21"/>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ascii="宋体" w:hAnsi="宋体" w:cs="宋体"/>
                <w:color w:val="000000"/>
                <w:kern w:val="0"/>
                <w:szCs w:val="21"/>
              </w:rPr>
              <w:t>2</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ascii="宋体" w:hAnsi="宋体" w:cs="宋体"/>
                <w:color w:val="000000"/>
                <w:kern w:val="0"/>
                <w:szCs w:val="21"/>
              </w:rPr>
              <w:t>2</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eastAsia="宋体" w:cs="宋体"/>
                <w:kern w:val="0"/>
                <w:szCs w:val="21"/>
                <w:lang w:val="en-US" w:eastAsia="zh-CN"/>
              </w:rPr>
            </w:pPr>
            <w:r>
              <w:rPr>
                <w:rFonts w:hint="eastAsia" w:ascii="宋体" w:hAnsi="宋体" w:cs="宋体"/>
                <w:kern w:val="0"/>
                <w:szCs w:val="21"/>
                <w:lang w:val="en-US" w:eastAsia="zh-CN"/>
              </w:rPr>
              <w:t>140</w:t>
            </w:r>
            <w:bookmarkStart w:id="0" w:name="_GoBack"/>
            <w:bookmarkEnd w:id="0"/>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ascii="宋体" w:hAnsi="宋体" w:cs="宋体"/>
                <w:kern w:val="0"/>
                <w:szCs w:val="21"/>
              </w:rPr>
              <w:t>447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ascii="宋体" w:hAnsi="宋体" w:cs="宋体"/>
                <w:color w:val="000000"/>
                <w:kern w:val="0"/>
                <w:szCs w:val="21"/>
              </w:rPr>
              <w:t>1594</w:t>
            </w:r>
            <w:r>
              <w:rPr>
                <w:rFonts w:hint="eastAsia" w:ascii="宋体" w:hAnsi="宋体" w:cs="宋体"/>
                <w:color w:val="000000"/>
                <w:kern w:val="0"/>
                <w:szCs w:val="21"/>
              </w:rPr>
              <w:t>（含子项目）</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ascii="宋体" w:hAnsi="宋体" w:cs="宋体"/>
                <w:color w:val="000000"/>
                <w:kern w:val="0"/>
                <w:szCs w:val="21"/>
              </w:rPr>
              <w:t>131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kern w:val="0"/>
                <w:szCs w:val="21"/>
              </w:rPr>
            </w:pPr>
            <w:r>
              <w:rPr>
                <w:rFonts w:hint="eastAsia" w:ascii="宋体" w:hAnsi="宋体" w:cs="宋体"/>
                <w:color w:val="000000"/>
                <w:kern w:val="0"/>
                <w:szCs w:val="21"/>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cs="宋体"/>
                <w:kern w:val="0"/>
                <w:szCs w:val="21"/>
              </w:rPr>
            </w:pPr>
            <w:r>
              <w:rPr>
                <w:rFonts w:ascii="宋体" w:hAnsi="宋体" w:cs="宋体"/>
                <w:kern w:val="0"/>
                <w:szCs w:val="21"/>
              </w:rPr>
              <w:t>31234.7393</w:t>
            </w:r>
            <w:r>
              <w:rPr>
                <w:rFonts w:hint="eastAsia" w:ascii="宋体" w:hAnsi="宋体" w:cs="宋体"/>
                <w:kern w:val="0"/>
                <w:szCs w:val="21"/>
              </w:rPr>
              <w:t>万</w:t>
            </w:r>
          </w:p>
        </w:tc>
      </w:tr>
    </w:tbl>
    <w:p>
      <w:pPr>
        <w:pStyle w:val="3"/>
        <w:widowControl/>
        <w:shd w:val="clear" w:color="auto" w:fill="FFFFFF"/>
        <w:spacing w:before="210" w:beforeAutospacing="0" w:after="100" w:afterAutospacing="0" w:line="320" w:lineRule="atLeast"/>
        <w:jc w:val="both"/>
        <w:rPr>
          <w:rFonts w:ascii="宋体" w:cs="宋体"/>
          <w:b/>
          <w:bCs/>
          <w:color w:val="333333"/>
          <w:shd w:val="clear" w:color="auto" w:fill="FFFFFF"/>
        </w:rPr>
      </w:pPr>
    </w:p>
    <w:p>
      <w:pPr>
        <w:pStyle w:val="3"/>
        <w:widowControl/>
        <w:shd w:val="clear" w:color="auto" w:fill="FFFFFF"/>
        <w:spacing w:before="210" w:beforeAutospacing="0" w:after="100" w:afterAutospacing="0" w:line="320" w:lineRule="atLeast"/>
        <w:jc w:val="both"/>
        <w:rPr>
          <w:rFonts w:ascii="宋体" w:cs="宋体"/>
          <w:b/>
          <w:bCs/>
          <w:color w:val="333333"/>
          <w:shd w:val="clear" w:color="auto" w:fill="FFFFFF"/>
        </w:rPr>
      </w:pPr>
    </w:p>
    <w:p>
      <w:pPr>
        <w:pStyle w:val="3"/>
        <w:widowControl/>
        <w:shd w:val="clear" w:color="auto" w:fill="FFFFFF"/>
        <w:spacing w:before="210" w:beforeAutospacing="0" w:after="100" w:afterAutospacing="0" w:line="320" w:lineRule="atLeast"/>
        <w:jc w:val="both"/>
        <w:rPr>
          <w:rFonts w:ascii="宋体" w:cs="宋体"/>
          <w:b/>
          <w:bCs/>
          <w:color w:val="333333"/>
          <w:shd w:val="clear" w:color="auto" w:fill="FFFFFF"/>
        </w:rPr>
      </w:pPr>
    </w:p>
    <w:p>
      <w:pPr>
        <w:pStyle w:val="3"/>
        <w:widowControl/>
        <w:shd w:val="clear" w:color="auto" w:fill="FFFFFF"/>
        <w:spacing w:before="210" w:beforeAutospacing="0" w:after="100" w:afterAutospacing="0" w:line="320" w:lineRule="atLeast"/>
        <w:jc w:val="both"/>
        <w:rPr>
          <w:rFonts w:ascii="宋体" w:cs="宋体"/>
          <w:b/>
          <w:bCs/>
          <w:color w:val="333333"/>
          <w:shd w:val="clear" w:color="auto" w:fill="FFFFFF"/>
        </w:rPr>
      </w:pPr>
    </w:p>
    <w:p>
      <w:pPr>
        <w:pStyle w:val="3"/>
        <w:widowControl/>
        <w:shd w:val="clear" w:color="auto" w:fill="FFFFFF"/>
        <w:spacing w:before="210" w:beforeAutospacing="0" w:after="100" w:afterAutospacing="0" w:line="320" w:lineRule="atLeast"/>
        <w:jc w:val="both"/>
        <w:rPr>
          <w:rFonts w:ascii="宋体" w:cs="宋体"/>
          <w:b/>
          <w:bCs/>
          <w:color w:val="333333"/>
          <w:shd w:val="clear" w:color="auto" w:fill="FFFFFF"/>
        </w:rPr>
      </w:pPr>
    </w:p>
    <w:p>
      <w:pPr>
        <w:pStyle w:val="3"/>
        <w:widowControl/>
        <w:shd w:val="clear" w:color="auto" w:fill="FFFFFF"/>
        <w:spacing w:before="210" w:beforeAutospacing="0" w:after="100" w:afterAutospacing="0" w:line="320" w:lineRule="atLeast"/>
        <w:jc w:val="both"/>
        <w:rPr>
          <w:rFonts w:ascii="宋体" w:cs="宋体"/>
          <w:b/>
          <w:bCs/>
          <w:color w:val="333333"/>
          <w:shd w:val="clear" w:color="auto" w:fill="FFFFFF"/>
        </w:rPr>
      </w:pPr>
    </w:p>
    <w:p>
      <w:pPr>
        <w:pStyle w:val="3"/>
        <w:widowControl/>
        <w:shd w:val="clear" w:color="auto" w:fill="FFFFFF"/>
        <w:spacing w:before="210" w:beforeAutospacing="0" w:after="100" w:afterAutospacing="0" w:line="320" w:lineRule="atLeast"/>
        <w:jc w:val="both"/>
        <w:rPr>
          <w:rFonts w:ascii="宋体" w:cs="宋体"/>
          <w:b/>
          <w:bCs/>
          <w:color w:val="333333"/>
          <w:shd w:val="clear" w:color="auto" w:fill="FFFFFF"/>
        </w:rPr>
      </w:pPr>
    </w:p>
    <w:p>
      <w:pPr>
        <w:pStyle w:val="3"/>
        <w:widowControl/>
        <w:numPr>
          <w:ilvl w:val="0"/>
          <w:numId w:val="1"/>
        </w:numPr>
        <w:shd w:val="clear" w:color="auto" w:fill="FFFFFF"/>
        <w:spacing w:before="210" w:beforeAutospacing="0" w:after="100" w:afterAutospacing="0" w:line="320" w:lineRule="atLeast"/>
        <w:jc w:val="both"/>
        <w:rPr>
          <w:rFonts w:ascii="宋体" w:cs="宋体"/>
          <w:b/>
          <w:bCs/>
          <w:color w:val="000000"/>
          <w:shd w:val="clear" w:color="auto" w:fill="FFFFFF"/>
        </w:rPr>
      </w:pPr>
      <w:r>
        <w:rPr>
          <w:rFonts w:hint="eastAsia" w:ascii="宋体" w:hAnsi="宋体" w:cs="宋体"/>
          <w:b/>
          <w:bCs/>
          <w:color w:val="000000"/>
          <w:shd w:val="clear" w:color="auto" w:fill="FFFFFF"/>
        </w:rPr>
        <w:t>收到和处理政府信息公开申请情况</w:t>
      </w:r>
    </w:p>
    <w:tbl>
      <w:tblPr>
        <w:tblStyle w:val="4"/>
        <w:tblW w:w="4734" w:type="pct"/>
        <w:jc w:val="center"/>
        <w:tblLayout w:type="autofit"/>
        <w:tblCellMar>
          <w:top w:w="0" w:type="dxa"/>
          <w:left w:w="0" w:type="dxa"/>
          <w:bottom w:w="0" w:type="dxa"/>
          <w:right w:w="0" w:type="dxa"/>
        </w:tblCellMar>
      </w:tblPr>
      <w:tblGrid>
        <w:gridCol w:w="950"/>
        <w:gridCol w:w="959"/>
        <w:gridCol w:w="2672"/>
        <w:gridCol w:w="502"/>
        <w:gridCol w:w="371"/>
        <w:gridCol w:w="438"/>
        <w:gridCol w:w="693"/>
        <w:gridCol w:w="626"/>
        <w:gridCol w:w="371"/>
        <w:gridCol w:w="438"/>
      </w:tblGrid>
      <w:tr>
        <w:tblPrEx>
          <w:tblCellMar>
            <w:top w:w="0" w:type="dxa"/>
            <w:left w:w="0" w:type="dxa"/>
            <w:bottom w:w="0" w:type="dxa"/>
            <w:right w:w="0" w:type="dxa"/>
          </w:tblCellMar>
        </w:tblPrEx>
        <w:trPr>
          <w:trHeight w:val="318" w:hRule="atLeast"/>
          <w:jc w:val="center"/>
        </w:trPr>
        <w:tc>
          <w:tcPr>
            <w:tcW w:w="2857" w:type="pct"/>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rPr>
                <w:rFonts w:ascii="宋体" w:cs="宋体"/>
                <w:color w:val="000000"/>
                <w:kern w:val="0"/>
                <w:szCs w:val="21"/>
              </w:rPr>
            </w:pPr>
            <w:r>
              <w:rPr>
                <w:rFonts w:hint="eastAsia" w:ascii="宋体" w:hAnsi="宋体" w:cs="宋体"/>
                <w:color w:val="000000"/>
                <w:kern w:val="0"/>
                <w:szCs w:val="21"/>
              </w:rPr>
              <w:t>（本列数据的勾稽关系为：第一项加第二项之和，等于第三项加第四项之和）</w:t>
            </w:r>
          </w:p>
        </w:tc>
        <w:tc>
          <w:tcPr>
            <w:tcW w:w="2143" w:type="pct"/>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hint="eastAsia" w:ascii="宋体" w:hAnsi="宋体" w:cs="宋体"/>
                <w:color w:val="000000"/>
                <w:kern w:val="0"/>
                <w:szCs w:val="21"/>
              </w:rPr>
              <w:t>申请人情况</w:t>
            </w:r>
          </w:p>
        </w:tc>
      </w:tr>
      <w:tr>
        <w:tblPrEx>
          <w:tblCellMar>
            <w:top w:w="0" w:type="dxa"/>
            <w:left w:w="0" w:type="dxa"/>
            <w:bottom w:w="0" w:type="dxa"/>
            <w:right w:w="0" w:type="dxa"/>
          </w:tblCellMar>
        </w:tblPrEx>
        <w:trPr>
          <w:trHeight w:val="145" w:hRule="atLeast"/>
          <w:jc w:val="center"/>
        </w:trPr>
        <w:tc>
          <w:tcPr>
            <w:tcW w:w="2857"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313" w:type="pct"/>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hint="eastAsia" w:ascii="宋体" w:hAnsi="宋体" w:cs="宋体"/>
                <w:color w:val="000000"/>
                <w:kern w:val="0"/>
                <w:szCs w:val="21"/>
              </w:rPr>
              <w:t>自然人</w:t>
            </w:r>
          </w:p>
        </w:tc>
        <w:tc>
          <w:tcPr>
            <w:tcW w:w="1557" w:type="pct"/>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hint="eastAsia" w:ascii="宋体" w:hAnsi="宋体" w:cs="宋体"/>
                <w:color w:val="000000"/>
                <w:kern w:val="0"/>
                <w:szCs w:val="21"/>
              </w:rPr>
              <w:t>法人或其他组织</w:t>
            </w:r>
          </w:p>
        </w:tc>
        <w:tc>
          <w:tcPr>
            <w:tcW w:w="273" w:type="pct"/>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hint="eastAsia" w:ascii="宋体" w:hAnsi="宋体" w:cs="宋体"/>
                <w:color w:val="000000"/>
                <w:kern w:val="0"/>
                <w:szCs w:val="21"/>
              </w:rPr>
              <w:t>总计</w:t>
            </w:r>
          </w:p>
        </w:tc>
      </w:tr>
      <w:tr>
        <w:tblPrEx>
          <w:tblCellMar>
            <w:top w:w="0" w:type="dxa"/>
            <w:left w:w="0" w:type="dxa"/>
            <w:bottom w:w="0" w:type="dxa"/>
            <w:right w:w="0" w:type="dxa"/>
          </w:tblCellMar>
        </w:tblPrEx>
        <w:trPr>
          <w:trHeight w:val="145" w:hRule="atLeast"/>
          <w:jc w:val="center"/>
        </w:trPr>
        <w:tc>
          <w:tcPr>
            <w:tcW w:w="2857"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313" w:type="pct"/>
            <w:vMerge w:val="continue"/>
            <w:tcBorders>
              <w:top w:val="single" w:color="auto" w:sz="6" w:space="0"/>
              <w:left w:val="single" w:color="auto" w:sz="6" w:space="0"/>
              <w:bottom w:val="single" w:color="auto" w:sz="8" w:space="0"/>
              <w:right w:val="single" w:color="auto" w:sz="8" w:space="0"/>
            </w:tcBorders>
            <w:vAlign w:val="center"/>
          </w:tcPr>
          <w:p>
            <w:pPr>
              <w:widowControl/>
              <w:jc w:val="center"/>
              <w:rPr>
                <w:rFonts w:ascii="宋体" w:cs="宋体"/>
                <w:color w:val="000000"/>
                <w:kern w:val="0"/>
                <w:szCs w:val="21"/>
              </w:rPr>
            </w:pPr>
          </w:p>
        </w:tc>
        <w:tc>
          <w:tcPr>
            <w:tcW w:w="231"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hint="eastAsia" w:ascii="宋体" w:hAnsi="宋体" w:cs="宋体"/>
                <w:color w:val="000000"/>
                <w:kern w:val="0"/>
                <w:szCs w:val="21"/>
              </w:rPr>
              <w:t>商业</w:t>
            </w:r>
          </w:p>
          <w:p>
            <w:pPr>
              <w:widowControl/>
              <w:jc w:val="center"/>
              <w:rPr>
                <w:rFonts w:ascii="宋体" w:cs="宋体"/>
                <w:color w:val="000000"/>
                <w:kern w:val="0"/>
                <w:szCs w:val="21"/>
              </w:rPr>
            </w:pPr>
            <w:r>
              <w:rPr>
                <w:rFonts w:hint="eastAsia" w:ascii="宋体" w:hAnsi="宋体" w:cs="宋体"/>
                <w:color w:val="000000"/>
                <w:kern w:val="0"/>
                <w:szCs w:val="21"/>
              </w:rPr>
              <w:t>企业</w:t>
            </w:r>
          </w:p>
        </w:tc>
        <w:tc>
          <w:tcPr>
            <w:tcW w:w="273"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hint="eastAsia" w:ascii="宋体" w:hAnsi="宋体" w:cs="宋体"/>
                <w:color w:val="000000"/>
                <w:kern w:val="0"/>
                <w:szCs w:val="21"/>
              </w:rPr>
              <w:t>科研</w:t>
            </w:r>
          </w:p>
          <w:p>
            <w:pPr>
              <w:widowControl/>
              <w:jc w:val="center"/>
              <w:rPr>
                <w:rFonts w:ascii="宋体" w:cs="宋体"/>
                <w:color w:val="000000"/>
                <w:kern w:val="0"/>
                <w:szCs w:val="21"/>
              </w:rPr>
            </w:pPr>
            <w:r>
              <w:rPr>
                <w:rFonts w:hint="eastAsia" w:ascii="宋体" w:hAnsi="宋体" w:cs="宋体"/>
                <w:color w:val="000000"/>
                <w:kern w:val="0"/>
                <w:szCs w:val="21"/>
              </w:rPr>
              <w:t>机构</w:t>
            </w:r>
          </w:p>
        </w:tc>
        <w:tc>
          <w:tcPr>
            <w:tcW w:w="432"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hint="eastAsia" w:ascii="宋体" w:hAnsi="宋体" w:cs="宋体"/>
                <w:color w:val="000000"/>
                <w:kern w:val="0"/>
                <w:szCs w:val="21"/>
              </w:rPr>
              <w:t>社会公益组织</w:t>
            </w:r>
          </w:p>
        </w:tc>
        <w:tc>
          <w:tcPr>
            <w:tcW w:w="390"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hint="eastAsia" w:ascii="宋体" w:hAnsi="宋体" w:cs="宋体"/>
                <w:color w:val="000000"/>
                <w:kern w:val="0"/>
                <w:szCs w:val="21"/>
              </w:rPr>
              <w:t>法律服务机构</w:t>
            </w:r>
          </w:p>
        </w:tc>
        <w:tc>
          <w:tcPr>
            <w:tcW w:w="231"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hint="eastAsia" w:ascii="宋体" w:hAnsi="宋体" w:cs="宋体"/>
                <w:color w:val="000000"/>
                <w:kern w:val="0"/>
                <w:szCs w:val="21"/>
              </w:rPr>
              <w:t>其他</w:t>
            </w:r>
          </w:p>
        </w:tc>
        <w:tc>
          <w:tcPr>
            <w:tcW w:w="273" w:type="pct"/>
            <w:vMerge w:val="continue"/>
            <w:tcBorders>
              <w:top w:val="single" w:color="auto" w:sz="8" w:space="0"/>
              <w:left w:val="single" w:color="auto" w:sz="6" w:space="0"/>
              <w:bottom w:val="inset" w:color="auto" w:sz="8" w:space="0"/>
              <w:right w:val="single" w:color="auto" w:sz="8" w:space="0"/>
            </w:tcBorders>
            <w:vAlign w:val="center"/>
          </w:tcPr>
          <w:p>
            <w:pPr>
              <w:widowControl/>
              <w:jc w:val="center"/>
              <w:rPr>
                <w:rFonts w:ascii="宋体" w:cs="宋体"/>
                <w:color w:val="000000"/>
                <w:kern w:val="0"/>
                <w:szCs w:val="21"/>
              </w:rPr>
            </w:pPr>
          </w:p>
        </w:tc>
      </w:tr>
      <w:tr>
        <w:tblPrEx>
          <w:tblCellMar>
            <w:top w:w="0" w:type="dxa"/>
            <w:left w:w="0" w:type="dxa"/>
            <w:bottom w:w="0" w:type="dxa"/>
            <w:right w:w="0" w:type="dxa"/>
          </w:tblCellMar>
        </w:tblPrEx>
        <w:trPr>
          <w:trHeight w:val="318" w:hRule="atLeast"/>
          <w:jc w:val="center"/>
        </w:trPr>
        <w:tc>
          <w:tcPr>
            <w:tcW w:w="2857"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hint="eastAsia" w:ascii="宋体" w:hAnsi="宋体" w:cs="宋体"/>
                <w:color w:val="000000"/>
                <w:kern w:val="0"/>
                <w:szCs w:val="21"/>
              </w:rPr>
              <w:t>一、本年新收政府信息公开申请数量</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36</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36</w:t>
            </w:r>
          </w:p>
        </w:tc>
      </w:tr>
      <w:tr>
        <w:tblPrEx>
          <w:tblCellMar>
            <w:top w:w="0" w:type="dxa"/>
            <w:left w:w="0" w:type="dxa"/>
            <w:bottom w:w="0" w:type="dxa"/>
            <w:right w:w="0" w:type="dxa"/>
          </w:tblCellMar>
        </w:tblPrEx>
        <w:trPr>
          <w:trHeight w:val="318" w:hRule="atLeast"/>
          <w:jc w:val="center"/>
        </w:trPr>
        <w:tc>
          <w:tcPr>
            <w:tcW w:w="2857"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hint="eastAsia" w:ascii="宋体" w:hAnsi="宋体" w:cs="宋体"/>
                <w:color w:val="000000"/>
                <w:kern w:val="0"/>
                <w:szCs w:val="21"/>
              </w:rPr>
              <w:t>二、上年结转政府信息公开申请数量</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333" w:hRule="atLeast"/>
          <w:jc w:val="center"/>
        </w:trPr>
        <w:tc>
          <w:tcPr>
            <w:tcW w:w="593" w:type="pct"/>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hint="eastAsia" w:ascii="宋体" w:hAnsi="宋体" w:cs="宋体"/>
                <w:color w:val="000000"/>
                <w:kern w:val="0"/>
                <w:szCs w:val="21"/>
              </w:rPr>
              <w:t>三、本年度办理结果</w:t>
            </w:r>
          </w:p>
        </w:tc>
        <w:tc>
          <w:tcPr>
            <w:tcW w:w="2264"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hint="eastAsia" w:ascii="宋体" w:hAnsi="宋体" w:cs="宋体"/>
                <w:color w:val="000000"/>
                <w:kern w:val="0"/>
                <w:szCs w:val="21"/>
              </w:rPr>
              <w:t>（一）予以公开</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26</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0</w:t>
            </w:r>
          </w:p>
        </w:tc>
        <w:tc>
          <w:tcPr>
            <w:tcW w:w="273"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26</w:t>
            </w:r>
          </w:p>
        </w:tc>
      </w:tr>
      <w:tr>
        <w:tblPrEx>
          <w:tblCellMar>
            <w:top w:w="0" w:type="dxa"/>
            <w:left w:w="0" w:type="dxa"/>
            <w:bottom w:w="0" w:type="dxa"/>
            <w:right w:w="0" w:type="dxa"/>
          </w:tblCellMar>
        </w:tblPrEx>
        <w:trPr>
          <w:trHeight w:val="569"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2264"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hint="eastAsia" w:ascii="宋体" w:hAnsi="宋体" w:cs="宋体"/>
                <w:color w:val="000000"/>
                <w:kern w:val="0"/>
                <w:szCs w:val="21"/>
              </w:rPr>
              <w:t>（二）部分公开（区分处理的，只计这一情形，不计其他情形）</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1</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10" w:firstLineChars="100"/>
              <w:jc w:val="center"/>
              <w:rPr>
                <w:rFonts w:ascii="宋体" w:cs="宋体"/>
                <w:color w:val="000000"/>
                <w:kern w:val="0"/>
                <w:szCs w:val="21"/>
              </w:rPr>
            </w:pPr>
            <w:r>
              <w:rPr>
                <w:rFonts w:ascii="宋体" w:cs="宋体"/>
                <w:color w:val="000000"/>
                <w:kern w:val="0"/>
                <w:szCs w:val="21"/>
              </w:rPr>
              <w:t>1</w:t>
            </w:r>
          </w:p>
        </w:tc>
      </w:tr>
      <w:tr>
        <w:tblPrEx>
          <w:tblCellMar>
            <w:top w:w="0" w:type="dxa"/>
            <w:left w:w="0" w:type="dxa"/>
            <w:bottom w:w="0" w:type="dxa"/>
            <w:right w:w="0" w:type="dxa"/>
          </w:tblCellMar>
        </w:tblPrEx>
        <w:trPr>
          <w:trHeight w:val="284"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hint="eastAsia" w:ascii="宋体" w:hAnsi="宋体" w:cs="宋体"/>
                <w:color w:val="000000"/>
                <w:kern w:val="0"/>
                <w:szCs w:val="21"/>
              </w:rPr>
              <w:t>（三）不予公开</w:t>
            </w: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属于国家秘密</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continue"/>
            <w:tcBorders>
              <w:top w:val="single" w:color="auto" w:sz="6" w:space="0"/>
              <w:left w:val="single" w:color="auto" w:sz="6" w:space="0"/>
              <w:bottom w:val="inset" w:color="auto" w:sz="8" w:space="0"/>
              <w:right w:val="single" w:color="auto" w:sz="8" w:space="0"/>
            </w:tcBorders>
            <w:vAlign w:val="center"/>
          </w:tcPr>
          <w:p>
            <w:pPr>
              <w:widowControl/>
              <w:rPr>
                <w:rFonts w:ascii="宋体" w:cs="宋体"/>
                <w:color w:val="000000"/>
                <w:kern w:val="0"/>
                <w:szCs w:val="21"/>
              </w:rPr>
            </w:pP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其他法律行政法规禁止公开</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60"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continue"/>
            <w:tcBorders>
              <w:top w:val="single" w:color="auto" w:sz="6" w:space="0"/>
              <w:left w:val="single" w:color="auto" w:sz="6" w:space="0"/>
              <w:bottom w:val="inset" w:color="auto" w:sz="8" w:space="0"/>
              <w:right w:val="single" w:color="auto" w:sz="8" w:space="0"/>
            </w:tcBorders>
            <w:vAlign w:val="center"/>
          </w:tcPr>
          <w:p>
            <w:pPr>
              <w:widowControl/>
              <w:rPr>
                <w:rFonts w:ascii="宋体" w:cs="宋体"/>
                <w:color w:val="000000"/>
                <w:kern w:val="0"/>
                <w:szCs w:val="21"/>
              </w:rPr>
            </w:pP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危及“三安全一稳定”</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continue"/>
            <w:tcBorders>
              <w:top w:val="single" w:color="auto" w:sz="6" w:space="0"/>
              <w:left w:val="single" w:color="auto" w:sz="6" w:space="0"/>
              <w:bottom w:val="inset" w:color="auto" w:sz="8" w:space="0"/>
              <w:right w:val="single" w:color="auto" w:sz="8" w:space="0"/>
            </w:tcBorders>
            <w:vAlign w:val="center"/>
          </w:tcPr>
          <w:p>
            <w:pPr>
              <w:widowControl/>
              <w:rPr>
                <w:rFonts w:ascii="宋体" w:cs="宋体"/>
                <w:color w:val="000000"/>
                <w:kern w:val="0"/>
                <w:szCs w:val="21"/>
              </w:rPr>
            </w:pP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保护第三方合法权益</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continue"/>
            <w:tcBorders>
              <w:top w:val="single" w:color="auto" w:sz="6" w:space="0"/>
              <w:left w:val="single" w:color="auto" w:sz="6" w:space="0"/>
              <w:bottom w:val="inset" w:color="auto" w:sz="8" w:space="0"/>
              <w:right w:val="single" w:color="auto" w:sz="8" w:space="0"/>
            </w:tcBorders>
            <w:vAlign w:val="center"/>
          </w:tcPr>
          <w:p>
            <w:pPr>
              <w:widowControl/>
              <w:rPr>
                <w:rFonts w:ascii="宋体" w:cs="宋体"/>
                <w:color w:val="000000"/>
                <w:kern w:val="0"/>
                <w:szCs w:val="21"/>
              </w:rPr>
            </w:pP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5.</w:t>
            </w:r>
            <w:r>
              <w:rPr>
                <w:rFonts w:hint="eastAsia" w:ascii="宋体" w:hAnsi="宋体" w:cs="宋体"/>
                <w:color w:val="000000"/>
                <w:kern w:val="0"/>
                <w:szCs w:val="21"/>
              </w:rPr>
              <w:t>属于三类内部事务信息</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continue"/>
            <w:tcBorders>
              <w:top w:val="single" w:color="auto" w:sz="6" w:space="0"/>
              <w:left w:val="single" w:color="auto" w:sz="6" w:space="0"/>
              <w:bottom w:val="inset" w:color="auto" w:sz="8" w:space="0"/>
              <w:right w:val="single" w:color="auto" w:sz="8" w:space="0"/>
            </w:tcBorders>
            <w:vAlign w:val="center"/>
          </w:tcPr>
          <w:p>
            <w:pPr>
              <w:widowControl/>
              <w:rPr>
                <w:rFonts w:ascii="宋体" w:cs="宋体"/>
                <w:color w:val="000000"/>
                <w:kern w:val="0"/>
                <w:szCs w:val="21"/>
              </w:rPr>
            </w:pP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6.</w:t>
            </w:r>
            <w:r>
              <w:rPr>
                <w:rFonts w:hint="eastAsia" w:ascii="宋体" w:hAnsi="宋体" w:cs="宋体"/>
                <w:color w:val="000000"/>
                <w:kern w:val="0"/>
                <w:szCs w:val="21"/>
              </w:rPr>
              <w:t>属于四类过程性信息</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continue"/>
            <w:tcBorders>
              <w:top w:val="single" w:color="auto" w:sz="6" w:space="0"/>
              <w:left w:val="single" w:color="auto" w:sz="6" w:space="0"/>
              <w:bottom w:val="inset" w:color="auto" w:sz="8" w:space="0"/>
              <w:right w:val="single" w:color="auto" w:sz="8" w:space="0"/>
            </w:tcBorders>
            <w:vAlign w:val="center"/>
          </w:tcPr>
          <w:p>
            <w:pPr>
              <w:widowControl/>
              <w:rPr>
                <w:rFonts w:ascii="宋体" w:cs="宋体"/>
                <w:color w:val="000000"/>
                <w:kern w:val="0"/>
                <w:szCs w:val="21"/>
              </w:rPr>
            </w:pP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7.</w:t>
            </w:r>
            <w:r>
              <w:rPr>
                <w:rFonts w:hint="eastAsia" w:ascii="宋体" w:hAnsi="宋体" w:cs="宋体"/>
                <w:color w:val="000000"/>
                <w:kern w:val="0"/>
                <w:szCs w:val="21"/>
              </w:rPr>
              <w:t>属于行政执法案卷</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continue"/>
            <w:tcBorders>
              <w:top w:val="single" w:color="auto" w:sz="6" w:space="0"/>
              <w:left w:val="single" w:color="auto" w:sz="6" w:space="0"/>
              <w:bottom w:val="inset" w:color="auto" w:sz="8" w:space="0"/>
              <w:right w:val="single" w:color="auto" w:sz="8" w:space="0"/>
            </w:tcBorders>
            <w:vAlign w:val="center"/>
          </w:tcPr>
          <w:p>
            <w:pPr>
              <w:widowControl/>
              <w:rPr>
                <w:rFonts w:ascii="宋体" w:cs="宋体"/>
                <w:color w:val="000000"/>
                <w:kern w:val="0"/>
                <w:szCs w:val="21"/>
              </w:rPr>
            </w:pP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8.</w:t>
            </w:r>
            <w:r>
              <w:rPr>
                <w:rFonts w:hint="eastAsia" w:ascii="宋体" w:hAnsi="宋体" w:cs="宋体"/>
                <w:color w:val="000000"/>
                <w:kern w:val="0"/>
                <w:szCs w:val="21"/>
              </w:rPr>
              <w:t>属于行政查询事项</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hint="eastAsia" w:ascii="宋体" w:hAnsi="宋体" w:cs="宋体"/>
                <w:color w:val="000000"/>
                <w:kern w:val="0"/>
                <w:szCs w:val="21"/>
              </w:rPr>
              <w:t>（四）无法提供</w:t>
            </w: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本机关不掌握相关政府信息</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4</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4</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continue"/>
            <w:tcBorders>
              <w:top w:val="single" w:color="auto" w:sz="6" w:space="0"/>
              <w:left w:val="single" w:color="auto" w:sz="6" w:space="0"/>
              <w:bottom w:val="inset" w:color="auto" w:sz="8" w:space="0"/>
              <w:right w:val="single" w:color="auto" w:sz="8" w:space="0"/>
            </w:tcBorders>
            <w:vAlign w:val="center"/>
          </w:tcPr>
          <w:p>
            <w:pPr>
              <w:widowControl/>
              <w:rPr>
                <w:rFonts w:ascii="宋体" w:cs="宋体"/>
                <w:color w:val="000000"/>
                <w:kern w:val="0"/>
                <w:szCs w:val="21"/>
              </w:rPr>
            </w:pP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没有现成信息需要另行制作</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continue"/>
            <w:tcBorders>
              <w:top w:val="single" w:color="auto" w:sz="6" w:space="0"/>
              <w:left w:val="single" w:color="auto" w:sz="6" w:space="0"/>
              <w:bottom w:val="inset" w:color="auto" w:sz="8" w:space="0"/>
              <w:right w:val="single" w:color="auto" w:sz="8" w:space="0"/>
            </w:tcBorders>
            <w:vAlign w:val="center"/>
          </w:tcPr>
          <w:p>
            <w:pPr>
              <w:widowControl/>
              <w:rPr>
                <w:rFonts w:ascii="宋体" w:cs="宋体"/>
                <w:color w:val="000000"/>
                <w:kern w:val="0"/>
                <w:szCs w:val="21"/>
              </w:rPr>
            </w:pP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补正后申请内容仍不明确</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hint="eastAsia" w:ascii="宋体" w:hAnsi="宋体" w:cs="宋体"/>
                <w:color w:val="000000"/>
                <w:kern w:val="0"/>
                <w:szCs w:val="21"/>
              </w:rPr>
              <w:t>（五）不予处理</w:t>
            </w: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信访举报投诉类申请</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continue"/>
            <w:tcBorders>
              <w:top w:val="single" w:color="auto" w:sz="6" w:space="0"/>
              <w:left w:val="single" w:color="auto" w:sz="6" w:space="0"/>
              <w:bottom w:val="inset" w:color="auto" w:sz="8" w:space="0"/>
              <w:right w:val="single" w:color="auto" w:sz="8" w:space="0"/>
            </w:tcBorders>
            <w:vAlign w:val="center"/>
          </w:tcPr>
          <w:p>
            <w:pPr>
              <w:widowControl/>
              <w:rPr>
                <w:rFonts w:ascii="宋体" w:cs="宋体"/>
                <w:color w:val="000000"/>
                <w:kern w:val="0"/>
                <w:szCs w:val="21"/>
              </w:rPr>
            </w:pP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重复申请</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continue"/>
            <w:tcBorders>
              <w:top w:val="single" w:color="auto" w:sz="6" w:space="0"/>
              <w:left w:val="single" w:color="auto" w:sz="6" w:space="0"/>
              <w:bottom w:val="inset" w:color="auto" w:sz="8" w:space="0"/>
              <w:right w:val="single" w:color="auto" w:sz="8" w:space="0"/>
            </w:tcBorders>
            <w:vAlign w:val="center"/>
          </w:tcPr>
          <w:p>
            <w:pPr>
              <w:widowControl/>
              <w:rPr>
                <w:rFonts w:ascii="宋体" w:cs="宋体"/>
                <w:color w:val="000000"/>
                <w:kern w:val="0"/>
                <w:szCs w:val="21"/>
              </w:rPr>
            </w:pP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要求提供公开出版物</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continue"/>
            <w:tcBorders>
              <w:top w:val="single" w:color="auto" w:sz="6" w:space="0"/>
              <w:left w:val="single" w:color="auto" w:sz="6" w:space="0"/>
              <w:bottom w:val="inset" w:color="auto" w:sz="8" w:space="0"/>
              <w:right w:val="single" w:color="auto" w:sz="8" w:space="0"/>
            </w:tcBorders>
            <w:vAlign w:val="center"/>
          </w:tcPr>
          <w:p>
            <w:pPr>
              <w:widowControl/>
              <w:rPr>
                <w:rFonts w:ascii="宋体" w:cs="宋体"/>
                <w:color w:val="000000"/>
                <w:kern w:val="0"/>
                <w:szCs w:val="21"/>
              </w:rPr>
            </w:pP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无正当理由大量反复申请</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78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continue"/>
            <w:tcBorders>
              <w:top w:val="single" w:color="auto" w:sz="6" w:space="0"/>
              <w:left w:val="single" w:color="auto" w:sz="6" w:space="0"/>
              <w:bottom w:val="inset" w:color="auto" w:sz="8" w:space="0"/>
              <w:right w:val="single" w:color="auto" w:sz="8" w:space="0"/>
            </w:tcBorders>
            <w:vAlign w:val="center"/>
          </w:tcPr>
          <w:p>
            <w:pPr>
              <w:widowControl/>
              <w:rPr>
                <w:rFonts w:ascii="宋体" w:cs="宋体"/>
                <w:color w:val="000000"/>
                <w:kern w:val="0"/>
                <w:szCs w:val="21"/>
              </w:rPr>
            </w:pPr>
          </w:p>
        </w:tc>
        <w:tc>
          <w:tcPr>
            <w:tcW w:w="1666"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5.</w:t>
            </w:r>
            <w:r>
              <w:rPr>
                <w:rFonts w:hint="eastAsia" w:ascii="宋体" w:hAnsi="宋体" w:cs="宋体"/>
                <w:color w:val="000000"/>
                <w:kern w:val="0"/>
                <w:szCs w:val="21"/>
              </w:rPr>
              <w:t>要求行政机关确认或重新出具已获取信息</w:t>
            </w:r>
          </w:p>
        </w:tc>
        <w:tc>
          <w:tcPr>
            <w:tcW w:w="313"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ind w:firstLine="105" w:firstLineChars="50"/>
              <w:jc w:val="center"/>
              <w:rPr>
                <w:rFonts w:ascii="宋体" w:cs="宋体"/>
                <w:color w:val="000000"/>
                <w:kern w:val="0"/>
                <w:szCs w:val="21"/>
              </w:rPr>
            </w:pPr>
            <w:r>
              <w:rPr>
                <w:rFonts w:ascii="宋体" w:cs="宋体"/>
                <w:color w:val="000000"/>
                <w:kern w:val="0"/>
                <w:szCs w:val="21"/>
              </w:rPr>
              <w:t>0</w:t>
            </w:r>
          </w:p>
        </w:tc>
        <w:tc>
          <w:tcPr>
            <w:tcW w:w="273"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ind w:firstLine="210" w:firstLineChars="100"/>
              <w:jc w:val="center"/>
              <w:rPr>
                <w:rFonts w:ascii="宋体" w:cs="宋体"/>
                <w:color w:val="000000"/>
                <w:kern w:val="0"/>
                <w:szCs w:val="21"/>
              </w:rPr>
            </w:pPr>
            <w:r>
              <w:rPr>
                <w:rFonts w:ascii="宋体" w:cs="宋体"/>
                <w:color w:val="000000"/>
                <w:kern w:val="0"/>
                <w:szCs w:val="21"/>
              </w:rPr>
              <w:t>0</w:t>
            </w:r>
          </w:p>
        </w:tc>
        <w:tc>
          <w:tcPr>
            <w:tcW w:w="432"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ind w:firstLine="210" w:firstLineChars="100"/>
              <w:jc w:val="center"/>
              <w:rPr>
                <w:rFonts w:ascii="宋体" w:cs="宋体"/>
                <w:color w:val="000000"/>
                <w:kern w:val="0"/>
                <w:szCs w:val="21"/>
              </w:rPr>
            </w:pPr>
            <w:r>
              <w:rPr>
                <w:rFonts w:ascii="宋体" w:cs="宋体"/>
                <w:color w:val="000000"/>
                <w:kern w:val="0"/>
                <w:szCs w:val="21"/>
              </w:rPr>
              <w:t>0</w:t>
            </w:r>
          </w:p>
        </w:tc>
        <w:tc>
          <w:tcPr>
            <w:tcW w:w="390"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ind w:firstLine="105" w:firstLineChars="50"/>
              <w:jc w:val="center"/>
              <w:rPr>
                <w:rFonts w:ascii="宋体" w:cs="宋体"/>
                <w:color w:val="000000"/>
                <w:kern w:val="0"/>
                <w:szCs w:val="21"/>
              </w:rPr>
            </w:pPr>
            <w:r>
              <w:rPr>
                <w:rFonts w:ascii="宋体" w:cs="宋体"/>
                <w:color w:val="000000"/>
                <w:kern w:val="0"/>
                <w:szCs w:val="21"/>
              </w:rPr>
              <w:t>0</w:t>
            </w:r>
          </w:p>
        </w:tc>
        <w:tc>
          <w:tcPr>
            <w:tcW w:w="273"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ind w:firstLine="105" w:firstLineChars="50"/>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hint="eastAsia" w:ascii="宋体" w:hAnsi="宋体" w:cs="宋体"/>
                <w:color w:val="000000"/>
                <w:kern w:val="0"/>
                <w:szCs w:val="21"/>
              </w:rPr>
              <w:t>（六）其他处理</w:t>
            </w: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申请人无正当理由逾期不补正、行政机关不再处理其政府信息公开申请</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105" w:firstLineChars="50"/>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continue"/>
            <w:tcBorders>
              <w:top w:val="inset" w:color="auto" w:sz="8" w:space="0"/>
              <w:left w:val="single" w:color="auto" w:sz="6" w:space="0"/>
              <w:bottom w:val="inset" w:color="auto" w:sz="8" w:space="0"/>
              <w:right w:val="single" w:color="auto" w:sz="8" w:space="0"/>
            </w:tcBorders>
            <w:vAlign w:val="center"/>
          </w:tcPr>
          <w:p>
            <w:pPr>
              <w:widowControl/>
              <w:rPr>
                <w:rFonts w:ascii="宋体" w:cs="宋体"/>
                <w:color w:val="000000"/>
                <w:kern w:val="0"/>
                <w:szCs w:val="21"/>
              </w:rPr>
            </w:pP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申请人逾期未按收费通知要求缴纳费用、行政机关不再处理其政府信息公开申请</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210" w:firstLineChars="100"/>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ind w:firstLine="105" w:firstLineChars="50"/>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598" w:type="pct"/>
            <w:vMerge w:val="continue"/>
            <w:tcBorders>
              <w:top w:val="inset" w:color="auto" w:sz="8" w:space="0"/>
              <w:left w:val="single" w:color="auto" w:sz="6" w:space="0"/>
              <w:bottom w:val="inset" w:color="auto" w:sz="8" w:space="0"/>
              <w:right w:val="single" w:color="auto" w:sz="8" w:space="0"/>
            </w:tcBorders>
            <w:vAlign w:val="center"/>
          </w:tcPr>
          <w:p>
            <w:pPr>
              <w:widowControl/>
              <w:rPr>
                <w:rFonts w:ascii="宋体" w:cs="宋体"/>
                <w:color w:val="000000"/>
                <w:kern w:val="0"/>
                <w:szCs w:val="21"/>
              </w:rPr>
            </w:pPr>
          </w:p>
        </w:tc>
        <w:tc>
          <w:tcPr>
            <w:tcW w:w="166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其他</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cs="宋体"/>
                <w:color w:val="000000"/>
                <w:kern w:val="0"/>
                <w:szCs w:val="21"/>
              </w:rPr>
              <w:t>0</w:t>
            </w:r>
          </w:p>
        </w:tc>
      </w:tr>
      <w:tr>
        <w:tblPrEx>
          <w:tblCellMar>
            <w:top w:w="0" w:type="dxa"/>
            <w:left w:w="0" w:type="dxa"/>
            <w:bottom w:w="0" w:type="dxa"/>
            <w:right w:w="0" w:type="dxa"/>
          </w:tblCellMar>
        </w:tblPrEx>
        <w:trPr>
          <w:trHeight w:val="145" w:hRule="atLeast"/>
          <w:jc w:val="center"/>
        </w:trPr>
        <w:tc>
          <w:tcPr>
            <w:tcW w:w="593" w:type="pct"/>
            <w:vMerge w:val="continue"/>
            <w:tcBorders>
              <w:top w:val="single" w:color="auto" w:sz="6" w:space="0"/>
              <w:left w:val="single" w:color="auto" w:sz="8" w:space="0"/>
              <w:bottom w:val="inset" w:color="auto" w:sz="8" w:space="0"/>
              <w:right w:val="single" w:color="auto" w:sz="8" w:space="0"/>
            </w:tcBorders>
            <w:vAlign w:val="center"/>
          </w:tcPr>
          <w:p>
            <w:pPr>
              <w:widowControl/>
              <w:rPr>
                <w:rFonts w:ascii="宋体" w:cs="宋体"/>
                <w:color w:val="000000"/>
                <w:kern w:val="0"/>
                <w:szCs w:val="21"/>
              </w:rPr>
            </w:pPr>
          </w:p>
        </w:tc>
        <w:tc>
          <w:tcPr>
            <w:tcW w:w="2264"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cs="宋体"/>
                <w:color w:val="000000"/>
                <w:kern w:val="0"/>
                <w:szCs w:val="21"/>
              </w:rPr>
            </w:pPr>
            <w:r>
              <w:rPr>
                <w:rFonts w:hint="eastAsia" w:ascii="宋体" w:hAnsi="宋体" w:cs="宋体"/>
                <w:color w:val="000000"/>
                <w:kern w:val="0"/>
                <w:szCs w:val="21"/>
              </w:rPr>
              <w:t>（七）总计</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hAnsi="宋体" w:cs="宋体"/>
                <w:color w:val="000000"/>
                <w:kern w:val="0"/>
                <w:szCs w:val="21"/>
              </w:rPr>
              <w:t>31</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color w:val="000000"/>
                <w:kern w:val="0"/>
                <w:szCs w:val="21"/>
              </w:rPr>
            </w:pPr>
            <w:r>
              <w:rPr>
                <w:rFonts w:ascii="宋体" w:hAnsi="宋体" w:cs="宋体"/>
                <w:color w:val="000000"/>
                <w:kern w:val="0"/>
                <w:szCs w:val="21"/>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cs="宋体"/>
                <w:color w:val="000000"/>
                <w:kern w:val="0"/>
                <w:szCs w:val="21"/>
              </w:rPr>
            </w:pPr>
            <w:r>
              <w:rPr>
                <w:rFonts w:ascii="宋体" w:hAnsi="宋体" w:cs="宋体"/>
                <w:color w:val="000000"/>
                <w:kern w:val="0"/>
                <w:szCs w:val="21"/>
              </w:rPr>
              <w:t>31</w:t>
            </w:r>
          </w:p>
        </w:tc>
      </w:tr>
      <w:tr>
        <w:tblPrEx>
          <w:tblCellMar>
            <w:top w:w="0" w:type="dxa"/>
            <w:left w:w="0" w:type="dxa"/>
            <w:bottom w:w="0" w:type="dxa"/>
            <w:right w:w="0" w:type="dxa"/>
          </w:tblCellMar>
        </w:tblPrEx>
        <w:trPr>
          <w:trHeight w:val="318" w:hRule="atLeast"/>
          <w:jc w:val="center"/>
        </w:trPr>
        <w:tc>
          <w:tcPr>
            <w:tcW w:w="2857"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rPr>
                <w:rFonts w:ascii="方正报宋简体" w:hAnsi="仿宋" w:eastAsia="方正报宋简体" w:cs="宋体"/>
                <w:color w:val="333333"/>
                <w:kern w:val="0"/>
                <w:szCs w:val="21"/>
                <w:shd w:val="clear" w:color="auto" w:fill="FFFFFF"/>
              </w:rPr>
            </w:pPr>
            <w:r>
              <w:rPr>
                <w:rFonts w:hint="eastAsia" w:ascii="宋体" w:hAnsi="宋体" w:cs="宋体"/>
                <w:color w:val="000000"/>
                <w:kern w:val="0"/>
                <w:szCs w:val="21"/>
              </w:rPr>
              <w:t>四、结转下年度继续办理</w:t>
            </w:r>
          </w:p>
        </w:tc>
        <w:tc>
          <w:tcPr>
            <w:tcW w:w="31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方正报宋简体" w:hAnsi="仿宋" w:eastAsia="方正报宋简体" w:cs="宋体"/>
                <w:color w:val="333333"/>
                <w:kern w:val="0"/>
                <w:szCs w:val="21"/>
                <w:shd w:val="clear" w:color="auto" w:fill="FFFFFF"/>
              </w:rPr>
            </w:pPr>
            <w:r>
              <w:rPr>
                <w:rFonts w:ascii="方正报宋简体" w:hAnsi="仿宋" w:eastAsia="方正报宋简体" w:cs="宋体"/>
                <w:color w:val="333333"/>
                <w:kern w:val="0"/>
                <w:szCs w:val="21"/>
                <w:shd w:val="clear" w:color="auto" w:fill="FFFFFF"/>
              </w:rPr>
              <w:t>10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方正报宋简体" w:hAnsi="仿宋" w:eastAsia="方正报宋简体" w:cs="宋体"/>
                <w:color w:val="333333"/>
                <w:kern w:val="0"/>
                <w:szCs w:val="21"/>
                <w:shd w:val="clear" w:color="auto" w:fill="FFFFFF"/>
              </w:rPr>
            </w:pPr>
            <w:r>
              <w:rPr>
                <w:rFonts w:ascii="方正报宋简体" w:hAnsi="仿宋" w:eastAsia="方正报宋简体" w:cs="宋体"/>
                <w:color w:val="333333"/>
                <w:kern w:val="0"/>
                <w:szCs w:val="21"/>
                <w:shd w:val="clear" w:color="auto" w:fill="FFFFFF"/>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方正报宋简体" w:hAnsi="仿宋" w:eastAsia="方正报宋简体" w:cs="宋体"/>
                <w:color w:val="333333"/>
                <w:kern w:val="0"/>
                <w:szCs w:val="21"/>
                <w:shd w:val="clear" w:color="auto" w:fill="FFFFFF"/>
              </w:rPr>
            </w:pPr>
            <w:r>
              <w:rPr>
                <w:rFonts w:ascii="方正报宋简体" w:hAnsi="仿宋" w:eastAsia="方正报宋简体" w:cs="宋体"/>
                <w:color w:val="333333"/>
                <w:kern w:val="0"/>
                <w:szCs w:val="21"/>
                <w:shd w:val="clear" w:color="auto" w:fill="FFFFFF"/>
              </w:rPr>
              <w:t>0</w:t>
            </w:r>
          </w:p>
        </w:tc>
        <w:tc>
          <w:tcPr>
            <w:tcW w:w="4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方正报宋简体" w:hAnsi="仿宋" w:eastAsia="方正报宋简体" w:cs="宋体"/>
                <w:color w:val="333333"/>
                <w:kern w:val="0"/>
                <w:szCs w:val="21"/>
                <w:shd w:val="clear" w:color="auto" w:fill="FFFFFF"/>
              </w:rPr>
            </w:pPr>
            <w:r>
              <w:rPr>
                <w:rFonts w:ascii="方正报宋简体" w:hAnsi="仿宋" w:eastAsia="方正报宋简体" w:cs="宋体"/>
                <w:color w:val="333333"/>
                <w:kern w:val="0"/>
                <w:szCs w:val="21"/>
                <w:shd w:val="clear" w:color="auto" w:fill="FFFFFF"/>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方正报宋简体" w:hAnsi="仿宋" w:eastAsia="方正报宋简体" w:cs="宋体"/>
                <w:color w:val="333333"/>
                <w:kern w:val="0"/>
                <w:szCs w:val="21"/>
                <w:shd w:val="clear" w:color="auto" w:fill="FFFFFF"/>
              </w:rPr>
            </w:pPr>
            <w:r>
              <w:rPr>
                <w:rFonts w:ascii="方正报宋简体" w:hAnsi="仿宋" w:eastAsia="方正报宋简体" w:cs="宋体"/>
                <w:color w:val="333333"/>
                <w:kern w:val="0"/>
                <w:szCs w:val="21"/>
                <w:shd w:val="clear" w:color="auto" w:fill="FFFFFF"/>
              </w:rPr>
              <w:t>0</w:t>
            </w:r>
          </w:p>
        </w:tc>
        <w:tc>
          <w:tcPr>
            <w:tcW w:w="23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方正报宋简体" w:hAnsi="仿宋" w:eastAsia="方正报宋简体" w:cs="宋体"/>
                <w:color w:val="333333"/>
                <w:kern w:val="0"/>
                <w:szCs w:val="21"/>
                <w:shd w:val="clear" w:color="auto" w:fill="FFFFFF"/>
              </w:rPr>
            </w:pPr>
            <w:r>
              <w:rPr>
                <w:rFonts w:ascii="方正报宋简体" w:hAnsi="仿宋" w:eastAsia="方正报宋简体" w:cs="宋体"/>
                <w:color w:val="333333"/>
                <w:kern w:val="0"/>
                <w:szCs w:val="21"/>
                <w:shd w:val="clear" w:color="auto" w:fill="FFFFFF"/>
              </w:rPr>
              <w:t>0</w:t>
            </w:r>
          </w:p>
        </w:tc>
        <w:tc>
          <w:tcPr>
            <w:tcW w:w="27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方正报宋简体" w:hAnsi="仿宋" w:eastAsia="方正报宋简体" w:cs="宋体"/>
                <w:color w:val="333333"/>
                <w:kern w:val="0"/>
                <w:szCs w:val="21"/>
                <w:shd w:val="clear" w:color="auto" w:fill="FFFFFF"/>
              </w:rPr>
            </w:pPr>
            <w:r>
              <w:rPr>
                <w:rFonts w:ascii="方正报宋简体" w:hAnsi="仿宋" w:eastAsia="方正报宋简体" w:cs="宋体"/>
                <w:color w:val="333333"/>
                <w:kern w:val="0"/>
                <w:szCs w:val="21"/>
                <w:shd w:val="clear" w:color="auto" w:fill="FFFFFF"/>
              </w:rPr>
              <w:t>10</w:t>
            </w:r>
          </w:p>
        </w:tc>
      </w:tr>
    </w:tbl>
    <w:p>
      <w:pPr>
        <w:pStyle w:val="3"/>
        <w:widowControl/>
        <w:shd w:val="clear" w:color="auto" w:fill="FFFFFF"/>
        <w:spacing w:before="210" w:beforeAutospacing="0" w:after="100" w:afterAutospacing="0" w:line="320" w:lineRule="atLeast"/>
        <w:jc w:val="both"/>
        <w:rPr>
          <w:rFonts w:ascii="方正报宋简体" w:hAnsi="仿宋" w:eastAsia="方正报宋简体" w:cs="宋体"/>
          <w:color w:val="333333"/>
          <w:shd w:val="clear" w:color="auto" w:fill="FFFFFF"/>
        </w:rPr>
      </w:pPr>
    </w:p>
    <w:p>
      <w:pPr>
        <w:pStyle w:val="3"/>
        <w:widowControl/>
        <w:numPr>
          <w:ilvl w:val="0"/>
          <w:numId w:val="1"/>
        </w:numPr>
        <w:shd w:val="clear" w:color="auto" w:fill="FFFFFF"/>
        <w:spacing w:before="210" w:beforeAutospacing="0" w:after="100" w:afterAutospacing="0" w:line="320" w:lineRule="atLeast"/>
        <w:jc w:val="both"/>
        <w:rPr>
          <w:rFonts w:ascii="宋体" w:cs="宋体"/>
          <w:b/>
          <w:bCs/>
          <w:color w:val="000000"/>
          <w:shd w:val="clear" w:color="auto" w:fill="FFFFFF"/>
        </w:rPr>
      </w:pPr>
      <w:r>
        <w:rPr>
          <w:rFonts w:hint="eastAsia" w:ascii="宋体" w:hAnsi="宋体" w:cs="宋体"/>
          <w:b/>
          <w:bCs/>
          <w:color w:val="000000"/>
          <w:shd w:val="clear" w:color="auto" w:fill="FFFFFF"/>
        </w:rPr>
        <w:t>政府信息公开行政复议、行政诉讼情况</w:t>
      </w:r>
    </w:p>
    <w:tbl>
      <w:tblPr>
        <w:tblStyle w:val="4"/>
        <w:tblW w:w="4824" w:type="pct"/>
        <w:jc w:val="center"/>
        <w:tblLayout w:type="autofit"/>
        <w:tblCellMar>
          <w:top w:w="0" w:type="dxa"/>
          <w:left w:w="0" w:type="dxa"/>
          <w:bottom w:w="0" w:type="dxa"/>
          <w:right w:w="0" w:type="dxa"/>
        </w:tblCellMar>
      </w:tblPr>
      <w:tblGrid>
        <w:gridCol w:w="547"/>
        <w:gridCol w:w="547"/>
        <w:gridCol w:w="547"/>
        <w:gridCol w:w="547"/>
        <w:gridCol w:w="547"/>
        <w:gridCol w:w="547"/>
        <w:gridCol w:w="548"/>
        <w:gridCol w:w="548"/>
        <w:gridCol w:w="548"/>
        <w:gridCol w:w="553"/>
        <w:gridCol w:w="548"/>
        <w:gridCol w:w="548"/>
        <w:gridCol w:w="548"/>
        <w:gridCol w:w="548"/>
        <w:gridCol w:w="551"/>
      </w:tblGrid>
      <w:tr>
        <w:tblPrEx>
          <w:tblCellMar>
            <w:top w:w="0" w:type="dxa"/>
            <w:left w:w="0" w:type="dxa"/>
            <w:bottom w:w="0" w:type="dxa"/>
            <w:right w:w="0" w:type="dxa"/>
          </w:tblCellMar>
        </w:tblPrEx>
        <w:trPr>
          <w:trHeight w:val="317" w:hRule="atLeast"/>
          <w:jc w:val="center"/>
        </w:trPr>
        <w:tc>
          <w:tcPr>
            <w:tcW w:w="1664"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行政复议</w:t>
            </w:r>
          </w:p>
        </w:tc>
        <w:tc>
          <w:tcPr>
            <w:tcW w:w="3336" w:type="pct"/>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行政诉讼</w:t>
            </w:r>
          </w:p>
        </w:tc>
      </w:tr>
      <w:tr>
        <w:tblPrEx>
          <w:tblCellMar>
            <w:top w:w="0" w:type="dxa"/>
            <w:left w:w="0" w:type="dxa"/>
            <w:bottom w:w="0" w:type="dxa"/>
            <w:right w:w="0" w:type="dxa"/>
          </w:tblCellMar>
        </w:tblPrEx>
        <w:trPr>
          <w:trHeight w:val="317" w:hRule="atLeast"/>
          <w:jc w:val="center"/>
        </w:trPr>
        <w:tc>
          <w:tcPr>
            <w:tcW w:w="333"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结果维持</w:t>
            </w:r>
          </w:p>
        </w:tc>
        <w:tc>
          <w:tcPr>
            <w:tcW w:w="333"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结果</w:t>
            </w:r>
            <w:r>
              <w:rPr>
                <w:rFonts w:ascii="宋体" w:cs="宋体"/>
                <w:color w:val="000000"/>
                <w:kern w:val="0"/>
                <w:szCs w:val="21"/>
              </w:rPr>
              <w:br w:type="textWrapping"/>
            </w:r>
            <w:r>
              <w:rPr>
                <w:rFonts w:hint="eastAsia" w:ascii="宋体" w:cs="宋体"/>
                <w:color w:val="000000"/>
                <w:kern w:val="0"/>
                <w:szCs w:val="21"/>
              </w:rPr>
              <w:t>纠正</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其他</w:t>
            </w:r>
            <w:r>
              <w:rPr>
                <w:rFonts w:ascii="宋体" w:cs="宋体"/>
                <w:color w:val="000000"/>
                <w:kern w:val="0"/>
                <w:szCs w:val="21"/>
              </w:rPr>
              <w:br w:type="textWrapping"/>
            </w:r>
            <w:r>
              <w:rPr>
                <w:rFonts w:hint="eastAsia" w:ascii="宋体" w:cs="宋体"/>
                <w:color w:val="000000"/>
                <w:kern w:val="0"/>
                <w:szCs w:val="21"/>
              </w:rPr>
              <w:t>结果</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尚未</w:t>
            </w:r>
            <w:r>
              <w:rPr>
                <w:rFonts w:ascii="宋体" w:cs="宋体"/>
                <w:color w:val="000000"/>
                <w:kern w:val="0"/>
                <w:szCs w:val="21"/>
              </w:rPr>
              <w:br w:type="textWrapping"/>
            </w:r>
            <w:r>
              <w:rPr>
                <w:rFonts w:hint="eastAsia" w:ascii="宋体" w:cs="宋体"/>
                <w:color w:val="000000"/>
                <w:kern w:val="0"/>
                <w:szCs w:val="21"/>
              </w:rPr>
              <w:t>审结</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总计</w:t>
            </w:r>
          </w:p>
        </w:tc>
        <w:tc>
          <w:tcPr>
            <w:tcW w:w="1668"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未经复议直接起诉</w:t>
            </w:r>
          </w:p>
        </w:tc>
        <w:tc>
          <w:tcPr>
            <w:tcW w:w="1668"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复议后起诉</w:t>
            </w:r>
          </w:p>
        </w:tc>
      </w:tr>
      <w:tr>
        <w:tblPrEx>
          <w:tblCellMar>
            <w:top w:w="0" w:type="dxa"/>
            <w:left w:w="0" w:type="dxa"/>
            <w:bottom w:w="0" w:type="dxa"/>
            <w:right w:w="0" w:type="dxa"/>
          </w:tblCellMar>
        </w:tblPrEx>
        <w:trPr>
          <w:trHeight w:val="145" w:hRule="atLeast"/>
          <w:jc w:val="center"/>
        </w:trPr>
        <w:tc>
          <w:tcPr>
            <w:tcW w:w="333" w:type="pct"/>
            <w:vMerge w:val="continue"/>
            <w:tcBorders>
              <w:top w:val="nil"/>
              <w:left w:val="single" w:color="auto" w:sz="8" w:space="0"/>
              <w:bottom w:val="single" w:color="auto" w:sz="8" w:space="0"/>
              <w:right w:val="single" w:color="auto" w:sz="8" w:space="0"/>
            </w:tcBorders>
            <w:vAlign w:val="center"/>
          </w:tcPr>
          <w:p>
            <w:pPr>
              <w:widowControl/>
              <w:jc w:val="center"/>
              <w:rPr>
                <w:rFonts w:ascii="宋体" w:cs="宋体"/>
                <w:color w:val="000000"/>
                <w:kern w:val="0"/>
                <w:szCs w:val="21"/>
              </w:rPr>
            </w:pPr>
          </w:p>
        </w:tc>
        <w:tc>
          <w:tcPr>
            <w:tcW w:w="333" w:type="pct"/>
            <w:vMerge w:val="continue"/>
            <w:tcBorders>
              <w:top w:val="nil"/>
              <w:left w:val="single" w:color="auto" w:sz="8" w:space="0"/>
              <w:bottom w:val="single" w:color="auto" w:sz="8" w:space="0"/>
              <w:right w:val="single" w:color="auto" w:sz="8" w:space="0"/>
            </w:tcBorders>
            <w:vAlign w:val="center"/>
          </w:tcPr>
          <w:p>
            <w:pPr>
              <w:widowControl/>
              <w:jc w:val="center"/>
              <w:rPr>
                <w:rFonts w:ascii="宋体" w:cs="宋体"/>
                <w:color w:val="000000"/>
                <w:kern w:val="0"/>
                <w:szCs w:val="21"/>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宋体"/>
                <w:color w:val="000000"/>
                <w:kern w:val="0"/>
                <w:szCs w:val="21"/>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宋体"/>
                <w:color w:val="000000"/>
                <w:kern w:val="0"/>
                <w:szCs w:val="21"/>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宋体"/>
                <w:color w:val="000000"/>
                <w:kern w:val="0"/>
                <w:szCs w:val="21"/>
              </w:rPr>
            </w:pP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结果</w:t>
            </w:r>
            <w:r>
              <w:rPr>
                <w:rFonts w:ascii="宋体" w:cs="宋体"/>
                <w:color w:val="000000"/>
                <w:kern w:val="0"/>
                <w:szCs w:val="21"/>
              </w:rPr>
              <w:br w:type="textWrapping"/>
            </w:r>
            <w:r>
              <w:rPr>
                <w:rFonts w:hint="eastAsia" w:ascii="宋体" w:cs="宋体"/>
                <w:color w:val="000000"/>
                <w:kern w:val="0"/>
                <w:szCs w:val="21"/>
              </w:rPr>
              <w:t>维持</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结果</w:t>
            </w:r>
            <w:r>
              <w:rPr>
                <w:rFonts w:ascii="宋体" w:cs="宋体"/>
                <w:color w:val="000000"/>
                <w:kern w:val="0"/>
                <w:szCs w:val="21"/>
              </w:rPr>
              <w:br w:type="textWrapping"/>
            </w:r>
            <w:r>
              <w:rPr>
                <w:rFonts w:hint="eastAsia" w:ascii="宋体" w:cs="宋体"/>
                <w:color w:val="000000"/>
                <w:kern w:val="0"/>
                <w:szCs w:val="21"/>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其他</w:t>
            </w:r>
            <w:r>
              <w:rPr>
                <w:rFonts w:ascii="宋体" w:cs="宋体"/>
                <w:color w:val="000000"/>
                <w:kern w:val="0"/>
                <w:szCs w:val="21"/>
              </w:rPr>
              <w:br w:type="textWrapping"/>
            </w:r>
            <w:r>
              <w:rPr>
                <w:rFonts w:hint="eastAsia" w:ascii="宋体" w:cs="宋体"/>
                <w:color w:val="000000"/>
                <w:kern w:val="0"/>
                <w:szCs w:val="21"/>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尚未</w:t>
            </w:r>
            <w:r>
              <w:rPr>
                <w:rFonts w:ascii="宋体" w:cs="宋体"/>
                <w:color w:val="000000"/>
                <w:kern w:val="0"/>
                <w:szCs w:val="21"/>
              </w:rPr>
              <w:br w:type="textWrapping"/>
            </w:r>
            <w:r>
              <w:rPr>
                <w:rFonts w:hint="eastAsia" w:ascii="宋体" w:cs="宋体"/>
                <w:color w:val="000000"/>
                <w:kern w:val="0"/>
                <w:szCs w:val="21"/>
              </w:rPr>
              <w:t>审结</w:t>
            </w:r>
          </w:p>
        </w:tc>
        <w:tc>
          <w:tcPr>
            <w:tcW w:w="33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总计</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结果</w:t>
            </w:r>
            <w:r>
              <w:rPr>
                <w:rFonts w:ascii="宋体" w:cs="宋体"/>
                <w:color w:val="000000"/>
                <w:kern w:val="0"/>
                <w:szCs w:val="21"/>
              </w:rPr>
              <w:br w:type="textWrapping"/>
            </w:r>
            <w:r>
              <w:rPr>
                <w:rFonts w:hint="eastAsia" w:ascii="宋体" w:cs="宋体"/>
                <w:color w:val="000000"/>
                <w:kern w:val="0"/>
                <w:szCs w:val="21"/>
              </w:rPr>
              <w:t>维持</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结果</w:t>
            </w:r>
            <w:r>
              <w:rPr>
                <w:rFonts w:ascii="宋体" w:cs="宋体"/>
                <w:color w:val="000000"/>
                <w:kern w:val="0"/>
                <w:szCs w:val="21"/>
              </w:rPr>
              <w:br w:type="textWrapping"/>
            </w:r>
            <w:r>
              <w:rPr>
                <w:rFonts w:hint="eastAsia" w:ascii="宋体" w:cs="宋体"/>
                <w:color w:val="000000"/>
                <w:kern w:val="0"/>
                <w:szCs w:val="21"/>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其他</w:t>
            </w:r>
            <w:r>
              <w:rPr>
                <w:rFonts w:ascii="宋体" w:cs="宋体"/>
                <w:color w:val="000000"/>
                <w:kern w:val="0"/>
                <w:szCs w:val="21"/>
              </w:rPr>
              <w:br w:type="textWrapping"/>
            </w:r>
            <w:r>
              <w:rPr>
                <w:rFonts w:hint="eastAsia" w:ascii="宋体" w:cs="宋体"/>
                <w:color w:val="000000"/>
                <w:kern w:val="0"/>
                <w:szCs w:val="21"/>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尚未</w:t>
            </w:r>
            <w:r>
              <w:rPr>
                <w:rFonts w:ascii="宋体" w:cs="宋体"/>
                <w:color w:val="000000"/>
                <w:kern w:val="0"/>
                <w:szCs w:val="21"/>
              </w:rPr>
              <w:br w:type="textWrapping"/>
            </w:r>
            <w:r>
              <w:rPr>
                <w:rFonts w:hint="eastAsia" w:ascii="宋体" w:cs="宋体"/>
                <w:color w:val="000000"/>
                <w:kern w:val="0"/>
                <w:szCs w:val="21"/>
              </w:rPr>
              <w:t>审结</w:t>
            </w:r>
          </w:p>
        </w:tc>
        <w:tc>
          <w:tcPr>
            <w:tcW w:w="33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hint="eastAsia" w:ascii="宋体" w:cs="宋体"/>
                <w:color w:val="000000"/>
                <w:kern w:val="0"/>
                <w:szCs w:val="21"/>
              </w:rPr>
              <w:t>总计</w:t>
            </w:r>
          </w:p>
        </w:tc>
      </w:tr>
      <w:tr>
        <w:tblPrEx>
          <w:tblCellMar>
            <w:top w:w="0" w:type="dxa"/>
            <w:left w:w="0" w:type="dxa"/>
            <w:bottom w:w="0" w:type="dxa"/>
            <w:right w:w="0" w:type="dxa"/>
          </w:tblCellMar>
        </w:tblPrEx>
        <w:trPr>
          <w:trHeight w:val="676" w:hRule="atLeast"/>
          <w:jc w:val="center"/>
        </w:trPr>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3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ascii="宋体" w:cs="宋体"/>
                <w:color w:val="000000"/>
                <w:kern w:val="0"/>
                <w:szCs w:val="21"/>
              </w:rPr>
              <w:t>0</w:t>
            </w:r>
          </w:p>
        </w:tc>
        <w:tc>
          <w:tcPr>
            <w:tcW w:w="33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color w:val="000000"/>
                <w:kern w:val="0"/>
                <w:szCs w:val="21"/>
              </w:rPr>
            </w:pPr>
            <w:r>
              <w:rPr>
                <w:rFonts w:ascii="宋体" w:cs="宋体"/>
                <w:color w:val="000000"/>
                <w:kern w:val="0"/>
                <w:szCs w:val="21"/>
              </w:rPr>
              <w:t>0</w:t>
            </w:r>
          </w:p>
        </w:tc>
      </w:tr>
    </w:tbl>
    <w:p>
      <w:pPr>
        <w:pStyle w:val="3"/>
        <w:widowControl/>
        <w:shd w:val="clear" w:color="auto" w:fill="FFFFFF"/>
        <w:spacing w:beforeAutospacing="0" w:afterAutospacing="0" w:line="200" w:lineRule="atLeast"/>
        <w:ind w:firstLine="482" w:firstLineChars="200"/>
        <w:jc w:val="both"/>
        <w:rPr>
          <w:rFonts w:ascii="宋体" w:cs="宋体"/>
          <w:b/>
          <w:bCs/>
          <w:color w:val="000000"/>
          <w:shd w:val="clear" w:color="auto" w:fill="FFFFFF"/>
        </w:rPr>
      </w:pPr>
      <w:r>
        <w:rPr>
          <w:rFonts w:hint="eastAsia" w:ascii="宋体" w:hAnsi="宋体" w:cs="宋体"/>
          <w:b/>
          <w:bCs/>
          <w:color w:val="000000"/>
          <w:shd w:val="clear" w:color="auto" w:fill="FFFFFF"/>
        </w:rPr>
        <w:t>五、存在的主要问题及改进情况</w:t>
      </w:r>
    </w:p>
    <w:p>
      <w:pPr>
        <w:pStyle w:val="3"/>
        <w:widowControl/>
        <w:shd w:val="clear" w:color="auto" w:fill="FFFFFF"/>
        <w:spacing w:beforeAutospacing="0" w:afterAutospacing="0" w:line="200" w:lineRule="atLeast"/>
        <w:ind w:firstLine="420"/>
        <w:jc w:val="both"/>
        <w:rPr>
          <w:rFonts w:ascii="方正报宋简体" w:hAnsi="仿宋" w:eastAsia="方正报宋简体" w:cs="宋体"/>
          <w:color w:val="000000"/>
          <w:shd w:val="clear" w:color="auto" w:fill="FFFFFF"/>
        </w:rPr>
      </w:pPr>
      <w:r>
        <w:rPr>
          <w:rFonts w:hint="eastAsia" w:ascii="方正报宋简体" w:hAnsi="仿宋" w:eastAsia="方正报宋简体" w:cs="宋体"/>
          <w:color w:val="000000"/>
          <w:shd w:val="clear" w:color="auto" w:fill="FFFFFF"/>
        </w:rPr>
        <w:t>一是政务公开制度建设不够完善。二是重大预决策公开不够细致。政策文件的意见征集信息少，公众参与政策决策水平低。三是信息保障不及时。未第一时间发布政务公开信息，信息发布有一定的延迟性。四是重大建设项目公开内容不全面。五是重点领域信息公开信息不够全面。</w:t>
      </w:r>
    </w:p>
    <w:p>
      <w:pPr>
        <w:pStyle w:val="3"/>
        <w:widowControl/>
        <w:shd w:val="clear" w:color="auto" w:fill="FFFFFF"/>
        <w:spacing w:beforeAutospacing="0" w:afterAutospacing="0" w:line="200" w:lineRule="atLeast"/>
        <w:ind w:firstLine="420"/>
        <w:jc w:val="both"/>
        <w:rPr>
          <w:rFonts w:ascii="方正报宋简体" w:hAnsi="仿宋" w:eastAsia="方正报宋简体" w:cs="宋体"/>
          <w:color w:val="000000"/>
          <w:shd w:val="clear" w:color="auto" w:fill="FFFFFF"/>
        </w:rPr>
      </w:pPr>
      <w:r>
        <w:rPr>
          <w:rFonts w:hint="eastAsia" w:ascii="方正报宋简体" w:hAnsi="仿宋" w:eastAsia="方正报宋简体" w:cs="宋体"/>
          <w:color w:val="000000"/>
          <w:shd w:val="clear" w:color="auto" w:fill="FFFFFF"/>
        </w:rPr>
        <w:t>下一步工作建议</w:t>
      </w:r>
      <w:r>
        <w:rPr>
          <w:rFonts w:ascii="方正报宋简体" w:hAnsi="仿宋" w:eastAsia="方正报宋简体" w:cs="宋体"/>
          <w:color w:val="000000"/>
          <w:shd w:val="clear" w:color="auto" w:fill="FFFFFF"/>
        </w:rPr>
        <w:t>:</w:t>
      </w:r>
    </w:p>
    <w:p>
      <w:pPr>
        <w:pStyle w:val="3"/>
        <w:widowControl/>
        <w:shd w:val="clear" w:color="auto" w:fill="FFFFFF"/>
        <w:spacing w:beforeAutospacing="0" w:afterAutospacing="0" w:line="200" w:lineRule="atLeast"/>
        <w:ind w:firstLine="420"/>
        <w:jc w:val="both"/>
        <w:rPr>
          <w:rFonts w:ascii="方正报宋简体" w:hAnsi="仿宋" w:eastAsia="方正报宋简体" w:cs="宋体"/>
          <w:color w:val="000000"/>
          <w:shd w:val="clear" w:color="auto" w:fill="FFFFFF"/>
        </w:rPr>
      </w:pPr>
      <w:r>
        <w:rPr>
          <w:rFonts w:hint="eastAsia" w:ascii="方正报宋简体" w:hAnsi="仿宋" w:eastAsia="方正报宋简体" w:cs="宋体"/>
          <w:color w:val="000000"/>
          <w:shd w:val="clear" w:color="auto" w:fill="FFFFFF"/>
        </w:rPr>
        <w:t>一是继续完善政务公开制度，制定完善的政务公开制度指导公开工作。加强领导，压实责任。二是加强决策公开力度。一要丰富意见征集形式。除采用书面征求意见稿形式外，要采取听证座谈、论证会、列席会议等多种形式扩大公众参与。二要重视意见反馈信息公开。要将意见反馈与对应的意见征集信息进行链接，加大对征求意见收集及采纳情况的公开力度，不予采纳的应说明理由。三是加强学习培训，提高业务能力。积极开展政务公开培训，组织学习国家、省市相关政策文件精神，提高自身业务能力。明确自身职责，掌握本单位信息公开目录。按时公开相关政务信息。加强平时公开力度，把政务公开工作常态化，做到实处。四是大力推进重大建设项目信息公开。对重大建设项目，实行重点项目公开，选取部分年度典型重大项目，按照生命全周期进行公开。五是继续加强</w:t>
      </w:r>
      <w:r>
        <w:rPr>
          <w:rFonts w:ascii="方正报宋简体" w:hAnsi="仿宋" w:eastAsia="方正报宋简体" w:cs="宋体"/>
          <w:color w:val="000000"/>
          <w:shd w:val="clear" w:color="auto" w:fill="FFFFFF"/>
        </w:rPr>
        <w:t>26</w:t>
      </w:r>
      <w:r>
        <w:rPr>
          <w:rFonts w:hint="eastAsia" w:ascii="方正报宋简体" w:hAnsi="仿宋" w:eastAsia="方正报宋简体" w:cs="宋体"/>
          <w:color w:val="000000"/>
          <w:shd w:val="clear" w:color="auto" w:fill="FFFFFF"/>
        </w:rPr>
        <w:t>重点领域的信息公开工作。</w:t>
      </w:r>
    </w:p>
    <w:p>
      <w:pPr>
        <w:pStyle w:val="3"/>
        <w:widowControl/>
        <w:shd w:val="clear" w:color="auto" w:fill="FFFFFF"/>
        <w:spacing w:beforeAutospacing="0" w:afterAutospacing="0" w:line="200" w:lineRule="atLeast"/>
        <w:ind w:firstLine="354" w:firstLineChars="147"/>
        <w:rPr>
          <w:rFonts w:ascii="宋体" w:cs="宋体"/>
          <w:b/>
          <w:bCs/>
          <w:color w:val="000000"/>
          <w:shd w:val="clear" w:color="auto" w:fill="FFFFFF"/>
        </w:rPr>
      </w:pPr>
      <w:r>
        <w:rPr>
          <w:rFonts w:hint="eastAsia" w:ascii="宋体" w:hAnsi="宋体" w:cs="宋体"/>
          <w:b/>
          <w:bCs/>
          <w:color w:val="000000"/>
          <w:shd w:val="clear" w:color="auto" w:fill="FFFFFF"/>
        </w:rPr>
        <w:t>六、其他需要报告的事项</w:t>
      </w:r>
    </w:p>
    <w:p>
      <w:pPr>
        <w:pStyle w:val="3"/>
        <w:widowControl/>
        <w:shd w:val="clear" w:color="auto" w:fill="FFFFFF"/>
        <w:spacing w:beforeAutospacing="0" w:afterAutospacing="0" w:line="200" w:lineRule="atLeast"/>
        <w:rPr>
          <w:rFonts w:hint="eastAsia" w:ascii="仿宋_GB2312" w:hAnsi="宋体" w:eastAsia="仿宋_GB2312" w:cs="仿宋_GB2312"/>
          <w:i w:val="0"/>
          <w:iCs w:val="0"/>
          <w:caps w:val="0"/>
          <w:color w:val="171A1D"/>
          <w:spacing w:val="0"/>
          <w:sz w:val="32"/>
          <w:szCs w:val="32"/>
          <w:shd w:val="clear" w:fill="FFFFFF"/>
        </w:rPr>
      </w:pPr>
      <w:r>
        <w:rPr>
          <w:rFonts w:ascii="仿宋_GB2312" w:hAnsi="宋体" w:eastAsia="仿宋_GB2312" w:cs="仿宋_GB2312"/>
          <w:i w:val="0"/>
          <w:iCs w:val="0"/>
          <w:caps w:val="0"/>
          <w:color w:val="171A1D"/>
          <w:spacing w:val="0"/>
          <w:sz w:val="32"/>
          <w:szCs w:val="32"/>
          <w:shd w:val="clear" w:fill="FFFFFF"/>
        </w:rPr>
        <w:t>202</w:t>
      </w:r>
      <w:r>
        <w:rPr>
          <w:rFonts w:hint="eastAsia" w:ascii="仿宋_GB2312" w:hAnsi="宋体" w:eastAsia="仿宋_GB2312" w:cs="仿宋_GB2312"/>
          <w:i w:val="0"/>
          <w:iCs w:val="0"/>
          <w:caps w:val="0"/>
          <w:color w:val="171A1D"/>
          <w:spacing w:val="0"/>
          <w:sz w:val="32"/>
          <w:szCs w:val="32"/>
          <w:shd w:val="clear" w:fill="FFFFFF"/>
          <w:lang w:val="en-US" w:eastAsia="zh-CN"/>
        </w:rPr>
        <w:t>1</w:t>
      </w:r>
      <w:r>
        <w:rPr>
          <w:rFonts w:hint="eastAsia" w:ascii="仿宋_GB2312" w:hAnsi="宋体" w:eastAsia="仿宋_GB2312" w:cs="仿宋_GB2312"/>
          <w:i w:val="0"/>
          <w:iCs w:val="0"/>
          <w:caps w:val="0"/>
          <w:color w:val="171A1D"/>
          <w:spacing w:val="0"/>
          <w:sz w:val="32"/>
          <w:szCs w:val="32"/>
          <w:shd w:val="clear" w:fill="FFFFFF"/>
        </w:rPr>
        <w:t>年，本机关无收取信息处理费情况。</w:t>
      </w:r>
    </w:p>
    <w:p>
      <w:pPr>
        <w:pStyle w:val="3"/>
        <w:widowControl/>
        <w:shd w:val="clear" w:color="auto" w:fill="FFFFFF"/>
        <w:spacing w:beforeAutospacing="0" w:afterAutospacing="0" w:line="200" w:lineRule="atLeast"/>
        <w:ind w:firstLine="480" w:firstLineChars="200"/>
        <w:rPr>
          <w:rFonts w:ascii="方正报宋简体" w:hAnsi="仿宋" w:eastAsia="方正报宋简体" w:cs="宋体"/>
          <w:color w:val="000000"/>
          <w:shd w:val="clear" w:color="auto" w:fill="FFFFFF"/>
        </w:rPr>
      </w:pPr>
      <w:r>
        <w:rPr>
          <w:rFonts w:hint="eastAsia" w:ascii="方正报宋简体" w:hAnsi="仿宋" w:eastAsia="方正报宋简体" w:cs="宋体"/>
          <w:color w:val="000000"/>
          <w:shd w:val="clear" w:color="auto" w:fill="FFFFFF"/>
        </w:rPr>
        <w:t>如需了解更多政府信息，请登录上高县人民政府网（</w:t>
      </w:r>
      <w:r>
        <w:rPr>
          <w:rFonts w:ascii="方正报宋简体" w:hAnsi="仿宋" w:eastAsia="方正报宋简体" w:cs="宋体"/>
          <w:color w:val="000000"/>
          <w:shd w:val="clear" w:color="auto" w:fill="FFFFFF"/>
        </w:rPr>
        <w:t>http://www.shanggao.gov.cn</w:t>
      </w:r>
      <w:r>
        <w:rPr>
          <w:rFonts w:hint="eastAsia" w:ascii="方正报宋简体" w:hAnsi="仿宋" w:eastAsia="方正报宋简体" w:cs="宋体"/>
          <w:color w:val="000000"/>
          <w:shd w:val="clear" w:color="auto" w:fill="FFFFFF"/>
        </w:rPr>
        <w:t>）查询。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报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5A426F"/>
    <w:multiLevelType w:val="singleLevel"/>
    <w:tmpl w:val="E35A426F"/>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yMjNkYWViOThiMWY0ZjIzZTA4ZmU0Mjg0YmNhMzQifQ=="/>
  </w:docVars>
  <w:rsids>
    <w:rsidRoot w:val="006C3125"/>
    <w:rsid w:val="00002B5A"/>
    <w:rsid w:val="000258F8"/>
    <w:rsid w:val="000528BD"/>
    <w:rsid w:val="0008119A"/>
    <w:rsid w:val="00086803"/>
    <w:rsid w:val="000E2C16"/>
    <w:rsid w:val="001354FE"/>
    <w:rsid w:val="00136084"/>
    <w:rsid w:val="00140C5F"/>
    <w:rsid w:val="00224C4D"/>
    <w:rsid w:val="00243D39"/>
    <w:rsid w:val="00247B66"/>
    <w:rsid w:val="002E0FDA"/>
    <w:rsid w:val="0035705F"/>
    <w:rsid w:val="00363C33"/>
    <w:rsid w:val="0036723C"/>
    <w:rsid w:val="00377B03"/>
    <w:rsid w:val="0039555B"/>
    <w:rsid w:val="003B520C"/>
    <w:rsid w:val="003E344D"/>
    <w:rsid w:val="004B4752"/>
    <w:rsid w:val="004E7C27"/>
    <w:rsid w:val="005176FC"/>
    <w:rsid w:val="00525951"/>
    <w:rsid w:val="00564DBF"/>
    <w:rsid w:val="00594CA9"/>
    <w:rsid w:val="006018F0"/>
    <w:rsid w:val="006416F4"/>
    <w:rsid w:val="00644F49"/>
    <w:rsid w:val="006A0F9E"/>
    <w:rsid w:val="006C3125"/>
    <w:rsid w:val="006D06B8"/>
    <w:rsid w:val="00723119"/>
    <w:rsid w:val="00757200"/>
    <w:rsid w:val="007826CA"/>
    <w:rsid w:val="007A5A9F"/>
    <w:rsid w:val="007E4612"/>
    <w:rsid w:val="007F114A"/>
    <w:rsid w:val="00824556"/>
    <w:rsid w:val="00851B09"/>
    <w:rsid w:val="00891766"/>
    <w:rsid w:val="008D6333"/>
    <w:rsid w:val="008E496B"/>
    <w:rsid w:val="0091067C"/>
    <w:rsid w:val="00930EF4"/>
    <w:rsid w:val="00980583"/>
    <w:rsid w:val="0098328B"/>
    <w:rsid w:val="009C07F9"/>
    <w:rsid w:val="009E3EB4"/>
    <w:rsid w:val="00A215A5"/>
    <w:rsid w:val="00AD0A6A"/>
    <w:rsid w:val="00AD39E5"/>
    <w:rsid w:val="00B230D9"/>
    <w:rsid w:val="00BA1010"/>
    <w:rsid w:val="00BC3F2A"/>
    <w:rsid w:val="00BE1984"/>
    <w:rsid w:val="00C100F7"/>
    <w:rsid w:val="00C70866"/>
    <w:rsid w:val="00C864AE"/>
    <w:rsid w:val="00CC102B"/>
    <w:rsid w:val="00CD2340"/>
    <w:rsid w:val="00CD32C2"/>
    <w:rsid w:val="00CE465A"/>
    <w:rsid w:val="00D36931"/>
    <w:rsid w:val="00DA2640"/>
    <w:rsid w:val="00DF0D1F"/>
    <w:rsid w:val="00E25BD3"/>
    <w:rsid w:val="00E60568"/>
    <w:rsid w:val="00EA0456"/>
    <w:rsid w:val="00EA7587"/>
    <w:rsid w:val="00EC29A2"/>
    <w:rsid w:val="00FD685A"/>
    <w:rsid w:val="01C26E13"/>
    <w:rsid w:val="038D43FE"/>
    <w:rsid w:val="04F14A63"/>
    <w:rsid w:val="05F23F40"/>
    <w:rsid w:val="06EF4FF4"/>
    <w:rsid w:val="06F15717"/>
    <w:rsid w:val="08CB64DD"/>
    <w:rsid w:val="0BA323F2"/>
    <w:rsid w:val="0D392A9D"/>
    <w:rsid w:val="0DF2282E"/>
    <w:rsid w:val="11E4732B"/>
    <w:rsid w:val="12296E13"/>
    <w:rsid w:val="124341AB"/>
    <w:rsid w:val="1297170F"/>
    <w:rsid w:val="14EC5B4D"/>
    <w:rsid w:val="155913E5"/>
    <w:rsid w:val="16B66202"/>
    <w:rsid w:val="19772C68"/>
    <w:rsid w:val="1A0758B3"/>
    <w:rsid w:val="1AB4496C"/>
    <w:rsid w:val="1BEA22A4"/>
    <w:rsid w:val="1BF9747E"/>
    <w:rsid w:val="1D7D6135"/>
    <w:rsid w:val="1EE15FE8"/>
    <w:rsid w:val="1F3F5155"/>
    <w:rsid w:val="21696E53"/>
    <w:rsid w:val="21D85626"/>
    <w:rsid w:val="2299676A"/>
    <w:rsid w:val="259207B1"/>
    <w:rsid w:val="25C40AFC"/>
    <w:rsid w:val="279D1BDF"/>
    <w:rsid w:val="27CB4854"/>
    <w:rsid w:val="28776221"/>
    <w:rsid w:val="28916513"/>
    <w:rsid w:val="28E63FBE"/>
    <w:rsid w:val="29A81E49"/>
    <w:rsid w:val="2A465F91"/>
    <w:rsid w:val="2E993699"/>
    <w:rsid w:val="31871996"/>
    <w:rsid w:val="327B14BC"/>
    <w:rsid w:val="3443325D"/>
    <w:rsid w:val="357165DC"/>
    <w:rsid w:val="37F80C39"/>
    <w:rsid w:val="3C123735"/>
    <w:rsid w:val="40B0729A"/>
    <w:rsid w:val="40BF44BA"/>
    <w:rsid w:val="411F0E72"/>
    <w:rsid w:val="4185518C"/>
    <w:rsid w:val="42F93A27"/>
    <w:rsid w:val="46FC1A4C"/>
    <w:rsid w:val="485F6737"/>
    <w:rsid w:val="4A5E1027"/>
    <w:rsid w:val="4C2C34BA"/>
    <w:rsid w:val="4E1A1D63"/>
    <w:rsid w:val="526D1E5A"/>
    <w:rsid w:val="533E62DD"/>
    <w:rsid w:val="54730017"/>
    <w:rsid w:val="54B1145F"/>
    <w:rsid w:val="573B7B2C"/>
    <w:rsid w:val="582F5EE5"/>
    <w:rsid w:val="58760D79"/>
    <w:rsid w:val="5BBB4694"/>
    <w:rsid w:val="5C003E28"/>
    <w:rsid w:val="5DAD53F7"/>
    <w:rsid w:val="5F1D65AC"/>
    <w:rsid w:val="612A3A23"/>
    <w:rsid w:val="61F726EF"/>
    <w:rsid w:val="62141EE8"/>
    <w:rsid w:val="62692834"/>
    <w:rsid w:val="631D02F6"/>
    <w:rsid w:val="644751C1"/>
    <w:rsid w:val="66A43744"/>
    <w:rsid w:val="67124879"/>
    <w:rsid w:val="68C857DA"/>
    <w:rsid w:val="69134F49"/>
    <w:rsid w:val="69D41542"/>
    <w:rsid w:val="6C963990"/>
    <w:rsid w:val="6CD04C5E"/>
    <w:rsid w:val="6CF52916"/>
    <w:rsid w:val="6F652F30"/>
    <w:rsid w:val="70E228B5"/>
    <w:rsid w:val="7342505B"/>
    <w:rsid w:val="76EA412A"/>
    <w:rsid w:val="78DD0E2E"/>
    <w:rsid w:val="7ABB5EAE"/>
    <w:rsid w:val="7C257CBE"/>
    <w:rsid w:val="7CE751A4"/>
    <w:rsid w:val="7EB318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6"/>
    <w:autoRedefine/>
    <w:qFormat/>
    <w:uiPriority w:val="99"/>
    <w:pPr>
      <w:spacing w:beforeAutospacing="1" w:afterAutospacing="1"/>
      <w:jc w:val="left"/>
      <w:outlineLvl w:val="2"/>
    </w:pPr>
    <w:rPr>
      <w:rFonts w:ascii="宋体" w:hAnsi="宋体"/>
      <w:b/>
      <w:bCs/>
      <w:kern w:val="0"/>
      <w:sz w:val="27"/>
      <w:szCs w:val="27"/>
    </w:rPr>
  </w:style>
  <w:style w:type="character" w:default="1" w:styleId="5">
    <w:name w:val="Default Paragraph Font"/>
    <w:semiHidden/>
    <w:uiPriority w:val="99"/>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Normal (Web)"/>
    <w:basedOn w:val="1"/>
    <w:autoRedefine/>
    <w:qFormat/>
    <w:uiPriority w:val="99"/>
    <w:pPr>
      <w:spacing w:beforeAutospacing="1" w:afterAutospacing="1"/>
      <w:jc w:val="left"/>
    </w:pPr>
    <w:rPr>
      <w:kern w:val="0"/>
      <w:sz w:val="24"/>
    </w:rPr>
  </w:style>
  <w:style w:type="character" w:customStyle="1" w:styleId="6">
    <w:name w:val="Heading 3 Char"/>
    <w:basedOn w:val="5"/>
    <w:link w:val="2"/>
    <w:semiHidden/>
    <w:qFormat/>
    <w:locked/>
    <w:uiPriority w:val="99"/>
    <w:rPr>
      <w:rFonts w:ascii="Calibri" w:hAnsi="Calibri"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6</Pages>
  <Words>2883</Words>
  <Characters>3061</Characters>
  <Lines>0</Lines>
  <Paragraphs>0</Paragraphs>
  <TotalTime>78</TotalTime>
  <ScaleCrop>false</ScaleCrop>
  <LinksUpToDate>false</LinksUpToDate>
  <CharactersWithSpaces>3061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cp:lastModifiedBy>
  <dcterms:modified xsi:type="dcterms:W3CDTF">2024-02-19T08:03:23Z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06D8B18A395D444393606DBDED978ED6</vt:lpwstr>
  </property>
</Properties>
</file>